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98" w:rsidRPr="00E773E5" w:rsidRDefault="0021292D" w:rsidP="00D53498">
      <w:pPr>
        <w:jc w:val="right"/>
        <w:rPr>
          <w:rFonts w:eastAsia="Times New Roman" w:cs="Times New Roman"/>
          <w:szCs w:val="28"/>
          <w:lang w:eastAsia="lv-LV"/>
        </w:rPr>
      </w:pPr>
      <w:r>
        <w:rPr>
          <w:rFonts w:eastAsia="Times New Roman" w:cs="Times New Roman"/>
          <w:szCs w:val="28"/>
          <w:lang w:eastAsia="lv-LV"/>
        </w:rPr>
        <w:t>9</w:t>
      </w:r>
      <w:r w:rsidR="00D53498">
        <w:rPr>
          <w:rFonts w:eastAsia="Times New Roman" w:cs="Times New Roman"/>
          <w:szCs w:val="28"/>
          <w:lang w:eastAsia="lv-LV"/>
        </w:rPr>
        <w:t>.</w:t>
      </w:r>
      <w:r w:rsidR="00D53498" w:rsidRPr="00E773E5">
        <w:rPr>
          <w:rFonts w:eastAsia="Times New Roman" w:cs="Times New Roman"/>
          <w:szCs w:val="28"/>
          <w:lang w:eastAsia="lv-LV"/>
        </w:rPr>
        <w:t>pielikums</w:t>
      </w:r>
    </w:p>
    <w:p w:rsidR="00D53498" w:rsidRPr="00E773E5" w:rsidRDefault="00D53498" w:rsidP="00D53498">
      <w:pPr>
        <w:jc w:val="right"/>
        <w:rPr>
          <w:rFonts w:eastAsia="Times New Roman" w:cs="Times New Roman"/>
          <w:szCs w:val="28"/>
          <w:lang w:eastAsia="lv-LV"/>
        </w:rPr>
      </w:pPr>
      <w:r w:rsidRPr="00E773E5">
        <w:rPr>
          <w:rFonts w:eastAsia="Times New Roman" w:cs="Times New Roman"/>
          <w:szCs w:val="28"/>
          <w:lang w:eastAsia="lv-LV"/>
        </w:rPr>
        <w:t>Ministru kabineta</w:t>
      </w:r>
    </w:p>
    <w:p w:rsidR="00D53498" w:rsidRPr="00E773E5" w:rsidRDefault="00D53498" w:rsidP="00D53498">
      <w:pPr>
        <w:jc w:val="right"/>
        <w:rPr>
          <w:rFonts w:eastAsia="Times New Roman" w:cs="Times New Roman"/>
          <w:szCs w:val="28"/>
          <w:lang w:eastAsia="lv-LV"/>
        </w:rPr>
      </w:pPr>
      <w:r w:rsidRPr="00E773E5">
        <w:rPr>
          <w:rFonts w:eastAsia="Times New Roman" w:cs="Times New Roman"/>
          <w:szCs w:val="28"/>
          <w:lang w:eastAsia="lv-LV"/>
        </w:rPr>
        <w:t>2013.gada _____________</w:t>
      </w:r>
    </w:p>
    <w:p w:rsidR="00D53498" w:rsidRPr="00E773E5" w:rsidRDefault="00D53498" w:rsidP="00D53498">
      <w:pPr>
        <w:jc w:val="right"/>
        <w:rPr>
          <w:rFonts w:eastAsia="Times New Roman" w:cs="Times New Roman"/>
          <w:szCs w:val="28"/>
          <w:lang w:eastAsia="lv-LV"/>
        </w:rPr>
      </w:pPr>
      <w:r w:rsidRPr="00E773E5">
        <w:rPr>
          <w:rFonts w:eastAsia="Times New Roman" w:cs="Times New Roman"/>
          <w:szCs w:val="28"/>
          <w:lang w:eastAsia="lv-LV"/>
        </w:rPr>
        <w:t>noteikumiem Nr.____</w:t>
      </w:r>
    </w:p>
    <w:p w:rsidR="00D53498" w:rsidRPr="00E773E5" w:rsidRDefault="00D53498" w:rsidP="00D53498">
      <w:pPr>
        <w:spacing w:before="75" w:after="75"/>
        <w:jc w:val="right"/>
        <w:rPr>
          <w:rFonts w:eastAsia="Times New Roman" w:cs="Times New Roman"/>
          <w:szCs w:val="28"/>
          <w:lang w:eastAsia="lv-LV"/>
        </w:rPr>
      </w:pPr>
      <w:r w:rsidRPr="00E773E5">
        <w:rPr>
          <w:rFonts w:eastAsia="Times New Roman" w:cs="Times New Roman"/>
          <w:szCs w:val="28"/>
          <w:lang w:eastAsia="lv-LV"/>
        </w:rPr>
        <w:t> </w:t>
      </w:r>
    </w:p>
    <w:p w:rsidR="00D53498" w:rsidRPr="00E773E5" w:rsidRDefault="00D53498" w:rsidP="00D53498">
      <w:pPr>
        <w:spacing w:before="150" w:after="150"/>
        <w:jc w:val="center"/>
        <w:rPr>
          <w:rFonts w:eastAsia="Times New Roman" w:cs="Times New Roman"/>
          <w:b/>
          <w:bCs/>
          <w:szCs w:val="28"/>
          <w:lang w:eastAsia="lv-LV"/>
        </w:rPr>
      </w:pPr>
      <w:r w:rsidRPr="00E773E5">
        <w:rPr>
          <w:rFonts w:eastAsia="Times New Roman" w:cs="Times New Roman"/>
          <w:b/>
          <w:bCs/>
          <w:szCs w:val="28"/>
          <w:lang w:eastAsia="lv-LV"/>
        </w:rPr>
        <w:t>Iestādes un amatu grupas, kurās amata (dienesta, darba) pienākumu izpilde ir saistīta ar īpašu risku</w:t>
      </w:r>
    </w:p>
    <w:tbl>
      <w:tblPr>
        <w:tblW w:w="9229" w:type="dxa"/>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844"/>
        <w:gridCol w:w="8385"/>
      </w:tblGrid>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vAlign w:val="center"/>
            <w:hideMark/>
          </w:tcPr>
          <w:p w:rsidR="00D53498" w:rsidRPr="00F25C27" w:rsidRDefault="00D53498" w:rsidP="005D19AD">
            <w:pPr>
              <w:spacing w:before="75" w:after="75"/>
              <w:jc w:val="center"/>
              <w:rPr>
                <w:rFonts w:eastAsia="Times New Roman" w:cs="Times New Roman"/>
                <w:sz w:val="24"/>
                <w:szCs w:val="24"/>
                <w:lang w:eastAsia="lv-LV"/>
              </w:rPr>
            </w:pPr>
            <w:r w:rsidRPr="00F25C27">
              <w:rPr>
                <w:rFonts w:eastAsia="Times New Roman" w:cs="Times New Roman"/>
                <w:sz w:val="24"/>
                <w:szCs w:val="24"/>
                <w:lang w:eastAsia="lv-LV"/>
              </w:rPr>
              <w:t>  Nr.</w:t>
            </w:r>
            <w:r w:rsidRPr="00F25C27">
              <w:rPr>
                <w:rFonts w:eastAsia="Times New Roman" w:cs="Times New Roman"/>
                <w:sz w:val="24"/>
                <w:szCs w:val="24"/>
                <w:lang w:eastAsia="lv-LV"/>
              </w:rPr>
              <w:br/>
              <w:t>p.k.</w:t>
            </w:r>
          </w:p>
        </w:tc>
        <w:tc>
          <w:tcPr>
            <w:tcW w:w="8385" w:type="dxa"/>
            <w:tcBorders>
              <w:top w:val="outset" w:sz="6" w:space="0" w:color="808080"/>
              <w:left w:val="outset" w:sz="6" w:space="0" w:color="808080"/>
              <w:bottom w:val="outset" w:sz="6" w:space="0" w:color="808080"/>
              <w:right w:val="outset" w:sz="6" w:space="0" w:color="808080"/>
            </w:tcBorders>
            <w:vAlign w:val="center"/>
            <w:hideMark/>
          </w:tcPr>
          <w:p w:rsidR="00D53498" w:rsidRPr="00F25C27" w:rsidRDefault="00D53498" w:rsidP="005D19AD">
            <w:pPr>
              <w:spacing w:before="75" w:after="75"/>
              <w:jc w:val="center"/>
              <w:rPr>
                <w:rFonts w:eastAsia="Times New Roman" w:cs="Times New Roman"/>
                <w:sz w:val="24"/>
                <w:szCs w:val="24"/>
                <w:lang w:eastAsia="lv-LV"/>
              </w:rPr>
            </w:pPr>
            <w:r w:rsidRPr="00F25C27">
              <w:rPr>
                <w:rFonts w:eastAsia="Times New Roman" w:cs="Times New Roman"/>
                <w:sz w:val="24"/>
                <w:szCs w:val="24"/>
                <w:lang w:eastAsia="lv-LV"/>
              </w:rPr>
              <w:t> Iestādes un amatu grupas</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Iestādēs un struktūrvienībās AIDS slimnieku ārstēšanai (diagnostikai)</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2.</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Iestādēs un struktūrvienībās lepras slimnieku, psihiski slimo, alkoholisma un narkomānijas slimnieku ārstēšanai, kurās ir paaugstināts risks veselībai</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3.</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Iestādēs un struktūrvienībās infekcijas un tuberkulozes slimnieku ārstēšanai, radioloģijas, rentgena un apdegumu ārstēšanas struktūrvienībās, kurās ir paaugstināts risks veselībai</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4.</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Ārstniecības iestādēs un struktūrvienībās, kuru darbiniekiem darba apstākļu specifikas dēļ ir tiesības uz piemaksu, ja ir divi vai vairāki paaugstināta riska faktori</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5.</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Ilgstošas sociālās aprūpes un sociālās rehabilitācijas institūcijās pieaugušām personām ar garīga rakstura traucējumiem un institūcijās invalīdiem ar redzes traucējumiem, kurās ir paaugstināts risks darbinieku (sociālā darba speciālistu, ārstniecības personu, sociālo pedagogu un aprūpētāju) drošībai vai veselībai</w:t>
            </w:r>
          </w:p>
        </w:tc>
      </w:tr>
      <w:tr w:rsidR="00D53498" w:rsidRPr="00F25C27" w:rsidTr="005D19AD">
        <w:trPr>
          <w:trHeight w:val="614"/>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6.</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Ilgstošas sociālās aprūpes un sociālās rehabilitācijas institūcijās bērniem ar smagiem garīgās attīstības traucējumiem un institūcijās bāreņiem un bez vecāku gādības palikušiem bērniem, kurās ir paaugstināts risks darbinieku (sociālā darba speciālistu, ārstniecības personu, sociālo pedagogu, pedagogu, aprūpētāju, audzinātāju un aukļu) drošībai vai veselībai</w:t>
            </w:r>
          </w:p>
        </w:tc>
      </w:tr>
      <w:tr w:rsidR="00D53498" w:rsidRPr="00F25C27" w:rsidTr="005D19AD">
        <w:trPr>
          <w:trHeight w:val="726"/>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7.</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Ieslodzījuma vietu pārvaldes iestāžu un Iekšlietu ministrijas padotībā esošo iestāžu struktūrvienību ārstniecības personām, kurām ir paaugstināts risks drošībai vai veselībai</w:t>
            </w:r>
          </w:p>
        </w:tc>
      </w:tr>
      <w:tr w:rsidR="00D53498" w:rsidRPr="00F25C27" w:rsidTr="005D19AD">
        <w:trPr>
          <w:trHeight w:val="348"/>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8.</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Ieslodzījuma vietu pārvaldes iestāžu medicīnas apakšvienību darbiniekiem, kurās ārstē tuberkulozes, alkoholisma, narkomānijas un infekcijas slimniekus</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9.</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Ieslodzījuma vietu pārvaldes iestāžu darbiniekiem, kuri strādā cietumos un audzināšanas iestādēs nepilngadīgajiem</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10.</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xml:space="preserve"> Neatliekamās medicīniskās palīdzības dienesta ārstniecības un ārstniecības atbalsta personām, kuras strādā neatliekamās medicīniskās palīdzības brigādēs, kā arī anestezioloģijas, </w:t>
            </w:r>
            <w:proofErr w:type="spellStart"/>
            <w:r w:rsidRPr="00F25C27">
              <w:rPr>
                <w:rFonts w:eastAsia="Times New Roman" w:cs="Times New Roman"/>
                <w:sz w:val="24"/>
                <w:szCs w:val="24"/>
                <w:lang w:eastAsia="lv-LV"/>
              </w:rPr>
              <w:t>reanimatoloģijas</w:t>
            </w:r>
            <w:proofErr w:type="spellEnd"/>
            <w:r w:rsidRPr="00F25C27">
              <w:rPr>
                <w:rFonts w:eastAsia="Times New Roman" w:cs="Times New Roman"/>
                <w:sz w:val="24"/>
                <w:szCs w:val="24"/>
                <w:lang w:eastAsia="lv-LV"/>
              </w:rPr>
              <w:t xml:space="preserve"> un intensīvās terapijas nodaļu speciālistiem par darbu paaugstināta riska apstākļos</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11.</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xml:space="preserve"> Speciālajās izglītības iestādēs (speciālajās klasēs un grupās), kas paredzētas izglītojamiem ar </w:t>
            </w:r>
            <w:proofErr w:type="spellStart"/>
            <w:r w:rsidRPr="00F25C27">
              <w:rPr>
                <w:rFonts w:eastAsia="Times New Roman" w:cs="Times New Roman"/>
                <w:sz w:val="24"/>
                <w:szCs w:val="24"/>
                <w:lang w:eastAsia="lv-LV"/>
              </w:rPr>
              <w:t>somatiskām</w:t>
            </w:r>
            <w:proofErr w:type="spellEnd"/>
            <w:r w:rsidRPr="00F25C27">
              <w:rPr>
                <w:rFonts w:eastAsia="Times New Roman" w:cs="Times New Roman"/>
                <w:sz w:val="24"/>
                <w:szCs w:val="24"/>
                <w:lang w:eastAsia="lv-LV"/>
              </w:rPr>
              <w:t xml:space="preserve"> slimībām, skoliozi, fiziskās un (vai) garīgās attīstības traucējumiem, dzirdes, redzes, valodas attīstības traucējumiem, psihoneiroloģiskajām slimībām, internātskolās bāreņiem un bez vecāku aizgādnības palikušajiem </w:t>
            </w:r>
            <w:r w:rsidRPr="00F25C27">
              <w:rPr>
                <w:rFonts w:eastAsia="Times New Roman" w:cs="Times New Roman"/>
                <w:sz w:val="24"/>
                <w:szCs w:val="24"/>
                <w:lang w:eastAsia="lv-LV"/>
              </w:rPr>
              <w:lastRenderedPageBreak/>
              <w:t>izglītojamiem – darbiniekiem, kuri strādā ar minētajiem skolēniem</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lastRenderedPageBreak/>
              <w:t> 12.</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Darbiniekiem, kuri strādā sociālās korekcijas izglītības iestādēs ar skolēniem, kuri izdarījuši tādu nodarījumu vai pārkāpumu, par kuru likumā paredzēta kriminālatbildība vai administratīvā atbildība</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13.</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xml:space="preserve"> Ārstniecības iestādēs ar apsardzi un slēgtu režīmu psihiski slimu personu piespiedu ārstēšanai un personu </w:t>
            </w:r>
            <w:proofErr w:type="spellStart"/>
            <w:r w:rsidRPr="00F25C27">
              <w:rPr>
                <w:rFonts w:eastAsia="Times New Roman" w:cs="Times New Roman"/>
                <w:sz w:val="24"/>
                <w:szCs w:val="24"/>
                <w:lang w:eastAsia="lv-LV"/>
              </w:rPr>
              <w:t>tiespsihiatriskajai</w:t>
            </w:r>
            <w:proofErr w:type="spellEnd"/>
            <w:r w:rsidRPr="00F25C27">
              <w:rPr>
                <w:rFonts w:eastAsia="Times New Roman" w:cs="Times New Roman"/>
                <w:sz w:val="24"/>
                <w:szCs w:val="24"/>
                <w:lang w:eastAsia="lv-LV"/>
              </w:rPr>
              <w:t xml:space="preserve"> ekspertīzei:</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13.1.</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ārstniecības personām, psihologiem un klīniskajiem psihologiem, kuri veic piespiedu ārstēšanu</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13.2.</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xml:space="preserve"> ārstniecības personām, psihologiem un klīniskajiem psihologiem, kuri veic </w:t>
            </w:r>
            <w:proofErr w:type="spellStart"/>
            <w:r w:rsidRPr="00F25C27">
              <w:rPr>
                <w:rFonts w:eastAsia="Times New Roman" w:cs="Times New Roman"/>
                <w:sz w:val="24"/>
                <w:szCs w:val="24"/>
                <w:lang w:eastAsia="lv-LV"/>
              </w:rPr>
              <w:t>tiespsihiatrisko</w:t>
            </w:r>
            <w:proofErr w:type="spellEnd"/>
            <w:r w:rsidRPr="00F25C27">
              <w:rPr>
                <w:rFonts w:eastAsia="Times New Roman" w:cs="Times New Roman"/>
                <w:sz w:val="24"/>
                <w:szCs w:val="24"/>
                <w:lang w:eastAsia="lv-LV"/>
              </w:rPr>
              <w:t xml:space="preserve"> un tiesu medicīnisko ekspertīzi</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13.3.</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rehabilitācijas speciālistiem</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14.</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Neatliekamās medicīniskās palīdzības un citu operatīvo transportlīdzekļu vadītājiem par darbu paaugstināta riska apstākļos</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15.</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Veterinārajās iestādēs par darbu, kas saistīts ar leikozes, brucelozes, tuberkulozes un sevišķi bīstamu slimību (piemēram, Sibīrijas mēra, mutes un nagu sērgas, trakumsērgas) ārstēšanu, kā arī ar radioloģiju, rentgenoloģiju un dezinfekciju saistītu darbu un citiem veselībai bīstamiem darbiem vai smagiem darba apstākļiem</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16.</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Valsts tiesu medicīnas ekspertīzes centra darbiniekiem, kuru darbs saistīts ar tiesu medicīnisko ekspertīžu veikšanu</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17.</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891B57">
            <w:pPr>
              <w:spacing w:before="75" w:after="75"/>
              <w:rPr>
                <w:rFonts w:eastAsia="Times New Roman" w:cs="Times New Roman"/>
                <w:sz w:val="24"/>
                <w:szCs w:val="24"/>
                <w:lang w:eastAsia="lv-LV"/>
              </w:rPr>
            </w:pPr>
            <w:r w:rsidRPr="00F25C27">
              <w:rPr>
                <w:rFonts w:eastAsia="Times New Roman" w:cs="Times New Roman"/>
                <w:sz w:val="24"/>
                <w:szCs w:val="24"/>
                <w:lang w:eastAsia="lv-LV"/>
              </w:rPr>
              <w:t> Par darbu paaugstinātas bīstamības un veselībai kaitīgos apstākļos ugunsgrēku dzēšanas un avārijas darbos, glābšanas darbu vadībā, kā arī par tiešu piedalīšanos minētajos darbos</w:t>
            </w:r>
            <w:r w:rsidR="009D17CE">
              <w:rPr>
                <w:rFonts w:eastAsia="Times New Roman" w:cs="Times New Roman"/>
                <w:sz w:val="24"/>
                <w:szCs w:val="24"/>
                <w:lang w:eastAsia="lv-LV"/>
              </w:rPr>
              <w:t xml:space="preserve"> vai speciālo tehnisko līdzekļu paaugstināta riska sagatavošanas darb</w:t>
            </w:r>
            <w:r w:rsidR="00891B57">
              <w:rPr>
                <w:rFonts w:eastAsia="Times New Roman" w:cs="Times New Roman"/>
                <w:sz w:val="24"/>
                <w:szCs w:val="24"/>
                <w:lang w:eastAsia="lv-LV"/>
              </w:rPr>
              <w:t>o</w:t>
            </w:r>
            <w:r w:rsidR="009D17CE">
              <w:rPr>
                <w:rFonts w:eastAsia="Times New Roman" w:cs="Times New Roman"/>
                <w:sz w:val="24"/>
                <w:szCs w:val="24"/>
                <w:lang w:eastAsia="lv-LV"/>
              </w:rPr>
              <w:t>s</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w:t>
            </w:r>
            <w:r>
              <w:rPr>
                <w:rFonts w:eastAsia="Times New Roman" w:cs="Times New Roman"/>
                <w:sz w:val="24"/>
                <w:szCs w:val="24"/>
                <w:lang w:eastAsia="lv-LV"/>
              </w:rPr>
              <w:t>8</w:t>
            </w:r>
            <w:r w:rsidRPr="00F25C27">
              <w:rPr>
                <w:rFonts w:eastAsia="Times New Roman" w:cs="Times New Roman"/>
                <w:sz w:val="24"/>
                <w:szCs w:val="24"/>
                <w:lang w:eastAsia="lv-LV"/>
              </w:rPr>
              <w:t>.</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Valsts ieņēmumu dienesta amatpersonām (darbiniekiem):</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w:t>
            </w:r>
            <w:r>
              <w:rPr>
                <w:rFonts w:eastAsia="Times New Roman" w:cs="Times New Roman"/>
                <w:sz w:val="24"/>
                <w:szCs w:val="24"/>
                <w:lang w:eastAsia="lv-LV"/>
              </w:rPr>
              <w:t>8</w:t>
            </w:r>
            <w:r w:rsidRPr="00F25C27">
              <w:rPr>
                <w:rFonts w:eastAsia="Times New Roman" w:cs="Times New Roman"/>
                <w:sz w:val="24"/>
                <w:szCs w:val="24"/>
                <w:lang w:eastAsia="lv-LV"/>
              </w:rPr>
              <w:t>.1.</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par dienestu, kas tieši saistīts ar noziedzīgu nodarījumu atklāšanu un novēršanu valsts nodokļu, nodevu un citu valsts noteikto obligāto maksājumu jomā</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w:t>
            </w:r>
            <w:r>
              <w:rPr>
                <w:rFonts w:eastAsia="Times New Roman" w:cs="Times New Roman"/>
                <w:sz w:val="24"/>
                <w:szCs w:val="24"/>
                <w:lang w:eastAsia="lv-LV"/>
              </w:rPr>
              <w:t>8</w:t>
            </w:r>
            <w:r w:rsidRPr="00F25C27">
              <w:rPr>
                <w:rFonts w:eastAsia="Times New Roman" w:cs="Times New Roman"/>
                <w:sz w:val="24"/>
                <w:szCs w:val="24"/>
                <w:lang w:eastAsia="lv-LV"/>
              </w:rPr>
              <w:t>.2.</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par darbu, kas tieši saistīts ar Valsts ieņēmumu dienesta amatpersonu (darbinieku) apsardzi sakarā ar viņu veicamajiem pienākumiem, kā arī citu objektu apsardzi</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w:t>
            </w:r>
            <w:r>
              <w:rPr>
                <w:rFonts w:eastAsia="Times New Roman" w:cs="Times New Roman"/>
                <w:sz w:val="24"/>
                <w:szCs w:val="24"/>
                <w:lang w:eastAsia="lv-LV"/>
              </w:rPr>
              <w:t>8</w:t>
            </w:r>
            <w:r w:rsidRPr="00F25C27">
              <w:rPr>
                <w:rFonts w:eastAsia="Times New Roman" w:cs="Times New Roman"/>
                <w:sz w:val="24"/>
                <w:szCs w:val="24"/>
                <w:lang w:eastAsia="lv-LV"/>
              </w:rPr>
              <w:t>.3.</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par dienestu, kas tieši saistīts ar muitas robežas kontroli</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1</w:t>
            </w:r>
            <w:r>
              <w:rPr>
                <w:rFonts w:eastAsia="Times New Roman" w:cs="Times New Roman"/>
                <w:sz w:val="24"/>
                <w:szCs w:val="24"/>
                <w:lang w:eastAsia="lv-LV"/>
              </w:rPr>
              <w:t>8</w:t>
            </w:r>
            <w:r w:rsidRPr="00F25C27">
              <w:rPr>
                <w:rFonts w:eastAsia="Times New Roman" w:cs="Times New Roman"/>
                <w:sz w:val="24"/>
                <w:szCs w:val="24"/>
                <w:lang w:eastAsia="lv-LV"/>
              </w:rPr>
              <w:t>.4.</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par dienestu, kas tieši saistīts ar normatīvo aktu pārkāpumu atklāšanu, novēršanu un Valsts ieņēmumu dienesta uzdevumu īstenošanu valsts nodokļu, nodevu un citu valsts noteikto obligāto maksājumu jomā</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w:t>
            </w:r>
            <w:r>
              <w:rPr>
                <w:rFonts w:eastAsia="Times New Roman" w:cs="Times New Roman"/>
                <w:sz w:val="24"/>
                <w:szCs w:val="24"/>
                <w:lang w:eastAsia="lv-LV"/>
              </w:rPr>
              <w:t>19</w:t>
            </w:r>
            <w:r w:rsidRPr="00F25C27">
              <w:rPr>
                <w:rFonts w:eastAsia="Times New Roman" w:cs="Times New Roman"/>
                <w:sz w:val="24"/>
                <w:szCs w:val="24"/>
                <w:lang w:eastAsia="lv-LV"/>
              </w:rPr>
              <w:t>.</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Valsts probācijas dienesta amatpersonām (darbiniekiem):</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w:t>
            </w:r>
            <w:r>
              <w:rPr>
                <w:rFonts w:eastAsia="Times New Roman" w:cs="Times New Roman"/>
                <w:sz w:val="24"/>
                <w:szCs w:val="24"/>
                <w:lang w:eastAsia="lv-LV"/>
              </w:rPr>
              <w:t>19</w:t>
            </w:r>
            <w:r w:rsidRPr="00F25C27">
              <w:rPr>
                <w:rFonts w:eastAsia="Times New Roman" w:cs="Times New Roman"/>
                <w:sz w:val="24"/>
                <w:szCs w:val="24"/>
                <w:lang w:eastAsia="lv-LV"/>
              </w:rPr>
              <w:t>.1.</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A870BF">
            <w:pPr>
              <w:spacing w:before="75" w:after="75"/>
              <w:rPr>
                <w:rFonts w:eastAsia="Times New Roman" w:cs="Times New Roman"/>
                <w:sz w:val="24"/>
                <w:szCs w:val="24"/>
                <w:lang w:eastAsia="lv-LV"/>
              </w:rPr>
            </w:pPr>
            <w:r w:rsidRPr="00F25C27">
              <w:rPr>
                <w:rFonts w:eastAsia="Times New Roman" w:cs="Times New Roman"/>
                <w:sz w:val="24"/>
                <w:szCs w:val="24"/>
                <w:lang w:eastAsia="lv-LV"/>
              </w:rPr>
              <w:t> par sociālās uzvedības korekcijas pasākumu īstenošanu soda izciešanas vietās, par notiesāto apmeklējumu brīvības atņemšanas iestādē</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w:t>
            </w:r>
            <w:r>
              <w:rPr>
                <w:rFonts w:eastAsia="Times New Roman" w:cs="Times New Roman"/>
                <w:sz w:val="24"/>
                <w:szCs w:val="24"/>
                <w:lang w:eastAsia="lv-LV"/>
              </w:rPr>
              <w:t>19</w:t>
            </w:r>
            <w:r w:rsidRPr="00F25C27">
              <w:rPr>
                <w:rFonts w:eastAsia="Times New Roman" w:cs="Times New Roman"/>
                <w:sz w:val="24"/>
                <w:szCs w:val="24"/>
                <w:lang w:eastAsia="lv-LV"/>
              </w:rPr>
              <w:t>.2.</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par nosacīti notiesāto personu, pirms termiņa no soda atbrīvoto personu, kā arī to personu uzraudzību, pret kurām izbeigts kriminālprocess, tās nosacīti atbrīvojot no kriminālatbildības, un probācijas programmu īstenošanu</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Pr>
                <w:rFonts w:eastAsia="Times New Roman" w:cs="Times New Roman"/>
                <w:sz w:val="24"/>
                <w:szCs w:val="24"/>
                <w:lang w:eastAsia="lv-LV"/>
              </w:rPr>
              <w:t xml:space="preserve"> 19</w:t>
            </w:r>
            <w:r w:rsidRPr="00F25C27">
              <w:rPr>
                <w:rFonts w:eastAsia="Times New Roman" w:cs="Times New Roman"/>
                <w:sz w:val="24"/>
                <w:szCs w:val="24"/>
                <w:lang w:eastAsia="lv-LV"/>
              </w:rPr>
              <w:t>.3.</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par kriminālsoda – piespiedu darbs – izpildes organizēšanu un vadīšanu</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lastRenderedPageBreak/>
              <w:t> </w:t>
            </w:r>
            <w:r>
              <w:rPr>
                <w:rFonts w:eastAsia="Times New Roman" w:cs="Times New Roman"/>
                <w:sz w:val="24"/>
                <w:szCs w:val="24"/>
                <w:lang w:eastAsia="lv-LV"/>
              </w:rPr>
              <w:t>19</w:t>
            </w:r>
            <w:r w:rsidRPr="00F25C27">
              <w:rPr>
                <w:rFonts w:eastAsia="Times New Roman" w:cs="Times New Roman"/>
                <w:sz w:val="24"/>
                <w:szCs w:val="24"/>
                <w:lang w:eastAsia="lv-LV"/>
              </w:rPr>
              <w:t>.4.</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par audzinoša rakstura piespiedu līdzekļa – sabiedriskais darbs – izpildes organizēšanu</w:t>
            </w:r>
          </w:p>
        </w:tc>
      </w:tr>
      <w:tr w:rsidR="00B056CC"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tcPr>
          <w:p w:rsidR="00B056CC" w:rsidRPr="00F25C27" w:rsidRDefault="00B056CC" w:rsidP="005D19AD">
            <w:pPr>
              <w:spacing w:before="75" w:after="75"/>
              <w:rPr>
                <w:rFonts w:eastAsia="Times New Roman" w:cs="Times New Roman"/>
                <w:sz w:val="24"/>
                <w:szCs w:val="24"/>
                <w:lang w:eastAsia="lv-LV"/>
              </w:rPr>
            </w:pPr>
            <w:r>
              <w:rPr>
                <w:rFonts w:eastAsia="Times New Roman" w:cs="Times New Roman"/>
                <w:sz w:val="24"/>
                <w:szCs w:val="24"/>
                <w:lang w:eastAsia="lv-LV"/>
              </w:rPr>
              <w:t>19.5.</w:t>
            </w:r>
          </w:p>
        </w:tc>
        <w:tc>
          <w:tcPr>
            <w:tcW w:w="8385" w:type="dxa"/>
            <w:tcBorders>
              <w:top w:val="outset" w:sz="6" w:space="0" w:color="808080"/>
              <w:left w:val="outset" w:sz="6" w:space="0" w:color="808080"/>
              <w:bottom w:val="outset" w:sz="6" w:space="0" w:color="808080"/>
              <w:right w:val="outset" w:sz="6" w:space="0" w:color="808080"/>
            </w:tcBorders>
          </w:tcPr>
          <w:p w:rsidR="00B056CC" w:rsidRPr="00F25C27" w:rsidRDefault="00B056CC" w:rsidP="00710620">
            <w:pPr>
              <w:spacing w:before="75" w:after="75"/>
              <w:rPr>
                <w:rFonts w:eastAsia="Times New Roman" w:cs="Times New Roman"/>
                <w:sz w:val="24"/>
                <w:szCs w:val="24"/>
                <w:lang w:eastAsia="lv-LV"/>
              </w:rPr>
            </w:pPr>
            <w:r>
              <w:rPr>
                <w:rFonts w:eastAsia="Times New Roman" w:cs="Times New Roman"/>
                <w:sz w:val="24"/>
                <w:szCs w:val="24"/>
                <w:lang w:eastAsia="lv-LV"/>
              </w:rPr>
              <w:t>par kriminālsoda probācijas uzraudzības izpildes organizēšanu un vadīšanu, izlīguma kriminālprocesā organizēšanu un vadīšanu,</w:t>
            </w:r>
            <w:r w:rsidR="00710620">
              <w:rPr>
                <w:rFonts w:eastAsia="Times New Roman" w:cs="Times New Roman"/>
                <w:sz w:val="24"/>
                <w:szCs w:val="24"/>
                <w:lang w:eastAsia="lv-LV"/>
              </w:rPr>
              <w:t xml:space="preserve"> kā arī izvērtēšanas ziņojuma par probācijas klientu sniegšanu</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2</w:t>
            </w:r>
            <w:r>
              <w:rPr>
                <w:rFonts w:eastAsia="Times New Roman" w:cs="Times New Roman"/>
                <w:sz w:val="24"/>
                <w:szCs w:val="24"/>
                <w:lang w:eastAsia="lv-LV"/>
              </w:rPr>
              <w:t>0</w:t>
            </w:r>
            <w:r w:rsidRPr="00F25C27">
              <w:rPr>
                <w:rFonts w:eastAsia="Times New Roman" w:cs="Times New Roman"/>
                <w:sz w:val="24"/>
                <w:szCs w:val="24"/>
                <w:lang w:eastAsia="lv-LV"/>
              </w:rPr>
              <w:t>.</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Korupcijas novēršanas un apkarošanas biroja amatpersonām (darbiniekiem):</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2</w:t>
            </w:r>
            <w:r>
              <w:rPr>
                <w:rFonts w:eastAsia="Times New Roman" w:cs="Times New Roman"/>
                <w:sz w:val="24"/>
                <w:szCs w:val="24"/>
                <w:lang w:eastAsia="lv-LV"/>
              </w:rPr>
              <w:t>0</w:t>
            </w:r>
            <w:r w:rsidRPr="00F25C27">
              <w:rPr>
                <w:rFonts w:eastAsia="Times New Roman" w:cs="Times New Roman"/>
                <w:sz w:val="24"/>
                <w:szCs w:val="24"/>
                <w:lang w:eastAsia="lv-LV"/>
              </w:rPr>
              <w:t>.1.</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par darbu, kas tieši saistīts ar noziedzīgu nodarījumu atklāšanu, izmeklēšanu un novēršanu, darbībām ar valsts noslēpumu objektiem, ja tie saistīti ar korupcijas apkarošanu, kā arī politisko organizāciju (partiju) un to apvienību finansēšanas noteikumu pārkāpumiem</w:t>
            </w:r>
          </w:p>
        </w:tc>
      </w:tr>
      <w:tr w:rsidR="00D53498" w:rsidRPr="00F25C27" w:rsidTr="005D19AD">
        <w:trPr>
          <w:tblCellSpacing w:w="0" w:type="dxa"/>
        </w:trPr>
        <w:tc>
          <w:tcPr>
            <w:tcW w:w="844"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2</w:t>
            </w:r>
            <w:r>
              <w:rPr>
                <w:rFonts w:eastAsia="Times New Roman" w:cs="Times New Roman"/>
                <w:sz w:val="24"/>
                <w:szCs w:val="24"/>
                <w:lang w:eastAsia="lv-LV"/>
              </w:rPr>
              <w:t>0</w:t>
            </w:r>
            <w:r w:rsidRPr="00F25C27">
              <w:rPr>
                <w:rFonts w:eastAsia="Times New Roman" w:cs="Times New Roman"/>
                <w:sz w:val="24"/>
                <w:szCs w:val="24"/>
                <w:lang w:eastAsia="lv-LV"/>
              </w:rPr>
              <w:t>.2.</w:t>
            </w:r>
          </w:p>
        </w:tc>
        <w:tc>
          <w:tcPr>
            <w:tcW w:w="8385" w:type="dxa"/>
            <w:tcBorders>
              <w:top w:val="outset" w:sz="6" w:space="0" w:color="808080"/>
              <w:left w:val="outset" w:sz="6" w:space="0" w:color="808080"/>
              <w:bottom w:val="outset" w:sz="6" w:space="0" w:color="808080"/>
              <w:right w:val="outset" w:sz="6" w:space="0" w:color="808080"/>
            </w:tcBorders>
            <w:hideMark/>
          </w:tcPr>
          <w:p w:rsidR="00D53498" w:rsidRPr="00F25C27" w:rsidRDefault="00D53498" w:rsidP="005D19AD">
            <w:pPr>
              <w:spacing w:before="75" w:after="75"/>
              <w:rPr>
                <w:rFonts w:eastAsia="Times New Roman" w:cs="Times New Roman"/>
                <w:sz w:val="24"/>
                <w:szCs w:val="24"/>
                <w:lang w:eastAsia="lv-LV"/>
              </w:rPr>
            </w:pPr>
            <w:r w:rsidRPr="00F25C27">
              <w:rPr>
                <w:rFonts w:eastAsia="Times New Roman" w:cs="Times New Roman"/>
                <w:sz w:val="24"/>
                <w:szCs w:val="24"/>
                <w:lang w:eastAsia="lv-LV"/>
              </w:rPr>
              <w:t> par darbu, kas tieši saistīts ar normatīvo aktu pārkāpumu atklāšanu, novēršanu un Korupcijas novēršanas un apkarošanas biroja uzdevumu īstenošanu korupcijas novēršanā un apkarošanā, kā arī politisko organizāciju (partiju) un to apvienību finansēšanas noteikumu izpildes kontrolē</w:t>
            </w:r>
          </w:p>
        </w:tc>
      </w:tr>
    </w:tbl>
    <w:p w:rsidR="00D53498" w:rsidRPr="00E773E5" w:rsidRDefault="00D53498" w:rsidP="00D53498">
      <w:pPr>
        <w:spacing w:before="75" w:after="75"/>
        <w:ind w:firstLine="375"/>
        <w:jc w:val="both"/>
        <w:rPr>
          <w:rFonts w:eastAsia="Times New Roman" w:cs="Times New Roman"/>
          <w:szCs w:val="28"/>
          <w:lang w:eastAsia="lv-LV"/>
        </w:rPr>
      </w:pPr>
      <w:r w:rsidRPr="00E773E5">
        <w:rPr>
          <w:rFonts w:eastAsia="Times New Roman" w:cs="Times New Roman"/>
          <w:szCs w:val="28"/>
          <w:lang w:eastAsia="lv-LV"/>
        </w:rPr>
        <w:t> </w:t>
      </w:r>
    </w:p>
    <w:p w:rsidR="00D53498" w:rsidRPr="00E773E5" w:rsidRDefault="00D53498" w:rsidP="00D53498">
      <w:pPr>
        <w:spacing w:before="75" w:after="75"/>
        <w:ind w:firstLine="375"/>
        <w:jc w:val="both"/>
        <w:rPr>
          <w:rFonts w:eastAsia="Times New Roman" w:cs="Times New Roman"/>
          <w:szCs w:val="28"/>
          <w:lang w:eastAsia="lv-LV"/>
        </w:rPr>
      </w:pPr>
      <w:r w:rsidRPr="00E773E5">
        <w:rPr>
          <w:rFonts w:eastAsia="Times New Roman" w:cs="Times New Roman"/>
          <w:szCs w:val="28"/>
          <w:lang w:eastAsia="lv-LV"/>
        </w:rPr>
        <w:t> </w:t>
      </w:r>
    </w:p>
    <w:p w:rsidR="00D53498" w:rsidRDefault="00D53498" w:rsidP="00D53498">
      <w:pPr>
        <w:spacing w:before="75" w:after="75"/>
        <w:ind w:firstLine="375"/>
        <w:jc w:val="both"/>
        <w:rPr>
          <w:rFonts w:eastAsia="Times New Roman" w:cs="Times New Roman"/>
          <w:szCs w:val="28"/>
          <w:lang w:eastAsia="lv-LV"/>
        </w:rPr>
      </w:pPr>
      <w:r w:rsidRPr="00E773E5">
        <w:rPr>
          <w:rFonts w:eastAsia="Times New Roman" w:cs="Times New Roman"/>
          <w:szCs w:val="28"/>
          <w:lang w:eastAsia="lv-LV"/>
        </w:rPr>
        <w:t>Finanšu ministrs                                                          A.Vilks</w:t>
      </w:r>
      <w:bookmarkStart w:id="0" w:name="bkm0"/>
      <w:bookmarkEnd w:id="0"/>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spacing w:before="75" w:after="75"/>
        <w:ind w:firstLine="375"/>
        <w:jc w:val="both"/>
        <w:rPr>
          <w:rFonts w:eastAsia="Times New Roman" w:cs="Times New Roman"/>
          <w:szCs w:val="28"/>
          <w:lang w:eastAsia="lv-LV"/>
        </w:rPr>
      </w:pPr>
    </w:p>
    <w:p w:rsidR="00D53498" w:rsidRDefault="00D53498" w:rsidP="00D53498">
      <w:pPr>
        <w:rPr>
          <w:rFonts w:eastAsia="Times New Roman" w:cs="Times New Roman"/>
          <w:sz w:val="24"/>
          <w:szCs w:val="24"/>
          <w:lang w:eastAsia="lv-LV"/>
        </w:rPr>
      </w:pPr>
      <w:proofErr w:type="spellStart"/>
      <w:r>
        <w:rPr>
          <w:rFonts w:eastAsia="Times New Roman" w:cs="Times New Roman"/>
          <w:sz w:val="24"/>
          <w:szCs w:val="24"/>
          <w:lang w:eastAsia="lv-LV"/>
        </w:rPr>
        <w:t>I.Ošiņa</w:t>
      </w:r>
      <w:proofErr w:type="spellEnd"/>
    </w:p>
    <w:p w:rsidR="00782AD1" w:rsidRDefault="00A8147B" w:rsidP="00D53498">
      <w:pPr>
        <w:rPr>
          <w:rFonts w:eastAsia="Times New Roman" w:cs="Times New Roman"/>
          <w:sz w:val="24"/>
          <w:szCs w:val="24"/>
          <w:lang w:eastAsia="lv-LV"/>
        </w:rPr>
      </w:pPr>
      <w:r>
        <w:rPr>
          <w:rFonts w:eastAsia="Times New Roman" w:cs="Times New Roman"/>
          <w:sz w:val="24"/>
          <w:szCs w:val="24"/>
          <w:lang w:eastAsia="lv-LV"/>
        </w:rPr>
        <w:t>22.01.2013 16:08</w:t>
      </w:r>
    </w:p>
    <w:p w:rsidR="00D53498" w:rsidRDefault="00D53498" w:rsidP="00D53498">
      <w:pPr>
        <w:rPr>
          <w:rFonts w:eastAsia="Times New Roman" w:cs="Times New Roman"/>
          <w:sz w:val="24"/>
          <w:szCs w:val="24"/>
          <w:lang w:eastAsia="lv-LV"/>
        </w:rPr>
      </w:pPr>
      <w:r>
        <w:rPr>
          <w:rFonts w:eastAsia="Times New Roman" w:cs="Times New Roman"/>
          <w:sz w:val="24"/>
          <w:szCs w:val="24"/>
          <w:lang w:eastAsia="lv-LV"/>
        </w:rPr>
        <w:fldChar w:fldCharType="begin"/>
      </w:r>
      <w:r>
        <w:rPr>
          <w:rFonts w:eastAsia="Times New Roman" w:cs="Times New Roman"/>
          <w:sz w:val="24"/>
          <w:szCs w:val="24"/>
          <w:lang w:eastAsia="lv-LV"/>
        </w:rPr>
        <w:instrText xml:space="preserve"> NUMWORDS   \* MERGEFORMAT </w:instrText>
      </w:r>
      <w:r>
        <w:rPr>
          <w:rFonts w:eastAsia="Times New Roman" w:cs="Times New Roman"/>
          <w:sz w:val="24"/>
          <w:szCs w:val="24"/>
          <w:lang w:eastAsia="lv-LV"/>
        </w:rPr>
        <w:fldChar w:fldCharType="separate"/>
      </w:r>
      <w:r w:rsidR="007D6332">
        <w:rPr>
          <w:rFonts w:eastAsia="Times New Roman" w:cs="Times New Roman"/>
          <w:noProof/>
          <w:sz w:val="24"/>
          <w:szCs w:val="24"/>
          <w:lang w:eastAsia="lv-LV"/>
        </w:rPr>
        <w:t>742</w:t>
      </w:r>
      <w:r>
        <w:rPr>
          <w:rFonts w:eastAsia="Times New Roman" w:cs="Times New Roman"/>
          <w:sz w:val="24"/>
          <w:szCs w:val="24"/>
          <w:lang w:eastAsia="lv-LV"/>
        </w:rPr>
        <w:fldChar w:fldCharType="end"/>
      </w:r>
      <w:bookmarkStart w:id="1" w:name="_GoBack"/>
      <w:bookmarkEnd w:id="1"/>
    </w:p>
    <w:p w:rsidR="00D53498" w:rsidRDefault="00D53498" w:rsidP="00D53498">
      <w:pPr>
        <w:rPr>
          <w:rFonts w:eastAsia="Times New Roman" w:cs="Times New Roman"/>
          <w:sz w:val="24"/>
          <w:szCs w:val="24"/>
          <w:lang w:eastAsia="lv-LV"/>
        </w:rPr>
      </w:pPr>
      <w:r>
        <w:rPr>
          <w:rFonts w:eastAsia="Times New Roman" w:cs="Times New Roman"/>
          <w:sz w:val="24"/>
          <w:szCs w:val="24"/>
          <w:lang w:eastAsia="lv-LV"/>
        </w:rPr>
        <w:t xml:space="preserve">67095662; fakss 67095541; </w:t>
      </w:r>
    </w:p>
    <w:p w:rsidR="00D53498" w:rsidRDefault="00D53498" w:rsidP="00D53498">
      <w:pPr>
        <w:rPr>
          <w:rFonts w:eastAsia="Times New Roman" w:cs="Times New Roman"/>
          <w:sz w:val="24"/>
          <w:szCs w:val="24"/>
          <w:lang w:eastAsia="lv-LV"/>
        </w:rPr>
      </w:pPr>
      <w:r>
        <w:rPr>
          <w:rFonts w:eastAsia="Times New Roman" w:cs="Times New Roman"/>
          <w:sz w:val="24"/>
          <w:szCs w:val="24"/>
          <w:lang w:eastAsia="lv-LV"/>
        </w:rPr>
        <w:t>Inga.Osina@fm.gov.lv</w:t>
      </w:r>
    </w:p>
    <w:p w:rsidR="00D53498" w:rsidRPr="00E773E5" w:rsidRDefault="00D53498" w:rsidP="00D53498">
      <w:pPr>
        <w:spacing w:before="75" w:after="75"/>
        <w:ind w:firstLine="375"/>
        <w:jc w:val="both"/>
        <w:rPr>
          <w:rFonts w:eastAsia="Times New Roman" w:cs="Times New Roman"/>
          <w:szCs w:val="28"/>
          <w:lang w:eastAsia="lv-LV"/>
        </w:rPr>
      </w:pPr>
    </w:p>
    <w:p w:rsidR="00A663B6" w:rsidRDefault="00A663B6"/>
    <w:sectPr w:rsidR="00A663B6" w:rsidSect="002F700D">
      <w:headerReference w:type="default" r:id="rId7"/>
      <w:footerReference w:type="default" r:id="rId8"/>
      <w:footerReference w:type="first" r:id="rId9"/>
      <w:pgSz w:w="11906" w:h="16838"/>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2E" w:rsidRDefault="00C0602E" w:rsidP="00C0602E">
      <w:r>
        <w:separator/>
      </w:r>
    </w:p>
  </w:endnote>
  <w:endnote w:type="continuationSeparator" w:id="0">
    <w:p w:rsidR="00C0602E" w:rsidRDefault="00C0602E" w:rsidP="00C0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E" w:rsidRPr="00B6713E" w:rsidRDefault="00782AD1" w:rsidP="00B6713E">
    <w:pPr>
      <w:rPr>
        <w:sz w:val="20"/>
        <w:szCs w:val="20"/>
      </w:rPr>
    </w:pPr>
    <w:r w:rsidRPr="00B6713E">
      <w:rPr>
        <w:sz w:val="20"/>
        <w:szCs w:val="20"/>
      </w:rPr>
      <w:t>FMnot</w:t>
    </w:r>
    <w:r>
      <w:rPr>
        <w:sz w:val="20"/>
        <w:szCs w:val="20"/>
      </w:rPr>
      <w:t>p</w:t>
    </w:r>
    <w:r w:rsidR="0021292D">
      <w:rPr>
        <w:sz w:val="20"/>
        <w:szCs w:val="20"/>
      </w:rPr>
      <w:t>9</w:t>
    </w:r>
    <w:r w:rsidRPr="00B6713E">
      <w:rPr>
        <w:sz w:val="20"/>
        <w:szCs w:val="20"/>
      </w:rPr>
      <w:t>_</w:t>
    </w:r>
    <w:r w:rsidR="00A8147B">
      <w:rPr>
        <w:sz w:val="20"/>
        <w:szCs w:val="20"/>
      </w:rPr>
      <w:t>21</w:t>
    </w:r>
    <w:r w:rsidR="00C0602E">
      <w:rPr>
        <w:sz w:val="20"/>
        <w:szCs w:val="20"/>
      </w:rPr>
      <w:t>0113</w:t>
    </w:r>
    <w:r w:rsidRPr="00B6713E">
      <w:rPr>
        <w:sz w:val="20"/>
        <w:szCs w:val="20"/>
      </w:rPr>
      <w:t>;</w:t>
    </w:r>
    <w:r w:rsidR="00C0602E">
      <w:rPr>
        <w:sz w:val="20"/>
        <w:szCs w:val="20"/>
      </w:rPr>
      <w:t xml:space="preserve"> </w:t>
    </w:r>
    <w:r w:rsidR="0021292D">
      <w:rPr>
        <w:sz w:val="20"/>
        <w:szCs w:val="20"/>
      </w:rPr>
      <w:t>9</w:t>
    </w:r>
    <w:r>
      <w:rPr>
        <w:sz w:val="20"/>
        <w:szCs w:val="20"/>
      </w:rPr>
      <w:t xml:space="preserve">.pielikums </w:t>
    </w:r>
    <w:r w:rsidRPr="00B6713E">
      <w:rPr>
        <w:sz w:val="20"/>
        <w:szCs w:val="20"/>
      </w:rPr>
      <w:t xml:space="preserve"> Ministru kabineta noteikumu „Noteikumi par valsts un pašvaldību institūciju amatpersonu un darbinieku darba samaksu un tās noteikšanas kārtību” projekt</w:t>
    </w:r>
    <w:r>
      <w:rPr>
        <w:sz w:val="20"/>
        <w:szCs w:val="20"/>
      </w:rPr>
      <w: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E" w:rsidRPr="00AF7B23" w:rsidRDefault="00782AD1" w:rsidP="00AF7B23">
    <w:pPr>
      <w:rPr>
        <w:sz w:val="20"/>
        <w:szCs w:val="20"/>
      </w:rPr>
    </w:pPr>
    <w:r w:rsidRPr="00B6713E">
      <w:rPr>
        <w:sz w:val="20"/>
        <w:szCs w:val="20"/>
      </w:rPr>
      <w:t>FMnot</w:t>
    </w:r>
    <w:r>
      <w:rPr>
        <w:sz w:val="20"/>
        <w:szCs w:val="20"/>
      </w:rPr>
      <w:t>p</w:t>
    </w:r>
    <w:r w:rsidR="0021292D">
      <w:rPr>
        <w:sz w:val="20"/>
        <w:szCs w:val="20"/>
      </w:rPr>
      <w:t>9</w:t>
    </w:r>
    <w:r w:rsidRPr="00B6713E">
      <w:rPr>
        <w:sz w:val="20"/>
        <w:szCs w:val="20"/>
      </w:rPr>
      <w:t>_</w:t>
    </w:r>
    <w:r w:rsidR="00A8147B">
      <w:rPr>
        <w:sz w:val="20"/>
        <w:szCs w:val="20"/>
      </w:rPr>
      <w:t>21</w:t>
    </w:r>
    <w:r w:rsidR="00C0602E">
      <w:rPr>
        <w:sz w:val="20"/>
        <w:szCs w:val="20"/>
      </w:rPr>
      <w:t>0113</w:t>
    </w:r>
    <w:r w:rsidRPr="00B6713E">
      <w:rPr>
        <w:sz w:val="20"/>
        <w:szCs w:val="20"/>
      </w:rPr>
      <w:t>;</w:t>
    </w:r>
    <w:r w:rsidR="00C0602E">
      <w:rPr>
        <w:sz w:val="20"/>
        <w:szCs w:val="20"/>
      </w:rPr>
      <w:t xml:space="preserve"> </w:t>
    </w:r>
    <w:r w:rsidR="0021292D">
      <w:rPr>
        <w:sz w:val="20"/>
        <w:szCs w:val="20"/>
      </w:rPr>
      <w:t>9</w:t>
    </w:r>
    <w:r>
      <w:rPr>
        <w:sz w:val="20"/>
        <w:szCs w:val="20"/>
      </w:rPr>
      <w:t xml:space="preserve">.pielikums </w:t>
    </w:r>
    <w:r w:rsidRPr="00B6713E">
      <w:rPr>
        <w:sz w:val="20"/>
        <w:szCs w:val="20"/>
      </w:rPr>
      <w:t xml:space="preserve"> Ministru kabineta noteikumu „Noteikumi par valsts un pašvaldību institūciju amatpersonu un darbinieku darba samaksu un tās noteikšanas kārtību” projekt</w:t>
    </w:r>
    <w:r>
      <w:rPr>
        <w:sz w:val="20"/>
        <w:szCs w:val="20"/>
      </w:rPr>
      <w: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2E" w:rsidRDefault="00C0602E" w:rsidP="00C0602E">
      <w:r>
        <w:separator/>
      </w:r>
    </w:p>
  </w:footnote>
  <w:footnote w:type="continuationSeparator" w:id="0">
    <w:p w:rsidR="00C0602E" w:rsidRDefault="00C0602E" w:rsidP="00C06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79122"/>
      <w:docPartObj>
        <w:docPartGallery w:val="Page Numbers (Top of Page)"/>
        <w:docPartUnique/>
      </w:docPartObj>
    </w:sdtPr>
    <w:sdtEndPr>
      <w:rPr>
        <w:noProof/>
      </w:rPr>
    </w:sdtEndPr>
    <w:sdtContent>
      <w:p w:rsidR="002F700D" w:rsidRDefault="00782AD1">
        <w:pPr>
          <w:pStyle w:val="Header"/>
          <w:jc w:val="center"/>
        </w:pPr>
        <w:r>
          <w:fldChar w:fldCharType="begin"/>
        </w:r>
        <w:r>
          <w:instrText xml:space="preserve"> PAGE   \* MERGEFORMAT </w:instrText>
        </w:r>
        <w:r>
          <w:fldChar w:fldCharType="separate"/>
        </w:r>
        <w:r w:rsidR="007D6332">
          <w:rPr>
            <w:noProof/>
          </w:rPr>
          <w:t>3</w:t>
        </w:r>
        <w:r>
          <w:rPr>
            <w:noProof/>
          </w:rPr>
          <w:fldChar w:fldCharType="end"/>
        </w:r>
      </w:p>
    </w:sdtContent>
  </w:sdt>
  <w:p w:rsidR="002F700D" w:rsidRDefault="007D6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98"/>
    <w:rsid w:val="0021292D"/>
    <w:rsid w:val="00710620"/>
    <w:rsid w:val="00782AD1"/>
    <w:rsid w:val="007D6332"/>
    <w:rsid w:val="008116CD"/>
    <w:rsid w:val="00891B57"/>
    <w:rsid w:val="009D17CE"/>
    <w:rsid w:val="009F0379"/>
    <w:rsid w:val="00A539E6"/>
    <w:rsid w:val="00A663B6"/>
    <w:rsid w:val="00A8147B"/>
    <w:rsid w:val="00A870BF"/>
    <w:rsid w:val="00B056CC"/>
    <w:rsid w:val="00C0602E"/>
    <w:rsid w:val="00D53498"/>
    <w:rsid w:val="00F02954"/>
    <w:rsid w:val="00F108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498"/>
    <w:pPr>
      <w:tabs>
        <w:tab w:val="center" w:pos="4153"/>
        <w:tab w:val="right" w:pos="8306"/>
      </w:tabs>
    </w:pPr>
  </w:style>
  <w:style w:type="character" w:customStyle="1" w:styleId="HeaderChar">
    <w:name w:val="Header Char"/>
    <w:basedOn w:val="DefaultParagraphFont"/>
    <w:link w:val="Header"/>
    <w:uiPriority w:val="99"/>
    <w:rsid w:val="00D53498"/>
  </w:style>
  <w:style w:type="paragraph" w:styleId="Footer">
    <w:name w:val="footer"/>
    <w:basedOn w:val="Normal"/>
    <w:link w:val="FooterChar"/>
    <w:uiPriority w:val="99"/>
    <w:unhideWhenUsed/>
    <w:rsid w:val="00D53498"/>
    <w:pPr>
      <w:tabs>
        <w:tab w:val="center" w:pos="4153"/>
        <w:tab w:val="right" w:pos="8306"/>
      </w:tabs>
    </w:pPr>
  </w:style>
  <w:style w:type="character" w:customStyle="1" w:styleId="FooterChar">
    <w:name w:val="Footer Char"/>
    <w:basedOn w:val="DefaultParagraphFont"/>
    <w:link w:val="Footer"/>
    <w:uiPriority w:val="99"/>
    <w:rsid w:val="00D53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498"/>
    <w:pPr>
      <w:tabs>
        <w:tab w:val="center" w:pos="4153"/>
        <w:tab w:val="right" w:pos="8306"/>
      </w:tabs>
    </w:pPr>
  </w:style>
  <w:style w:type="character" w:customStyle="1" w:styleId="HeaderChar">
    <w:name w:val="Header Char"/>
    <w:basedOn w:val="DefaultParagraphFont"/>
    <w:link w:val="Header"/>
    <w:uiPriority w:val="99"/>
    <w:rsid w:val="00D53498"/>
  </w:style>
  <w:style w:type="paragraph" w:styleId="Footer">
    <w:name w:val="footer"/>
    <w:basedOn w:val="Normal"/>
    <w:link w:val="FooterChar"/>
    <w:uiPriority w:val="99"/>
    <w:unhideWhenUsed/>
    <w:rsid w:val="00D53498"/>
    <w:pPr>
      <w:tabs>
        <w:tab w:val="center" w:pos="4153"/>
        <w:tab w:val="right" w:pos="8306"/>
      </w:tabs>
    </w:pPr>
  </w:style>
  <w:style w:type="character" w:customStyle="1" w:styleId="FooterChar">
    <w:name w:val="Footer Char"/>
    <w:basedOn w:val="DefaultParagraphFont"/>
    <w:link w:val="Footer"/>
    <w:uiPriority w:val="99"/>
    <w:rsid w:val="00D5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768</Words>
  <Characters>5660</Characters>
  <Application>Microsoft Office Word</Application>
  <DocSecurity>0</DocSecurity>
  <Lines>161</Lines>
  <Paragraphs>94</Paragraphs>
  <ScaleCrop>false</ScaleCrop>
  <HeadingPairs>
    <vt:vector size="2" baseType="variant">
      <vt:variant>
        <vt:lpstr>Title</vt:lpstr>
      </vt:variant>
      <vt:variant>
        <vt:i4>1</vt:i4>
      </vt:variant>
    </vt:vector>
  </HeadingPairs>
  <TitlesOfParts>
    <vt:vector size="1" baseType="lpstr">
      <vt:lpstr>Noteikumi par valsts un pašvaldību institūciju amatpersonu un darbinieku darba samaksu un tās noteikšanas kārtību</vt:lpstr>
    </vt:vector>
  </TitlesOfParts>
  <Company>Finanšu ministrija</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un pašvaldību institūciju amatpersonu un darbinieku darba samaksu un tās noteikšanas kārtību</dc:title>
  <dc:subject>Ministru kabineta noteikumu projekta 9.pielikums</dc:subject>
  <dc:creator>I.Ošiņa</dc:creator>
  <cp:keywords/>
  <dc:description>Inga.Osina@fm.gov.lv
tel. 67095662</dc:description>
  <cp:lastModifiedBy>Finanšu Ministrija</cp:lastModifiedBy>
  <cp:revision>11</cp:revision>
  <dcterms:created xsi:type="dcterms:W3CDTF">2013-01-22T14:06:00Z</dcterms:created>
  <dcterms:modified xsi:type="dcterms:W3CDTF">2013-01-23T10:34:00Z</dcterms:modified>
</cp:coreProperties>
</file>