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95E" w:rsidRPr="009C2830" w:rsidRDefault="0003795E" w:rsidP="0003795E">
      <w:pPr>
        <w:pStyle w:val="Header"/>
        <w:jc w:val="right"/>
        <w:rPr>
          <w:sz w:val="22"/>
        </w:rPr>
      </w:pPr>
      <w:r w:rsidRPr="009C2830">
        <w:rPr>
          <w:sz w:val="22"/>
        </w:rPr>
        <w:t>Ministru kabineta</w:t>
      </w:r>
    </w:p>
    <w:p w:rsidR="0003795E" w:rsidRPr="009C2830" w:rsidRDefault="0003795E" w:rsidP="0003795E">
      <w:pPr>
        <w:pStyle w:val="Header"/>
        <w:ind w:firstLine="720"/>
        <w:rPr>
          <w:sz w:val="22"/>
        </w:rPr>
      </w:pPr>
      <w:r>
        <w:rPr>
          <w:sz w:val="22"/>
        </w:rPr>
        <w:t xml:space="preserve">                                                                                                            </w:t>
      </w:r>
      <w:r w:rsidRPr="009C2830">
        <w:rPr>
          <w:sz w:val="22"/>
        </w:rPr>
        <w:t>201</w:t>
      </w:r>
      <w:r w:rsidR="00CD7172">
        <w:rPr>
          <w:sz w:val="22"/>
        </w:rPr>
        <w:t>4</w:t>
      </w:r>
      <w:r w:rsidRPr="009C2830">
        <w:rPr>
          <w:sz w:val="22"/>
        </w:rPr>
        <w:t xml:space="preserve">.gada </w:t>
      </w:r>
      <w:r>
        <w:rPr>
          <w:sz w:val="22"/>
        </w:rPr>
        <w:t>______</w:t>
      </w:r>
    </w:p>
    <w:p w:rsidR="0003795E" w:rsidRPr="009D61D1" w:rsidRDefault="0003795E" w:rsidP="0003795E">
      <w:pPr>
        <w:pStyle w:val="Header"/>
        <w:ind w:firstLine="720"/>
        <w:rPr>
          <w:sz w:val="22"/>
        </w:rPr>
      </w:pPr>
      <w:r>
        <w:rPr>
          <w:sz w:val="22"/>
        </w:rPr>
        <w:t xml:space="preserve">                                                                                                             </w:t>
      </w:r>
      <w:r w:rsidRPr="009C2830">
        <w:rPr>
          <w:sz w:val="22"/>
        </w:rPr>
        <w:t xml:space="preserve">rīkojums Nr. </w:t>
      </w:r>
      <w:r>
        <w:rPr>
          <w:sz w:val="22"/>
        </w:rPr>
        <w:t>___</w:t>
      </w:r>
      <w:r w:rsidRPr="009C2830">
        <w:rPr>
          <w:sz w:val="22"/>
        </w:rPr>
        <w:t>)</w:t>
      </w:r>
    </w:p>
    <w:p w:rsidR="0003795E" w:rsidRDefault="0003795E" w:rsidP="00620251">
      <w:pPr>
        <w:jc w:val="center"/>
        <w:rPr>
          <w:rFonts w:eastAsia="Times New Roman" w:cs="Times New Roman"/>
          <w:b/>
          <w:bCs/>
          <w:color w:val="414142"/>
          <w:szCs w:val="28"/>
          <w:lang w:eastAsia="lv-LV"/>
        </w:rPr>
      </w:pPr>
    </w:p>
    <w:p w:rsidR="00620251" w:rsidRPr="005F551C" w:rsidRDefault="00620251" w:rsidP="00620251">
      <w:pPr>
        <w:jc w:val="center"/>
        <w:rPr>
          <w:rFonts w:eastAsia="Times New Roman" w:cs="Times New Roman"/>
          <w:b/>
          <w:bCs/>
          <w:color w:val="414142"/>
          <w:sz w:val="26"/>
          <w:szCs w:val="26"/>
          <w:lang w:eastAsia="lv-LV"/>
        </w:rPr>
      </w:pPr>
      <w:r w:rsidRPr="005F551C">
        <w:rPr>
          <w:rFonts w:eastAsia="Times New Roman" w:cs="Times New Roman"/>
          <w:b/>
          <w:bCs/>
          <w:color w:val="414142"/>
          <w:sz w:val="26"/>
          <w:szCs w:val="26"/>
          <w:lang w:eastAsia="lv-LV"/>
        </w:rPr>
        <w:t>Finanšu sektora attīstības plān</w:t>
      </w:r>
      <w:r w:rsidR="002555B2" w:rsidRPr="005F551C">
        <w:rPr>
          <w:rFonts w:eastAsia="Times New Roman" w:cs="Times New Roman"/>
          <w:b/>
          <w:bCs/>
          <w:color w:val="414142"/>
          <w:sz w:val="26"/>
          <w:szCs w:val="26"/>
          <w:lang w:eastAsia="lv-LV"/>
        </w:rPr>
        <w:t>s</w:t>
      </w:r>
      <w:r w:rsidRPr="005F551C">
        <w:rPr>
          <w:rFonts w:eastAsia="Times New Roman" w:cs="Times New Roman"/>
          <w:b/>
          <w:bCs/>
          <w:color w:val="414142"/>
          <w:sz w:val="26"/>
          <w:szCs w:val="26"/>
          <w:lang w:eastAsia="lv-LV"/>
        </w:rPr>
        <w:t xml:space="preserve"> 2014.-2016.gadam </w:t>
      </w:r>
    </w:p>
    <w:p w:rsidR="000A144F" w:rsidRPr="005F551C" w:rsidRDefault="000A144F" w:rsidP="00620251">
      <w:pPr>
        <w:ind w:firstLine="720"/>
        <w:jc w:val="both"/>
        <w:rPr>
          <w:sz w:val="26"/>
          <w:szCs w:val="26"/>
        </w:rPr>
      </w:pPr>
    </w:p>
    <w:p w:rsidR="009B0E9E" w:rsidRPr="005F551C" w:rsidRDefault="00620251" w:rsidP="005F551C">
      <w:pPr>
        <w:ind w:firstLine="720"/>
        <w:jc w:val="both"/>
        <w:rPr>
          <w:rFonts w:eastAsia="Times New Roman" w:cs="Times New Roman"/>
          <w:sz w:val="26"/>
          <w:szCs w:val="26"/>
          <w:lang w:eastAsia="lv-LV"/>
        </w:rPr>
      </w:pPr>
      <w:r w:rsidRPr="005F551C">
        <w:rPr>
          <w:sz w:val="26"/>
          <w:szCs w:val="26"/>
        </w:rPr>
        <w:t>Finanšu sektora attīstības plāns 2014.-2016.gadam</w:t>
      </w:r>
      <w:r w:rsidRPr="005F551C">
        <w:rPr>
          <w:rFonts w:eastAsia="Times New Roman" w:cs="Times New Roman"/>
          <w:sz w:val="26"/>
          <w:szCs w:val="26"/>
          <w:lang w:eastAsia="lv-LV"/>
        </w:rPr>
        <w:t xml:space="preserve"> (turpmāk – Plāns) ir politikas plānošanas dokuments, kas izstrādāts, pamatojoties uz </w:t>
      </w:r>
      <w:r w:rsidR="009B0E9E" w:rsidRPr="005F551C">
        <w:rPr>
          <w:rFonts w:eastAsia="Times New Roman" w:cs="Times New Roman"/>
          <w:sz w:val="26"/>
          <w:szCs w:val="26"/>
          <w:lang w:eastAsia="lv-LV"/>
        </w:rPr>
        <w:t xml:space="preserve"> nepieciešamību sekmēt </w:t>
      </w:r>
      <w:r w:rsidR="00412BA2" w:rsidRPr="005F551C">
        <w:rPr>
          <w:rFonts w:eastAsia="Times New Roman" w:cs="Times New Roman"/>
          <w:sz w:val="26"/>
          <w:szCs w:val="26"/>
          <w:lang w:eastAsia="lv-LV"/>
        </w:rPr>
        <w:t>finanšu un kapitāla tirgus politikas</w:t>
      </w:r>
      <w:r w:rsidR="009B0E9E" w:rsidRPr="005F551C">
        <w:rPr>
          <w:rFonts w:eastAsia="Times New Roman" w:cs="Times New Roman"/>
          <w:sz w:val="26"/>
          <w:szCs w:val="26"/>
          <w:lang w:eastAsia="lv-LV"/>
        </w:rPr>
        <w:t xml:space="preserve"> nozares sadarbību </w:t>
      </w:r>
      <w:r w:rsidR="00412BA2" w:rsidRPr="005F551C">
        <w:rPr>
          <w:rFonts w:eastAsia="Times New Roman" w:cs="Times New Roman"/>
          <w:sz w:val="26"/>
          <w:szCs w:val="26"/>
          <w:lang w:eastAsia="lv-LV"/>
        </w:rPr>
        <w:t xml:space="preserve">ilgtspējīgai </w:t>
      </w:r>
      <w:r w:rsidR="009B0E9E" w:rsidRPr="005F551C">
        <w:rPr>
          <w:rFonts w:eastAsia="Times New Roman" w:cs="Times New Roman"/>
          <w:sz w:val="26"/>
          <w:szCs w:val="26"/>
          <w:lang w:eastAsia="lv-LV"/>
        </w:rPr>
        <w:t>tautsaimniecības izaugsmei un konkurētspējas attīstīšanai. Plāns apkopo priekšlikumus finanšu sektora aktuālo jautājumu risināšanai</w:t>
      </w:r>
      <w:r w:rsidR="00E90A03">
        <w:rPr>
          <w:rFonts w:eastAsia="Times New Roman" w:cs="Times New Roman"/>
          <w:sz w:val="26"/>
          <w:szCs w:val="26"/>
          <w:lang w:eastAsia="lv-LV"/>
        </w:rPr>
        <w:t>.</w:t>
      </w:r>
      <w:r w:rsidR="009B0E9E" w:rsidRPr="005F551C">
        <w:rPr>
          <w:rFonts w:eastAsia="Times New Roman" w:cs="Times New Roman"/>
          <w:sz w:val="26"/>
          <w:szCs w:val="26"/>
          <w:lang w:eastAsia="lv-LV"/>
        </w:rPr>
        <w:t xml:space="preserve"> Plāns ietver konkrētus uzdevumus, atbildīgās institūcijas, termiņus un plāna izpildes uzraudzības kārtību, kā arī dod iespēju šajā formātā koriģēt plānu atkarībā no nākotnes ekonomiskās situācijas un izaicinājumiem.</w:t>
      </w:r>
    </w:p>
    <w:p w:rsidR="002555B2" w:rsidRPr="005F551C" w:rsidRDefault="002555B2" w:rsidP="005F551C">
      <w:pPr>
        <w:ind w:firstLine="720"/>
        <w:jc w:val="both"/>
        <w:rPr>
          <w:rFonts w:eastAsia="Times New Roman" w:cs="Times New Roman"/>
          <w:sz w:val="26"/>
          <w:szCs w:val="26"/>
          <w:lang w:eastAsia="lv-LV"/>
        </w:rPr>
      </w:pPr>
    </w:p>
    <w:p w:rsidR="002555B2" w:rsidRPr="005F551C" w:rsidRDefault="00940132" w:rsidP="005F551C">
      <w:pPr>
        <w:ind w:left="720"/>
        <w:jc w:val="center"/>
        <w:rPr>
          <w:rFonts w:eastAsia="Times New Roman" w:cs="Times New Roman"/>
          <w:sz w:val="26"/>
          <w:szCs w:val="26"/>
          <w:u w:val="single"/>
          <w:lang w:eastAsia="lv-LV"/>
        </w:rPr>
      </w:pPr>
      <w:r w:rsidRPr="005F551C">
        <w:rPr>
          <w:rFonts w:eastAsia="Times New Roman" w:cs="Times New Roman"/>
          <w:sz w:val="26"/>
          <w:szCs w:val="26"/>
          <w:u w:val="single"/>
          <w:lang w:eastAsia="lv-LV"/>
        </w:rPr>
        <w:t>1.</w:t>
      </w:r>
      <w:r w:rsidR="002555B2" w:rsidRPr="005F551C">
        <w:rPr>
          <w:rFonts w:eastAsia="Times New Roman" w:cs="Times New Roman"/>
          <w:sz w:val="26"/>
          <w:szCs w:val="26"/>
          <w:u w:val="single"/>
          <w:lang w:eastAsia="lv-LV"/>
        </w:rPr>
        <w:t>Plāna mērķis un rīcības virzieni</w:t>
      </w:r>
    </w:p>
    <w:p w:rsidR="002555B2" w:rsidRPr="005F551C" w:rsidRDefault="002555B2" w:rsidP="005F551C">
      <w:pPr>
        <w:ind w:firstLine="720"/>
        <w:jc w:val="both"/>
        <w:rPr>
          <w:rFonts w:eastAsia="Times New Roman" w:cs="Times New Roman"/>
          <w:sz w:val="26"/>
          <w:szCs w:val="26"/>
          <w:lang w:eastAsia="lv-LV"/>
        </w:rPr>
      </w:pPr>
    </w:p>
    <w:p w:rsidR="00393A6A" w:rsidRPr="005F551C" w:rsidRDefault="00620251" w:rsidP="005F551C">
      <w:pPr>
        <w:ind w:firstLine="720"/>
        <w:jc w:val="both"/>
        <w:rPr>
          <w:rFonts w:eastAsia="Times New Roman" w:cs="Times New Roman"/>
          <w:sz w:val="26"/>
          <w:szCs w:val="26"/>
          <w:lang w:eastAsia="lv-LV"/>
        </w:rPr>
      </w:pPr>
      <w:r w:rsidRPr="005F551C">
        <w:rPr>
          <w:rFonts w:eastAsia="Times New Roman" w:cs="Times New Roman"/>
          <w:sz w:val="26"/>
          <w:szCs w:val="26"/>
          <w:lang w:eastAsia="lv-LV"/>
        </w:rPr>
        <w:t xml:space="preserve">Plāna izstrādes mērķis ir </w:t>
      </w:r>
      <w:r w:rsidR="00C41CB5">
        <w:rPr>
          <w:rFonts w:eastAsia="Times New Roman" w:cs="Times New Roman"/>
          <w:b/>
          <w:sz w:val="26"/>
          <w:szCs w:val="26"/>
          <w:lang w:eastAsia="lv-LV"/>
        </w:rPr>
        <w:t xml:space="preserve">sekmēt  </w:t>
      </w:r>
      <w:r w:rsidR="003F7656">
        <w:rPr>
          <w:rFonts w:eastAsia="Times New Roman" w:cs="Times New Roman"/>
          <w:b/>
          <w:sz w:val="26"/>
          <w:szCs w:val="26"/>
          <w:lang w:eastAsia="lv-LV"/>
        </w:rPr>
        <w:t>finanšu sektora stabilitāti</w:t>
      </w:r>
      <w:r w:rsidRPr="005F551C">
        <w:rPr>
          <w:rFonts w:eastAsia="Times New Roman" w:cs="Times New Roman"/>
          <w:b/>
          <w:sz w:val="26"/>
          <w:szCs w:val="26"/>
          <w:lang w:eastAsia="lv-LV"/>
        </w:rPr>
        <w:t xml:space="preserve">, </w:t>
      </w:r>
      <w:r w:rsidR="00D82650">
        <w:rPr>
          <w:rFonts w:eastAsia="Times New Roman" w:cs="Times New Roman"/>
          <w:b/>
          <w:sz w:val="26"/>
          <w:szCs w:val="26"/>
          <w:lang w:eastAsia="lv-LV"/>
        </w:rPr>
        <w:t>kas veicina</w:t>
      </w:r>
      <w:r w:rsidR="003F7656">
        <w:rPr>
          <w:rFonts w:eastAsia="Times New Roman" w:cs="Times New Roman"/>
          <w:b/>
          <w:sz w:val="26"/>
          <w:szCs w:val="26"/>
          <w:lang w:eastAsia="lv-LV"/>
        </w:rPr>
        <w:t xml:space="preserve"> </w:t>
      </w:r>
      <w:r w:rsidR="00412BA2" w:rsidRPr="005F551C">
        <w:rPr>
          <w:rFonts w:eastAsia="Times New Roman" w:cs="Times New Roman"/>
          <w:b/>
          <w:sz w:val="26"/>
          <w:szCs w:val="26"/>
          <w:lang w:eastAsia="lv-LV"/>
        </w:rPr>
        <w:t xml:space="preserve">Latvijas </w:t>
      </w:r>
      <w:r w:rsidRPr="005F551C">
        <w:rPr>
          <w:rFonts w:eastAsia="Times New Roman" w:cs="Times New Roman"/>
          <w:b/>
          <w:sz w:val="26"/>
          <w:szCs w:val="26"/>
          <w:lang w:eastAsia="lv-LV"/>
        </w:rPr>
        <w:t>ekonomikas ilgtspējīgu attīstību</w:t>
      </w:r>
      <w:r w:rsidRPr="005F551C">
        <w:rPr>
          <w:rFonts w:eastAsia="Times New Roman" w:cs="Times New Roman"/>
          <w:sz w:val="26"/>
          <w:szCs w:val="26"/>
          <w:lang w:eastAsia="lv-LV"/>
        </w:rPr>
        <w:t xml:space="preserve">. </w:t>
      </w:r>
    </w:p>
    <w:p w:rsidR="00393A6A" w:rsidRPr="005F551C" w:rsidRDefault="00393A6A" w:rsidP="005F551C">
      <w:pPr>
        <w:ind w:firstLine="720"/>
        <w:jc w:val="both"/>
        <w:rPr>
          <w:rFonts w:eastAsia="Times New Roman" w:cs="Times New Roman"/>
          <w:sz w:val="26"/>
          <w:szCs w:val="26"/>
          <w:lang w:eastAsia="lv-LV"/>
        </w:rPr>
      </w:pPr>
    </w:p>
    <w:p w:rsidR="00393A6A" w:rsidRPr="005F551C" w:rsidRDefault="00EA6192" w:rsidP="00393A6A">
      <w:pPr>
        <w:ind w:firstLine="720"/>
        <w:jc w:val="both"/>
        <w:rPr>
          <w:rFonts w:eastAsia="Times New Roman" w:cs="Times New Roman"/>
          <w:sz w:val="26"/>
          <w:szCs w:val="26"/>
          <w:lang w:eastAsia="lv-LV"/>
        </w:rPr>
      </w:pPr>
      <w:r w:rsidRPr="005F551C">
        <w:rPr>
          <w:rFonts w:eastAsia="Times New Roman" w:cs="Times New Roman"/>
          <w:sz w:val="26"/>
          <w:szCs w:val="26"/>
          <w:lang w:eastAsia="lv-LV"/>
        </w:rPr>
        <w:t xml:space="preserve">Plāna rīcības virzienu izstrādē sākotnējos priekšlikumus sniedza Finanšu sektora attīstības stratēģijas izstrādes darba grupa, </w:t>
      </w:r>
      <w:r w:rsidR="00D87C0E">
        <w:rPr>
          <w:rFonts w:eastAsia="Times New Roman" w:cs="Times New Roman"/>
          <w:sz w:val="26"/>
          <w:szCs w:val="26"/>
          <w:lang w:eastAsia="lv-LV"/>
        </w:rPr>
        <w:t>papildus</w:t>
      </w:r>
      <w:r w:rsidRPr="005F551C">
        <w:rPr>
          <w:rFonts w:eastAsia="Times New Roman" w:cs="Times New Roman"/>
          <w:sz w:val="26"/>
          <w:szCs w:val="26"/>
          <w:lang w:eastAsia="lv-LV"/>
        </w:rPr>
        <w:t xml:space="preserve"> tam plāna uzdevumus nosaka pievienošanās process </w:t>
      </w:r>
      <w:proofErr w:type="spellStart"/>
      <w:r w:rsidRPr="005F551C">
        <w:rPr>
          <w:rFonts w:eastAsia="Times New Roman" w:cs="Times New Roman"/>
          <w:sz w:val="26"/>
          <w:szCs w:val="26"/>
          <w:lang w:eastAsia="lv-LV"/>
        </w:rPr>
        <w:t>eirozonai</w:t>
      </w:r>
      <w:proofErr w:type="spellEnd"/>
      <w:r w:rsidRPr="005F551C">
        <w:rPr>
          <w:rFonts w:eastAsia="Times New Roman" w:cs="Times New Roman"/>
          <w:sz w:val="26"/>
          <w:szCs w:val="26"/>
          <w:lang w:eastAsia="lv-LV"/>
        </w:rPr>
        <w:t xml:space="preserve"> un ES līmeņa iniciatīvas Banku </w:t>
      </w:r>
      <w:r w:rsidR="00602FC0">
        <w:rPr>
          <w:rFonts w:eastAsia="Times New Roman" w:cs="Times New Roman"/>
          <w:sz w:val="26"/>
          <w:szCs w:val="26"/>
          <w:lang w:eastAsia="lv-LV"/>
        </w:rPr>
        <w:t>S</w:t>
      </w:r>
      <w:r w:rsidRPr="005F551C">
        <w:rPr>
          <w:rFonts w:eastAsia="Times New Roman" w:cs="Times New Roman"/>
          <w:sz w:val="26"/>
          <w:szCs w:val="26"/>
          <w:lang w:eastAsia="lv-LV"/>
        </w:rPr>
        <w:t>avienības izveidē.</w:t>
      </w:r>
      <w:r w:rsidR="00262AFF" w:rsidRPr="005F551C">
        <w:rPr>
          <w:rFonts w:eastAsia="Times New Roman" w:cs="Times New Roman"/>
          <w:sz w:val="26"/>
          <w:szCs w:val="26"/>
          <w:lang w:eastAsia="lv-LV"/>
        </w:rPr>
        <w:t xml:space="preserve"> </w:t>
      </w:r>
      <w:r w:rsidR="00771164" w:rsidRPr="00771164">
        <w:rPr>
          <w:rFonts w:eastAsia="Times New Roman" w:cs="Times New Roman"/>
          <w:sz w:val="26"/>
          <w:szCs w:val="26"/>
          <w:lang w:eastAsia="lv-LV"/>
        </w:rPr>
        <w:t xml:space="preserve">Plašāka finanšu sektora darbības analīze neietilpst šī plāna tvērumā, </w:t>
      </w:r>
      <w:r w:rsidR="00771164">
        <w:rPr>
          <w:rFonts w:eastAsia="Times New Roman" w:cs="Times New Roman"/>
          <w:sz w:val="26"/>
          <w:szCs w:val="26"/>
          <w:lang w:eastAsia="lv-LV"/>
        </w:rPr>
        <w:t>un tas tiek analizēts, t.sk., Latvijas Bankas Finanšu stabilitātes pārskatā</w:t>
      </w:r>
      <w:r w:rsidR="00771164">
        <w:rPr>
          <w:rStyle w:val="FootnoteReference"/>
          <w:rFonts w:eastAsia="Times New Roman" w:cs="Times New Roman"/>
          <w:sz w:val="26"/>
          <w:szCs w:val="26"/>
          <w:lang w:eastAsia="lv-LV"/>
        </w:rPr>
        <w:footnoteReference w:id="1"/>
      </w:r>
      <w:r w:rsidR="00771164">
        <w:rPr>
          <w:rFonts w:eastAsia="Times New Roman" w:cs="Times New Roman"/>
          <w:sz w:val="26"/>
          <w:szCs w:val="26"/>
          <w:lang w:eastAsia="lv-LV"/>
        </w:rPr>
        <w:t>.</w:t>
      </w:r>
      <w:r w:rsidRPr="005F551C">
        <w:rPr>
          <w:rFonts w:eastAsia="Times New Roman" w:cs="Times New Roman"/>
          <w:sz w:val="26"/>
          <w:szCs w:val="26"/>
          <w:lang w:eastAsia="lv-LV"/>
        </w:rPr>
        <w:t xml:space="preserve"> Plāna rīc</w:t>
      </w:r>
      <w:r w:rsidR="00432894">
        <w:rPr>
          <w:rFonts w:eastAsia="Times New Roman" w:cs="Times New Roman"/>
          <w:sz w:val="26"/>
          <w:szCs w:val="26"/>
          <w:lang w:eastAsia="lv-LV"/>
        </w:rPr>
        <w:t>ības virzienu pamatojuma koncentrēts</w:t>
      </w:r>
      <w:r w:rsidR="00262AFF" w:rsidRPr="005F551C">
        <w:rPr>
          <w:rFonts w:eastAsia="Times New Roman" w:cs="Times New Roman"/>
          <w:sz w:val="26"/>
          <w:szCs w:val="26"/>
          <w:lang w:eastAsia="lv-LV"/>
        </w:rPr>
        <w:t xml:space="preserve"> skaidrojums sniegts</w:t>
      </w:r>
      <w:r w:rsidRPr="005F551C">
        <w:rPr>
          <w:rFonts w:eastAsia="Times New Roman" w:cs="Times New Roman"/>
          <w:sz w:val="26"/>
          <w:szCs w:val="26"/>
          <w:lang w:eastAsia="lv-LV"/>
        </w:rPr>
        <w:t xml:space="preserve"> 3.-5.nodaļā.</w:t>
      </w:r>
      <w:r w:rsidR="00262AFF" w:rsidRPr="005F551C">
        <w:rPr>
          <w:rFonts w:eastAsia="Times New Roman" w:cs="Times New Roman"/>
          <w:sz w:val="26"/>
          <w:szCs w:val="26"/>
          <w:lang w:eastAsia="lv-LV"/>
        </w:rPr>
        <w:t xml:space="preserve"> Plānā ir noteikti šādi rīcības virzieni un pasākumi to īstenošanai:</w:t>
      </w:r>
    </w:p>
    <w:p w:rsidR="00393A6A" w:rsidRPr="005F551C" w:rsidRDefault="00393A6A" w:rsidP="00393A6A">
      <w:pPr>
        <w:pStyle w:val="ListParagraph"/>
        <w:numPr>
          <w:ilvl w:val="0"/>
          <w:numId w:val="20"/>
        </w:numPr>
        <w:tabs>
          <w:tab w:val="left" w:pos="426"/>
        </w:tabs>
        <w:jc w:val="both"/>
        <w:rPr>
          <w:rFonts w:eastAsia="Times New Roman" w:cs="Times New Roman"/>
          <w:sz w:val="26"/>
          <w:szCs w:val="26"/>
          <w:lang w:eastAsia="lv-LV"/>
        </w:rPr>
      </w:pPr>
      <w:r w:rsidRPr="005F551C">
        <w:rPr>
          <w:rFonts w:eastAsia="Times New Roman" w:cs="Times New Roman"/>
          <w:sz w:val="26"/>
          <w:szCs w:val="26"/>
          <w:lang w:eastAsia="lv-LV"/>
        </w:rPr>
        <w:t>Kredītiestāžu sektorā:</w:t>
      </w:r>
    </w:p>
    <w:p w:rsidR="00393A6A" w:rsidRPr="005F551C" w:rsidRDefault="00393A6A" w:rsidP="00393A6A">
      <w:pPr>
        <w:pStyle w:val="ListParagraph"/>
        <w:numPr>
          <w:ilvl w:val="1"/>
          <w:numId w:val="20"/>
        </w:numPr>
        <w:tabs>
          <w:tab w:val="left" w:pos="426"/>
        </w:tabs>
        <w:jc w:val="both"/>
        <w:rPr>
          <w:rFonts w:eastAsia="Times New Roman" w:cs="Times New Roman"/>
          <w:sz w:val="26"/>
          <w:szCs w:val="26"/>
          <w:lang w:eastAsia="lv-LV"/>
        </w:rPr>
      </w:pPr>
      <w:r w:rsidRPr="005F551C">
        <w:rPr>
          <w:rFonts w:eastAsia="Times New Roman" w:cs="Times New Roman"/>
          <w:sz w:val="26"/>
          <w:szCs w:val="26"/>
          <w:lang w:eastAsia="lv-LV"/>
        </w:rPr>
        <w:t>Kredītiestāžu regulatīvās vides pilnveidošana/ Stabila un atbildīga kredītiestāžu sektora darbība</w:t>
      </w:r>
      <w:r w:rsidR="009F29E7">
        <w:rPr>
          <w:rFonts w:eastAsia="Times New Roman" w:cs="Times New Roman"/>
          <w:sz w:val="26"/>
          <w:szCs w:val="26"/>
          <w:lang w:eastAsia="lv-LV"/>
        </w:rPr>
        <w:t>;</w:t>
      </w:r>
      <w:r w:rsidRPr="005F551C">
        <w:rPr>
          <w:rFonts w:eastAsia="Times New Roman" w:cs="Times New Roman"/>
          <w:sz w:val="26"/>
          <w:szCs w:val="26"/>
          <w:lang w:eastAsia="lv-LV"/>
        </w:rPr>
        <w:t xml:space="preserve"> </w:t>
      </w:r>
    </w:p>
    <w:p w:rsidR="00393A6A" w:rsidRDefault="00393A6A" w:rsidP="00393A6A">
      <w:pPr>
        <w:pStyle w:val="ListParagraph"/>
        <w:numPr>
          <w:ilvl w:val="1"/>
          <w:numId w:val="20"/>
        </w:numPr>
        <w:tabs>
          <w:tab w:val="left" w:pos="426"/>
        </w:tabs>
        <w:jc w:val="both"/>
        <w:rPr>
          <w:rFonts w:eastAsia="Times New Roman" w:cs="Times New Roman"/>
          <w:sz w:val="26"/>
          <w:szCs w:val="26"/>
          <w:lang w:eastAsia="lv-LV"/>
        </w:rPr>
      </w:pPr>
      <w:r w:rsidRPr="005F551C">
        <w:rPr>
          <w:rFonts w:eastAsia="Times New Roman" w:cs="Times New Roman"/>
          <w:sz w:val="26"/>
          <w:szCs w:val="26"/>
          <w:lang w:eastAsia="lv-LV"/>
        </w:rPr>
        <w:t>Kredītiestāžu finansējuma avo</w:t>
      </w:r>
      <w:r w:rsidR="003F7656">
        <w:rPr>
          <w:rFonts w:eastAsia="Times New Roman" w:cs="Times New Roman"/>
          <w:sz w:val="26"/>
          <w:szCs w:val="26"/>
          <w:lang w:eastAsia="lv-LV"/>
        </w:rPr>
        <w:t>tu diversifikācijas veicināšana</w:t>
      </w:r>
      <w:r w:rsidR="009F29E7">
        <w:rPr>
          <w:rFonts w:eastAsia="Times New Roman" w:cs="Times New Roman"/>
          <w:sz w:val="26"/>
          <w:szCs w:val="26"/>
          <w:lang w:eastAsia="lv-LV"/>
        </w:rPr>
        <w:t>;</w:t>
      </w:r>
    </w:p>
    <w:p w:rsidR="003F7656" w:rsidRPr="005F551C" w:rsidRDefault="003F7656" w:rsidP="003F7656">
      <w:pPr>
        <w:pStyle w:val="ListParagraph"/>
        <w:numPr>
          <w:ilvl w:val="1"/>
          <w:numId w:val="20"/>
        </w:numPr>
        <w:tabs>
          <w:tab w:val="left" w:pos="426"/>
        </w:tabs>
        <w:jc w:val="both"/>
        <w:rPr>
          <w:rFonts w:eastAsia="Times New Roman" w:cs="Times New Roman"/>
          <w:sz w:val="26"/>
          <w:szCs w:val="26"/>
          <w:lang w:eastAsia="lv-LV"/>
        </w:rPr>
      </w:pPr>
      <w:r w:rsidRPr="003F7656">
        <w:rPr>
          <w:rFonts w:eastAsia="Times New Roman" w:cs="Times New Roman"/>
          <w:sz w:val="26"/>
          <w:szCs w:val="26"/>
          <w:lang w:eastAsia="lv-LV"/>
        </w:rPr>
        <w:t>Noziedzīgi iegūtu līdzekļu legalizācijas riska mazināšana</w:t>
      </w:r>
      <w:r>
        <w:rPr>
          <w:rFonts w:eastAsia="Times New Roman" w:cs="Times New Roman"/>
          <w:sz w:val="26"/>
          <w:szCs w:val="26"/>
          <w:lang w:eastAsia="lv-LV"/>
        </w:rPr>
        <w:t>.</w:t>
      </w:r>
    </w:p>
    <w:p w:rsidR="00393A6A" w:rsidRPr="005F551C" w:rsidRDefault="00393A6A" w:rsidP="00393A6A">
      <w:pPr>
        <w:pStyle w:val="ListParagraph"/>
        <w:numPr>
          <w:ilvl w:val="0"/>
          <w:numId w:val="20"/>
        </w:numPr>
        <w:tabs>
          <w:tab w:val="left" w:pos="426"/>
        </w:tabs>
        <w:jc w:val="both"/>
        <w:rPr>
          <w:rFonts w:eastAsia="Times New Roman" w:cs="Times New Roman"/>
          <w:sz w:val="26"/>
          <w:szCs w:val="26"/>
          <w:lang w:eastAsia="lv-LV"/>
        </w:rPr>
      </w:pPr>
      <w:r w:rsidRPr="005F551C">
        <w:rPr>
          <w:rFonts w:eastAsia="Times New Roman" w:cs="Times New Roman"/>
          <w:sz w:val="26"/>
          <w:szCs w:val="26"/>
          <w:lang w:eastAsia="lv-LV"/>
        </w:rPr>
        <w:t>Kapitāla tirgū:</w:t>
      </w:r>
    </w:p>
    <w:p w:rsidR="00393A6A" w:rsidRPr="005F551C" w:rsidRDefault="00393A6A" w:rsidP="00393A6A">
      <w:pPr>
        <w:pStyle w:val="ListParagraph"/>
        <w:numPr>
          <w:ilvl w:val="1"/>
          <w:numId w:val="20"/>
        </w:numPr>
        <w:rPr>
          <w:rFonts w:eastAsia="Times New Roman" w:cs="Times New Roman"/>
          <w:sz w:val="26"/>
          <w:szCs w:val="26"/>
          <w:lang w:eastAsia="lv-LV"/>
        </w:rPr>
      </w:pPr>
      <w:r w:rsidRPr="005F551C">
        <w:rPr>
          <w:rFonts w:eastAsia="Times New Roman" w:cs="Times New Roman"/>
          <w:sz w:val="26"/>
          <w:szCs w:val="26"/>
          <w:lang w:eastAsia="lv-LV"/>
        </w:rPr>
        <w:t>Caurskatāma valsts kapitāla daļu atsavināšana</w:t>
      </w:r>
      <w:r w:rsidR="009F29E7">
        <w:rPr>
          <w:rFonts w:eastAsia="Times New Roman" w:cs="Times New Roman"/>
          <w:sz w:val="26"/>
          <w:szCs w:val="26"/>
          <w:lang w:eastAsia="lv-LV"/>
        </w:rPr>
        <w:t>;</w:t>
      </w:r>
    </w:p>
    <w:p w:rsidR="00393A6A" w:rsidRPr="005F551C" w:rsidRDefault="00393A6A" w:rsidP="00393A6A">
      <w:pPr>
        <w:pStyle w:val="ListParagraph"/>
        <w:numPr>
          <w:ilvl w:val="1"/>
          <w:numId w:val="20"/>
        </w:numPr>
        <w:rPr>
          <w:rFonts w:eastAsia="Times New Roman" w:cs="Times New Roman"/>
          <w:sz w:val="26"/>
          <w:szCs w:val="26"/>
          <w:lang w:eastAsia="lv-LV"/>
        </w:rPr>
      </w:pPr>
      <w:r w:rsidRPr="005F551C">
        <w:rPr>
          <w:rFonts w:eastAsia="Times New Roman" w:cs="Times New Roman"/>
          <w:sz w:val="26"/>
          <w:szCs w:val="26"/>
          <w:lang w:eastAsia="lv-LV"/>
        </w:rPr>
        <w:t>Iekšzemes valsts vērtspapīru tirgus attīstības veicināšana</w:t>
      </w:r>
      <w:r w:rsidR="009F29E7">
        <w:rPr>
          <w:rFonts w:eastAsia="Times New Roman" w:cs="Times New Roman"/>
          <w:sz w:val="26"/>
          <w:szCs w:val="26"/>
          <w:lang w:eastAsia="lv-LV"/>
        </w:rPr>
        <w:t>;</w:t>
      </w:r>
    </w:p>
    <w:p w:rsidR="00393A6A" w:rsidRPr="005F551C" w:rsidRDefault="00393A6A" w:rsidP="00393A6A">
      <w:pPr>
        <w:pStyle w:val="ListParagraph"/>
        <w:numPr>
          <w:ilvl w:val="1"/>
          <w:numId w:val="20"/>
        </w:numPr>
        <w:tabs>
          <w:tab w:val="left" w:pos="426"/>
        </w:tabs>
        <w:jc w:val="both"/>
        <w:rPr>
          <w:rFonts w:eastAsia="Times New Roman" w:cs="Times New Roman"/>
          <w:sz w:val="26"/>
          <w:szCs w:val="26"/>
          <w:lang w:eastAsia="lv-LV"/>
        </w:rPr>
      </w:pPr>
      <w:r w:rsidRPr="005F551C">
        <w:rPr>
          <w:rFonts w:eastAsia="Times New Roman" w:cs="Times New Roman"/>
          <w:sz w:val="26"/>
          <w:szCs w:val="26"/>
          <w:lang w:eastAsia="lv-LV"/>
        </w:rPr>
        <w:t>Korporatīvo parāda vērtspapīru popularizēšana.</w:t>
      </w:r>
    </w:p>
    <w:p w:rsidR="00393A6A" w:rsidRPr="005F551C" w:rsidRDefault="00393A6A" w:rsidP="00393A6A">
      <w:pPr>
        <w:pStyle w:val="ListParagraph"/>
        <w:numPr>
          <w:ilvl w:val="0"/>
          <w:numId w:val="20"/>
        </w:numPr>
        <w:tabs>
          <w:tab w:val="left" w:pos="426"/>
        </w:tabs>
        <w:jc w:val="both"/>
        <w:rPr>
          <w:rFonts w:eastAsia="Times New Roman" w:cs="Times New Roman"/>
          <w:sz w:val="26"/>
          <w:szCs w:val="26"/>
          <w:lang w:eastAsia="lv-LV"/>
        </w:rPr>
      </w:pPr>
      <w:r w:rsidRPr="005F551C">
        <w:rPr>
          <w:rFonts w:eastAsia="Times New Roman" w:cs="Times New Roman"/>
          <w:sz w:val="26"/>
          <w:szCs w:val="26"/>
          <w:lang w:eastAsia="lv-LV"/>
        </w:rPr>
        <w:t>Tiesu sistēmā:</w:t>
      </w:r>
    </w:p>
    <w:p w:rsidR="00393A6A" w:rsidRPr="005F551C" w:rsidRDefault="00393A6A" w:rsidP="00393A6A">
      <w:pPr>
        <w:pStyle w:val="ListParagraph"/>
        <w:numPr>
          <w:ilvl w:val="1"/>
          <w:numId w:val="20"/>
        </w:numPr>
        <w:rPr>
          <w:rFonts w:eastAsia="Times New Roman" w:cs="Times New Roman"/>
          <w:sz w:val="26"/>
          <w:szCs w:val="26"/>
          <w:lang w:eastAsia="lv-LV"/>
        </w:rPr>
      </w:pPr>
      <w:r w:rsidRPr="005F551C">
        <w:rPr>
          <w:rFonts w:eastAsia="Times New Roman" w:cs="Times New Roman"/>
          <w:sz w:val="26"/>
          <w:szCs w:val="26"/>
          <w:lang w:eastAsia="lv-LV"/>
        </w:rPr>
        <w:t>Tiesnešu kvalifikācijas celšana, specializācijas veicināšana</w:t>
      </w:r>
      <w:r w:rsidR="009F29E7">
        <w:rPr>
          <w:rFonts w:eastAsia="Times New Roman" w:cs="Times New Roman"/>
          <w:sz w:val="26"/>
          <w:szCs w:val="26"/>
          <w:lang w:eastAsia="lv-LV"/>
        </w:rPr>
        <w:t>;</w:t>
      </w:r>
    </w:p>
    <w:p w:rsidR="00393A6A" w:rsidRPr="005F551C" w:rsidRDefault="00393A6A" w:rsidP="00393A6A">
      <w:pPr>
        <w:pStyle w:val="ListParagraph"/>
        <w:numPr>
          <w:ilvl w:val="1"/>
          <w:numId w:val="20"/>
        </w:numPr>
        <w:rPr>
          <w:rFonts w:eastAsia="Times New Roman" w:cs="Times New Roman"/>
          <w:sz w:val="26"/>
          <w:szCs w:val="26"/>
          <w:lang w:eastAsia="lv-LV"/>
        </w:rPr>
      </w:pPr>
      <w:r w:rsidRPr="005F551C">
        <w:rPr>
          <w:rFonts w:eastAsia="Times New Roman" w:cs="Times New Roman"/>
          <w:sz w:val="26"/>
          <w:szCs w:val="26"/>
          <w:lang w:eastAsia="lv-LV"/>
        </w:rPr>
        <w:t>Cīņa pret mājokļu īpašnieku parādu uzkrāšanu</w:t>
      </w:r>
      <w:r w:rsidR="009F29E7">
        <w:rPr>
          <w:rFonts w:eastAsia="Times New Roman" w:cs="Times New Roman"/>
          <w:sz w:val="26"/>
          <w:szCs w:val="26"/>
          <w:lang w:eastAsia="lv-LV"/>
        </w:rPr>
        <w:t>;</w:t>
      </w:r>
    </w:p>
    <w:p w:rsidR="00393A6A" w:rsidRPr="005F551C" w:rsidRDefault="00393A6A" w:rsidP="00393A6A">
      <w:pPr>
        <w:pStyle w:val="ListParagraph"/>
        <w:numPr>
          <w:ilvl w:val="1"/>
          <w:numId w:val="20"/>
        </w:numPr>
        <w:tabs>
          <w:tab w:val="left" w:pos="426"/>
        </w:tabs>
        <w:jc w:val="both"/>
        <w:rPr>
          <w:rFonts w:eastAsia="Times New Roman" w:cs="Times New Roman"/>
          <w:sz w:val="26"/>
          <w:szCs w:val="26"/>
          <w:lang w:eastAsia="lv-LV"/>
        </w:rPr>
      </w:pPr>
      <w:r w:rsidRPr="005F551C">
        <w:rPr>
          <w:rFonts w:eastAsia="Times New Roman" w:cs="Times New Roman"/>
          <w:sz w:val="26"/>
          <w:szCs w:val="26"/>
          <w:lang w:eastAsia="lv-LV"/>
        </w:rPr>
        <w:t>Finanšu strīdu izskatīšanas mehānisma izveide</w:t>
      </w:r>
      <w:r w:rsidR="009F29E7">
        <w:rPr>
          <w:rFonts w:eastAsia="Times New Roman" w:cs="Times New Roman"/>
          <w:sz w:val="26"/>
          <w:szCs w:val="26"/>
          <w:lang w:eastAsia="lv-LV"/>
        </w:rPr>
        <w:t>;</w:t>
      </w:r>
    </w:p>
    <w:p w:rsidR="00393A6A" w:rsidRPr="005F551C" w:rsidRDefault="00393A6A" w:rsidP="00393A6A">
      <w:pPr>
        <w:pStyle w:val="ListParagraph"/>
        <w:numPr>
          <w:ilvl w:val="1"/>
          <w:numId w:val="20"/>
        </w:numPr>
        <w:tabs>
          <w:tab w:val="left" w:pos="426"/>
        </w:tabs>
        <w:jc w:val="both"/>
        <w:rPr>
          <w:rFonts w:eastAsia="Times New Roman" w:cs="Times New Roman"/>
          <w:sz w:val="26"/>
          <w:szCs w:val="26"/>
          <w:lang w:eastAsia="lv-LV"/>
        </w:rPr>
      </w:pPr>
      <w:r w:rsidRPr="005F551C">
        <w:rPr>
          <w:rFonts w:eastAsia="Times New Roman" w:cs="Times New Roman"/>
          <w:sz w:val="26"/>
          <w:szCs w:val="26"/>
          <w:lang w:eastAsia="lv-LV"/>
        </w:rPr>
        <w:t>Ieguldītāju (akcionāru) tiesību aizsardzības pilnveidošana un stiprināšana.</w:t>
      </w:r>
    </w:p>
    <w:p w:rsidR="00393A6A" w:rsidRPr="005F551C" w:rsidRDefault="00393A6A" w:rsidP="00393A6A">
      <w:pPr>
        <w:pStyle w:val="ListParagraph"/>
        <w:numPr>
          <w:ilvl w:val="0"/>
          <w:numId w:val="20"/>
        </w:numPr>
        <w:tabs>
          <w:tab w:val="left" w:pos="426"/>
        </w:tabs>
        <w:jc w:val="both"/>
        <w:rPr>
          <w:rFonts w:eastAsia="Times New Roman" w:cs="Times New Roman"/>
          <w:sz w:val="26"/>
          <w:szCs w:val="26"/>
          <w:lang w:eastAsia="lv-LV"/>
        </w:rPr>
      </w:pPr>
      <w:r w:rsidRPr="005F551C">
        <w:rPr>
          <w:rFonts w:eastAsia="Times New Roman" w:cs="Times New Roman"/>
          <w:sz w:val="26"/>
          <w:szCs w:val="26"/>
          <w:lang w:eastAsia="lv-LV"/>
        </w:rPr>
        <w:t>Valsts atbalsta programmās:</w:t>
      </w:r>
    </w:p>
    <w:p w:rsidR="00393A6A" w:rsidRPr="005F551C" w:rsidRDefault="00393A6A" w:rsidP="00393A6A">
      <w:pPr>
        <w:pStyle w:val="ListParagraph"/>
        <w:numPr>
          <w:ilvl w:val="1"/>
          <w:numId w:val="20"/>
        </w:numPr>
        <w:tabs>
          <w:tab w:val="left" w:pos="426"/>
        </w:tabs>
        <w:jc w:val="both"/>
        <w:rPr>
          <w:rFonts w:eastAsia="Times New Roman" w:cs="Times New Roman"/>
          <w:sz w:val="26"/>
          <w:szCs w:val="26"/>
          <w:lang w:eastAsia="lv-LV"/>
        </w:rPr>
      </w:pPr>
      <w:r w:rsidRPr="005F551C">
        <w:rPr>
          <w:rFonts w:eastAsia="Times New Roman" w:cs="Times New Roman"/>
          <w:sz w:val="26"/>
          <w:szCs w:val="26"/>
          <w:lang w:eastAsia="lv-LV"/>
        </w:rPr>
        <w:t>Atbalsta programmu pielāgošana tirgus nepilnību risināšanai</w:t>
      </w:r>
      <w:r w:rsidR="009F29E7">
        <w:rPr>
          <w:rFonts w:eastAsia="Times New Roman" w:cs="Times New Roman"/>
          <w:sz w:val="26"/>
          <w:szCs w:val="26"/>
          <w:lang w:eastAsia="lv-LV"/>
        </w:rPr>
        <w:t>;</w:t>
      </w:r>
    </w:p>
    <w:p w:rsidR="00393A6A" w:rsidRPr="005F551C" w:rsidRDefault="00393A6A" w:rsidP="00393A6A">
      <w:pPr>
        <w:pStyle w:val="ListParagraph"/>
        <w:numPr>
          <w:ilvl w:val="1"/>
          <w:numId w:val="20"/>
        </w:numPr>
        <w:rPr>
          <w:rFonts w:eastAsia="Times New Roman" w:cs="Times New Roman"/>
          <w:sz w:val="26"/>
          <w:szCs w:val="26"/>
          <w:lang w:eastAsia="lv-LV"/>
        </w:rPr>
      </w:pPr>
      <w:r w:rsidRPr="005F551C">
        <w:rPr>
          <w:rFonts w:eastAsia="Times New Roman" w:cs="Times New Roman"/>
          <w:sz w:val="26"/>
          <w:szCs w:val="26"/>
          <w:lang w:eastAsia="lv-LV"/>
        </w:rPr>
        <w:t>Atbalsta programmu vadības centralizācija.</w:t>
      </w:r>
    </w:p>
    <w:p w:rsidR="00393A6A" w:rsidRPr="005F551C" w:rsidRDefault="00393A6A" w:rsidP="00393A6A">
      <w:pPr>
        <w:pStyle w:val="ListParagraph"/>
        <w:numPr>
          <w:ilvl w:val="0"/>
          <w:numId w:val="20"/>
        </w:numPr>
        <w:tabs>
          <w:tab w:val="left" w:pos="426"/>
        </w:tabs>
        <w:jc w:val="both"/>
        <w:rPr>
          <w:rFonts w:eastAsia="Times New Roman" w:cs="Times New Roman"/>
          <w:sz w:val="26"/>
          <w:szCs w:val="26"/>
          <w:lang w:eastAsia="lv-LV"/>
        </w:rPr>
      </w:pPr>
      <w:r w:rsidRPr="005F551C">
        <w:rPr>
          <w:rFonts w:eastAsia="Times New Roman" w:cs="Times New Roman"/>
          <w:sz w:val="26"/>
          <w:szCs w:val="26"/>
          <w:lang w:eastAsia="lv-LV"/>
        </w:rPr>
        <w:lastRenderedPageBreak/>
        <w:t>Alternatīvos finansējuma veidos:</w:t>
      </w:r>
    </w:p>
    <w:p w:rsidR="00393A6A" w:rsidRPr="005F551C" w:rsidRDefault="00393A6A" w:rsidP="00393A6A">
      <w:pPr>
        <w:pStyle w:val="ListParagraph"/>
        <w:numPr>
          <w:ilvl w:val="1"/>
          <w:numId w:val="20"/>
        </w:numPr>
        <w:rPr>
          <w:rFonts w:eastAsia="Times New Roman" w:cs="Times New Roman"/>
          <w:sz w:val="26"/>
          <w:szCs w:val="26"/>
          <w:lang w:eastAsia="lv-LV"/>
        </w:rPr>
      </w:pPr>
      <w:r w:rsidRPr="005F551C">
        <w:rPr>
          <w:rFonts w:eastAsia="Times New Roman" w:cs="Times New Roman"/>
          <w:sz w:val="26"/>
          <w:szCs w:val="26"/>
          <w:lang w:eastAsia="lv-LV"/>
        </w:rPr>
        <w:t>Riska kapitāla nozares attīstība</w:t>
      </w:r>
      <w:r w:rsidR="009F29E7">
        <w:rPr>
          <w:rFonts w:eastAsia="Times New Roman" w:cs="Times New Roman"/>
          <w:sz w:val="26"/>
          <w:szCs w:val="26"/>
          <w:lang w:eastAsia="lv-LV"/>
        </w:rPr>
        <w:t>;</w:t>
      </w:r>
      <w:r w:rsidRPr="005F551C">
        <w:rPr>
          <w:rFonts w:eastAsia="Times New Roman" w:cs="Times New Roman"/>
          <w:sz w:val="26"/>
          <w:szCs w:val="26"/>
          <w:lang w:eastAsia="lv-LV"/>
        </w:rPr>
        <w:t xml:space="preserve"> </w:t>
      </w:r>
    </w:p>
    <w:p w:rsidR="00393A6A" w:rsidRPr="005F551C" w:rsidRDefault="00393A6A" w:rsidP="00393A6A">
      <w:pPr>
        <w:pStyle w:val="ListParagraph"/>
        <w:numPr>
          <w:ilvl w:val="1"/>
          <w:numId w:val="20"/>
        </w:numPr>
        <w:rPr>
          <w:rFonts w:eastAsia="Times New Roman" w:cs="Times New Roman"/>
          <w:sz w:val="26"/>
          <w:szCs w:val="26"/>
          <w:lang w:eastAsia="lv-LV"/>
        </w:rPr>
      </w:pPr>
      <w:r w:rsidRPr="005F551C">
        <w:rPr>
          <w:rFonts w:eastAsia="Times New Roman" w:cs="Times New Roman"/>
          <w:sz w:val="26"/>
          <w:szCs w:val="26"/>
          <w:lang w:eastAsia="lv-LV"/>
        </w:rPr>
        <w:t>Vidēja un ilgtermiņa eksporta kredīta garantiju instrumenta ieviešana</w:t>
      </w:r>
      <w:r w:rsidR="009F29E7">
        <w:rPr>
          <w:sz w:val="26"/>
          <w:szCs w:val="26"/>
        </w:rPr>
        <w:t>;</w:t>
      </w:r>
    </w:p>
    <w:p w:rsidR="00393A6A" w:rsidRPr="005F551C" w:rsidRDefault="00393A6A" w:rsidP="00393A6A">
      <w:pPr>
        <w:pStyle w:val="ListParagraph"/>
        <w:numPr>
          <w:ilvl w:val="1"/>
          <w:numId w:val="20"/>
        </w:numPr>
        <w:rPr>
          <w:rFonts w:eastAsia="Times New Roman" w:cs="Times New Roman"/>
          <w:sz w:val="26"/>
          <w:szCs w:val="26"/>
          <w:lang w:eastAsia="lv-LV"/>
        </w:rPr>
      </w:pPr>
      <w:r w:rsidRPr="005F551C">
        <w:rPr>
          <w:rFonts w:eastAsia="Times New Roman" w:cs="Times New Roman"/>
          <w:sz w:val="26"/>
          <w:szCs w:val="26"/>
          <w:lang w:eastAsia="lv-LV"/>
        </w:rPr>
        <w:t>Uzraudzības institucionālās kapacitātes stiprināšana un optimizēšana.</w:t>
      </w:r>
    </w:p>
    <w:p w:rsidR="00393A6A" w:rsidRPr="005F551C" w:rsidRDefault="00393A6A" w:rsidP="00393A6A">
      <w:pPr>
        <w:pStyle w:val="ListParagraph"/>
        <w:numPr>
          <w:ilvl w:val="0"/>
          <w:numId w:val="20"/>
        </w:numPr>
        <w:rPr>
          <w:rFonts w:eastAsia="Times New Roman" w:cs="Times New Roman"/>
          <w:sz w:val="26"/>
          <w:szCs w:val="26"/>
          <w:lang w:eastAsia="lv-LV"/>
        </w:rPr>
      </w:pPr>
      <w:r w:rsidRPr="005F551C">
        <w:rPr>
          <w:rFonts w:eastAsia="Times New Roman" w:cs="Times New Roman"/>
          <w:sz w:val="26"/>
          <w:szCs w:val="26"/>
          <w:lang w:eastAsia="lv-LV"/>
        </w:rPr>
        <w:t xml:space="preserve">Finanšu </w:t>
      </w:r>
      <w:proofErr w:type="spellStart"/>
      <w:r w:rsidRPr="005F551C">
        <w:rPr>
          <w:rFonts w:eastAsia="Times New Roman" w:cs="Times New Roman"/>
          <w:sz w:val="26"/>
          <w:szCs w:val="26"/>
          <w:lang w:eastAsia="lv-LV"/>
        </w:rPr>
        <w:t>pratības</w:t>
      </w:r>
      <w:proofErr w:type="spellEnd"/>
      <w:r w:rsidRPr="005F551C">
        <w:rPr>
          <w:rFonts w:eastAsia="Times New Roman" w:cs="Times New Roman"/>
          <w:sz w:val="26"/>
          <w:szCs w:val="26"/>
          <w:lang w:eastAsia="lv-LV"/>
        </w:rPr>
        <w:t xml:space="preserve"> jautājumā:</w:t>
      </w:r>
    </w:p>
    <w:p w:rsidR="00393A6A" w:rsidRPr="005F551C" w:rsidRDefault="00393A6A" w:rsidP="00393A6A">
      <w:pPr>
        <w:pStyle w:val="ListParagraph"/>
        <w:numPr>
          <w:ilvl w:val="1"/>
          <w:numId w:val="20"/>
        </w:numPr>
        <w:rPr>
          <w:rFonts w:eastAsia="Times New Roman" w:cs="Times New Roman"/>
          <w:sz w:val="26"/>
          <w:szCs w:val="26"/>
          <w:lang w:eastAsia="lv-LV"/>
        </w:rPr>
      </w:pPr>
      <w:r w:rsidRPr="005F551C">
        <w:rPr>
          <w:rFonts w:eastAsia="Times New Roman" w:cs="Times New Roman"/>
          <w:sz w:val="26"/>
          <w:szCs w:val="26"/>
          <w:lang w:eastAsia="lv-LV"/>
        </w:rPr>
        <w:t xml:space="preserve">Finanšu </w:t>
      </w:r>
      <w:proofErr w:type="spellStart"/>
      <w:r w:rsidRPr="005F551C">
        <w:rPr>
          <w:rFonts w:eastAsia="Times New Roman" w:cs="Times New Roman"/>
          <w:sz w:val="26"/>
          <w:szCs w:val="26"/>
          <w:lang w:eastAsia="lv-LV"/>
        </w:rPr>
        <w:t>pratības</w:t>
      </w:r>
      <w:proofErr w:type="spellEnd"/>
      <w:r w:rsidRPr="005F551C">
        <w:rPr>
          <w:rFonts w:eastAsia="Times New Roman" w:cs="Times New Roman"/>
          <w:sz w:val="26"/>
          <w:szCs w:val="26"/>
          <w:lang w:eastAsia="lv-LV"/>
        </w:rPr>
        <w:t xml:space="preserve"> virziena attīstība</w:t>
      </w:r>
      <w:r w:rsidR="009F29E7">
        <w:rPr>
          <w:rFonts w:eastAsia="Times New Roman" w:cs="Times New Roman"/>
          <w:sz w:val="26"/>
          <w:szCs w:val="26"/>
          <w:lang w:eastAsia="lv-LV"/>
        </w:rPr>
        <w:t>;</w:t>
      </w:r>
    </w:p>
    <w:p w:rsidR="00393A6A" w:rsidRPr="005F551C" w:rsidRDefault="00393A6A" w:rsidP="00393A6A">
      <w:pPr>
        <w:pStyle w:val="ListParagraph"/>
        <w:numPr>
          <w:ilvl w:val="1"/>
          <w:numId w:val="20"/>
        </w:numPr>
        <w:tabs>
          <w:tab w:val="left" w:pos="426"/>
        </w:tabs>
        <w:jc w:val="both"/>
        <w:rPr>
          <w:rFonts w:eastAsia="Times New Roman" w:cs="Times New Roman"/>
          <w:sz w:val="26"/>
          <w:szCs w:val="26"/>
          <w:lang w:eastAsia="lv-LV"/>
        </w:rPr>
      </w:pPr>
      <w:r w:rsidRPr="005F551C">
        <w:rPr>
          <w:rFonts w:eastAsia="Times New Roman" w:cs="Times New Roman"/>
          <w:sz w:val="26"/>
          <w:szCs w:val="26"/>
          <w:lang w:eastAsia="lv-LV"/>
        </w:rPr>
        <w:t xml:space="preserve">Informējošu un izglītojošu kampaņu organizēšana patērētāju </w:t>
      </w:r>
      <w:proofErr w:type="spellStart"/>
      <w:r w:rsidRPr="005F551C">
        <w:rPr>
          <w:rFonts w:eastAsia="Times New Roman" w:cs="Times New Roman"/>
          <w:sz w:val="26"/>
          <w:szCs w:val="26"/>
          <w:lang w:eastAsia="lv-LV"/>
        </w:rPr>
        <w:t>kredītsloga</w:t>
      </w:r>
      <w:proofErr w:type="spellEnd"/>
      <w:r w:rsidRPr="005F551C">
        <w:rPr>
          <w:rFonts w:eastAsia="Times New Roman" w:cs="Times New Roman"/>
          <w:sz w:val="26"/>
          <w:szCs w:val="26"/>
          <w:lang w:eastAsia="lv-LV"/>
        </w:rPr>
        <w:t xml:space="preserve"> samazināšanai un informēšanai par finanšu pakalpojumiem</w:t>
      </w:r>
      <w:r w:rsidR="009F29E7">
        <w:rPr>
          <w:rFonts w:eastAsia="Times New Roman" w:cs="Times New Roman"/>
          <w:sz w:val="26"/>
          <w:szCs w:val="26"/>
          <w:lang w:eastAsia="lv-LV"/>
        </w:rPr>
        <w:t>.</w:t>
      </w:r>
    </w:p>
    <w:p w:rsidR="00393A6A" w:rsidRPr="005F551C" w:rsidRDefault="00393A6A" w:rsidP="00393A6A">
      <w:pPr>
        <w:pStyle w:val="ListParagraph"/>
        <w:tabs>
          <w:tab w:val="left" w:pos="426"/>
        </w:tabs>
        <w:ind w:left="792"/>
        <w:jc w:val="both"/>
        <w:rPr>
          <w:rFonts w:eastAsia="Times New Roman" w:cs="Times New Roman"/>
          <w:sz w:val="26"/>
          <w:szCs w:val="26"/>
          <w:lang w:eastAsia="lv-LV"/>
        </w:rPr>
      </w:pPr>
    </w:p>
    <w:p w:rsidR="009B0E9E" w:rsidRPr="005F551C" w:rsidRDefault="009B0E9E" w:rsidP="005F551C">
      <w:pPr>
        <w:ind w:firstLine="720"/>
        <w:jc w:val="both"/>
        <w:rPr>
          <w:rFonts w:eastAsia="Times New Roman" w:cs="Times New Roman"/>
          <w:sz w:val="26"/>
          <w:szCs w:val="26"/>
          <w:lang w:eastAsia="lv-LV"/>
        </w:rPr>
      </w:pPr>
      <w:r w:rsidRPr="005F551C">
        <w:rPr>
          <w:rFonts w:eastAsia="Times New Roman" w:cs="Times New Roman"/>
          <w:sz w:val="26"/>
          <w:szCs w:val="26"/>
          <w:lang w:eastAsia="lv-LV"/>
        </w:rPr>
        <w:t xml:space="preserve">Plāna izstrādē Finanšu ministrija sadarbojās ar </w:t>
      </w:r>
      <w:r w:rsidR="009F29E7" w:rsidRPr="009F29E7">
        <w:rPr>
          <w:rFonts w:eastAsia="Times New Roman" w:cs="Times New Roman"/>
          <w:sz w:val="26"/>
          <w:szCs w:val="26"/>
          <w:lang w:eastAsia="lv-LV"/>
        </w:rPr>
        <w:t>Finanšu un kapitāla tirgus komisiju</w:t>
      </w:r>
      <w:r w:rsidR="009F29E7">
        <w:rPr>
          <w:rFonts w:eastAsia="Times New Roman" w:cs="Times New Roman"/>
          <w:sz w:val="26"/>
          <w:szCs w:val="26"/>
          <w:lang w:eastAsia="lv-LV"/>
        </w:rPr>
        <w:t xml:space="preserve">, </w:t>
      </w:r>
      <w:r w:rsidR="009F29E7" w:rsidRPr="009F29E7">
        <w:rPr>
          <w:rFonts w:eastAsia="Times New Roman" w:cs="Times New Roman"/>
          <w:sz w:val="26"/>
          <w:szCs w:val="26"/>
          <w:lang w:eastAsia="lv-LV"/>
        </w:rPr>
        <w:t>Latvijas Banku</w:t>
      </w:r>
      <w:r w:rsidR="009F29E7">
        <w:rPr>
          <w:rFonts w:eastAsia="Times New Roman" w:cs="Times New Roman"/>
          <w:sz w:val="26"/>
          <w:szCs w:val="26"/>
          <w:lang w:eastAsia="lv-LV"/>
        </w:rPr>
        <w:t>, Valsts kasi,</w:t>
      </w:r>
      <w:r w:rsidR="009F29E7" w:rsidRPr="009F29E7">
        <w:rPr>
          <w:rFonts w:eastAsia="Times New Roman" w:cs="Times New Roman"/>
          <w:sz w:val="26"/>
          <w:szCs w:val="26"/>
          <w:lang w:eastAsia="lv-LV"/>
        </w:rPr>
        <w:t xml:space="preserve"> </w:t>
      </w:r>
      <w:r w:rsidRPr="005F551C">
        <w:rPr>
          <w:rFonts w:eastAsia="Times New Roman" w:cs="Times New Roman"/>
          <w:sz w:val="26"/>
          <w:szCs w:val="26"/>
          <w:lang w:eastAsia="lv-LV"/>
        </w:rPr>
        <w:t>Ekonomikas ministriju, Izglītības un zinātnes ministriju, Labklājības mi</w:t>
      </w:r>
      <w:r w:rsidR="009F29E7">
        <w:rPr>
          <w:rFonts w:eastAsia="Times New Roman" w:cs="Times New Roman"/>
          <w:sz w:val="26"/>
          <w:szCs w:val="26"/>
          <w:lang w:eastAsia="lv-LV"/>
        </w:rPr>
        <w:t>nistriju, Tieslietu ministriju,</w:t>
      </w:r>
      <w:r w:rsidRPr="005F551C">
        <w:rPr>
          <w:rFonts w:eastAsia="Times New Roman" w:cs="Times New Roman"/>
          <w:sz w:val="26"/>
          <w:szCs w:val="26"/>
          <w:lang w:eastAsia="lv-LV"/>
        </w:rPr>
        <w:t xml:space="preserve"> Noziedzīgi iegūto līdzekļu legalizācijas novēršanas dienestu, Latvijas Investīciju un attīstības aģentūru, Rīgas domi, Latvijas Komercbanku asociāciju, Latvijas Kooperatīvo </w:t>
      </w:r>
      <w:proofErr w:type="spellStart"/>
      <w:r w:rsidRPr="005F551C">
        <w:rPr>
          <w:rFonts w:eastAsia="Times New Roman" w:cs="Times New Roman"/>
          <w:sz w:val="26"/>
          <w:szCs w:val="26"/>
          <w:lang w:eastAsia="lv-LV"/>
        </w:rPr>
        <w:t>krājaizdevu</w:t>
      </w:r>
      <w:proofErr w:type="spellEnd"/>
      <w:r w:rsidRPr="005F551C">
        <w:rPr>
          <w:rFonts w:eastAsia="Times New Roman" w:cs="Times New Roman"/>
          <w:sz w:val="26"/>
          <w:szCs w:val="26"/>
          <w:lang w:eastAsia="lv-LV"/>
        </w:rPr>
        <w:t xml:space="preserve"> </w:t>
      </w:r>
      <w:r w:rsidRPr="00280C59">
        <w:rPr>
          <w:rFonts w:eastAsia="Times New Roman" w:cs="Times New Roman"/>
          <w:sz w:val="26"/>
          <w:szCs w:val="26"/>
          <w:lang w:eastAsia="lv-LV"/>
        </w:rPr>
        <w:t>sabiedrību</w:t>
      </w:r>
      <w:r w:rsidR="00280C59">
        <w:rPr>
          <w:rFonts w:eastAsia="Times New Roman" w:cs="Times New Roman"/>
          <w:sz w:val="26"/>
          <w:szCs w:val="26"/>
          <w:lang w:eastAsia="lv-LV"/>
        </w:rPr>
        <w:t xml:space="preserve"> savienību</w:t>
      </w:r>
      <w:r w:rsidRPr="00280C59">
        <w:rPr>
          <w:rFonts w:eastAsia="Times New Roman" w:cs="Times New Roman"/>
          <w:sz w:val="26"/>
          <w:szCs w:val="26"/>
          <w:lang w:eastAsia="lv-LV"/>
        </w:rPr>
        <w:t>,</w:t>
      </w:r>
      <w:r w:rsidR="00280C59">
        <w:rPr>
          <w:rFonts w:eastAsia="Times New Roman" w:cs="Times New Roman"/>
          <w:sz w:val="26"/>
          <w:szCs w:val="26"/>
          <w:lang w:eastAsia="lv-LV"/>
        </w:rPr>
        <w:t xml:space="preserve"> </w:t>
      </w:r>
      <w:proofErr w:type="spellStart"/>
      <w:r w:rsidR="00280C59">
        <w:rPr>
          <w:rFonts w:eastAsia="Times New Roman" w:cs="Times New Roman"/>
          <w:sz w:val="26"/>
          <w:szCs w:val="26"/>
          <w:lang w:eastAsia="lv-LV"/>
        </w:rPr>
        <w:t>Krājaizdevu</w:t>
      </w:r>
      <w:proofErr w:type="spellEnd"/>
      <w:r w:rsidR="00280C59">
        <w:rPr>
          <w:rFonts w:eastAsia="Times New Roman" w:cs="Times New Roman"/>
          <w:sz w:val="26"/>
          <w:szCs w:val="26"/>
          <w:lang w:eastAsia="lv-LV"/>
        </w:rPr>
        <w:t xml:space="preserve"> Apvienību,</w:t>
      </w:r>
      <w:r w:rsidRPr="005F551C">
        <w:rPr>
          <w:rFonts w:eastAsia="Times New Roman" w:cs="Times New Roman"/>
          <w:sz w:val="26"/>
          <w:szCs w:val="26"/>
          <w:lang w:eastAsia="lv-LV"/>
        </w:rPr>
        <w:t xml:space="preserve"> NASDAQ OMX </w:t>
      </w:r>
      <w:proofErr w:type="spellStart"/>
      <w:r w:rsidRPr="005F551C">
        <w:rPr>
          <w:rFonts w:eastAsia="Times New Roman" w:cs="Times New Roman"/>
          <w:sz w:val="26"/>
          <w:szCs w:val="26"/>
          <w:lang w:eastAsia="lv-LV"/>
        </w:rPr>
        <w:t>Riga</w:t>
      </w:r>
      <w:proofErr w:type="spellEnd"/>
      <w:r w:rsidRPr="005F551C">
        <w:rPr>
          <w:rFonts w:eastAsia="Times New Roman" w:cs="Times New Roman"/>
          <w:sz w:val="26"/>
          <w:szCs w:val="26"/>
          <w:lang w:eastAsia="lv-LV"/>
        </w:rPr>
        <w:t xml:space="preserve">, Latvijas Apdrošinātāju asociāciju, </w:t>
      </w:r>
      <w:r w:rsidR="00280C59">
        <w:rPr>
          <w:rFonts w:eastAsia="Times New Roman" w:cs="Times New Roman"/>
          <w:sz w:val="26"/>
          <w:szCs w:val="26"/>
          <w:lang w:eastAsia="lv-LV"/>
        </w:rPr>
        <w:t xml:space="preserve">Biedrību „Latvijas Profesionālo Apdrošināšanas brokeru Asociācija”, </w:t>
      </w:r>
      <w:r w:rsidRPr="005F551C">
        <w:rPr>
          <w:rFonts w:eastAsia="Times New Roman" w:cs="Times New Roman"/>
          <w:sz w:val="26"/>
          <w:szCs w:val="26"/>
          <w:lang w:eastAsia="lv-LV"/>
        </w:rPr>
        <w:t>Latvijas Riska kapitāla asociāciju, Latvijas Līzinga devēju asociāciju, Latvijas Privātbanku asociāciju un Latvijas Tirdzniecības un rūpniecības kameru.</w:t>
      </w:r>
    </w:p>
    <w:p w:rsidR="004F6FC9" w:rsidRPr="005F551C" w:rsidRDefault="004F6FC9" w:rsidP="005F551C">
      <w:pPr>
        <w:jc w:val="both"/>
        <w:rPr>
          <w:rFonts w:eastAsia="Times New Roman" w:cs="Times New Roman"/>
          <w:sz w:val="26"/>
          <w:szCs w:val="26"/>
          <w:lang w:eastAsia="lv-LV"/>
        </w:rPr>
      </w:pPr>
    </w:p>
    <w:p w:rsidR="004527AB" w:rsidRPr="005F551C" w:rsidRDefault="003157CC" w:rsidP="005F551C">
      <w:pPr>
        <w:jc w:val="center"/>
        <w:rPr>
          <w:rFonts w:cs="Times New Roman"/>
          <w:bCs/>
          <w:sz w:val="26"/>
          <w:szCs w:val="26"/>
          <w:u w:val="single"/>
        </w:rPr>
      </w:pPr>
      <w:r w:rsidRPr="005F551C">
        <w:rPr>
          <w:sz w:val="26"/>
          <w:szCs w:val="26"/>
          <w:u w:val="single"/>
        </w:rPr>
        <w:t xml:space="preserve">2. </w:t>
      </w:r>
      <w:r w:rsidR="007B69D1" w:rsidRPr="005F551C">
        <w:rPr>
          <w:sz w:val="26"/>
          <w:szCs w:val="26"/>
          <w:u w:val="single"/>
        </w:rPr>
        <w:t xml:space="preserve">Latvijas finanšu sektors </w:t>
      </w:r>
    </w:p>
    <w:p w:rsidR="0020105F" w:rsidRPr="005F551C" w:rsidRDefault="0020105F" w:rsidP="005F551C">
      <w:pPr>
        <w:autoSpaceDE w:val="0"/>
        <w:autoSpaceDN w:val="0"/>
        <w:adjustRightInd w:val="0"/>
        <w:ind w:firstLine="720"/>
        <w:jc w:val="both"/>
        <w:rPr>
          <w:rFonts w:cs="Times New Roman"/>
          <w:bCs/>
          <w:sz w:val="26"/>
          <w:szCs w:val="26"/>
        </w:rPr>
      </w:pPr>
    </w:p>
    <w:p w:rsidR="009248AB" w:rsidRPr="009248AB" w:rsidRDefault="009248AB" w:rsidP="009248AB">
      <w:pPr>
        <w:autoSpaceDE w:val="0"/>
        <w:autoSpaceDN w:val="0"/>
        <w:adjustRightInd w:val="0"/>
        <w:ind w:firstLine="720"/>
        <w:jc w:val="both"/>
        <w:rPr>
          <w:rFonts w:cs="Times New Roman"/>
          <w:bCs/>
          <w:sz w:val="26"/>
          <w:szCs w:val="26"/>
        </w:rPr>
      </w:pPr>
      <w:r w:rsidRPr="009248AB">
        <w:rPr>
          <w:rFonts w:cs="Times New Roman"/>
          <w:bCs/>
          <w:sz w:val="26"/>
          <w:szCs w:val="26"/>
        </w:rPr>
        <w:t xml:space="preserve">Latvijā ir attīstīts finanšu sektors ar visaptverošu finanšu starpnieku klāstu, kas apkalpo lielāko daļu tirgus segmentu. Latvijas finanšu sektorā dominē komercbankas un ir vērojama spēcīga ārvalstu kredītiestāžu klātbūtne. Saskaņā ar FKTK publicēto statistiku, uz 2013.gada 30.novembri banku aktīvi sasniedza 19.936 </w:t>
      </w:r>
      <w:proofErr w:type="spellStart"/>
      <w:r w:rsidRPr="009248AB">
        <w:rPr>
          <w:rFonts w:cs="Times New Roman"/>
          <w:bCs/>
          <w:sz w:val="26"/>
          <w:szCs w:val="26"/>
        </w:rPr>
        <w:t>miljrd.latu</w:t>
      </w:r>
      <w:proofErr w:type="spellEnd"/>
      <w:r w:rsidRPr="009248AB">
        <w:rPr>
          <w:rFonts w:cs="Times New Roman"/>
          <w:bCs/>
          <w:sz w:val="26"/>
          <w:szCs w:val="26"/>
        </w:rPr>
        <w:t xml:space="preserve"> . Uz š.g. 30.novembri Latvijā darbojās 19 bankas un 9 ārvalstu banku filiāles. Kopējais apmaksātais banku pamatkapitāls 2013.gada novembrī bija 1’698.7 milj. latu, t.sk. ārvalstu kapitāla īpatsvars sasniedza 71.5%, kurā dominēja Skandināvijas investoru veiktie ieguldījumi, kas sastāda 52.9% no kopējā apmaksātā banku pamatkapitāla. </w:t>
      </w:r>
    </w:p>
    <w:p w:rsidR="009248AB" w:rsidRPr="009248AB" w:rsidRDefault="009248AB" w:rsidP="009248AB">
      <w:pPr>
        <w:autoSpaceDE w:val="0"/>
        <w:autoSpaceDN w:val="0"/>
        <w:adjustRightInd w:val="0"/>
        <w:ind w:firstLine="720"/>
        <w:jc w:val="both"/>
        <w:rPr>
          <w:rFonts w:cs="Times New Roman"/>
          <w:bCs/>
          <w:sz w:val="26"/>
          <w:szCs w:val="26"/>
        </w:rPr>
      </w:pPr>
      <w:r w:rsidRPr="009248AB">
        <w:rPr>
          <w:rFonts w:cs="Times New Roman"/>
          <w:bCs/>
          <w:sz w:val="26"/>
          <w:szCs w:val="26"/>
        </w:rPr>
        <w:t xml:space="preserve">Banku sektors kopumā 2013. gada pirmajos vienpadsmit mēnešos darbojās ar peļņu 184.3 miljonu latu apmērā, kas ir par 46.3% vairāk nekā iepriekšējā gada attiecīgajā periodā. Līdz novembra beigām ar peļņu darbojās 16 Latvijas bankas un piecas ārvalstu banku filiāles.  </w:t>
      </w:r>
    </w:p>
    <w:p w:rsidR="009248AB" w:rsidRDefault="009248AB" w:rsidP="009248AB">
      <w:pPr>
        <w:autoSpaceDE w:val="0"/>
        <w:autoSpaceDN w:val="0"/>
        <w:adjustRightInd w:val="0"/>
        <w:ind w:firstLine="720"/>
        <w:jc w:val="both"/>
        <w:rPr>
          <w:rFonts w:cs="Times New Roman"/>
          <w:bCs/>
          <w:sz w:val="26"/>
          <w:szCs w:val="26"/>
        </w:rPr>
      </w:pPr>
      <w:r w:rsidRPr="009248AB">
        <w:rPr>
          <w:rFonts w:cs="Times New Roman"/>
          <w:bCs/>
          <w:sz w:val="26"/>
          <w:szCs w:val="26"/>
        </w:rPr>
        <w:t xml:space="preserve">Banku sektora likviditāte un kapitalizācijas līmenis gada laikā ir uzlabojies. Novembra beigās banku sektora likviditātes rādītājs bija 63.1% (iepriekšējā gada attiecīgajā periodā - 59.7%), savukārt kapitāla pietiekamības rādītājs bija 19.0%, bet 1. līmeņa kapitāla rādītājs – 17.3% (iepriekšējā gada attiecīgajā periodā attiecīgi 17.5% un 15.0%). </w:t>
      </w:r>
    </w:p>
    <w:p w:rsidR="008118D4" w:rsidRPr="005F551C" w:rsidRDefault="00384CB9" w:rsidP="009248AB">
      <w:pPr>
        <w:autoSpaceDE w:val="0"/>
        <w:autoSpaceDN w:val="0"/>
        <w:adjustRightInd w:val="0"/>
        <w:ind w:firstLine="720"/>
        <w:jc w:val="both"/>
        <w:rPr>
          <w:rFonts w:cs="Times New Roman"/>
          <w:sz w:val="26"/>
          <w:szCs w:val="26"/>
        </w:rPr>
      </w:pPr>
      <w:proofErr w:type="spellStart"/>
      <w:r w:rsidRPr="005F551C">
        <w:rPr>
          <w:rFonts w:cs="Times New Roman"/>
          <w:sz w:val="26"/>
          <w:szCs w:val="26"/>
        </w:rPr>
        <w:t>Nebanku</w:t>
      </w:r>
      <w:proofErr w:type="spellEnd"/>
      <w:r w:rsidRPr="005F551C">
        <w:rPr>
          <w:rFonts w:cs="Times New Roman"/>
          <w:sz w:val="26"/>
          <w:szCs w:val="26"/>
        </w:rPr>
        <w:t xml:space="preserve"> finanšu institūcijas (turpmāk - NFI) ir nelielas, bet piedāvā </w:t>
      </w:r>
      <w:r w:rsidR="00B364DC" w:rsidRPr="005F551C">
        <w:rPr>
          <w:rFonts w:cs="Times New Roman"/>
          <w:sz w:val="26"/>
          <w:szCs w:val="26"/>
        </w:rPr>
        <w:t xml:space="preserve">papildus </w:t>
      </w:r>
      <w:r w:rsidRPr="005F551C">
        <w:rPr>
          <w:rFonts w:cs="Times New Roman"/>
          <w:sz w:val="26"/>
          <w:szCs w:val="26"/>
        </w:rPr>
        <w:t>privātā sektora finansēšana</w:t>
      </w:r>
      <w:r w:rsidR="00EA6168" w:rsidRPr="005F551C">
        <w:rPr>
          <w:rFonts w:cs="Times New Roman"/>
          <w:sz w:val="26"/>
          <w:szCs w:val="26"/>
        </w:rPr>
        <w:t>s iespējas</w:t>
      </w:r>
      <w:r w:rsidRPr="005F551C">
        <w:rPr>
          <w:rFonts w:cs="Times New Roman"/>
          <w:sz w:val="26"/>
          <w:szCs w:val="26"/>
        </w:rPr>
        <w:t xml:space="preserve">. </w:t>
      </w:r>
      <w:r w:rsidR="00C63723">
        <w:rPr>
          <w:rFonts w:cs="Times New Roman"/>
          <w:sz w:val="26"/>
          <w:szCs w:val="26"/>
        </w:rPr>
        <w:t>Uz</w:t>
      </w:r>
      <w:r w:rsidRPr="005F551C">
        <w:rPr>
          <w:rFonts w:cs="Times New Roman"/>
          <w:sz w:val="26"/>
          <w:szCs w:val="26"/>
        </w:rPr>
        <w:t xml:space="preserve"> </w:t>
      </w:r>
      <w:r w:rsidR="00C63723">
        <w:rPr>
          <w:rFonts w:cs="Times New Roman"/>
          <w:sz w:val="26"/>
          <w:szCs w:val="26"/>
        </w:rPr>
        <w:t xml:space="preserve">2013.gada 1.pusgada beigām </w:t>
      </w:r>
      <w:r w:rsidRPr="005F551C">
        <w:rPr>
          <w:rFonts w:cs="Times New Roman"/>
          <w:sz w:val="26"/>
          <w:szCs w:val="26"/>
        </w:rPr>
        <w:t xml:space="preserve">NFI veido </w:t>
      </w:r>
      <w:r w:rsidR="00CA588D" w:rsidRPr="005F551C">
        <w:rPr>
          <w:rFonts w:cs="Times New Roman"/>
          <w:sz w:val="26"/>
          <w:szCs w:val="26"/>
        </w:rPr>
        <w:t>2</w:t>
      </w:r>
      <w:r w:rsidR="005A36F6" w:rsidRPr="005F551C">
        <w:rPr>
          <w:rFonts w:cs="Times New Roman"/>
          <w:sz w:val="26"/>
          <w:szCs w:val="26"/>
        </w:rPr>
        <w:t>.</w:t>
      </w:r>
      <w:r w:rsidR="00CA588D" w:rsidRPr="005F551C">
        <w:rPr>
          <w:rFonts w:cs="Times New Roman"/>
          <w:sz w:val="26"/>
          <w:szCs w:val="26"/>
        </w:rPr>
        <w:t xml:space="preserve">076 </w:t>
      </w:r>
      <w:proofErr w:type="spellStart"/>
      <w:r w:rsidR="00CA588D" w:rsidRPr="005F551C">
        <w:rPr>
          <w:rFonts w:cs="Times New Roman"/>
          <w:sz w:val="26"/>
          <w:szCs w:val="26"/>
        </w:rPr>
        <w:t>miljrd.latu</w:t>
      </w:r>
      <w:proofErr w:type="spellEnd"/>
      <w:r w:rsidR="00CA588D" w:rsidRPr="005F551C">
        <w:rPr>
          <w:rFonts w:cs="Times New Roman"/>
          <w:sz w:val="26"/>
          <w:szCs w:val="26"/>
        </w:rPr>
        <w:t xml:space="preserve"> jeb </w:t>
      </w:r>
      <w:r w:rsidR="008118D4" w:rsidRPr="005F551C">
        <w:rPr>
          <w:rFonts w:cs="Times New Roman"/>
          <w:sz w:val="26"/>
          <w:szCs w:val="26"/>
        </w:rPr>
        <w:t>9</w:t>
      </w:r>
      <w:r w:rsidR="005A36F6" w:rsidRPr="005F551C">
        <w:rPr>
          <w:rFonts w:cs="Times New Roman"/>
          <w:sz w:val="26"/>
          <w:szCs w:val="26"/>
        </w:rPr>
        <w:t>.</w:t>
      </w:r>
      <w:r w:rsidR="008118D4" w:rsidRPr="005F551C">
        <w:rPr>
          <w:rFonts w:cs="Times New Roman"/>
          <w:sz w:val="26"/>
          <w:szCs w:val="26"/>
        </w:rPr>
        <w:t>3</w:t>
      </w:r>
      <w:r w:rsidRPr="005F551C">
        <w:rPr>
          <w:rFonts w:cs="Times New Roman"/>
          <w:sz w:val="26"/>
          <w:szCs w:val="26"/>
        </w:rPr>
        <w:t>% no finanšu sektora aktīviem</w:t>
      </w:r>
      <w:r w:rsidR="00CA588D" w:rsidRPr="005F551C">
        <w:rPr>
          <w:rFonts w:cs="Times New Roman"/>
          <w:sz w:val="26"/>
          <w:szCs w:val="26"/>
        </w:rPr>
        <w:t xml:space="preserve"> (</w:t>
      </w:r>
      <w:r w:rsidRPr="005F551C">
        <w:rPr>
          <w:rFonts w:cs="Times New Roman"/>
          <w:sz w:val="26"/>
          <w:szCs w:val="26"/>
        </w:rPr>
        <w:t xml:space="preserve">ieskaitot gan vienības, kas finansē privāto sektoru (līzings, faktorings un </w:t>
      </w:r>
      <w:proofErr w:type="spellStart"/>
      <w:r w:rsidRPr="005F551C">
        <w:rPr>
          <w:rFonts w:cs="Times New Roman"/>
          <w:sz w:val="26"/>
          <w:szCs w:val="26"/>
        </w:rPr>
        <w:t>krājaizdevu</w:t>
      </w:r>
      <w:proofErr w:type="spellEnd"/>
      <w:r w:rsidRPr="005F551C">
        <w:rPr>
          <w:rFonts w:cs="Times New Roman"/>
          <w:sz w:val="26"/>
          <w:szCs w:val="26"/>
        </w:rPr>
        <w:t xml:space="preserve"> sabiedrības</w:t>
      </w:r>
      <w:r w:rsidR="00CA588D" w:rsidRPr="005F551C">
        <w:rPr>
          <w:rFonts w:cs="Times New Roman"/>
          <w:sz w:val="26"/>
          <w:szCs w:val="26"/>
        </w:rPr>
        <w:t>)</w:t>
      </w:r>
      <w:r w:rsidRPr="005F551C">
        <w:rPr>
          <w:rFonts w:cs="Times New Roman"/>
          <w:sz w:val="26"/>
          <w:szCs w:val="26"/>
        </w:rPr>
        <w:t>,</w:t>
      </w:r>
      <w:r w:rsidR="005A36F6" w:rsidRPr="005F551C">
        <w:rPr>
          <w:rFonts w:cs="Times New Roman"/>
          <w:sz w:val="26"/>
          <w:szCs w:val="26"/>
        </w:rPr>
        <w:t xml:space="preserve"> gan arī institucionālos</w:t>
      </w:r>
      <w:r w:rsidRPr="005F551C">
        <w:rPr>
          <w:rFonts w:cs="Times New Roman"/>
          <w:sz w:val="26"/>
          <w:szCs w:val="26"/>
        </w:rPr>
        <w:t xml:space="preserve"> investor</w:t>
      </w:r>
      <w:r w:rsidR="005A36F6" w:rsidRPr="005F551C">
        <w:rPr>
          <w:rFonts w:cs="Times New Roman"/>
          <w:sz w:val="26"/>
          <w:szCs w:val="26"/>
        </w:rPr>
        <w:t>us</w:t>
      </w:r>
      <w:r w:rsidRPr="005F551C">
        <w:rPr>
          <w:rFonts w:cs="Times New Roman"/>
          <w:sz w:val="26"/>
          <w:szCs w:val="26"/>
        </w:rPr>
        <w:t>, tād</w:t>
      </w:r>
      <w:r w:rsidR="005A36F6" w:rsidRPr="005F551C">
        <w:rPr>
          <w:rFonts w:cs="Times New Roman"/>
          <w:sz w:val="26"/>
          <w:szCs w:val="26"/>
        </w:rPr>
        <w:t>us</w:t>
      </w:r>
      <w:r w:rsidRPr="005F551C">
        <w:rPr>
          <w:rFonts w:cs="Times New Roman"/>
          <w:sz w:val="26"/>
          <w:szCs w:val="26"/>
        </w:rPr>
        <w:t xml:space="preserve"> kā apdrošināšanas kompānija</w:t>
      </w:r>
      <w:r w:rsidR="00201FAB" w:rsidRPr="005F551C">
        <w:rPr>
          <w:rFonts w:cs="Times New Roman"/>
          <w:sz w:val="26"/>
          <w:szCs w:val="26"/>
        </w:rPr>
        <w:t>s un pensiju fond</w:t>
      </w:r>
      <w:r w:rsidR="005A36F6" w:rsidRPr="005F551C">
        <w:rPr>
          <w:rFonts w:cs="Times New Roman"/>
          <w:sz w:val="26"/>
          <w:szCs w:val="26"/>
        </w:rPr>
        <w:t>us.</w:t>
      </w:r>
      <w:r w:rsidR="00201FAB" w:rsidRPr="005F551C">
        <w:rPr>
          <w:rFonts w:cs="Times New Roman"/>
          <w:sz w:val="26"/>
          <w:szCs w:val="26"/>
        </w:rPr>
        <w:t xml:space="preserve"> </w:t>
      </w:r>
      <w:r w:rsidR="00EA4F65" w:rsidRPr="005F551C">
        <w:rPr>
          <w:rFonts w:cs="Times New Roman"/>
          <w:sz w:val="26"/>
          <w:szCs w:val="26"/>
        </w:rPr>
        <w:t xml:space="preserve">Līzinga un faktoringa apjomi ievērojami saruka krīzes laikā, tomēr joprojām ir pieprasījums pēc šiem pakalpojumiem. </w:t>
      </w:r>
      <w:proofErr w:type="spellStart"/>
      <w:r w:rsidR="00EA4F65" w:rsidRPr="005F551C">
        <w:rPr>
          <w:rFonts w:cs="Times New Roman"/>
          <w:sz w:val="26"/>
          <w:szCs w:val="26"/>
        </w:rPr>
        <w:lastRenderedPageBreak/>
        <w:t>Krājaizdevu</w:t>
      </w:r>
      <w:proofErr w:type="spellEnd"/>
      <w:r w:rsidR="00EA4F65" w:rsidRPr="005F551C">
        <w:rPr>
          <w:rFonts w:cs="Times New Roman"/>
          <w:sz w:val="26"/>
          <w:szCs w:val="26"/>
        </w:rPr>
        <w:t xml:space="preserve"> sabiedrībām, neskatoties uz to skaitu, tradicionāli ir bijusi ierobežota dalība finanšu sektorā, un tās veido 0.1% no kopējiem sektora aktīviem.</w:t>
      </w:r>
      <w:r w:rsidR="008118D4" w:rsidRPr="005F551C">
        <w:rPr>
          <w:rFonts w:cs="Times New Roman"/>
          <w:sz w:val="26"/>
          <w:szCs w:val="26"/>
        </w:rPr>
        <w:t xml:space="preserve"> </w:t>
      </w:r>
    </w:p>
    <w:p w:rsidR="00384CB9" w:rsidRPr="005F551C" w:rsidRDefault="008118D4" w:rsidP="005F551C">
      <w:pPr>
        <w:autoSpaceDE w:val="0"/>
        <w:autoSpaceDN w:val="0"/>
        <w:adjustRightInd w:val="0"/>
        <w:ind w:firstLine="720"/>
        <w:jc w:val="both"/>
        <w:rPr>
          <w:rFonts w:cs="Times New Roman"/>
          <w:sz w:val="26"/>
          <w:szCs w:val="26"/>
        </w:rPr>
      </w:pPr>
      <w:r w:rsidRPr="005F551C">
        <w:rPr>
          <w:rFonts w:cs="Times New Roman"/>
          <w:bCs/>
          <w:sz w:val="26"/>
          <w:szCs w:val="26"/>
        </w:rPr>
        <w:t xml:space="preserve">2013.gada 1.pusgadā </w:t>
      </w:r>
      <w:proofErr w:type="spellStart"/>
      <w:r w:rsidRPr="005F551C">
        <w:rPr>
          <w:rFonts w:cs="Times New Roman"/>
          <w:bCs/>
          <w:sz w:val="26"/>
          <w:szCs w:val="26"/>
        </w:rPr>
        <w:t>nebanku</w:t>
      </w:r>
      <w:proofErr w:type="spellEnd"/>
      <w:r w:rsidRPr="005F551C">
        <w:rPr>
          <w:rFonts w:cs="Times New Roman"/>
          <w:bCs/>
          <w:sz w:val="26"/>
          <w:szCs w:val="26"/>
        </w:rPr>
        <w:t xml:space="preserve"> sektora kreditēšanas pakalpojumu sniedzēji patērētājiem izsniedza kredītus 147</w:t>
      </w:r>
      <w:r w:rsidR="005A36F6" w:rsidRPr="005F551C">
        <w:rPr>
          <w:rFonts w:cs="Times New Roman"/>
          <w:bCs/>
          <w:sz w:val="26"/>
          <w:szCs w:val="26"/>
        </w:rPr>
        <w:t>.</w:t>
      </w:r>
      <w:r w:rsidRPr="005F551C">
        <w:rPr>
          <w:rFonts w:cs="Times New Roman"/>
          <w:bCs/>
          <w:sz w:val="26"/>
          <w:szCs w:val="26"/>
        </w:rPr>
        <w:t>136 milj. latu apmērā un no kopējā apjoma lielāko daļu sastāda „ātrie kredīti” – kopējā „ātro kredītu” summa ir 68</w:t>
      </w:r>
      <w:r w:rsidR="005A36F6" w:rsidRPr="005F551C">
        <w:rPr>
          <w:rFonts w:cs="Times New Roman"/>
          <w:bCs/>
          <w:sz w:val="26"/>
          <w:szCs w:val="26"/>
        </w:rPr>
        <w:t>.</w:t>
      </w:r>
      <w:r w:rsidRPr="005F551C">
        <w:rPr>
          <w:rFonts w:cs="Times New Roman"/>
          <w:bCs/>
          <w:sz w:val="26"/>
          <w:szCs w:val="26"/>
        </w:rPr>
        <w:t>041 milj. latu jeb 46% no kopējā apjoma (</w:t>
      </w:r>
      <w:r w:rsidRPr="005F551C">
        <w:rPr>
          <w:rFonts w:cs="Times New Roman"/>
          <w:bCs/>
          <w:i/>
          <w:sz w:val="26"/>
          <w:szCs w:val="26"/>
        </w:rPr>
        <w:t>datu avots PTAC</w:t>
      </w:r>
      <w:r w:rsidRPr="005F551C">
        <w:rPr>
          <w:rFonts w:cs="Times New Roman"/>
          <w:bCs/>
          <w:sz w:val="26"/>
          <w:szCs w:val="26"/>
        </w:rPr>
        <w:t>).</w:t>
      </w:r>
      <w:r w:rsidR="001C4BBB" w:rsidRPr="005F551C">
        <w:rPr>
          <w:rFonts w:cs="Times New Roman"/>
          <w:bCs/>
          <w:sz w:val="26"/>
          <w:szCs w:val="26"/>
        </w:rPr>
        <w:t xml:space="preserve">                                                                                                                                                   </w:t>
      </w:r>
      <w:r w:rsidR="00EA4F65" w:rsidRPr="005F551C">
        <w:rPr>
          <w:rFonts w:cs="Times New Roman"/>
          <w:bCs/>
          <w:sz w:val="26"/>
          <w:szCs w:val="26"/>
        </w:rPr>
        <w:t xml:space="preserve">                               </w:t>
      </w:r>
    </w:p>
    <w:p w:rsidR="007B69D1" w:rsidRDefault="00201FAB" w:rsidP="005F551C">
      <w:pPr>
        <w:autoSpaceDE w:val="0"/>
        <w:autoSpaceDN w:val="0"/>
        <w:adjustRightInd w:val="0"/>
        <w:ind w:firstLine="720"/>
        <w:jc w:val="both"/>
        <w:rPr>
          <w:rFonts w:cs="Times New Roman"/>
          <w:bCs/>
          <w:sz w:val="26"/>
          <w:szCs w:val="26"/>
        </w:rPr>
      </w:pPr>
      <w:r w:rsidRPr="005F551C">
        <w:rPr>
          <w:rFonts w:cs="Times New Roman"/>
          <w:bCs/>
          <w:sz w:val="26"/>
          <w:szCs w:val="26"/>
        </w:rPr>
        <w:t>Kredītu</w:t>
      </w:r>
      <w:r w:rsidR="0070285B" w:rsidRPr="005F551C">
        <w:rPr>
          <w:rFonts w:cs="Times New Roman"/>
          <w:bCs/>
          <w:sz w:val="26"/>
          <w:szCs w:val="26"/>
        </w:rPr>
        <w:t xml:space="preserve"> infra</w:t>
      </w:r>
      <w:r w:rsidR="005629E1" w:rsidRPr="005F551C">
        <w:rPr>
          <w:rFonts w:cs="Times New Roman"/>
          <w:bCs/>
          <w:sz w:val="26"/>
          <w:szCs w:val="26"/>
        </w:rPr>
        <w:t>struktūra ir efektīvi</w:t>
      </w:r>
      <w:r w:rsidR="0070285B" w:rsidRPr="005F551C">
        <w:rPr>
          <w:rFonts w:cs="Times New Roman"/>
          <w:bCs/>
          <w:sz w:val="26"/>
          <w:szCs w:val="26"/>
        </w:rPr>
        <w:t xml:space="preserve"> attīstīta, tomēr nepieciešami tālāki uzlabojumi klientu parādsaistību informācijas aptvēruma un pieejamības paplašināšanā. Latvijas kapitāla tirgus – efektīvs, moderns, ar stabilu tiesisko regulējumu, tomēr mazaktīvs. </w:t>
      </w:r>
    </w:p>
    <w:p w:rsidR="009248AB" w:rsidRDefault="009248AB" w:rsidP="009248AB">
      <w:pPr>
        <w:autoSpaceDE w:val="0"/>
        <w:autoSpaceDN w:val="0"/>
        <w:adjustRightInd w:val="0"/>
        <w:ind w:firstLine="720"/>
        <w:jc w:val="both"/>
        <w:rPr>
          <w:rFonts w:cs="Times New Roman"/>
          <w:bCs/>
          <w:sz w:val="26"/>
          <w:szCs w:val="26"/>
        </w:rPr>
      </w:pPr>
    </w:p>
    <w:p w:rsidR="003157CC" w:rsidRPr="005F551C" w:rsidRDefault="003157CC" w:rsidP="005F551C">
      <w:pPr>
        <w:rPr>
          <w:sz w:val="26"/>
          <w:szCs w:val="26"/>
          <w:u w:val="single"/>
        </w:rPr>
      </w:pPr>
    </w:p>
    <w:p w:rsidR="00FB05D9" w:rsidRPr="005F551C" w:rsidRDefault="003157CC" w:rsidP="005F551C">
      <w:pPr>
        <w:pStyle w:val="ListParagraph"/>
        <w:autoSpaceDE w:val="0"/>
        <w:autoSpaceDN w:val="0"/>
        <w:adjustRightInd w:val="0"/>
        <w:ind w:left="709"/>
        <w:jc w:val="center"/>
        <w:rPr>
          <w:sz w:val="26"/>
          <w:szCs w:val="26"/>
          <w:u w:val="single"/>
        </w:rPr>
      </w:pPr>
      <w:r w:rsidRPr="005F551C">
        <w:rPr>
          <w:sz w:val="26"/>
          <w:szCs w:val="26"/>
          <w:u w:val="single"/>
        </w:rPr>
        <w:t>3.</w:t>
      </w:r>
      <w:r w:rsidR="00FB05D9" w:rsidRPr="005F551C">
        <w:rPr>
          <w:sz w:val="26"/>
          <w:szCs w:val="26"/>
          <w:u w:val="single"/>
        </w:rPr>
        <w:t xml:space="preserve">Stratēģiskie </w:t>
      </w:r>
      <w:r w:rsidR="004110B3" w:rsidRPr="005F551C">
        <w:rPr>
          <w:sz w:val="26"/>
          <w:szCs w:val="26"/>
          <w:u w:val="single"/>
        </w:rPr>
        <w:t xml:space="preserve">politikas </w:t>
      </w:r>
      <w:r w:rsidR="0063368E" w:rsidRPr="005F551C">
        <w:rPr>
          <w:sz w:val="26"/>
          <w:szCs w:val="26"/>
          <w:u w:val="single"/>
        </w:rPr>
        <w:t>uzstādījumi</w:t>
      </w:r>
    </w:p>
    <w:p w:rsidR="00FB05D9" w:rsidRPr="005F551C" w:rsidRDefault="00FB05D9" w:rsidP="005F551C">
      <w:pPr>
        <w:ind w:firstLine="720"/>
        <w:jc w:val="center"/>
        <w:rPr>
          <w:b/>
          <w:sz w:val="26"/>
          <w:szCs w:val="26"/>
        </w:rPr>
      </w:pPr>
    </w:p>
    <w:p w:rsidR="00401E37" w:rsidRPr="005F551C" w:rsidRDefault="006B0D04" w:rsidP="005F551C">
      <w:pPr>
        <w:autoSpaceDE w:val="0"/>
        <w:autoSpaceDN w:val="0"/>
        <w:adjustRightInd w:val="0"/>
        <w:ind w:firstLine="720"/>
        <w:jc w:val="both"/>
        <w:rPr>
          <w:color w:val="000000"/>
          <w:sz w:val="26"/>
          <w:szCs w:val="26"/>
        </w:rPr>
      </w:pPr>
      <w:r w:rsidRPr="005F551C">
        <w:rPr>
          <w:color w:val="000000"/>
          <w:sz w:val="26"/>
          <w:szCs w:val="26"/>
        </w:rPr>
        <w:t xml:space="preserve">Latvijas finanšu sektora attīstības perspektīvas </w:t>
      </w:r>
      <w:r w:rsidR="00401E37" w:rsidRPr="005F551C">
        <w:rPr>
          <w:color w:val="000000"/>
          <w:sz w:val="26"/>
          <w:szCs w:val="26"/>
        </w:rPr>
        <w:t>ir ietek</w:t>
      </w:r>
      <w:r w:rsidR="00733E51" w:rsidRPr="005F551C">
        <w:rPr>
          <w:color w:val="000000"/>
          <w:sz w:val="26"/>
          <w:szCs w:val="26"/>
        </w:rPr>
        <w:t xml:space="preserve">mējusi </w:t>
      </w:r>
      <w:r w:rsidR="003157CC" w:rsidRPr="005F551C">
        <w:rPr>
          <w:color w:val="000000"/>
          <w:sz w:val="26"/>
          <w:szCs w:val="26"/>
        </w:rPr>
        <w:t>2008.-</w:t>
      </w:r>
      <w:r w:rsidR="00733E51" w:rsidRPr="005F551C">
        <w:rPr>
          <w:color w:val="000000"/>
          <w:sz w:val="26"/>
          <w:szCs w:val="26"/>
        </w:rPr>
        <w:t xml:space="preserve">2009.gada </w:t>
      </w:r>
      <w:r w:rsidR="00B565D5" w:rsidRPr="005F551C">
        <w:rPr>
          <w:color w:val="000000"/>
          <w:sz w:val="26"/>
          <w:szCs w:val="26"/>
        </w:rPr>
        <w:t xml:space="preserve">pasaules un Latvijas ekonomiskās un </w:t>
      </w:r>
      <w:r w:rsidR="00733E51" w:rsidRPr="005F551C">
        <w:rPr>
          <w:color w:val="000000"/>
          <w:sz w:val="26"/>
          <w:szCs w:val="26"/>
        </w:rPr>
        <w:t xml:space="preserve">finanšu krīzes un </w:t>
      </w:r>
      <w:proofErr w:type="spellStart"/>
      <w:r w:rsidR="00401E37" w:rsidRPr="005F551C">
        <w:rPr>
          <w:color w:val="000000"/>
          <w:sz w:val="26"/>
          <w:szCs w:val="26"/>
        </w:rPr>
        <w:t>pēckrīzes</w:t>
      </w:r>
      <w:proofErr w:type="spellEnd"/>
      <w:r w:rsidR="00401E37" w:rsidRPr="005F551C">
        <w:rPr>
          <w:color w:val="000000"/>
          <w:sz w:val="26"/>
          <w:szCs w:val="26"/>
        </w:rPr>
        <w:t xml:space="preserve"> pieredze, arī </w:t>
      </w:r>
      <w:proofErr w:type="spellStart"/>
      <w:r w:rsidR="00401E37" w:rsidRPr="005F551C">
        <w:rPr>
          <w:color w:val="000000"/>
          <w:sz w:val="26"/>
          <w:szCs w:val="26"/>
        </w:rPr>
        <w:t>eirozonas</w:t>
      </w:r>
      <w:proofErr w:type="spellEnd"/>
      <w:r w:rsidR="00401E37" w:rsidRPr="005F551C">
        <w:rPr>
          <w:color w:val="000000"/>
          <w:sz w:val="26"/>
          <w:szCs w:val="26"/>
        </w:rPr>
        <w:t xml:space="preserve"> valstu parāda krīzes negatīvā atgriezeniskā ietekme uz finanšu sektora pārrobežu stabilitāti visā E</w:t>
      </w:r>
      <w:r w:rsidR="006F2256" w:rsidRPr="005F551C">
        <w:rPr>
          <w:color w:val="000000"/>
          <w:sz w:val="26"/>
          <w:szCs w:val="26"/>
        </w:rPr>
        <w:t xml:space="preserve">iropas </w:t>
      </w:r>
      <w:r w:rsidR="00401E37" w:rsidRPr="005F551C">
        <w:rPr>
          <w:color w:val="000000"/>
          <w:sz w:val="26"/>
          <w:szCs w:val="26"/>
        </w:rPr>
        <w:t>S</w:t>
      </w:r>
      <w:r w:rsidR="006F2256" w:rsidRPr="005F551C">
        <w:rPr>
          <w:color w:val="000000"/>
          <w:sz w:val="26"/>
          <w:szCs w:val="26"/>
        </w:rPr>
        <w:t>avienībā (turpmāk - ES)</w:t>
      </w:r>
      <w:r w:rsidR="00401E37" w:rsidRPr="005F551C">
        <w:rPr>
          <w:color w:val="000000"/>
          <w:sz w:val="26"/>
          <w:szCs w:val="26"/>
        </w:rPr>
        <w:t xml:space="preserve"> un </w:t>
      </w:r>
      <w:r w:rsidR="00B565D5" w:rsidRPr="005F551C">
        <w:rPr>
          <w:color w:val="000000"/>
          <w:sz w:val="26"/>
          <w:szCs w:val="26"/>
        </w:rPr>
        <w:t>uz kredītresursu pieejamību Latvijā</w:t>
      </w:r>
      <w:r w:rsidR="00401E37" w:rsidRPr="005F551C">
        <w:rPr>
          <w:color w:val="000000"/>
          <w:sz w:val="26"/>
          <w:szCs w:val="26"/>
        </w:rPr>
        <w:t xml:space="preserve">. </w:t>
      </w:r>
      <w:r w:rsidR="00FA6700" w:rsidRPr="005F551C">
        <w:rPr>
          <w:color w:val="000000"/>
          <w:sz w:val="26"/>
          <w:szCs w:val="26"/>
        </w:rPr>
        <w:t>K</w:t>
      </w:r>
      <w:r w:rsidR="00401E37" w:rsidRPr="005F551C">
        <w:rPr>
          <w:color w:val="000000"/>
          <w:sz w:val="26"/>
          <w:szCs w:val="26"/>
        </w:rPr>
        <w:t xml:space="preserve">rīžu rezultātā ir izkristalizējušās </w:t>
      </w:r>
      <w:r w:rsidR="00FA6700" w:rsidRPr="005F551C">
        <w:rPr>
          <w:color w:val="000000"/>
          <w:sz w:val="26"/>
          <w:szCs w:val="26"/>
        </w:rPr>
        <w:t xml:space="preserve">tādas finanšu sektora </w:t>
      </w:r>
      <w:r w:rsidR="009F29E7">
        <w:rPr>
          <w:color w:val="000000"/>
          <w:sz w:val="26"/>
          <w:szCs w:val="26"/>
        </w:rPr>
        <w:t>prioritātes</w:t>
      </w:r>
      <w:r w:rsidR="00401E37" w:rsidRPr="005F551C">
        <w:rPr>
          <w:color w:val="000000"/>
          <w:sz w:val="26"/>
          <w:szCs w:val="26"/>
        </w:rPr>
        <w:t xml:space="preserve"> kā:</w:t>
      </w:r>
    </w:p>
    <w:p w:rsidR="00401E37" w:rsidRPr="005F551C" w:rsidRDefault="00401E37" w:rsidP="005F551C">
      <w:pPr>
        <w:pStyle w:val="ListParagraph"/>
        <w:numPr>
          <w:ilvl w:val="0"/>
          <w:numId w:val="6"/>
        </w:numPr>
        <w:autoSpaceDE w:val="0"/>
        <w:autoSpaceDN w:val="0"/>
        <w:adjustRightInd w:val="0"/>
        <w:ind w:left="0" w:firstLine="720"/>
        <w:jc w:val="both"/>
        <w:rPr>
          <w:color w:val="000000"/>
          <w:sz w:val="26"/>
          <w:szCs w:val="26"/>
        </w:rPr>
      </w:pPr>
      <w:r w:rsidRPr="005F551C">
        <w:rPr>
          <w:color w:val="000000"/>
          <w:sz w:val="26"/>
          <w:szCs w:val="26"/>
        </w:rPr>
        <w:t xml:space="preserve">akcents uz stabilitāti un drošību (t.sk. ierobežojot jutību pret ārējiem </w:t>
      </w:r>
      <w:r w:rsidR="00441C69" w:rsidRPr="005F551C">
        <w:rPr>
          <w:color w:val="000000"/>
          <w:sz w:val="26"/>
          <w:szCs w:val="26"/>
        </w:rPr>
        <w:t>satricinājumiem</w:t>
      </w:r>
      <w:r w:rsidRPr="005F551C">
        <w:rPr>
          <w:color w:val="000000"/>
          <w:sz w:val="26"/>
          <w:szCs w:val="26"/>
        </w:rPr>
        <w:t>) kontekstā ar vietējā finanšu un kapitāla tirgus diversifikāciju un optimālu pārvaldību;</w:t>
      </w:r>
    </w:p>
    <w:p w:rsidR="00401E37" w:rsidRPr="005F551C" w:rsidRDefault="00401E37" w:rsidP="005F551C">
      <w:pPr>
        <w:pStyle w:val="ListParagraph"/>
        <w:numPr>
          <w:ilvl w:val="0"/>
          <w:numId w:val="6"/>
        </w:numPr>
        <w:autoSpaceDE w:val="0"/>
        <w:autoSpaceDN w:val="0"/>
        <w:adjustRightInd w:val="0"/>
        <w:ind w:left="0" w:firstLine="709"/>
        <w:jc w:val="both"/>
        <w:rPr>
          <w:color w:val="000000"/>
          <w:sz w:val="26"/>
          <w:szCs w:val="26"/>
        </w:rPr>
      </w:pPr>
      <w:r w:rsidRPr="005F551C">
        <w:rPr>
          <w:color w:val="000000"/>
          <w:sz w:val="26"/>
          <w:szCs w:val="26"/>
        </w:rPr>
        <w:t>alternatīvu, ārpus banku sektora, finansēšanas iespēju attīstība un iekšējo investīciju instrumentu izveides veicināšana;</w:t>
      </w:r>
    </w:p>
    <w:p w:rsidR="00401E37" w:rsidRPr="005F551C" w:rsidRDefault="00401E37" w:rsidP="005F551C">
      <w:pPr>
        <w:pStyle w:val="ListParagraph"/>
        <w:numPr>
          <w:ilvl w:val="0"/>
          <w:numId w:val="6"/>
        </w:numPr>
        <w:autoSpaceDE w:val="0"/>
        <w:autoSpaceDN w:val="0"/>
        <w:adjustRightInd w:val="0"/>
        <w:ind w:left="0" w:firstLine="720"/>
        <w:jc w:val="both"/>
        <w:rPr>
          <w:color w:val="000000"/>
          <w:sz w:val="26"/>
          <w:szCs w:val="26"/>
        </w:rPr>
      </w:pPr>
      <w:r w:rsidRPr="005F551C">
        <w:rPr>
          <w:color w:val="000000"/>
          <w:sz w:val="26"/>
          <w:szCs w:val="26"/>
        </w:rPr>
        <w:t xml:space="preserve">institucionālo investoru aktīvāka iesaiste </w:t>
      </w:r>
      <w:r w:rsidR="003157CC" w:rsidRPr="005F551C">
        <w:rPr>
          <w:color w:val="000000"/>
          <w:sz w:val="26"/>
          <w:szCs w:val="26"/>
        </w:rPr>
        <w:t>vietējo</w:t>
      </w:r>
      <w:r w:rsidRPr="005F551C">
        <w:rPr>
          <w:color w:val="000000"/>
          <w:sz w:val="26"/>
          <w:szCs w:val="26"/>
        </w:rPr>
        <w:t xml:space="preserve"> finanšu instrumentu izmantošanā;</w:t>
      </w:r>
    </w:p>
    <w:p w:rsidR="00401E37" w:rsidRPr="005F551C" w:rsidRDefault="00401E37" w:rsidP="005F551C">
      <w:pPr>
        <w:pStyle w:val="ListParagraph"/>
        <w:numPr>
          <w:ilvl w:val="0"/>
          <w:numId w:val="6"/>
        </w:numPr>
        <w:autoSpaceDE w:val="0"/>
        <w:autoSpaceDN w:val="0"/>
        <w:adjustRightInd w:val="0"/>
        <w:ind w:left="0" w:firstLine="720"/>
        <w:jc w:val="both"/>
        <w:rPr>
          <w:color w:val="000000"/>
          <w:sz w:val="26"/>
          <w:szCs w:val="26"/>
        </w:rPr>
      </w:pPr>
      <w:r w:rsidRPr="005F551C">
        <w:rPr>
          <w:color w:val="000000"/>
          <w:sz w:val="26"/>
          <w:szCs w:val="26"/>
        </w:rPr>
        <w:t>uzņēmējdarbības, t.sk. eksportspējīgo sektoru MVU atbalsta programmu un finansēšanas instrumentu pielāgošana pieprasījuma/piedāvājuma prasībām un šī atbalsta administrēšanas optimizācija;</w:t>
      </w:r>
    </w:p>
    <w:p w:rsidR="00401E37" w:rsidRPr="005F551C" w:rsidRDefault="00401E37" w:rsidP="005F551C">
      <w:pPr>
        <w:pStyle w:val="ListParagraph"/>
        <w:numPr>
          <w:ilvl w:val="0"/>
          <w:numId w:val="6"/>
        </w:numPr>
        <w:autoSpaceDE w:val="0"/>
        <w:autoSpaceDN w:val="0"/>
        <w:adjustRightInd w:val="0"/>
        <w:ind w:left="0" w:firstLine="720"/>
        <w:jc w:val="both"/>
        <w:rPr>
          <w:color w:val="000000"/>
          <w:sz w:val="26"/>
          <w:szCs w:val="26"/>
        </w:rPr>
      </w:pPr>
      <w:r w:rsidRPr="005F551C">
        <w:rPr>
          <w:color w:val="000000"/>
          <w:sz w:val="26"/>
          <w:szCs w:val="26"/>
        </w:rPr>
        <w:t>parādu restrukturizācijas atvieglošana</w:t>
      </w:r>
      <w:r w:rsidR="009F29E7">
        <w:rPr>
          <w:color w:val="000000"/>
          <w:sz w:val="26"/>
          <w:szCs w:val="26"/>
        </w:rPr>
        <w:t>.</w:t>
      </w:r>
      <w:r w:rsidRPr="005F551C">
        <w:rPr>
          <w:color w:val="000000"/>
          <w:sz w:val="26"/>
          <w:szCs w:val="26"/>
        </w:rPr>
        <w:t xml:space="preserve"> </w:t>
      </w:r>
    </w:p>
    <w:p w:rsidR="00FB3796" w:rsidRPr="005F551C" w:rsidRDefault="006B7307" w:rsidP="005F551C">
      <w:pPr>
        <w:autoSpaceDE w:val="0"/>
        <w:autoSpaceDN w:val="0"/>
        <w:adjustRightInd w:val="0"/>
        <w:ind w:firstLine="720"/>
        <w:jc w:val="both"/>
        <w:rPr>
          <w:color w:val="000000"/>
          <w:sz w:val="26"/>
          <w:szCs w:val="26"/>
        </w:rPr>
      </w:pPr>
      <w:r w:rsidRPr="005F551C">
        <w:rPr>
          <w:color w:val="000000"/>
          <w:sz w:val="26"/>
          <w:szCs w:val="26"/>
        </w:rPr>
        <w:t>Latvijas īstenotās finanšu sektora politikas</w:t>
      </w:r>
      <w:r w:rsidR="00BF7EB7" w:rsidRPr="005F551C">
        <w:rPr>
          <w:color w:val="000000"/>
          <w:sz w:val="26"/>
          <w:szCs w:val="26"/>
        </w:rPr>
        <w:t xml:space="preserve"> mērķis </w:t>
      </w:r>
      <w:r w:rsidRPr="005F551C">
        <w:rPr>
          <w:color w:val="000000"/>
          <w:sz w:val="26"/>
          <w:szCs w:val="26"/>
        </w:rPr>
        <w:t>ir</w:t>
      </w:r>
      <w:r w:rsidR="00BF7EB7" w:rsidRPr="005F551C">
        <w:rPr>
          <w:color w:val="000000"/>
          <w:sz w:val="26"/>
          <w:szCs w:val="26"/>
        </w:rPr>
        <w:t xml:space="preserve"> nodrošināt finanšu un </w:t>
      </w:r>
      <w:proofErr w:type="spellStart"/>
      <w:r w:rsidR="00BF7EB7" w:rsidRPr="005F551C">
        <w:rPr>
          <w:color w:val="000000"/>
          <w:sz w:val="26"/>
          <w:szCs w:val="26"/>
        </w:rPr>
        <w:t>makrouzraudzības</w:t>
      </w:r>
      <w:proofErr w:type="spellEnd"/>
      <w:r w:rsidR="00BF7EB7" w:rsidRPr="005F551C">
        <w:rPr>
          <w:color w:val="000000"/>
          <w:sz w:val="26"/>
          <w:szCs w:val="26"/>
        </w:rPr>
        <w:t xml:space="preserve"> stabilitāti un </w:t>
      </w:r>
      <w:r w:rsidR="00A04FC9" w:rsidRPr="005F551C">
        <w:rPr>
          <w:color w:val="000000"/>
          <w:sz w:val="26"/>
          <w:szCs w:val="26"/>
        </w:rPr>
        <w:t xml:space="preserve">mazināt </w:t>
      </w:r>
      <w:r w:rsidR="00BF7EB7" w:rsidRPr="005F551C">
        <w:rPr>
          <w:color w:val="000000"/>
          <w:sz w:val="26"/>
          <w:szCs w:val="26"/>
        </w:rPr>
        <w:t>iespējamo risku veidošanos, kā arī ar nerezidentu noguldījumiem saistītos riskus.</w:t>
      </w:r>
      <w:r w:rsidR="00DF3056" w:rsidRPr="005F551C">
        <w:rPr>
          <w:sz w:val="26"/>
          <w:szCs w:val="26"/>
        </w:rPr>
        <w:t xml:space="preserve"> </w:t>
      </w:r>
      <w:r w:rsidR="00DF3056" w:rsidRPr="005F551C">
        <w:rPr>
          <w:color w:val="000000"/>
          <w:sz w:val="26"/>
          <w:szCs w:val="26"/>
        </w:rPr>
        <w:t xml:space="preserve">Šajā nolūkā Latvijas valsts institūcijas ir apņēmušās </w:t>
      </w:r>
      <w:r w:rsidR="006061BC" w:rsidRPr="005F551C">
        <w:rPr>
          <w:color w:val="000000"/>
          <w:sz w:val="26"/>
          <w:szCs w:val="26"/>
        </w:rPr>
        <w:t xml:space="preserve">ietvert </w:t>
      </w:r>
      <w:r w:rsidR="00DF3056" w:rsidRPr="005F551C">
        <w:rPr>
          <w:color w:val="000000"/>
          <w:sz w:val="26"/>
          <w:szCs w:val="26"/>
        </w:rPr>
        <w:t xml:space="preserve">konservatīvu nostāju finanšu sektora attīstības stratēģijā un </w:t>
      </w:r>
      <w:r w:rsidR="006061BC" w:rsidRPr="005F551C">
        <w:rPr>
          <w:color w:val="000000"/>
          <w:sz w:val="26"/>
          <w:szCs w:val="26"/>
        </w:rPr>
        <w:t>atbilstoši Latvijas valsts interesēm ietvert</w:t>
      </w:r>
      <w:r w:rsidR="00DF3056" w:rsidRPr="005F551C">
        <w:rPr>
          <w:color w:val="000000"/>
          <w:sz w:val="26"/>
          <w:szCs w:val="26"/>
        </w:rPr>
        <w:t xml:space="preserve"> </w:t>
      </w:r>
      <w:r w:rsidR="00AC1A28" w:rsidRPr="005F551C">
        <w:rPr>
          <w:color w:val="000000"/>
          <w:sz w:val="26"/>
          <w:szCs w:val="26"/>
        </w:rPr>
        <w:t>ES</w:t>
      </w:r>
      <w:r w:rsidR="00DF3056" w:rsidRPr="005F551C">
        <w:rPr>
          <w:color w:val="000000"/>
          <w:sz w:val="26"/>
          <w:szCs w:val="26"/>
        </w:rPr>
        <w:t xml:space="preserve"> politiskās un regulatīvās iniciatīvas, īpaši ar Banku </w:t>
      </w:r>
      <w:r w:rsidR="00602FC0">
        <w:rPr>
          <w:color w:val="000000"/>
          <w:sz w:val="26"/>
          <w:szCs w:val="26"/>
        </w:rPr>
        <w:t>S</w:t>
      </w:r>
      <w:r w:rsidR="00DF3056" w:rsidRPr="005F551C">
        <w:rPr>
          <w:color w:val="000000"/>
          <w:sz w:val="26"/>
          <w:szCs w:val="26"/>
        </w:rPr>
        <w:t>avienības izveidi saistītās reformas</w:t>
      </w:r>
      <w:r w:rsidR="008170CF" w:rsidRPr="005F551C">
        <w:rPr>
          <w:rStyle w:val="FootnoteReference"/>
          <w:color w:val="000000"/>
          <w:sz w:val="26"/>
          <w:szCs w:val="26"/>
        </w:rPr>
        <w:footnoteReference w:id="2"/>
      </w:r>
      <w:r w:rsidR="00DF3056" w:rsidRPr="005F551C">
        <w:rPr>
          <w:color w:val="000000"/>
          <w:sz w:val="26"/>
          <w:szCs w:val="26"/>
        </w:rPr>
        <w:t>.</w:t>
      </w:r>
      <w:r w:rsidR="00310CE2" w:rsidRPr="005F551C">
        <w:rPr>
          <w:color w:val="000000"/>
          <w:sz w:val="26"/>
          <w:szCs w:val="26"/>
        </w:rPr>
        <w:t xml:space="preserve"> </w:t>
      </w:r>
      <w:r w:rsidR="00310CE2" w:rsidRPr="005F551C">
        <w:rPr>
          <w:rFonts w:cs="Times New Roman"/>
          <w:color w:val="000000"/>
          <w:sz w:val="26"/>
          <w:szCs w:val="26"/>
        </w:rPr>
        <w:t>I</w:t>
      </w:r>
      <w:r w:rsidR="00310CE2" w:rsidRPr="005F551C">
        <w:rPr>
          <w:rFonts w:cs="Times New Roman"/>
          <w:sz w:val="26"/>
          <w:szCs w:val="26"/>
        </w:rPr>
        <w:t xml:space="preserve">r </w:t>
      </w:r>
      <w:r w:rsidR="006061BC" w:rsidRPr="005F551C">
        <w:rPr>
          <w:rFonts w:cs="Times New Roman"/>
          <w:sz w:val="26"/>
          <w:szCs w:val="26"/>
        </w:rPr>
        <w:t xml:space="preserve">bijis un būs </w:t>
      </w:r>
      <w:r w:rsidR="00310CE2" w:rsidRPr="005F551C">
        <w:rPr>
          <w:rFonts w:cs="Times New Roman"/>
          <w:sz w:val="26"/>
          <w:szCs w:val="26"/>
        </w:rPr>
        <w:t xml:space="preserve">nepieciešams izdarīt virkni grozījumu </w:t>
      </w:r>
      <w:r w:rsidR="00310CE2" w:rsidRPr="005F551C">
        <w:rPr>
          <w:rFonts w:cs="Times New Roman"/>
          <w:bCs/>
          <w:color w:val="000000"/>
          <w:sz w:val="26"/>
          <w:szCs w:val="26"/>
        </w:rPr>
        <w:t xml:space="preserve">normatīvajos aktos saistībā ar Latvijas pievienošanos </w:t>
      </w:r>
      <w:proofErr w:type="spellStart"/>
      <w:r w:rsidR="00DF6FEF" w:rsidRPr="005F551C">
        <w:rPr>
          <w:rFonts w:cs="Times New Roman"/>
          <w:bCs/>
          <w:color w:val="000000"/>
          <w:sz w:val="26"/>
          <w:szCs w:val="26"/>
        </w:rPr>
        <w:t>eirozonai</w:t>
      </w:r>
      <w:proofErr w:type="spellEnd"/>
      <w:r w:rsidR="00DF6FEF" w:rsidRPr="005F551C">
        <w:rPr>
          <w:rFonts w:cs="Times New Roman"/>
          <w:bCs/>
          <w:color w:val="000000"/>
          <w:sz w:val="26"/>
          <w:szCs w:val="26"/>
        </w:rPr>
        <w:t xml:space="preserve"> un </w:t>
      </w:r>
      <w:r w:rsidR="00310CE2" w:rsidRPr="005F551C">
        <w:rPr>
          <w:rFonts w:cs="Times New Roman"/>
          <w:bCs/>
          <w:color w:val="000000"/>
          <w:sz w:val="26"/>
          <w:szCs w:val="26"/>
        </w:rPr>
        <w:t xml:space="preserve">Banku </w:t>
      </w:r>
      <w:r w:rsidR="00602FC0">
        <w:rPr>
          <w:rFonts w:cs="Times New Roman"/>
          <w:bCs/>
          <w:color w:val="000000"/>
          <w:sz w:val="26"/>
          <w:szCs w:val="26"/>
        </w:rPr>
        <w:t>S</w:t>
      </w:r>
      <w:r w:rsidR="00DF6FEF" w:rsidRPr="005F551C">
        <w:rPr>
          <w:rFonts w:cs="Times New Roman"/>
          <w:bCs/>
          <w:color w:val="000000"/>
          <w:sz w:val="26"/>
          <w:szCs w:val="26"/>
        </w:rPr>
        <w:t>avienībai</w:t>
      </w:r>
      <w:r w:rsidR="00310CE2" w:rsidRPr="005F551C">
        <w:rPr>
          <w:rFonts w:cs="Times New Roman"/>
          <w:bCs/>
          <w:color w:val="000000"/>
          <w:sz w:val="26"/>
          <w:szCs w:val="26"/>
        </w:rPr>
        <w:t>.</w:t>
      </w:r>
    </w:p>
    <w:p w:rsidR="003A0FB6" w:rsidRPr="005F551C" w:rsidRDefault="00FB3796" w:rsidP="005F551C">
      <w:pPr>
        <w:autoSpaceDE w:val="0"/>
        <w:autoSpaceDN w:val="0"/>
        <w:adjustRightInd w:val="0"/>
        <w:ind w:firstLine="720"/>
        <w:jc w:val="both"/>
        <w:rPr>
          <w:sz w:val="26"/>
          <w:szCs w:val="26"/>
        </w:rPr>
      </w:pPr>
      <w:r w:rsidRPr="005F551C">
        <w:rPr>
          <w:sz w:val="26"/>
          <w:szCs w:val="26"/>
        </w:rPr>
        <w:t xml:space="preserve">Lai nodrošinātu stabilu, drošu finanšu sektoru, kas atbalsta ekonomikas ilgtspējīgu attīstību, ir </w:t>
      </w:r>
      <w:r w:rsidR="00E037F8" w:rsidRPr="005F551C">
        <w:rPr>
          <w:sz w:val="26"/>
          <w:szCs w:val="26"/>
        </w:rPr>
        <w:t>jā</w:t>
      </w:r>
      <w:r w:rsidRPr="005F551C">
        <w:rPr>
          <w:sz w:val="26"/>
          <w:szCs w:val="26"/>
        </w:rPr>
        <w:t>koncentrē</w:t>
      </w:r>
      <w:r w:rsidR="00E037F8" w:rsidRPr="005F551C">
        <w:rPr>
          <w:sz w:val="26"/>
          <w:szCs w:val="26"/>
        </w:rPr>
        <w:t>jas</w:t>
      </w:r>
      <w:r w:rsidRPr="005F551C">
        <w:rPr>
          <w:sz w:val="26"/>
          <w:szCs w:val="26"/>
        </w:rPr>
        <w:t xml:space="preserve"> uz kvalitāt</w:t>
      </w:r>
      <w:r w:rsidR="00F60B11" w:rsidRPr="005F551C">
        <w:rPr>
          <w:sz w:val="26"/>
          <w:szCs w:val="26"/>
        </w:rPr>
        <w:t>es</w:t>
      </w:r>
      <w:r w:rsidR="00367451" w:rsidRPr="005F551C">
        <w:rPr>
          <w:sz w:val="26"/>
          <w:szCs w:val="26"/>
        </w:rPr>
        <w:t xml:space="preserve"> </w:t>
      </w:r>
      <w:r w:rsidR="00F60B11" w:rsidRPr="005F551C">
        <w:rPr>
          <w:sz w:val="26"/>
          <w:szCs w:val="26"/>
        </w:rPr>
        <w:t>pieaugumu</w:t>
      </w:r>
      <w:r w:rsidR="00162B46" w:rsidRPr="005F551C">
        <w:rPr>
          <w:sz w:val="26"/>
          <w:szCs w:val="26"/>
        </w:rPr>
        <w:t xml:space="preserve">, tajā skaitā veicot </w:t>
      </w:r>
      <w:r w:rsidR="00162B46" w:rsidRPr="005F551C">
        <w:rPr>
          <w:sz w:val="26"/>
          <w:szCs w:val="26"/>
        </w:rPr>
        <w:lastRenderedPageBreak/>
        <w:t>preventīvos pasākumus</w:t>
      </w:r>
      <w:r w:rsidRPr="005F551C">
        <w:rPr>
          <w:sz w:val="26"/>
          <w:szCs w:val="26"/>
        </w:rPr>
        <w:t>, savukārt, kvantitātes dinamikai ir jāatbilst spējai nodrošināt adekvātu risku pārvaldību.</w:t>
      </w:r>
      <w:r w:rsidR="003A0FB6" w:rsidRPr="005F551C">
        <w:rPr>
          <w:sz w:val="26"/>
          <w:szCs w:val="26"/>
        </w:rPr>
        <w:t xml:space="preserve"> </w:t>
      </w:r>
    </w:p>
    <w:p w:rsidR="00BF7EB7" w:rsidRPr="005F551C" w:rsidRDefault="00486959" w:rsidP="005F551C">
      <w:pPr>
        <w:ind w:firstLine="720"/>
        <w:jc w:val="both"/>
        <w:rPr>
          <w:sz w:val="26"/>
          <w:szCs w:val="26"/>
        </w:rPr>
      </w:pPr>
      <w:r>
        <w:rPr>
          <w:sz w:val="26"/>
          <w:szCs w:val="26"/>
        </w:rPr>
        <w:t>Ir veikti būtiski pasākumi</w:t>
      </w:r>
      <w:r w:rsidR="00FA6700" w:rsidRPr="005F551C">
        <w:rPr>
          <w:sz w:val="26"/>
          <w:szCs w:val="26"/>
        </w:rPr>
        <w:t xml:space="preserve"> finanšu sektora </w:t>
      </w:r>
      <w:r w:rsidR="00BF7EB7" w:rsidRPr="005F551C">
        <w:rPr>
          <w:sz w:val="26"/>
          <w:szCs w:val="26"/>
        </w:rPr>
        <w:t>politikas</w:t>
      </w:r>
      <w:r w:rsidR="00FA6700" w:rsidRPr="005F551C">
        <w:rPr>
          <w:sz w:val="26"/>
          <w:szCs w:val="26"/>
        </w:rPr>
        <w:t xml:space="preserve"> stiprināšanai</w:t>
      </w:r>
      <w:r w:rsidR="00BF7EB7" w:rsidRPr="005F551C">
        <w:rPr>
          <w:sz w:val="26"/>
          <w:szCs w:val="26"/>
        </w:rPr>
        <w:t xml:space="preserve">, </w:t>
      </w:r>
      <w:r w:rsidR="00FA6700" w:rsidRPr="005F551C">
        <w:rPr>
          <w:sz w:val="26"/>
          <w:szCs w:val="26"/>
        </w:rPr>
        <w:t xml:space="preserve">tostarp, </w:t>
      </w:r>
      <w:r w:rsidR="00BF7EB7" w:rsidRPr="005F551C">
        <w:rPr>
          <w:sz w:val="26"/>
          <w:szCs w:val="26"/>
        </w:rPr>
        <w:t>lai mazinātu neilgtspējīgu kredītpolitiku un aktīvu cenu bur</w:t>
      </w:r>
      <w:r w:rsidR="00FA6700" w:rsidRPr="005F551C">
        <w:rPr>
          <w:sz w:val="26"/>
          <w:szCs w:val="26"/>
        </w:rPr>
        <w:t>buļu veidošanās iespēju nākotnē.</w:t>
      </w:r>
      <w:r w:rsidR="00BF7EB7" w:rsidRPr="005F551C">
        <w:rPr>
          <w:sz w:val="26"/>
          <w:szCs w:val="26"/>
        </w:rPr>
        <w:t xml:space="preserve"> </w:t>
      </w:r>
      <w:r w:rsidR="00FA6700" w:rsidRPr="005F551C">
        <w:rPr>
          <w:sz w:val="26"/>
          <w:szCs w:val="26"/>
        </w:rPr>
        <w:t>T</w:t>
      </w:r>
      <w:r w:rsidR="00BF7EB7" w:rsidRPr="005F551C">
        <w:rPr>
          <w:sz w:val="26"/>
          <w:szCs w:val="26"/>
        </w:rPr>
        <w:t xml:space="preserve">ika ieviests kapitāla pieauguma nodoklis nekustamā īpašuma darījumiem un nekustamā īpašuma nodoklis mājoklim, noteikta maksimālā aizdevuma attiecība pret nodrošinājumu jaunajiem hipotekārajiem kredītiem, valsts tiesību aktos noteiktas prasības veikt stingru aizņēmēju ienākumu pārbaudi, pastiprināti banku sektora regulējumi attiecībā uz kapitāla pietiekamības novērtējuma procesu, kredītriska pārvaldības procedūrām, aktīvu kvalitāti un nodrošinājuma novērtējumu, izstrādātas mērķtiecīgas finanšu izglītības programmas un izveidots visaptverošs Kredītu reģistrs, kas nodrošina izkoptu sistēmu visaptverošai kredītriska novērtēšanai. </w:t>
      </w:r>
    </w:p>
    <w:p w:rsidR="00132F9D" w:rsidRPr="005F551C" w:rsidRDefault="00132F9D" w:rsidP="005F551C">
      <w:pPr>
        <w:ind w:firstLine="720"/>
        <w:jc w:val="both"/>
        <w:rPr>
          <w:color w:val="000000"/>
          <w:sz w:val="26"/>
          <w:szCs w:val="26"/>
        </w:rPr>
      </w:pPr>
      <w:r w:rsidRPr="005F551C">
        <w:rPr>
          <w:color w:val="000000"/>
          <w:sz w:val="26"/>
          <w:szCs w:val="26"/>
        </w:rPr>
        <w:t xml:space="preserve">Nozīmīgs solis uz priekšu iekšzemes politikas stiprināšanai ir </w:t>
      </w:r>
      <w:proofErr w:type="spellStart"/>
      <w:r w:rsidRPr="005F551C">
        <w:rPr>
          <w:color w:val="000000"/>
          <w:sz w:val="26"/>
          <w:szCs w:val="26"/>
        </w:rPr>
        <w:t>makrouzraudzības</w:t>
      </w:r>
      <w:proofErr w:type="spellEnd"/>
      <w:r w:rsidRPr="005F551C">
        <w:rPr>
          <w:color w:val="000000"/>
          <w:sz w:val="26"/>
          <w:szCs w:val="26"/>
        </w:rPr>
        <w:t xml:space="preserve"> institucionālā regulējuma izveide saskaņā ar Eiropas Sistēmisko risku kolēģijas ieteikumu</w:t>
      </w:r>
      <w:r w:rsidR="00917D96" w:rsidRPr="005F551C">
        <w:rPr>
          <w:rStyle w:val="FootnoteReference"/>
          <w:color w:val="000000"/>
          <w:sz w:val="26"/>
          <w:szCs w:val="26"/>
        </w:rPr>
        <w:footnoteReference w:id="3"/>
      </w:r>
      <w:r w:rsidRPr="005F551C">
        <w:rPr>
          <w:color w:val="000000"/>
          <w:sz w:val="26"/>
          <w:szCs w:val="26"/>
        </w:rPr>
        <w:t xml:space="preserve">. Darba ietvaros pie </w:t>
      </w:r>
      <w:proofErr w:type="spellStart"/>
      <w:r w:rsidRPr="005F551C">
        <w:rPr>
          <w:color w:val="000000"/>
          <w:sz w:val="26"/>
          <w:szCs w:val="26"/>
        </w:rPr>
        <w:t>makrouzraudzības</w:t>
      </w:r>
      <w:proofErr w:type="spellEnd"/>
      <w:r w:rsidRPr="005F551C">
        <w:rPr>
          <w:color w:val="000000"/>
          <w:sz w:val="26"/>
          <w:szCs w:val="26"/>
        </w:rPr>
        <w:t xml:space="preserve"> pārraudzības izveides 2013.gada 3.jūnijā starp Finanšu ministriju, Finanšu un kapitāla tirgus komisiju un Latvijas Banku ir noslēgta vienošanās par sadarbību finanšu stabilitātes veicināšanā. </w:t>
      </w:r>
    </w:p>
    <w:p w:rsidR="00896174" w:rsidRPr="005F551C" w:rsidRDefault="00486959" w:rsidP="005F551C">
      <w:pPr>
        <w:ind w:firstLine="720"/>
        <w:jc w:val="both"/>
        <w:rPr>
          <w:color w:val="000000"/>
          <w:sz w:val="26"/>
          <w:szCs w:val="26"/>
        </w:rPr>
      </w:pPr>
      <w:r>
        <w:rPr>
          <w:sz w:val="26"/>
          <w:szCs w:val="26"/>
        </w:rPr>
        <w:t>Tiek veikts darbs, lai mazinātu riskus</w:t>
      </w:r>
      <w:r w:rsidR="00BF7EB7" w:rsidRPr="005F551C">
        <w:rPr>
          <w:sz w:val="26"/>
          <w:szCs w:val="26"/>
        </w:rPr>
        <w:t xml:space="preserve"> </w:t>
      </w:r>
      <w:r w:rsidR="00F1399E" w:rsidRPr="005F551C">
        <w:rPr>
          <w:sz w:val="26"/>
          <w:szCs w:val="26"/>
        </w:rPr>
        <w:t>– kredītrisk</w:t>
      </w:r>
      <w:r>
        <w:rPr>
          <w:sz w:val="26"/>
          <w:szCs w:val="26"/>
        </w:rPr>
        <w:t>u</w:t>
      </w:r>
      <w:r w:rsidR="00F1399E" w:rsidRPr="005F551C">
        <w:rPr>
          <w:sz w:val="26"/>
          <w:szCs w:val="26"/>
        </w:rPr>
        <w:t xml:space="preserve">, likviditātes un finansējuma risku, tirgus risku, </w:t>
      </w:r>
      <w:proofErr w:type="spellStart"/>
      <w:r w:rsidR="00F1399E" w:rsidRPr="005F551C">
        <w:rPr>
          <w:sz w:val="26"/>
          <w:szCs w:val="26"/>
        </w:rPr>
        <w:t>rekapitalizācijas</w:t>
      </w:r>
      <w:proofErr w:type="spellEnd"/>
      <w:r w:rsidR="00F1399E" w:rsidRPr="005F551C">
        <w:rPr>
          <w:sz w:val="26"/>
          <w:szCs w:val="26"/>
        </w:rPr>
        <w:t xml:space="preserve"> risku, valsts iespējamo saistību apjoma pieauguma, ko rada pieaugošā nodrošināto nerezidentu noguldījumu bāze, risku, noziedzīgi iegūto līdzekļu legalizācijas risku, negatīvas ietekmes uz valsts kredītreitingu risku – </w:t>
      </w:r>
      <w:r w:rsidR="00BF7EB7" w:rsidRPr="005F551C">
        <w:rPr>
          <w:sz w:val="26"/>
          <w:szCs w:val="26"/>
        </w:rPr>
        <w:t xml:space="preserve">saistībā ar nerezidentu noguldījumiem </w:t>
      </w:r>
      <w:r w:rsidR="007C1828" w:rsidRPr="005F551C">
        <w:rPr>
          <w:sz w:val="26"/>
          <w:szCs w:val="26"/>
        </w:rPr>
        <w:t>Latvijas kredītiestāžu sektorā</w:t>
      </w:r>
      <w:r w:rsidR="00BF7EB7" w:rsidRPr="005F551C">
        <w:rPr>
          <w:sz w:val="26"/>
          <w:szCs w:val="26"/>
        </w:rPr>
        <w:t>.</w:t>
      </w:r>
      <w:r w:rsidR="00BF7EB7" w:rsidRPr="005F551C">
        <w:rPr>
          <w:color w:val="000000"/>
          <w:sz w:val="26"/>
          <w:szCs w:val="26"/>
        </w:rPr>
        <w:t xml:space="preserve"> </w:t>
      </w:r>
      <w:r w:rsidR="007C1828" w:rsidRPr="005F551C">
        <w:rPr>
          <w:color w:val="000000"/>
          <w:sz w:val="26"/>
          <w:szCs w:val="26"/>
        </w:rPr>
        <w:t>Šim nolūkam k</w:t>
      </w:r>
      <w:r w:rsidR="00401E37" w:rsidRPr="005F551C">
        <w:rPr>
          <w:sz w:val="26"/>
          <w:szCs w:val="26"/>
        </w:rPr>
        <w:t>redītiestādēm</w:t>
      </w:r>
      <w:r w:rsidR="00BF7EB7" w:rsidRPr="005F551C">
        <w:rPr>
          <w:sz w:val="26"/>
          <w:szCs w:val="26"/>
        </w:rPr>
        <w:t xml:space="preserve">, kuru darbība ir balstīta uz </w:t>
      </w:r>
      <w:r w:rsidR="00EB6247" w:rsidRPr="005F551C">
        <w:rPr>
          <w:sz w:val="26"/>
          <w:szCs w:val="26"/>
        </w:rPr>
        <w:t>nerezidentu noguldījumiem</w:t>
      </w:r>
      <w:r w:rsidR="00BF7EB7" w:rsidRPr="005F551C">
        <w:rPr>
          <w:sz w:val="26"/>
          <w:szCs w:val="26"/>
        </w:rPr>
        <w:t>, ir papild</w:t>
      </w:r>
      <w:r w:rsidR="007C1828" w:rsidRPr="005F551C">
        <w:rPr>
          <w:sz w:val="26"/>
          <w:szCs w:val="26"/>
        </w:rPr>
        <w:t xml:space="preserve">us piemērotas stingrākas </w:t>
      </w:r>
      <w:r w:rsidR="00BF7EB7" w:rsidRPr="005F551C">
        <w:rPr>
          <w:sz w:val="26"/>
          <w:szCs w:val="26"/>
        </w:rPr>
        <w:t>prasības attiecībā u</w:t>
      </w:r>
      <w:r w:rsidR="007C1828" w:rsidRPr="005F551C">
        <w:rPr>
          <w:sz w:val="26"/>
          <w:szCs w:val="26"/>
        </w:rPr>
        <w:t>z kapitālu un likviditāti, kuras tiek</w:t>
      </w:r>
      <w:r w:rsidR="00BF7EB7" w:rsidRPr="005F551C">
        <w:rPr>
          <w:sz w:val="26"/>
          <w:szCs w:val="26"/>
        </w:rPr>
        <w:t xml:space="preserve"> regulāri</w:t>
      </w:r>
      <w:r w:rsidR="007C1828" w:rsidRPr="005F551C">
        <w:rPr>
          <w:sz w:val="26"/>
          <w:szCs w:val="26"/>
        </w:rPr>
        <w:t xml:space="preserve"> pārskatītas</w:t>
      </w:r>
      <w:r w:rsidR="00BF7EB7" w:rsidRPr="005F551C">
        <w:rPr>
          <w:sz w:val="26"/>
          <w:szCs w:val="26"/>
        </w:rPr>
        <w:t xml:space="preserve">, lai nodrošinātu, ka jebkurš risku pieaugums ir pienācīgi atspoguļots kapitāla </w:t>
      </w:r>
      <w:r w:rsidR="007C1828" w:rsidRPr="005F551C">
        <w:rPr>
          <w:sz w:val="26"/>
          <w:szCs w:val="26"/>
        </w:rPr>
        <w:t xml:space="preserve">un likviditātes papildinājumos. Notiek darbs pie </w:t>
      </w:r>
      <w:r w:rsidR="002B2ACA" w:rsidRPr="005F551C">
        <w:rPr>
          <w:sz w:val="26"/>
          <w:szCs w:val="26"/>
        </w:rPr>
        <w:t xml:space="preserve">pārbaužu veikšanas </w:t>
      </w:r>
      <w:r w:rsidR="00BF7EB7" w:rsidRPr="005F551C">
        <w:rPr>
          <w:sz w:val="26"/>
          <w:szCs w:val="26"/>
        </w:rPr>
        <w:t>regulējum</w:t>
      </w:r>
      <w:r w:rsidR="007C1828" w:rsidRPr="005F551C">
        <w:rPr>
          <w:sz w:val="26"/>
          <w:szCs w:val="26"/>
        </w:rPr>
        <w:t>a uzlabošanas</w:t>
      </w:r>
      <w:r w:rsidR="00BF7EB7" w:rsidRPr="005F551C">
        <w:rPr>
          <w:sz w:val="26"/>
          <w:szCs w:val="26"/>
        </w:rPr>
        <w:t xml:space="preserve"> </w:t>
      </w:r>
      <w:r w:rsidR="007C1828" w:rsidRPr="005F551C">
        <w:rPr>
          <w:sz w:val="26"/>
          <w:szCs w:val="26"/>
        </w:rPr>
        <w:t>attālināti un uz vietas. Ir īstenoti</w:t>
      </w:r>
      <w:r w:rsidR="007C1828" w:rsidRPr="005F551C">
        <w:rPr>
          <w:color w:val="000000"/>
          <w:sz w:val="26"/>
          <w:szCs w:val="26"/>
        </w:rPr>
        <w:t xml:space="preserve"> pasākumi atbildīgo institūciju rīcībā esošo</w:t>
      </w:r>
      <w:r w:rsidR="00BF7EB7" w:rsidRPr="005F551C">
        <w:rPr>
          <w:color w:val="000000"/>
          <w:sz w:val="26"/>
          <w:szCs w:val="26"/>
        </w:rPr>
        <w:t xml:space="preserve"> analītisko un stresa testē</w:t>
      </w:r>
      <w:r w:rsidR="007C1828" w:rsidRPr="005F551C">
        <w:rPr>
          <w:color w:val="000000"/>
          <w:sz w:val="26"/>
          <w:szCs w:val="26"/>
        </w:rPr>
        <w:t>šanas instrumentu klāsta uzlabošanai</w:t>
      </w:r>
      <w:r w:rsidR="00BF7EB7" w:rsidRPr="005F551C">
        <w:rPr>
          <w:color w:val="000000"/>
          <w:sz w:val="26"/>
          <w:szCs w:val="26"/>
        </w:rPr>
        <w:t xml:space="preserve"> un </w:t>
      </w:r>
      <w:proofErr w:type="spellStart"/>
      <w:r w:rsidR="00BF7EB7" w:rsidRPr="005F551C">
        <w:rPr>
          <w:color w:val="000000"/>
          <w:sz w:val="26"/>
          <w:szCs w:val="26"/>
        </w:rPr>
        <w:t>makrouzraudzības</w:t>
      </w:r>
      <w:proofErr w:type="spellEnd"/>
      <w:r w:rsidR="00BF7EB7" w:rsidRPr="005F551C">
        <w:rPr>
          <w:color w:val="000000"/>
          <w:sz w:val="26"/>
          <w:szCs w:val="26"/>
        </w:rPr>
        <w:t xml:space="preserve"> risku konstatēšanai. </w:t>
      </w:r>
    </w:p>
    <w:p w:rsidR="00C057CE" w:rsidRPr="005F551C" w:rsidRDefault="00C057CE" w:rsidP="005F551C">
      <w:pPr>
        <w:ind w:firstLine="720"/>
        <w:jc w:val="both"/>
        <w:rPr>
          <w:color w:val="000000"/>
          <w:sz w:val="26"/>
          <w:szCs w:val="26"/>
        </w:rPr>
      </w:pPr>
      <w:r w:rsidRPr="005F551C">
        <w:rPr>
          <w:color w:val="000000"/>
          <w:sz w:val="26"/>
          <w:szCs w:val="26"/>
        </w:rPr>
        <w:t>Kā liecina FKTK un Latvijas Bankas sniegtā informācija, ar nerezidentu apkalpošanu saistītie riski šobrīd tiek adekvāti pārvaldīti un kontrolēti, tomēr ir nepieciešams turpināt iesākto darbu pie nerezidentu kredītiestāžu segmenta drošības, stabilitātes un prognozējamības pilnveides. Šis mērķis ir ņemts vērā, tostarp, izstrādājot Plānā iekļautos preventīvos finanšu sektora attīstības pasākumus</w:t>
      </w:r>
    </w:p>
    <w:p w:rsidR="00DE1687" w:rsidRPr="005F551C" w:rsidRDefault="007C1828" w:rsidP="005F551C">
      <w:pPr>
        <w:ind w:firstLine="720"/>
        <w:jc w:val="both"/>
        <w:rPr>
          <w:color w:val="000000"/>
          <w:sz w:val="26"/>
          <w:szCs w:val="26"/>
        </w:rPr>
      </w:pPr>
      <w:r w:rsidRPr="005F551C">
        <w:rPr>
          <w:color w:val="000000"/>
          <w:sz w:val="26"/>
          <w:szCs w:val="26"/>
        </w:rPr>
        <w:t>Tiek</w:t>
      </w:r>
      <w:r w:rsidR="00401E37" w:rsidRPr="005F551C">
        <w:rPr>
          <w:color w:val="000000"/>
          <w:sz w:val="26"/>
          <w:szCs w:val="26"/>
        </w:rPr>
        <w:t xml:space="preserve"> plānots</w:t>
      </w:r>
      <w:r w:rsidR="00BF7EB7" w:rsidRPr="005F551C">
        <w:rPr>
          <w:color w:val="000000"/>
          <w:sz w:val="26"/>
          <w:szCs w:val="26"/>
        </w:rPr>
        <w:t xml:space="preserve"> </w:t>
      </w:r>
      <w:r w:rsidRPr="005F551C">
        <w:rPr>
          <w:color w:val="000000"/>
          <w:sz w:val="26"/>
          <w:szCs w:val="26"/>
        </w:rPr>
        <w:t>tu</w:t>
      </w:r>
      <w:r w:rsidR="00486959">
        <w:rPr>
          <w:color w:val="000000"/>
          <w:sz w:val="26"/>
          <w:szCs w:val="26"/>
        </w:rPr>
        <w:t>rpināt</w:t>
      </w:r>
      <w:r w:rsidR="00BF7EB7" w:rsidRPr="005F551C">
        <w:rPr>
          <w:color w:val="000000"/>
          <w:sz w:val="26"/>
          <w:szCs w:val="26"/>
        </w:rPr>
        <w:t xml:space="preserve"> stiprināt </w:t>
      </w:r>
      <w:r w:rsidR="00951B49" w:rsidRPr="005F551C">
        <w:rPr>
          <w:color w:val="000000"/>
          <w:sz w:val="26"/>
          <w:szCs w:val="26"/>
        </w:rPr>
        <w:t xml:space="preserve">šobrīd </w:t>
      </w:r>
      <w:r w:rsidR="002B2ACA" w:rsidRPr="005F551C">
        <w:rPr>
          <w:color w:val="000000"/>
          <w:sz w:val="26"/>
          <w:szCs w:val="26"/>
        </w:rPr>
        <w:t>pastāvošos</w:t>
      </w:r>
      <w:r w:rsidR="00BF7EB7" w:rsidRPr="005F551C">
        <w:rPr>
          <w:color w:val="000000"/>
          <w:sz w:val="26"/>
          <w:szCs w:val="26"/>
        </w:rPr>
        <w:t xml:space="preserve"> regulatīvos pasākumus, lai apkarotu naudas atmazgāšanas iespējas caur Latvijas finanšu sektoru. Tajā pašā laikā ne mazāka vērība ir jāpievērš uzraudzības ietvara prasību praktiskajai piemērojamībai. </w:t>
      </w:r>
      <w:r w:rsidRPr="005F551C">
        <w:rPr>
          <w:color w:val="000000"/>
          <w:sz w:val="26"/>
          <w:szCs w:val="26"/>
        </w:rPr>
        <w:t>Šī mērķa sasniegšanai ir nepieciešams</w:t>
      </w:r>
      <w:r w:rsidR="00BF7EB7" w:rsidRPr="005F551C">
        <w:rPr>
          <w:color w:val="000000"/>
          <w:sz w:val="26"/>
          <w:szCs w:val="26"/>
        </w:rPr>
        <w:t xml:space="preserve"> stiprināt </w:t>
      </w:r>
      <w:r w:rsidR="00486959">
        <w:rPr>
          <w:color w:val="000000"/>
          <w:sz w:val="26"/>
          <w:szCs w:val="26"/>
        </w:rPr>
        <w:t>kompetento</w:t>
      </w:r>
      <w:r w:rsidR="00BF7EB7" w:rsidRPr="005F551C">
        <w:rPr>
          <w:color w:val="000000"/>
          <w:sz w:val="26"/>
          <w:szCs w:val="26"/>
        </w:rPr>
        <w:t xml:space="preserve"> institūciju kapacitāti, lai nodrošinātu, ka tirgus dalībnieki </w:t>
      </w:r>
      <w:r w:rsidR="00735CB1" w:rsidRPr="005F551C">
        <w:rPr>
          <w:color w:val="000000"/>
          <w:sz w:val="26"/>
          <w:szCs w:val="26"/>
        </w:rPr>
        <w:t>rūpīgāk</w:t>
      </w:r>
      <w:r w:rsidR="00BF7EB7" w:rsidRPr="005F551C">
        <w:rPr>
          <w:color w:val="000000"/>
          <w:sz w:val="26"/>
          <w:szCs w:val="26"/>
        </w:rPr>
        <w:t xml:space="preserve"> ievēro spēkā esošās regulējošās  prasības.</w:t>
      </w:r>
    </w:p>
    <w:p w:rsidR="00124201" w:rsidRPr="005F551C" w:rsidRDefault="00124201" w:rsidP="005F551C">
      <w:pPr>
        <w:ind w:firstLine="720"/>
        <w:jc w:val="both"/>
        <w:rPr>
          <w:color w:val="000000"/>
          <w:sz w:val="26"/>
          <w:szCs w:val="26"/>
        </w:rPr>
      </w:pPr>
      <w:r w:rsidRPr="005F551C">
        <w:rPr>
          <w:color w:val="000000"/>
          <w:sz w:val="26"/>
          <w:szCs w:val="26"/>
        </w:rPr>
        <w:lastRenderedPageBreak/>
        <w:t>Kapitālā tirgus jomā ir identificēti pasākumi vērtspapīru tirgus attīstības jomā, ietverot caurskatāmu valsts kapitāla daļu atsavināšanas veicināšanu un publiskā piedāvājuma vai akciju kotācijas iespēju izmantošanu, lai sekmētu valsts īpašuma labāku pārvaldīšanu un realizāciju. Svarīga ir arī turpmāka iekšzemes valsts vērstpapīru tirgus sekmēšana un korporat</w:t>
      </w:r>
      <w:r w:rsidR="00E847BC" w:rsidRPr="005F551C">
        <w:rPr>
          <w:color w:val="000000"/>
          <w:sz w:val="26"/>
          <w:szCs w:val="26"/>
        </w:rPr>
        <w:t>īvo parāda vērtspapīru popularizēšana, kas sniegtu ieguldījumu korporatīvās pārvaldības un caurskatāmības uzlabošanā.</w:t>
      </w:r>
    </w:p>
    <w:p w:rsidR="00003F1C" w:rsidRPr="005F551C" w:rsidRDefault="00D76E52" w:rsidP="005F551C">
      <w:pPr>
        <w:ind w:firstLine="720"/>
        <w:jc w:val="both"/>
        <w:rPr>
          <w:color w:val="000000"/>
          <w:sz w:val="26"/>
          <w:szCs w:val="26"/>
        </w:rPr>
      </w:pPr>
      <w:r>
        <w:rPr>
          <w:color w:val="000000"/>
          <w:sz w:val="26"/>
          <w:szCs w:val="26"/>
        </w:rPr>
        <w:t xml:space="preserve">Tieslietu jomā pasākumi ietver </w:t>
      </w:r>
      <w:r w:rsidR="00F4014B" w:rsidRPr="005F551C">
        <w:rPr>
          <w:color w:val="000000"/>
          <w:sz w:val="26"/>
          <w:szCs w:val="26"/>
        </w:rPr>
        <w:t>-</w:t>
      </w:r>
      <w:r w:rsidR="00003F1C" w:rsidRPr="005F551C">
        <w:rPr>
          <w:color w:val="000000"/>
          <w:sz w:val="26"/>
          <w:szCs w:val="26"/>
        </w:rPr>
        <w:t xml:space="preserve"> tiesnešu kvalifikācijas celšan</w:t>
      </w:r>
      <w:r>
        <w:rPr>
          <w:color w:val="000000"/>
          <w:sz w:val="26"/>
          <w:szCs w:val="26"/>
        </w:rPr>
        <w:t>u</w:t>
      </w:r>
      <w:r w:rsidR="00003F1C" w:rsidRPr="005F551C">
        <w:rPr>
          <w:color w:val="000000"/>
          <w:sz w:val="26"/>
          <w:szCs w:val="26"/>
        </w:rPr>
        <w:t xml:space="preserve"> un specializācijas veicināšan</w:t>
      </w:r>
      <w:r>
        <w:rPr>
          <w:color w:val="000000"/>
          <w:sz w:val="26"/>
          <w:szCs w:val="26"/>
        </w:rPr>
        <w:t>u</w:t>
      </w:r>
      <w:r w:rsidR="00003F1C" w:rsidRPr="005F551C">
        <w:rPr>
          <w:color w:val="000000"/>
          <w:sz w:val="26"/>
          <w:szCs w:val="26"/>
        </w:rPr>
        <w:t>, finanšu strīdu izskatīšanas mehānismu pilnveidošan</w:t>
      </w:r>
      <w:r>
        <w:rPr>
          <w:color w:val="000000"/>
          <w:sz w:val="26"/>
          <w:szCs w:val="26"/>
        </w:rPr>
        <w:t>u</w:t>
      </w:r>
      <w:r w:rsidR="00003F1C" w:rsidRPr="005F551C">
        <w:rPr>
          <w:color w:val="000000"/>
          <w:sz w:val="26"/>
          <w:szCs w:val="26"/>
        </w:rPr>
        <w:t xml:space="preserve"> un ieguldītāju (akcionāru) tiesību aizsardzības pilnveidošan</w:t>
      </w:r>
      <w:r>
        <w:rPr>
          <w:color w:val="000000"/>
          <w:sz w:val="26"/>
          <w:szCs w:val="26"/>
        </w:rPr>
        <w:t>u</w:t>
      </w:r>
      <w:r w:rsidR="00003F1C" w:rsidRPr="005F551C">
        <w:rPr>
          <w:color w:val="000000"/>
          <w:sz w:val="26"/>
          <w:szCs w:val="26"/>
        </w:rPr>
        <w:t xml:space="preserve"> un stiprināšan</w:t>
      </w:r>
      <w:r>
        <w:rPr>
          <w:color w:val="000000"/>
          <w:sz w:val="26"/>
          <w:szCs w:val="26"/>
        </w:rPr>
        <w:t>u</w:t>
      </w:r>
      <w:r w:rsidR="00003F1C" w:rsidRPr="005F551C">
        <w:rPr>
          <w:color w:val="000000"/>
          <w:sz w:val="26"/>
          <w:szCs w:val="26"/>
        </w:rPr>
        <w:t xml:space="preserve">. </w:t>
      </w:r>
      <w:r w:rsidR="00F062B9" w:rsidRPr="005F551C">
        <w:rPr>
          <w:color w:val="000000"/>
          <w:sz w:val="26"/>
          <w:szCs w:val="26"/>
        </w:rPr>
        <w:t xml:space="preserve">Viens no aktuāliem jautājumiem ir normatīvā regulējuma pilnveidošana, lai ierobežotu mājokļu īpašnieku parādu uzkrāšanu. </w:t>
      </w:r>
    </w:p>
    <w:p w:rsidR="00891BBC" w:rsidRPr="005F551C" w:rsidRDefault="00F062B9" w:rsidP="005F551C">
      <w:pPr>
        <w:autoSpaceDE w:val="0"/>
        <w:autoSpaceDN w:val="0"/>
        <w:adjustRightInd w:val="0"/>
        <w:ind w:firstLine="720"/>
        <w:jc w:val="both"/>
        <w:rPr>
          <w:sz w:val="26"/>
          <w:szCs w:val="26"/>
          <w:u w:val="single"/>
        </w:rPr>
      </w:pPr>
      <w:r w:rsidRPr="005F551C">
        <w:rPr>
          <w:color w:val="000000"/>
          <w:sz w:val="26"/>
          <w:szCs w:val="26"/>
        </w:rPr>
        <w:t xml:space="preserve">Plāns ietver finanšu pakalpojumu daudzveidībai svarīgus </w:t>
      </w:r>
      <w:proofErr w:type="spellStart"/>
      <w:r w:rsidRPr="005F551C">
        <w:rPr>
          <w:color w:val="000000"/>
          <w:sz w:val="26"/>
          <w:szCs w:val="26"/>
        </w:rPr>
        <w:t>nebanku</w:t>
      </w:r>
      <w:proofErr w:type="spellEnd"/>
      <w:r w:rsidRPr="005F551C">
        <w:rPr>
          <w:color w:val="000000"/>
          <w:sz w:val="26"/>
          <w:szCs w:val="26"/>
        </w:rPr>
        <w:t xml:space="preserve"> finanšu institūciju pasākumus, dažādojot alternat</w:t>
      </w:r>
      <w:r w:rsidR="00891BBC" w:rsidRPr="005F551C">
        <w:rPr>
          <w:color w:val="000000"/>
          <w:sz w:val="26"/>
          <w:szCs w:val="26"/>
        </w:rPr>
        <w:t xml:space="preserve">īvus, uz attīstību vērstus </w:t>
      </w:r>
      <w:r w:rsidRPr="005F551C">
        <w:rPr>
          <w:color w:val="000000"/>
          <w:sz w:val="26"/>
          <w:szCs w:val="26"/>
        </w:rPr>
        <w:t>finansējuma veidus, t.sk.</w:t>
      </w:r>
      <w:r w:rsidR="00891BBC" w:rsidRPr="005F551C">
        <w:rPr>
          <w:color w:val="000000"/>
          <w:sz w:val="26"/>
          <w:szCs w:val="26"/>
        </w:rPr>
        <w:t xml:space="preserve"> sekmējot riska kapitāla nozares attīstību, kā arī izvērtējot iespējas vidēja un ilgtermiņa  eksporta kredīta garantiju instrumenta ieviešanai.</w:t>
      </w:r>
      <w:r w:rsidR="00891BBC" w:rsidRPr="005F551C">
        <w:rPr>
          <w:rFonts w:cs="Times New Roman"/>
          <w:bCs/>
          <w:sz w:val="26"/>
          <w:szCs w:val="26"/>
        </w:rPr>
        <w:t xml:space="preserve"> Tāpat arī nepieciešams privātā sektora kreditēšanas atbalstam izmantoto valsts programmu un finanšu instrumentu tvērumu un klāstu pielāgot faktisko tirgus nepilnību efektīvai kompensēšanai.</w:t>
      </w:r>
      <w:r w:rsidR="00891BBC" w:rsidRPr="005F551C">
        <w:rPr>
          <w:rFonts w:cs="Times New Roman"/>
          <w:color w:val="000000"/>
          <w:sz w:val="26"/>
          <w:szCs w:val="26"/>
        </w:rPr>
        <w:t xml:space="preserve"> Alternatīvā finansējuma un kapitāla tir</w:t>
      </w:r>
      <w:r w:rsidR="00D76E52">
        <w:rPr>
          <w:rFonts w:cs="Times New Roman"/>
          <w:color w:val="000000"/>
          <w:sz w:val="26"/>
          <w:szCs w:val="26"/>
        </w:rPr>
        <w:t xml:space="preserve">gus attīstībā būtiska loma būs Attīstības finanšu institūcijai (turpmāk – </w:t>
      </w:r>
      <w:r w:rsidR="00891BBC" w:rsidRPr="005F551C">
        <w:rPr>
          <w:rFonts w:cs="Times New Roman"/>
          <w:color w:val="000000"/>
          <w:sz w:val="26"/>
          <w:szCs w:val="26"/>
        </w:rPr>
        <w:t>AFI</w:t>
      </w:r>
      <w:r w:rsidR="00D76E52">
        <w:rPr>
          <w:rFonts w:cs="Times New Roman"/>
          <w:color w:val="000000"/>
          <w:sz w:val="26"/>
          <w:szCs w:val="26"/>
        </w:rPr>
        <w:t>)</w:t>
      </w:r>
      <w:r w:rsidR="00891BBC" w:rsidRPr="005F551C">
        <w:rPr>
          <w:rFonts w:cs="Times New Roman"/>
          <w:color w:val="000000"/>
          <w:sz w:val="26"/>
          <w:szCs w:val="26"/>
        </w:rPr>
        <w:t>. Nepieciešams, lai AFI mērķtiecīgi piesaista finansējumu ne tikai no ES fondu līdzekļiem, bet arī no vietējiem institucionālajiem investoriem. Tādējādi vietējos institucionālo investoru uzkrātos līdzekļus būtu iespējams sekmīgi izmantot Latvijas ekonomikas ilgtermiņa finansējuma vajadzību nodrošināšanai, radot pozitīvu efektu gan uz kapitāla tirgus attīstību, gan uz tautsaimniecību kopumā.</w:t>
      </w:r>
    </w:p>
    <w:p w:rsidR="00493F62" w:rsidRPr="005F551C" w:rsidRDefault="00F4014B" w:rsidP="005F551C">
      <w:pPr>
        <w:ind w:firstLine="720"/>
        <w:jc w:val="both"/>
        <w:rPr>
          <w:color w:val="000000"/>
          <w:sz w:val="26"/>
          <w:szCs w:val="26"/>
        </w:rPr>
      </w:pPr>
      <w:r w:rsidRPr="005F551C">
        <w:rPr>
          <w:color w:val="000000"/>
          <w:sz w:val="26"/>
          <w:szCs w:val="26"/>
        </w:rPr>
        <w:t xml:space="preserve">Plānā </w:t>
      </w:r>
      <w:r w:rsidR="003C1904">
        <w:rPr>
          <w:color w:val="000000"/>
          <w:sz w:val="26"/>
          <w:szCs w:val="26"/>
        </w:rPr>
        <w:t>paredzēts</w:t>
      </w:r>
      <w:r w:rsidR="00BC4A24" w:rsidRPr="005F551C">
        <w:rPr>
          <w:color w:val="000000"/>
          <w:sz w:val="26"/>
          <w:szCs w:val="26"/>
        </w:rPr>
        <w:t xml:space="preserve"> </w:t>
      </w:r>
      <w:r w:rsidR="00F062B9" w:rsidRPr="005F551C">
        <w:rPr>
          <w:color w:val="000000"/>
          <w:sz w:val="26"/>
          <w:szCs w:val="26"/>
        </w:rPr>
        <w:t xml:space="preserve">pilnveidot </w:t>
      </w:r>
      <w:proofErr w:type="spellStart"/>
      <w:r w:rsidR="00F062B9" w:rsidRPr="005F551C">
        <w:rPr>
          <w:color w:val="000000"/>
          <w:sz w:val="26"/>
          <w:szCs w:val="26"/>
        </w:rPr>
        <w:t>krājaizdevu</w:t>
      </w:r>
      <w:proofErr w:type="spellEnd"/>
      <w:r w:rsidR="00F062B9" w:rsidRPr="005F551C">
        <w:rPr>
          <w:color w:val="000000"/>
          <w:sz w:val="26"/>
          <w:szCs w:val="26"/>
        </w:rPr>
        <w:t xml:space="preserve"> sabiedrību normatīvo regulējumu, lai novērstu pastāvošās tiesiskās nepilnības, kas konstatētas </w:t>
      </w:r>
      <w:proofErr w:type="spellStart"/>
      <w:r w:rsidR="00F062B9" w:rsidRPr="005F551C">
        <w:rPr>
          <w:color w:val="000000"/>
          <w:sz w:val="26"/>
          <w:szCs w:val="26"/>
        </w:rPr>
        <w:t>krājaizdevu</w:t>
      </w:r>
      <w:proofErr w:type="spellEnd"/>
      <w:r w:rsidR="00F062B9" w:rsidRPr="005F551C">
        <w:rPr>
          <w:color w:val="000000"/>
          <w:sz w:val="26"/>
          <w:szCs w:val="26"/>
        </w:rPr>
        <w:t xml:space="preserve"> sabiedrību licencēšanas un uzraudzības procesā, identificējot un, līdzsvarojot ar atbilstošiem riska mazināšanas un pienācīgas uzraudzības pasākumiem, iespēju robežās novēršot nepilnības/šķēršļus normatīvajā regulējumā.</w:t>
      </w:r>
      <w:r w:rsidR="0019451D" w:rsidRPr="005F551C">
        <w:rPr>
          <w:color w:val="000000"/>
          <w:sz w:val="26"/>
          <w:szCs w:val="26"/>
        </w:rPr>
        <w:t xml:space="preserve"> </w:t>
      </w:r>
    </w:p>
    <w:p w:rsidR="00891BBC" w:rsidRPr="005F551C" w:rsidRDefault="00891BBC" w:rsidP="005F551C">
      <w:pPr>
        <w:ind w:firstLine="720"/>
        <w:jc w:val="both"/>
        <w:rPr>
          <w:color w:val="000000"/>
          <w:sz w:val="26"/>
          <w:szCs w:val="26"/>
        </w:rPr>
      </w:pPr>
      <w:r w:rsidRPr="005F551C">
        <w:rPr>
          <w:color w:val="000000"/>
          <w:sz w:val="26"/>
          <w:szCs w:val="26"/>
        </w:rPr>
        <w:t xml:space="preserve">Plānā ir uzsvērta </w:t>
      </w:r>
      <w:r w:rsidR="00D76E52">
        <w:rPr>
          <w:color w:val="000000"/>
          <w:sz w:val="26"/>
          <w:szCs w:val="26"/>
        </w:rPr>
        <w:t xml:space="preserve">finanšu </w:t>
      </w:r>
      <w:proofErr w:type="spellStart"/>
      <w:r w:rsidR="00D76E52">
        <w:rPr>
          <w:color w:val="000000"/>
          <w:sz w:val="26"/>
          <w:szCs w:val="26"/>
        </w:rPr>
        <w:t>pratības</w:t>
      </w:r>
      <w:proofErr w:type="spellEnd"/>
      <w:r w:rsidR="00D76E52">
        <w:rPr>
          <w:color w:val="000000"/>
          <w:sz w:val="26"/>
          <w:szCs w:val="26"/>
        </w:rPr>
        <w:t xml:space="preserve"> līmeņa pakāpeniska paaugstināšana</w:t>
      </w:r>
      <w:r w:rsidR="00E677EE" w:rsidRPr="005F551C">
        <w:rPr>
          <w:color w:val="000000"/>
          <w:sz w:val="26"/>
          <w:szCs w:val="26"/>
        </w:rPr>
        <w:t xml:space="preserve">, mērķtiecīgi realizējot Latvijas sabiedrības finanšu </w:t>
      </w:r>
      <w:proofErr w:type="spellStart"/>
      <w:r w:rsidR="00E677EE" w:rsidRPr="005F551C">
        <w:rPr>
          <w:color w:val="000000"/>
          <w:sz w:val="26"/>
          <w:szCs w:val="26"/>
        </w:rPr>
        <w:t>pratības</w:t>
      </w:r>
      <w:proofErr w:type="spellEnd"/>
      <w:r w:rsidR="00E677EE" w:rsidRPr="005F551C">
        <w:rPr>
          <w:color w:val="000000"/>
          <w:sz w:val="26"/>
          <w:szCs w:val="26"/>
        </w:rPr>
        <w:t xml:space="preserve"> stratēģiju, lai samazinātu patērētāju </w:t>
      </w:r>
      <w:proofErr w:type="spellStart"/>
      <w:r w:rsidR="00E677EE" w:rsidRPr="005F551C">
        <w:rPr>
          <w:color w:val="000000"/>
          <w:sz w:val="26"/>
          <w:szCs w:val="26"/>
        </w:rPr>
        <w:t>kredītslogu</w:t>
      </w:r>
      <w:proofErr w:type="spellEnd"/>
      <w:r w:rsidR="00E677EE" w:rsidRPr="005F551C">
        <w:rPr>
          <w:color w:val="000000"/>
          <w:sz w:val="26"/>
          <w:szCs w:val="26"/>
        </w:rPr>
        <w:t xml:space="preserve"> un veicinātu izpratni par patērētāja tiesībām un pienākumiem.</w:t>
      </w:r>
    </w:p>
    <w:p w:rsidR="006823B4" w:rsidRPr="005F551C" w:rsidRDefault="00393A6A" w:rsidP="005F551C">
      <w:pPr>
        <w:ind w:firstLine="720"/>
        <w:jc w:val="both"/>
        <w:rPr>
          <w:sz w:val="26"/>
          <w:szCs w:val="26"/>
        </w:rPr>
      </w:pPr>
      <w:r w:rsidRPr="005F551C">
        <w:rPr>
          <w:sz w:val="26"/>
          <w:szCs w:val="26"/>
        </w:rPr>
        <w:t>K</w:t>
      </w:r>
      <w:r w:rsidR="003D5FBB" w:rsidRPr="005F551C">
        <w:rPr>
          <w:sz w:val="26"/>
          <w:szCs w:val="26"/>
        </w:rPr>
        <w:t>opējos tautsaimniecības attīstības virzienus nosaka Latvijas Nacionālais attīstības plāns 2014.-2020.gadam, kas ir apstiprināts Saeimā 2012.gada 20.decembrī</w:t>
      </w:r>
      <w:r w:rsidR="00373DC0" w:rsidRPr="005F551C">
        <w:rPr>
          <w:sz w:val="26"/>
          <w:szCs w:val="26"/>
        </w:rPr>
        <w:t>, (turpmāk - NAP)</w:t>
      </w:r>
      <w:r w:rsidR="003D5FBB" w:rsidRPr="005F551C">
        <w:rPr>
          <w:sz w:val="26"/>
          <w:szCs w:val="26"/>
        </w:rPr>
        <w:t>. Šī plāna 105.punktā</w:t>
      </w:r>
      <w:r w:rsidR="008700DC" w:rsidRPr="005F551C">
        <w:rPr>
          <w:sz w:val="26"/>
          <w:szCs w:val="26"/>
          <w:vertAlign w:val="superscript"/>
        </w:rPr>
        <w:footnoteReference w:id="4"/>
      </w:r>
      <w:r w:rsidR="003D5FBB" w:rsidRPr="005F551C">
        <w:rPr>
          <w:sz w:val="26"/>
          <w:szCs w:val="26"/>
        </w:rPr>
        <w:t xml:space="preserve"> ir noteikts, ka valsts iedzīvotāju labklājības pieaugumu var nodrošināt kapitāla un investīciju (gan iekšējo, gan ārējo) piesaiste eksportspējīgajiem ražojošajiem un pakalpojumu sniedzošajiem sektoriem, ražošanas modernizācija un eksporta pieaugums. Pieaugot ražošanai, kas spēs radīt augstu pievienoto vērtību, augs ar to tieši un pakārtoti saistītās nozares. Arī darba vietu pieaugumu, galvenokārt, radīs nevis ražīga (modernizēta un automatizēta) rūpniecība, bet to atbalstošie uzņēmumi. Pakalpojumu sektorā jāsekmē tā eksportspēja un starptautiskā konkurētspēja, kā </w:t>
      </w:r>
      <w:r w:rsidR="003D5FBB" w:rsidRPr="005F551C">
        <w:rPr>
          <w:sz w:val="26"/>
          <w:szCs w:val="26"/>
        </w:rPr>
        <w:lastRenderedPageBreak/>
        <w:t xml:space="preserve">arī jāizmanto iegūtās zināšanas un prasmes tajos sektoros, kas jau dod nozīmīgu pienesumu </w:t>
      </w:r>
      <w:r w:rsidR="008700DC" w:rsidRPr="005F551C">
        <w:rPr>
          <w:sz w:val="26"/>
          <w:szCs w:val="26"/>
        </w:rPr>
        <w:t>iekšzemes kopproduktam (</w:t>
      </w:r>
      <w:r w:rsidR="003D5FBB" w:rsidRPr="005F551C">
        <w:rPr>
          <w:sz w:val="26"/>
          <w:szCs w:val="26"/>
        </w:rPr>
        <w:t>IKP</w:t>
      </w:r>
      <w:r w:rsidR="008700DC" w:rsidRPr="005F551C">
        <w:rPr>
          <w:sz w:val="26"/>
          <w:szCs w:val="26"/>
        </w:rPr>
        <w:t>)</w:t>
      </w:r>
      <w:r w:rsidR="003D5FBB" w:rsidRPr="005F551C">
        <w:rPr>
          <w:sz w:val="26"/>
          <w:szCs w:val="26"/>
        </w:rPr>
        <w:t xml:space="preserve">. Finanšu apkalpošana, loģistika un tranzīts ir nozares, kurās ir uzkrātas zināšanas un atbilstošs potenciāls </w:t>
      </w:r>
      <w:proofErr w:type="spellStart"/>
      <w:r w:rsidR="003D5FBB" w:rsidRPr="005F551C">
        <w:rPr>
          <w:sz w:val="26"/>
          <w:szCs w:val="26"/>
        </w:rPr>
        <w:t>cilvēkkapitālam</w:t>
      </w:r>
      <w:proofErr w:type="spellEnd"/>
      <w:r w:rsidR="003D5FBB" w:rsidRPr="005F551C">
        <w:rPr>
          <w:sz w:val="26"/>
          <w:szCs w:val="26"/>
        </w:rPr>
        <w:t>, kā arī ir ģeogrāfiskie un citi priekšnosacījumi, kas tieši Latvijā ļauj šīm nozarēm saglabāt eksportspēju un turpināt attīstīties.</w:t>
      </w:r>
      <w:r w:rsidR="003D5FBB" w:rsidRPr="005F551C">
        <w:rPr>
          <w:b/>
          <w:sz w:val="26"/>
          <w:szCs w:val="26"/>
        </w:rPr>
        <w:t xml:space="preserve"> </w:t>
      </w:r>
      <w:r w:rsidR="003D5FBB" w:rsidRPr="005F551C">
        <w:rPr>
          <w:sz w:val="26"/>
          <w:szCs w:val="26"/>
        </w:rPr>
        <w:t xml:space="preserve">Secinām, ka valsts </w:t>
      </w:r>
      <w:r w:rsidR="00B54031" w:rsidRPr="005F551C">
        <w:rPr>
          <w:sz w:val="26"/>
          <w:szCs w:val="26"/>
        </w:rPr>
        <w:t xml:space="preserve">politikas plānošanas dokumentos, konkrēti, </w:t>
      </w:r>
      <w:r w:rsidR="00373DC0" w:rsidRPr="005F551C">
        <w:rPr>
          <w:sz w:val="26"/>
          <w:szCs w:val="26"/>
        </w:rPr>
        <w:t>NAP</w:t>
      </w:r>
      <w:r w:rsidR="00B54031" w:rsidRPr="005F551C">
        <w:rPr>
          <w:sz w:val="26"/>
          <w:szCs w:val="26"/>
        </w:rPr>
        <w:t xml:space="preserve"> </w:t>
      </w:r>
      <w:r w:rsidR="003D5FBB" w:rsidRPr="005F551C">
        <w:rPr>
          <w:sz w:val="26"/>
          <w:szCs w:val="26"/>
        </w:rPr>
        <w:t xml:space="preserve">jau ir definēti priekšnoteikumi finanšu sektora attīstībai un atzinīgi novērtēts </w:t>
      </w:r>
      <w:proofErr w:type="spellStart"/>
      <w:r w:rsidR="003D5FBB" w:rsidRPr="005F551C">
        <w:rPr>
          <w:sz w:val="26"/>
          <w:szCs w:val="26"/>
        </w:rPr>
        <w:t>cilvēkkapitāla</w:t>
      </w:r>
      <w:proofErr w:type="spellEnd"/>
      <w:r w:rsidR="003D5FBB" w:rsidRPr="005F551C">
        <w:rPr>
          <w:sz w:val="26"/>
          <w:szCs w:val="26"/>
        </w:rPr>
        <w:t xml:space="preserve"> potenciāls finanšu apkalpošanas nozarē, tajā skaitā arī nerezidentu apkalpošanā</w:t>
      </w:r>
      <w:r w:rsidR="00B54031" w:rsidRPr="005F551C">
        <w:rPr>
          <w:sz w:val="26"/>
          <w:szCs w:val="26"/>
        </w:rPr>
        <w:t>.</w:t>
      </w:r>
      <w:r w:rsidR="00B20269" w:rsidRPr="005F551C">
        <w:rPr>
          <w:sz w:val="26"/>
          <w:szCs w:val="26"/>
        </w:rPr>
        <w:t xml:space="preserve"> </w:t>
      </w:r>
    </w:p>
    <w:p w:rsidR="006061BC" w:rsidRPr="005F551C" w:rsidRDefault="00917D96" w:rsidP="005F551C">
      <w:pPr>
        <w:ind w:firstLine="720"/>
        <w:jc w:val="both"/>
        <w:rPr>
          <w:color w:val="000000" w:themeColor="text1"/>
          <w:sz w:val="26"/>
          <w:szCs w:val="26"/>
        </w:rPr>
      </w:pPr>
      <w:r w:rsidRPr="005F551C">
        <w:rPr>
          <w:color w:val="000000" w:themeColor="text1"/>
          <w:sz w:val="26"/>
          <w:szCs w:val="26"/>
        </w:rPr>
        <w:t>F</w:t>
      </w:r>
      <w:r w:rsidR="00CD5695" w:rsidRPr="005F551C">
        <w:rPr>
          <w:color w:val="000000" w:themeColor="text1"/>
          <w:sz w:val="26"/>
          <w:szCs w:val="26"/>
        </w:rPr>
        <w:t>inanšu sektora attīstības kontekstā ir jāņem vērā vispārīgie principi, kas noteikti</w:t>
      </w:r>
      <w:r w:rsidR="0089737F" w:rsidRPr="005F551C">
        <w:rPr>
          <w:color w:val="000000" w:themeColor="text1"/>
          <w:sz w:val="26"/>
          <w:szCs w:val="26"/>
        </w:rPr>
        <w:t xml:space="preserve"> kapitāla brīvai apritei, piemēram,</w:t>
      </w:r>
      <w:r w:rsidR="00B20269" w:rsidRPr="005F551C">
        <w:rPr>
          <w:color w:val="000000" w:themeColor="text1"/>
          <w:sz w:val="26"/>
          <w:szCs w:val="26"/>
        </w:rPr>
        <w:t xml:space="preserve"> Līguma par Eiropas Savienības darbību (turpmāk – LESD) 26.panta 2.punktā, 58.panta 2.punktā, 63. – 65.pantos ir definētas prasības kapitāla brīvai kustībai un aizliegums to ierobežot. Kompetentas valsts institūcijas nav tiesīgas </w:t>
      </w:r>
      <w:r w:rsidR="0089737F" w:rsidRPr="005F551C">
        <w:rPr>
          <w:color w:val="000000" w:themeColor="text1"/>
          <w:sz w:val="26"/>
          <w:szCs w:val="26"/>
        </w:rPr>
        <w:t>ierobežot kapitāla apriti</w:t>
      </w:r>
      <w:r w:rsidR="00B20269" w:rsidRPr="005F551C">
        <w:rPr>
          <w:color w:val="000000" w:themeColor="text1"/>
          <w:sz w:val="26"/>
          <w:szCs w:val="26"/>
        </w:rPr>
        <w:t xml:space="preserve">, bet to pienākums ir nodrošināt pilnvērtīgu Eiropas Savienības tiesību aktu pārņemšanu nacionālajās tiesībās, lai nodrošinātu šīs kapitāla aprites drošu un uzticamu darbību, vienlaikus ievērojot Eiropas Savienības tiesību aktos noteiktās prasības un ierobežojumus, piemēram, Eiropas Parlamenta un Padomes 2005.gada 26.oktobra Direktīva 2005/60/EK par to, lai nepieļautu finanšu sistēmas izmantošanu nelikumīgi iegūtu līdzekļu legalizēšanai un teroristu finansēšanai, Eiropas Parlamenta un Padomes 2007.gada 13.novembra Direktīva 2007/64/EK par maksājumu pakalpojumiem iekšējā tirgū, ar ko groza direktīvas 97/7/EK, 2002/65/EK, 2005/60/EK un 2006/48/EK un atceļ direktīvu 97/5/EK, Eiropas Parlamenta un Padomes 2013.gada 26.jūnija Direktīva 2013/36/ES par piekļuvi kredītiestāžu darbībai un kredītiestāžu un ieguldījumu brokeru sabiedrību </w:t>
      </w:r>
      <w:proofErr w:type="spellStart"/>
      <w:r w:rsidR="00B20269" w:rsidRPr="005F551C">
        <w:rPr>
          <w:color w:val="000000" w:themeColor="text1"/>
          <w:sz w:val="26"/>
          <w:szCs w:val="26"/>
        </w:rPr>
        <w:t>prudenciālo</w:t>
      </w:r>
      <w:proofErr w:type="spellEnd"/>
      <w:r w:rsidR="00B20269" w:rsidRPr="005F551C">
        <w:rPr>
          <w:color w:val="000000" w:themeColor="text1"/>
          <w:sz w:val="26"/>
          <w:szCs w:val="26"/>
        </w:rPr>
        <w:t xml:space="preserve"> uzraudzību, ar ko groza Direktīvu 2002/87/EK un atceļ Direktīvas 2006/48/EK un 2006/49/EK, Eiropas Parlamenta un Padomes 2013.gada 26.jūnija Regula (ES) Nr.575/2013 par </w:t>
      </w:r>
      <w:proofErr w:type="spellStart"/>
      <w:r w:rsidR="00B20269" w:rsidRPr="005F551C">
        <w:rPr>
          <w:color w:val="000000" w:themeColor="text1"/>
          <w:sz w:val="26"/>
          <w:szCs w:val="26"/>
        </w:rPr>
        <w:t>prudenciālajām</w:t>
      </w:r>
      <w:proofErr w:type="spellEnd"/>
      <w:r w:rsidR="00B20269" w:rsidRPr="005F551C">
        <w:rPr>
          <w:color w:val="000000" w:themeColor="text1"/>
          <w:sz w:val="26"/>
          <w:szCs w:val="26"/>
        </w:rPr>
        <w:t xml:space="preserve"> prasībām attiecībā uz kredītiestādēm un ieguldījumu brokeru sabiedrībām, un ar ko groza Regulu (ES) Nr.648/2012 kā arī citu Eiropas Savienības līmeņa  tiesību aktu prasības. Līdz ar to kompetentām iestādēm ir pienākums rūpēties par visas finanšu sistēmas drošu darbību kopumā.</w:t>
      </w:r>
    </w:p>
    <w:p w:rsidR="001800B6" w:rsidRPr="005F551C" w:rsidRDefault="001800B6" w:rsidP="005F551C">
      <w:pPr>
        <w:ind w:firstLine="720"/>
        <w:jc w:val="both"/>
        <w:rPr>
          <w:sz w:val="26"/>
          <w:szCs w:val="26"/>
          <w:highlight w:val="yellow"/>
        </w:rPr>
      </w:pPr>
    </w:p>
    <w:p w:rsidR="001D70DD" w:rsidRDefault="00277391" w:rsidP="001D70DD">
      <w:pPr>
        <w:ind w:firstLine="720"/>
        <w:jc w:val="center"/>
        <w:rPr>
          <w:sz w:val="26"/>
          <w:szCs w:val="26"/>
          <w:u w:val="single"/>
        </w:rPr>
      </w:pPr>
      <w:r w:rsidRPr="005F551C">
        <w:rPr>
          <w:sz w:val="26"/>
          <w:szCs w:val="26"/>
          <w:u w:val="single"/>
        </w:rPr>
        <w:t>4.</w:t>
      </w:r>
      <w:r w:rsidR="006061BC" w:rsidRPr="005F551C">
        <w:rPr>
          <w:sz w:val="26"/>
          <w:szCs w:val="26"/>
          <w:u w:val="single"/>
        </w:rPr>
        <w:t>Dalība Banku Savienībā</w:t>
      </w:r>
    </w:p>
    <w:p w:rsidR="001D70DD" w:rsidRDefault="001D70DD" w:rsidP="005F551C">
      <w:pPr>
        <w:ind w:firstLine="720"/>
        <w:jc w:val="both"/>
        <w:rPr>
          <w:sz w:val="26"/>
          <w:szCs w:val="26"/>
          <w:u w:val="single"/>
        </w:rPr>
      </w:pPr>
    </w:p>
    <w:p w:rsidR="00486D90" w:rsidRPr="00486D90" w:rsidRDefault="00674431" w:rsidP="00486D90">
      <w:pPr>
        <w:ind w:firstLine="720"/>
        <w:jc w:val="both"/>
        <w:rPr>
          <w:sz w:val="26"/>
          <w:szCs w:val="26"/>
        </w:rPr>
      </w:pPr>
      <w:r w:rsidRPr="005F551C">
        <w:rPr>
          <w:sz w:val="26"/>
          <w:szCs w:val="26"/>
        </w:rPr>
        <w:t xml:space="preserve">2012.gada jūnijā iniciētās Eiropas Ekonomiskās un monetārās </w:t>
      </w:r>
      <w:r w:rsidR="00602FC0">
        <w:rPr>
          <w:sz w:val="26"/>
          <w:szCs w:val="26"/>
        </w:rPr>
        <w:t>S</w:t>
      </w:r>
      <w:r w:rsidRPr="005F551C">
        <w:rPr>
          <w:sz w:val="26"/>
          <w:szCs w:val="26"/>
        </w:rPr>
        <w:t xml:space="preserve">avienības (EMS) reformas viens no pamatelementiem ir </w:t>
      </w:r>
      <w:r w:rsidR="00D76E52">
        <w:rPr>
          <w:sz w:val="26"/>
          <w:szCs w:val="26"/>
        </w:rPr>
        <w:t>B</w:t>
      </w:r>
      <w:r w:rsidRPr="005F551C">
        <w:rPr>
          <w:sz w:val="26"/>
          <w:szCs w:val="26"/>
        </w:rPr>
        <w:t xml:space="preserve">anku </w:t>
      </w:r>
      <w:r w:rsidR="00D76E52">
        <w:rPr>
          <w:sz w:val="26"/>
          <w:szCs w:val="26"/>
        </w:rPr>
        <w:t>S</w:t>
      </w:r>
      <w:r w:rsidRPr="005F551C">
        <w:rPr>
          <w:sz w:val="26"/>
          <w:szCs w:val="26"/>
        </w:rPr>
        <w:t xml:space="preserve">avienības jeb integrētās finanšu sistēmas izveide </w:t>
      </w:r>
      <w:proofErr w:type="spellStart"/>
      <w:r w:rsidRPr="005F551C">
        <w:rPr>
          <w:sz w:val="26"/>
          <w:szCs w:val="26"/>
        </w:rPr>
        <w:t>eirozonas</w:t>
      </w:r>
      <w:proofErr w:type="spellEnd"/>
      <w:r w:rsidRPr="005F551C">
        <w:rPr>
          <w:sz w:val="26"/>
          <w:szCs w:val="26"/>
        </w:rPr>
        <w:t xml:space="preserve"> valstu blokā. Latvijas nostāja un apņemšanās šīs reformas gaitā skatāma no EMS dalībvalsts pozīcijas, kas izriet no uzaicinājuma pievienoties vienotās valūtas blokam ar </w:t>
      </w:r>
      <w:r w:rsidR="00CA588D" w:rsidRPr="005F551C">
        <w:rPr>
          <w:sz w:val="26"/>
          <w:szCs w:val="26"/>
        </w:rPr>
        <w:t>2014.gada 1.janvāri.</w:t>
      </w:r>
      <w:r w:rsidR="00486D90">
        <w:rPr>
          <w:sz w:val="26"/>
          <w:szCs w:val="26"/>
        </w:rPr>
        <w:t xml:space="preserve"> </w:t>
      </w:r>
      <w:r w:rsidR="00486D90" w:rsidRPr="00486D90">
        <w:rPr>
          <w:sz w:val="26"/>
          <w:szCs w:val="26"/>
        </w:rPr>
        <w:t xml:space="preserve">Izmantojot Eiropas Savienības (turpmāk – ES) iekšējā tirgus 28 dalībvalstīm kopīgo tiesisko regulējumu (vienotu noteikumu kopumu), EK ir ierosinājusi dažādus instrumentus un pasākumus Banku </w:t>
      </w:r>
      <w:r w:rsidR="00486D90">
        <w:rPr>
          <w:sz w:val="26"/>
          <w:szCs w:val="26"/>
        </w:rPr>
        <w:t>S</w:t>
      </w:r>
      <w:r w:rsidR="00486D90" w:rsidRPr="00486D90">
        <w:rPr>
          <w:sz w:val="26"/>
          <w:szCs w:val="26"/>
        </w:rPr>
        <w:t>avienības izveidei, kas ir potenciāli atvērta dalībai visām dalībvalstīm, bet jebkurā gadījumā ietver pašreizējās 18 eiro zonas dalībvalstis.</w:t>
      </w:r>
    </w:p>
    <w:p w:rsidR="00674431" w:rsidRPr="005F551C" w:rsidRDefault="00674431" w:rsidP="005F551C">
      <w:pPr>
        <w:ind w:firstLine="720"/>
        <w:jc w:val="both"/>
        <w:rPr>
          <w:sz w:val="26"/>
          <w:szCs w:val="26"/>
        </w:rPr>
      </w:pPr>
      <w:r w:rsidRPr="005F551C">
        <w:rPr>
          <w:sz w:val="26"/>
          <w:szCs w:val="26"/>
        </w:rPr>
        <w:t xml:space="preserve">Pirmais solis šajā procesā ir Vienota uzraudzības mehānisma izveide, uzticot Eiropas Centrālai bankai (ECB) noteiktus ar kredītiestāžu uzraudzību saistītus uzdevumus, lai atjaunotu uzticību ES uzraudzības augstajam </w:t>
      </w:r>
      <w:r w:rsidRPr="005F551C">
        <w:rPr>
          <w:sz w:val="26"/>
          <w:szCs w:val="26"/>
        </w:rPr>
        <w:lastRenderedPageBreak/>
        <w:t xml:space="preserve">standartam, ņemtu vērā banku sektora integrācijas pakāpes ietekmi uz ES, bet īpaši </w:t>
      </w:r>
      <w:proofErr w:type="spellStart"/>
      <w:r w:rsidRPr="005F551C">
        <w:rPr>
          <w:sz w:val="26"/>
          <w:szCs w:val="26"/>
        </w:rPr>
        <w:t>eirozonas</w:t>
      </w:r>
      <w:proofErr w:type="spellEnd"/>
      <w:r w:rsidRPr="005F551C">
        <w:rPr>
          <w:sz w:val="26"/>
          <w:szCs w:val="26"/>
        </w:rPr>
        <w:t xml:space="preserve"> finanšu stabilitāti un radītu priekšnoteikumu </w:t>
      </w:r>
      <w:proofErr w:type="spellStart"/>
      <w:r w:rsidRPr="005F551C">
        <w:rPr>
          <w:sz w:val="26"/>
          <w:szCs w:val="26"/>
        </w:rPr>
        <w:t>eirozonas</w:t>
      </w:r>
      <w:proofErr w:type="spellEnd"/>
      <w:r w:rsidRPr="005F551C">
        <w:rPr>
          <w:sz w:val="26"/>
          <w:szCs w:val="26"/>
        </w:rPr>
        <w:t xml:space="preserve"> valstu piekļuvei Eiropas Stabilitātes mehānisma līdzekļiem to banku sektora stabilizācijai (tiešai </w:t>
      </w:r>
      <w:proofErr w:type="spellStart"/>
      <w:r w:rsidRPr="005F551C">
        <w:rPr>
          <w:sz w:val="26"/>
          <w:szCs w:val="26"/>
        </w:rPr>
        <w:t>rekapitalizācijai</w:t>
      </w:r>
      <w:proofErr w:type="spellEnd"/>
      <w:r w:rsidRPr="005F551C">
        <w:rPr>
          <w:sz w:val="26"/>
          <w:szCs w:val="26"/>
        </w:rPr>
        <w:t xml:space="preserve">), neuzņemoties papildus valsts parāda slogu. </w:t>
      </w:r>
      <w:r w:rsidR="00F071C4" w:rsidRPr="005F551C">
        <w:rPr>
          <w:sz w:val="26"/>
          <w:szCs w:val="26"/>
        </w:rPr>
        <w:t>2013.gada 29.oktobrī ES Oficiālajā vēstnesī ir nopublicētas Vienoto uzraudzības mehānismu veidojošās regulas</w:t>
      </w:r>
      <w:r w:rsidR="00F071C4" w:rsidRPr="005F551C">
        <w:rPr>
          <w:rStyle w:val="FootnoteReference"/>
          <w:sz w:val="26"/>
          <w:szCs w:val="26"/>
        </w:rPr>
        <w:footnoteReference w:id="5"/>
      </w:r>
      <w:r w:rsidR="00F071C4" w:rsidRPr="005F551C">
        <w:rPr>
          <w:sz w:val="26"/>
          <w:szCs w:val="26"/>
        </w:rPr>
        <w:t xml:space="preserve">, kas </w:t>
      </w:r>
      <w:r w:rsidRPr="005F551C">
        <w:rPr>
          <w:sz w:val="26"/>
          <w:szCs w:val="26"/>
        </w:rPr>
        <w:t>paredz</w:t>
      </w:r>
      <w:r w:rsidR="003D4841" w:rsidRPr="005F551C">
        <w:rPr>
          <w:sz w:val="26"/>
          <w:szCs w:val="26"/>
        </w:rPr>
        <w:t xml:space="preserve">, ka </w:t>
      </w:r>
      <w:r w:rsidRPr="005F551C">
        <w:rPr>
          <w:sz w:val="26"/>
          <w:szCs w:val="26"/>
        </w:rPr>
        <w:t xml:space="preserve">ECB pilnā mērā uzsākt savu uzdevumu izpildi </w:t>
      </w:r>
      <w:r w:rsidR="00F071C4" w:rsidRPr="005F551C">
        <w:rPr>
          <w:sz w:val="26"/>
          <w:szCs w:val="26"/>
        </w:rPr>
        <w:t>ar 2014.gada 4.novembri</w:t>
      </w:r>
      <w:r w:rsidRPr="005F551C">
        <w:rPr>
          <w:sz w:val="26"/>
          <w:szCs w:val="26"/>
        </w:rPr>
        <w:t>.</w:t>
      </w:r>
    </w:p>
    <w:p w:rsidR="00674431" w:rsidRPr="005F551C" w:rsidRDefault="0019219A" w:rsidP="005F551C">
      <w:pPr>
        <w:ind w:firstLine="720"/>
        <w:jc w:val="both"/>
        <w:rPr>
          <w:sz w:val="26"/>
          <w:szCs w:val="26"/>
        </w:rPr>
      </w:pPr>
      <w:r w:rsidRPr="005F551C">
        <w:rPr>
          <w:sz w:val="26"/>
          <w:szCs w:val="26"/>
        </w:rPr>
        <w:t>Tādējādi tiek noteikta</w:t>
      </w:r>
      <w:r w:rsidR="00674431" w:rsidRPr="005F551C">
        <w:rPr>
          <w:sz w:val="26"/>
          <w:szCs w:val="26"/>
        </w:rPr>
        <w:t xml:space="preserve"> gan kompetentās uzraudzības iestādes darb</w:t>
      </w:r>
      <w:r w:rsidRPr="005F551C">
        <w:rPr>
          <w:sz w:val="26"/>
          <w:szCs w:val="26"/>
        </w:rPr>
        <w:t>īb</w:t>
      </w:r>
      <w:r w:rsidR="00674431" w:rsidRPr="005F551C">
        <w:rPr>
          <w:sz w:val="26"/>
          <w:szCs w:val="26"/>
        </w:rPr>
        <w:t xml:space="preserve">a </w:t>
      </w:r>
      <w:r w:rsidRPr="005F551C">
        <w:rPr>
          <w:sz w:val="26"/>
          <w:szCs w:val="26"/>
        </w:rPr>
        <w:t xml:space="preserve">kā </w:t>
      </w:r>
      <w:r w:rsidR="00674431" w:rsidRPr="005F551C">
        <w:rPr>
          <w:sz w:val="26"/>
          <w:szCs w:val="26"/>
        </w:rPr>
        <w:t>atbilstīg</w:t>
      </w:r>
      <w:r w:rsidRPr="005F551C">
        <w:rPr>
          <w:sz w:val="26"/>
          <w:szCs w:val="26"/>
        </w:rPr>
        <w:t>a</w:t>
      </w:r>
      <w:r w:rsidR="00674431" w:rsidRPr="005F551C">
        <w:rPr>
          <w:sz w:val="26"/>
          <w:szCs w:val="26"/>
        </w:rPr>
        <w:t xml:space="preserve"> un savlaicīg</w:t>
      </w:r>
      <w:r w:rsidRPr="005F551C">
        <w:rPr>
          <w:sz w:val="26"/>
          <w:szCs w:val="26"/>
        </w:rPr>
        <w:t>a</w:t>
      </w:r>
      <w:r w:rsidR="00674431" w:rsidRPr="005F551C">
        <w:rPr>
          <w:sz w:val="26"/>
          <w:szCs w:val="26"/>
        </w:rPr>
        <w:t xml:space="preserve"> plānošan</w:t>
      </w:r>
      <w:r w:rsidRPr="005F551C">
        <w:rPr>
          <w:sz w:val="26"/>
          <w:szCs w:val="26"/>
        </w:rPr>
        <w:t>a</w:t>
      </w:r>
      <w:r w:rsidR="00674431" w:rsidRPr="005F551C">
        <w:rPr>
          <w:sz w:val="26"/>
          <w:szCs w:val="26"/>
        </w:rPr>
        <w:t>, sadarbības un informācijas un datu apmaiņ</w:t>
      </w:r>
      <w:r w:rsidRPr="005F551C">
        <w:rPr>
          <w:sz w:val="26"/>
          <w:szCs w:val="26"/>
        </w:rPr>
        <w:t>as kanālu un procedūru pārstrāde</w:t>
      </w:r>
      <w:r w:rsidR="00674431" w:rsidRPr="005F551C">
        <w:rPr>
          <w:sz w:val="26"/>
          <w:szCs w:val="26"/>
        </w:rPr>
        <w:t>, tirgus dalībnieku augst</w:t>
      </w:r>
      <w:r w:rsidRPr="005F551C">
        <w:rPr>
          <w:sz w:val="26"/>
          <w:szCs w:val="26"/>
        </w:rPr>
        <w:t>a gatavības pakāpe</w:t>
      </w:r>
      <w:r w:rsidR="00674431" w:rsidRPr="005F551C">
        <w:rPr>
          <w:sz w:val="26"/>
          <w:szCs w:val="26"/>
        </w:rPr>
        <w:t xml:space="preserve"> iespējamām izmaiņām to uzraudzības kārtībā un uzraudzības funkciju sedzamo izmaksu daļas apmērā, kā arī veicinā</w:t>
      </w:r>
      <w:r w:rsidRPr="005F551C">
        <w:rPr>
          <w:sz w:val="26"/>
          <w:szCs w:val="26"/>
        </w:rPr>
        <w:t>ta</w:t>
      </w:r>
      <w:r w:rsidR="00674431" w:rsidRPr="005F551C">
        <w:rPr>
          <w:sz w:val="26"/>
          <w:szCs w:val="26"/>
        </w:rPr>
        <w:t xml:space="preserve"> pietiekamas izpratnes un kompetences veidošan</w:t>
      </w:r>
      <w:r w:rsidRPr="005F551C">
        <w:rPr>
          <w:sz w:val="26"/>
          <w:szCs w:val="26"/>
        </w:rPr>
        <w:t>a</w:t>
      </w:r>
      <w:r w:rsidR="00674431" w:rsidRPr="005F551C">
        <w:rPr>
          <w:sz w:val="26"/>
          <w:szCs w:val="26"/>
        </w:rPr>
        <w:t xml:space="preserve"> ECB par diferencētai ikdienas uzraudzībai pakļautajām Latvijas teritorijā </w:t>
      </w:r>
      <w:r w:rsidR="003D4841" w:rsidRPr="005F551C">
        <w:rPr>
          <w:sz w:val="26"/>
          <w:szCs w:val="26"/>
        </w:rPr>
        <w:t>esošām</w:t>
      </w:r>
      <w:r w:rsidR="00674431" w:rsidRPr="005F551C">
        <w:rPr>
          <w:sz w:val="26"/>
          <w:szCs w:val="26"/>
        </w:rPr>
        <w:t xml:space="preserve"> kredītiestādēm.</w:t>
      </w:r>
    </w:p>
    <w:p w:rsidR="00674431" w:rsidRPr="00333FF9" w:rsidRDefault="00674431" w:rsidP="005F551C">
      <w:pPr>
        <w:ind w:firstLine="720"/>
        <w:jc w:val="both"/>
        <w:rPr>
          <w:sz w:val="26"/>
          <w:szCs w:val="26"/>
        </w:rPr>
      </w:pPr>
      <w:r w:rsidRPr="00333FF9">
        <w:rPr>
          <w:sz w:val="26"/>
          <w:szCs w:val="26"/>
        </w:rPr>
        <w:t>Otrais solis integrētas finanšu sistēmas izveides procesā ir Vienota noregulējuma mehānisma izveide, kas tiks balstīt</w:t>
      </w:r>
      <w:r w:rsidR="0025180D" w:rsidRPr="00333FF9">
        <w:rPr>
          <w:sz w:val="26"/>
          <w:szCs w:val="26"/>
        </w:rPr>
        <w:t>a</w:t>
      </w:r>
      <w:r w:rsidRPr="00333FF9">
        <w:rPr>
          <w:sz w:val="26"/>
          <w:szCs w:val="26"/>
        </w:rPr>
        <w:t xml:space="preserve"> uz Kredītiestāžu un ieguldījumu sabiedrību sanācijas un noregulējuma </w:t>
      </w:r>
      <w:r w:rsidR="0025180D" w:rsidRPr="00333FF9">
        <w:rPr>
          <w:sz w:val="26"/>
          <w:szCs w:val="26"/>
        </w:rPr>
        <w:t>direktīvas</w:t>
      </w:r>
      <w:r w:rsidR="004F5D3E" w:rsidRPr="00333FF9">
        <w:rPr>
          <w:rStyle w:val="FootnoteReference"/>
          <w:sz w:val="26"/>
          <w:szCs w:val="26"/>
        </w:rPr>
        <w:footnoteReference w:id="6"/>
      </w:r>
      <w:r w:rsidR="0025180D" w:rsidRPr="00333FF9">
        <w:rPr>
          <w:sz w:val="26"/>
          <w:szCs w:val="26"/>
        </w:rPr>
        <w:t xml:space="preserve"> un Eiropas Parlamenta un Padomes Regulas, ar ko izveido vienādus noteikumus un vienotu procedūru kredītiestāžu un noteiktu ieguldījumu brokeru sabiedrību noregulējumam, izmantojot vienotu noregulējuma mehānismu un vienotu banku noregulējuma fondu</w:t>
      </w:r>
      <w:r w:rsidR="0025180D" w:rsidRPr="00333FF9">
        <w:rPr>
          <w:rStyle w:val="FootnoteReference"/>
          <w:sz w:val="26"/>
          <w:szCs w:val="26"/>
        </w:rPr>
        <w:footnoteReference w:id="7"/>
      </w:r>
      <w:r w:rsidRPr="00333FF9">
        <w:rPr>
          <w:sz w:val="26"/>
          <w:szCs w:val="26"/>
        </w:rPr>
        <w:t xml:space="preserve">. Direktīvas projekts ir atbilde uz šķēršļiem un nepilnībām, ar kurām ES dalībvalstis </w:t>
      </w:r>
      <w:proofErr w:type="spellStart"/>
      <w:r w:rsidRPr="00333FF9">
        <w:rPr>
          <w:sz w:val="26"/>
          <w:szCs w:val="26"/>
        </w:rPr>
        <w:t>saskārās</w:t>
      </w:r>
      <w:proofErr w:type="spellEnd"/>
      <w:r w:rsidRPr="00333FF9">
        <w:rPr>
          <w:sz w:val="26"/>
          <w:szCs w:val="26"/>
        </w:rPr>
        <w:t xml:space="preserve"> nesenās finanšu krīzes laikā, plānojot un īstenojot kredītiestāžu grupu pārrobežu noregulējumu, un tās mērķis ir līdz minimumam samazināt slogu uz valsti un nodokļu maksātājiem par kredītiestāžu finansiālo stabilitāti</w:t>
      </w:r>
      <w:r w:rsidR="00307543" w:rsidRPr="00333FF9">
        <w:rPr>
          <w:sz w:val="26"/>
          <w:szCs w:val="26"/>
        </w:rPr>
        <w:t xml:space="preserve"> un nākotnes krīžu noregulējumu. Savukārt, </w:t>
      </w:r>
      <w:r w:rsidR="004F5D3E" w:rsidRPr="00333FF9">
        <w:rPr>
          <w:sz w:val="26"/>
          <w:szCs w:val="26"/>
        </w:rPr>
        <w:t>2013.gada 10.jūlijā Eiropas Komisija publicēja priekšlikumu Eiropas Parlamenta un Padomes Regulai, ar ko izveido vienādus noteikumus un vienotu procedūru kredītiestāžu un noteiktu ieguldījumu brokeru sabiedrību noregulējumam, izmantojot vienotu noregulējuma mehānismu un vienotu banku noregulējuma fondu</w:t>
      </w:r>
      <w:r w:rsidR="004F5D3E" w:rsidRPr="00333FF9">
        <w:rPr>
          <w:rStyle w:val="FootnoteReference"/>
          <w:sz w:val="26"/>
          <w:szCs w:val="26"/>
        </w:rPr>
        <w:footnoteReference w:id="8"/>
      </w:r>
      <w:r w:rsidR="00307543" w:rsidRPr="00333FF9">
        <w:rPr>
          <w:sz w:val="26"/>
          <w:szCs w:val="26"/>
        </w:rPr>
        <w:t>.</w:t>
      </w:r>
    </w:p>
    <w:p w:rsidR="009E4E15" w:rsidRPr="00333FF9" w:rsidRDefault="00285959" w:rsidP="005F551C">
      <w:pPr>
        <w:ind w:firstLine="720"/>
        <w:jc w:val="both"/>
        <w:rPr>
          <w:sz w:val="26"/>
          <w:szCs w:val="26"/>
        </w:rPr>
      </w:pPr>
      <w:r w:rsidRPr="00333FF9">
        <w:rPr>
          <w:sz w:val="26"/>
          <w:szCs w:val="26"/>
        </w:rPr>
        <w:t>Vienotais noregulējuma mehānisms (turpmāk – SRM</w:t>
      </w:r>
      <w:r w:rsidRPr="00333FF9">
        <w:rPr>
          <w:sz w:val="26"/>
          <w:szCs w:val="26"/>
          <w:vertAlign w:val="superscript"/>
        </w:rPr>
        <w:footnoteReference w:id="9"/>
      </w:r>
      <w:r w:rsidRPr="00333FF9">
        <w:rPr>
          <w:sz w:val="26"/>
          <w:szCs w:val="26"/>
        </w:rPr>
        <w:t xml:space="preserve">) ietver vienotu noteikumu kopumu par banku noregulējumu, kas izklāstīts priekšlikumā par Eiropas Parlamenta un Padomes direktīvu, ar ko izveido kredītiestāžu un </w:t>
      </w:r>
      <w:r w:rsidRPr="00333FF9">
        <w:rPr>
          <w:sz w:val="26"/>
          <w:szCs w:val="26"/>
        </w:rPr>
        <w:lastRenderedPageBreak/>
        <w:t>ieguldījumu sabiedrību sanācijas un noregulējuma režīmu</w:t>
      </w:r>
      <w:r w:rsidRPr="00333FF9">
        <w:rPr>
          <w:sz w:val="26"/>
          <w:szCs w:val="26"/>
          <w:vertAlign w:val="superscript"/>
        </w:rPr>
        <w:footnoteReference w:id="10"/>
      </w:r>
      <w:r w:rsidRPr="00333FF9">
        <w:rPr>
          <w:sz w:val="26"/>
          <w:szCs w:val="26"/>
        </w:rPr>
        <w:t xml:space="preserve"> (turpmāk – BRR</w:t>
      </w:r>
      <w:r w:rsidRPr="00333FF9">
        <w:rPr>
          <w:sz w:val="26"/>
          <w:szCs w:val="26"/>
          <w:vertAlign w:val="superscript"/>
        </w:rPr>
        <w:footnoteReference w:id="11"/>
      </w:r>
      <w:r w:rsidRPr="00333FF9">
        <w:rPr>
          <w:sz w:val="26"/>
          <w:szCs w:val="26"/>
        </w:rPr>
        <w:t xml:space="preserve"> Direktīva), attiecībā uz maksātnespējīgām bankām SRM iesaistītajās dalībvalstīs. </w:t>
      </w:r>
    </w:p>
    <w:p w:rsidR="009E4E15" w:rsidRPr="00333FF9" w:rsidRDefault="009E4E15" w:rsidP="001D70DD">
      <w:pPr>
        <w:tabs>
          <w:tab w:val="left" w:pos="709"/>
        </w:tabs>
        <w:spacing w:after="120"/>
        <w:ind w:firstLine="709"/>
        <w:jc w:val="both"/>
        <w:rPr>
          <w:bCs/>
        </w:rPr>
      </w:pPr>
      <w:r w:rsidRPr="00333FF9">
        <w:rPr>
          <w:sz w:val="26"/>
          <w:szCs w:val="26"/>
        </w:rPr>
        <w:t xml:space="preserve">SRM struktūru veido centrāla lēmumu pieņemšanas iestāde jeb </w:t>
      </w:r>
      <w:r w:rsidR="00583C7E" w:rsidRPr="00333FF9">
        <w:rPr>
          <w:sz w:val="26"/>
          <w:szCs w:val="26"/>
        </w:rPr>
        <w:t xml:space="preserve">Vienotā noregulējuma valde (turpmāk – Valde) </w:t>
      </w:r>
      <w:r w:rsidRPr="00333FF9">
        <w:rPr>
          <w:sz w:val="26"/>
          <w:szCs w:val="26"/>
        </w:rPr>
        <w:t xml:space="preserve">un </w:t>
      </w:r>
      <w:r w:rsidR="00583C7E" w:rsidRPr="00333FF9">
        <w:rPr>
          <w:sz w:val="26"/>
          <w:szCs w:val="26"/>
        </w:rPr>
        <w:t>vienotais banku noregulējuma fonds (turpmāk – Vienotais fonds)</w:t>
      </w:r>
      <w:r w:rsidRPr="00333FF9">
        <w:rPr>
          <w:sz w:val="26"/>
          <w:szCs w:val="26"/>
        </w:rPr>
        <w:t>. SRM pilnvērtīgai funkcionēšanai ir nepieciešams, lai Valdei būtu ātra un efektīva piekļuve Vienotā fonda līdzekļiem.</w:t>
      </w:r>
      <w:r w:rsidR="0025180D" w:rsidRPr="00333FF9">
        <w:rPr>
          <w:bCs/>
        </w:rPr>
        <w:t xml:space="preserve"> </w:t>
      </w:r>
      <w:r w:rsidRPr="00333FF9">
        <w:rPr>
          <w:sz w:val="26"/>
          <w:szCs w:val="26"/>
        </w:rPr>
        <w:t xml:space="preserve">Vienotais fonds veido privātu vidēja termiņa un ilgtermiņa finansējuma avotu, lai novērstu vai samazinātu publiskā sektora līdzekļu izmantošanu banku noregulējumā. Turklāt tas palielina noregulējuma procesa efektivitāti, novēršot koordinācijas problēmas, kuras rodas valsts fondu izmantošanā, it īpaši pārrobežu grupu gadījumā. Ja līdzekļus noregulējuma segšanai, kas pārsniedz apjomu, ko seguši akcionāri un kreditori, īpaši pārrobežu banku grupu gadījumā, būtu jānodrošina no valsts </w:t>
      </w:r>
      <w:r w:rsidR="0025180D" w:rsidRPr="00333FF9">
        <w:rPr>
          <w:sz w:val="26"/>
          <w:szCs w:val="26"/>
        </w:rPr>
        <w:t>līdzekļiem</w:t>
      </w:r>
      <w:r w:rsidRPr="00333FF9">
        <w:rPr>
          <w:sz w:val="26"/>
          <w:szCs w:val="26"/>
        </w:rPr>
        <w:t>, tiktu apdraudēta ne tikai SRM, bet arī Vienotās uzraudzības mehānisma (turpmāk – SSM[1])  efektivitāte. SRM ietver būtiskākos noregulējuma uzdevumus, kas ir nepieciešami problemātisko banku plānveida likvidācijai vai sanācijai, kā, piemēram, ietver pienākumu par noregulējuma plānu izstrādi, noregulējuma plānu pārskatīšanu, noregulēšanas iespējamības novērtēšanu, lēmumi par noregulējuma piemērošanu bankai, noregulējuma pilnvaru izmantošanu attiecībā uz noregulējamo iestādi un noregulējuma shēmu īstenošanu un  lēmumi par noregulējuma finansējuma izmantošanu. Izdevumi, kas attiecas uz SRM uzdevumiem, Vienotā fonda pārvaldību un izmantošanu, tiks finansēti no banku nozares iemaksām.</w:t>
      </w:r>
    </w:p>
    <w:p w:rsidR="00285959" w:rsidRPr="00333FF9" w:rsidRDefault="00285959" w:rsidP="005F551C">
      <w:pPr>
        <w:ind w:firstLine="720"/>
        <w:jc w:val="both"/>
        <w:rPr>
          <w:sz w:val="26"/>
          <w:szCs w:val="26"/>
        </w:rPr>
      </w:pPr>
      <w:r w:rsidRPr="00333FF9">
        <w:rPr>
          <w:sz w:val="26"/>
          <w:szCs w:val="26"/>
        </w:rPr>
        <w:t xml:space="preserve">SRM veidos vienoti noteikumi un procedūras, kuras piemēros </w:t>
      </w:r>
      <w:r w:rsidR="00583C7E" w:rsidRPr="00333FF9">
        <w:rPr>
          <w:sz w:val="26"/>
          <w:szCs w:val="26"/>
        </w:rPr>
        <w:t xml:space="preserve">Valde </w:t>
      </w:r>
      <w:r w:rsidRPr="00333FF9">
        <w:rPr>
          <w:sz w:val="26"/>
          <w:szCs w:val="26"/>
        </w:rPr>
        <w:t xml:space="preserve">kopā ar EK un iesaistīto dalībvalstu noregulējuma iestādēm. SRM ar centrālu lēmumu pieņemšanas iestādi jeb Valdi un </w:t>
      </w:r>
      <w:r w:rsidR="00583C7E" w:rsidRPr="00333FF9">
        <w:rPr>
          <w:sz w:val="26"/>
          <w:szCs w:val="26"/>
        </w:rPr>
        <w:t>Vienoto fondu</w:t>
      </w:r>
      <w:r w:rsidRPr="00333FF9">
        <w:rPr>
          <w:sz w:val="26"/>
          <w:szCs w:val="26"/>
        </w:rPr>
        <w:t xml:space="preserve"> nodrošinās būtiskus ieguvumus dalībvalstīm, nodokļu maksātājiem, bankām, kā arī veicinās finanšu un ekonomikas stabilitāti visā ES:</w:t>
      </w:r>
    </w:p>
    <w:p w:rsidR="00285959" w:rsidRPr="00333FF9" w:rsidRDefault="00285959" w:rsidP="005F551C">
      <w:pPr>
        <w:ind w:firstLine="720"/>
        <w:jc w:val="both"/>
        <w:rPr>
          <w:sz w:val="26"/>
          <w:szCs w:val="26"/>
        </w:rPr>
      </w:pPr>
      <w:r w:rsidRPr="00333FF9">
        <w:rPr>
          <w:sz w:val="26"/>
          <w:szCs w:val="26"/>
        </w:rPr>
        <w:t>- spēcīga lēmumu pieņemšana centrālā līmenī nodrošinās, ka noregulējuma lēmumi visās iesaistītajās dalībvalstīs tiks pieņemti ātri un efektīvi, novēršot nekoordinētu rīcību, samazinot negatīvu ietekmi uz finanšu stabilitāti un ierobežojot vajadzību pēc finansiāla atbalsta;</w:t>
      </w:r>
    </w:p>
    <w:p w:rsidR="00285959" w:rsidRPr="00333FF9" w:rsidRDefault="00285959" w:rsidP="005F551C">
      <w:pPr>
        <w:ind w:firstLine="720"/>
        <w:jc w:val="both"/>
        <w:rPr>
          <w:sz w:val="26"/>
          <w:szCs w:val="26"/>
        </w:rPr>
      </w:pPr>
      <w:r w:rsidRPr="00333FF9">
        <w:rPr>
          <w:sz w:val="26"/>
          <w:szCs w:val="26"/>
        </w:rPr>
        <w:t>- centralizētas ekspertu zināšanas un pieredze banku noregulējuma jomā maksātnespējīgo banku problēmas spēs risināt sistemātiskāk un efektīvāk, nekā atsevišķas valsts iestādes, kam ir ierobežotāki resursi un pieredze;</w:t>
      </w:r>
    </w:p>
    <w:p w:rsidR="00285959" w:rsidRPr="00333FF9" w:rsidRDefault="00285959" w:rsidP="005F551C">
      <w:pPr>
        <w:ind w:firstLine="720"/>
        <w:jc w:val="both"/>
        <w:rPr>
          <w:sz w:val="26"/>
          <w:szCs w:val="26"/>
        </w:rPr>
      </w:pPr>
      <w:r w:rsidRPr="00333FF9">
        <w:rPr>
          <w:sz w:val="26"/>
          <w:szCs w:val="26"/>
        </w:rPr>
        <w:t xml:space="preserve">- Vienotais fonds spēs apvienot būtiskus resursus no banku iemaksām un tādējādi efektīvāk tiks aizsargāti nodokļu maksātāji, vienlaikus nodrošinot līdzvērtīgus konkurences apstākļus bankām visās iesaistītajās dalībvalstīs. Vienotais fonds novērsīs </w:t>
      </w:r>
      <w:r w:rsidR="00CD7172" w:rsidRPr="00333FF9">
        <w:rPr>
          <w:sz w:val="26"/>
          <w:szCs w:val="26"/>
        </w:rPr>
        <w:t xml:space="preserve">starpvalstu sadarbības problēmas </w:t>
      </w:r>
      <w:r w:rsidRPr="00333FF9">
        <w:rPr>
          <w:sz w:val="26"/>
          <w:szCs w:val="26"/>
        </w:rPr>
        <w:t>un pārtrauks banku atkarību no valstu kredītspējas.</w:t>
      </w:r>
    </w:p>
    <w:p w:rsidR="00674431" w:rsidRPr="00333FF9" w:rsidRDefault="00E86695" w:rsidP="005F551C">
      <w:pPr>
        <w:ind w:firstLine="720"/>
        <w:jc w:val="both"/>
        <w:rPr>
          <w:sz w:val="26"/>
          <w:szCs w:val="26"/>
        </w:rPr>
      </w:pPr>
      <w:r w:rsidRPr="00333FF9">
        <w:rPr>
          <w:sz w:val="26"/>
          <w:szCs w:val="26"/>
        </w:rPr>
        <w:t>Kā trešais elements</w:t>
      </w:r>
      <w:r w:rsidR="006823B4" w:rsidRPr="00333FF9">
        <w:rPr>
          <w:sz w:val="26"/>
          <w:szCs w:val="26"/>
        </w:rPr>
        <w:t xml:space="preserve"> tālākā</w:t>
      </w:r>
      <w:r w:rsidRPr="00333FF9">
        <w:rPr>
          <w:sz w:val="26"/>
          <w:szCs w:val="26"/>
        </w:rPr>
        <w:t xml:space="preserve"> </w:t>
      </w:r>
      <w:r w:rsidR="006823B4" w:rsidRPr="00333FF9">
        <w:rPr>
          <w:sz w:val="26"/>
          <w:szCs w:val="26"/>
        </w:rPr>
        <w:t xml:space="preserve">nākotnē </w:t>
      </w:r>
      <w:r w:rsidRPr="00333FF9">
        <w:rPr>
          <w:sz w:val="26"/>
          <w:szCs w:val="26"/>
        </w:rPr>
        <w:t>tiek paredzēt</w:t>
      </w:r>
      <w:r w:rsidR="002F079A" w:rsidRPr="00333FF9">
        <w:rPr>
          <w:sz w:val="26"/>
          <w:szCs w:val="26"/>
        </w:rPr>
        <w:t>a</w:t>
      </w:r>
      <w:r w:rsidRPr="00333FF9">
        <w:rPr>
          <w:sz w:val="26"/>
          <w:szCs w:val="26"/>
        </w:rPr>
        <w:t xml:space="preserve"> kop</w:t>
      </w:r>
      <w:r w:rsidR="002F079A" w:rsidRPr="00333FF9">
        <w:rPr>
          <w:sz w:val="26"/>
          <w:szCs w:val="26"/>
        </w:rPr>
        <w:t>īgas</w:t>
      </w:r>
      <w:r w:rsidRPr="00333FF9">
        <w:rPr>
          <w:sz w:val="26"/>
          <w:szCs w:val="26"/>
        </w:rPr>
        <w:t xml:space="preserve"> Eiropas noguldījumu garantiju sistēma</w:t>
      </w:r>
      <w:r w:rsidR="002F079A" w:rsidRPr="00333FF9">
        <w:rPr>
          <w:sz w:val="26"/>
          <w:szCs w:val="26"/>
        </w:rPr>
        <w:t>s izveide un ieviešana</w:t>
      </w:r>
      <w:r w:rsidRPr="00333FF9">
        <w:rPr>
          <w:sz w:val="26"/>
          <w:szCs w:val="26"/>
        </w:rPr>
        <w:t xml:space="preserve">. </w:t>
      </w:r>
    </w:p>
    <w:p w:rsidR="003D5FBB" w:rsidRPr="00333FF9" w:rsidRDefault="00203D35" w:rsidP="005F551C">
      <w:pPr>
        <w:ind w:firstLine="720"/>
        <w:jc w:val="both"/>
        <w:rPr>
          <w:sz w:val="26"/>
          <w:szCs w:val="26"/>
        </w:rPr>
      </w:pPr>
      <w:r w:rsidRPr="00333FF9">
        <w:rPr>
          <w:sz w:val="26"/>
          <w:szCs w:val="26"/>
        </w:rPr>
        <w:lastRenderedPageBreak/>
        <w:t>Lai sekmīgi pārvaldītu finanšu sektoru un ievērotu konservatīvu un ar ES stingrām iniciatīvām kredītiestāžu uzraudzības jautājumos saskaņotu finanšu sektora attīstības politiku, ir nepieciešams īstenot Plānā</w:t>
      </w:r>
      <w:r w:rsidR="00CA5DB6" w:rsidRPr="00333FF9">
        <w:rPr>
          <w:sz w:val="26"/>
          <w:szCs w:val="26"/>
        </w:rPr>
        <w:t xml:space="preserve"> (un tā pielikumā)</w:t>
      </w:r>
      <w:r w:rsidRPr="00333FF9">
        <w:rPr>
          <w:sz w:val="26"/>
          <w:szCs w:val="26"/>
        </w:rPr>
        <w:t xml:space="preserve"> iekļautos pasākumus, kas veicinās pārdomātu kredītiestāžu sektora izaugsmi ilgtermiņā, kā arī stabilu un prognozējamu izaugsmi, vienlaikus pasargājot </w:t>
      </w:r>
      <w:r w:rsidR="00C8673E" w:rsidRPr="00333FF9">
        <w:rPr>
          <w:sz w:val="26"/>
          <w:szCs w:val="26"/>
        </w:rPr>
        <w:t>finanšu sektoru no tajā</w:t>
      </w:r>
      <w:r w:rsidRPr="00333FF9">
        <w:rPr>
          <w:sz w:val="26"/>
          <w:szCs w:val="26"/>
        </w:rPr>
        <w:t xml:space="preserve"> pastāvošo risku eskalācijas.</w:t>
      </w:r>
    </w:p>
    <w:p w:rsidR="005F551C" w:rsidRPr="00333FF9" w:rsidRDefault="005F551C" w:rsidP="005F551C">
      <w:pPr>
        <w:ind w:firstLine="720"/>
        <w:jc w:val="both"/>
        <w:rPr>
          <w:sz w:val="26"/>
          <w:szCs w:val="26"/>
        </w:rPr>
      </w:pPr>
    </w:p>
    <w:p w:rsidR="003D4687" w:rsidRPr="00333FF9" w:rsidRDefault="003D4687" w:rsidP="005F551C">
      <w:pPr>
        <w:ind w:firstLine="720"/>
        <w:jc w:val="center"/>
        <w:rPr>
          <w:sz w:val="26"/>
          <w:szCs w:val="26"/>
          <w:u w:val="single"/>
        </w:rPr>
      </w:pPr>
      <w:r w:rsidRPr="00333FF9">
        <w:rPr>
          <w:sz w:val="26"/>
          <w:szCs w:val="26"/>
          <w:u w:val="single"/>
        </w:rPr>
        <w:t xml:space="preserve">5.Informācija par plāna apspriešanas </w:t>
      </w:r>
      <w:r w:rsidR="00486D90">
        <w:rPr>
          <w:sz w:val="26"/>
          <w:szCs w:val="26"/>
          <w:u w:val="single"/>
        </w:rPr>
        <w:t>gaitu</w:t>
      </w:r>
    </w:p>
    <w:p w:rsidR="00CD7172" w:rsidRPr="00333FF9" w:rsidRDefault="00CD7172" w:rsidP="005F551C">
      <w:pPr>
        <w:ind w:firstLine="720"/>
        <w:jc w:val="center"/>
        <w:rPr>
          <w:sz w:val="26"/>
          <w:szCs w:val="26"/>
          <w:u w:val="single"/>
        </w:rPr>
      </w:pPr>
    </w:p>
    <w:p w:rsidR="00333F8A" w:rsidRPr="00333FF9" w:rsidRDefault="00333F8A" w:rsidP="00333F8A">
      <w:pPr>
        <w:ind w:firstLine="720"/>
        <w:jc w:val="both"/>
        <w:rPr>
          <w:sz w:val="26"/>
          <w:szCs w:val="26"/>
        </w:rPr>
      </w:pPr>
      <w:r w:rsidRPr="00333FF9">
        <w:rPr>
          <w:sz w:val="26"/>
          <w:szCs w:val="26"/>
        </w:rPr>
        <w:t xml:space="preserve">Plāna apspriešanas gaitā tika saņemti atzinumi no nevalstiskajām organizācijām. </w:t>
      </w:r>
      <w:proofErr w:type="spellStart"/>
      <w:r w:rsidRPr="00333FF9">
        <w:rPr>
          <w:sz w:val="26"/>
          <w:szCs w:val="26"/>
        </w:rPr>
        <w:t>Krājaizdevu</w:t>
      </w:r>
      <w:proofErr w:type="spellEnd"/>
      <w:r w:rsidRPr="00333FF9">
        <w:rPr>
          <w:sz w:val="26"/>
          <w:szCs w:val="26"/>
        </w:rPr>
        <w:t xml:space="preserve"> Apvienība ir norādījusi</w:t>
      </w:r>
      <w:r w:rsidR="00486D90">
        <w:rPr>
          <w:sz w:val="26"/>
          <w:szCs w:val="26"/>
        </w:rPr>
        <w:t xml:space="preserve"> uz</w:t>
      </w:r>
      <w:r w:rsidRPr="00333FF9">
        <w:rPr>
          <w:sz w:val="26"/>
          <w:szCs w:val="26"/>
        </w:rPr>
        <w:t xml:space="preserve"> kooperatīvo </w:t>
      </w:r>
      <w:proofErr w:type="spellStart"/>
      <w:r w:rsidRPr="00333FF9">
        <w:rPr>
          <w:sz w:val="26"/>
          <w:szCs w:val="26"/>
        </w:rPr>
        <w:t>krājaizdevu</w:t>
      </w:r>
      <w:proofErr w:type="spellEnd"/>
      <w:r w:rsidRPr="00333FF9">
        <w:rPr>
          <w:sz w:val="26"/>
          <w:szCs w:val="26"/>
        </w:rPr>
        <w:t xml:space="preserve"> sabiedrību lomu reģionālajā attīstībā, </w:t>
      </w:r>
      <w:r w:rsidR="00486D90">
        <w:rPr>
          <w:sz w:val="26"/>
          <w:szCs w:val="26"/>
        </w:rPr>
        <w:t>un</w:t>
      </w:r>
      <w:r w:rsidR="00583C7E" w:rsidRPr="00333FF9">
        <w:rPr>
          <w:sz w:val="26"/>
          <w:szCs w:val="26"/>
        </w:rPr>
        <w:t xml:space="preserve"> nepieciešamību nodrošināt pieeju</w:t>
      </w:r>
      <w:r w:rsidRPr="00333FF9">
        <w:rPr>
          <w:sz w:val="26"/>
          <w:szCs w:val="26"/>
        </w:rPr>
        <w:t xml:space="preserve"> </w:t>
      </w:r>
      <w:r w:rsidR="00583C7E" w:rsidRPr="00333FF9">
        <w:rPr>
          <w:sz w:val="26"/>
          <w:szCs w:val="26"/>
        </w:rPr>
        <w:t>finansējumam komercdarbības attīstībai</w:t>
      </w:r>
      <w:r w:rsidRPr="00333FF9">
        <w:rPr>
          <w:sz w:val="26"/>
          <w:szCs w:val="26"/>
        </w:rPr>
        <w:t>,</w:t>
      </w:r>
      <w:r w:rsidR="00583C7E" w:rsidRPr="00333FF9">
        <w:rPr>
          <w:sz w:val="26"/>
          <w:szCs w:val="26"/>
        </w:rPr>
        <w:t xml:space="preserve"> tai skaitā,</w:t>
      </w:r>
      <w:r w:rsidRPr="00333FF9">
        <w:rPr>
          <w:sz w:val="26"/>
          <w:szCs w:val="26"/>
        </w:rPr>
        <w:t xml:space="preserve"> novēršot administratīvos šķēršļus</w:t>
      </w:r>
      <w:r w:rsidR="00765F8F">
        <w:rPr>
          <w:sz w:val="26"/>
          <w:szCs w:val="26"/>
        </w:rPr>
        <w:t>, tomēr</w:t>
      </w:r>
      <w:r w:rsidRPr="00333FF9">
        <w:rPr>
          <w:sz w:val="26"/>
          <w:szCs w:val="26"/>
        </w:rPr>
        <w:t xml:space="preserve"> plāna izstrādātāju skatījumā komersantu kreditēšana izraisītu kredītriska pieaugumu </w:t>
      </w:r>
      <w:proofErr w:type="spellStart"/>
      <w:r w:rsidRPr="00333FF9">
        <w:rPr>
          <w:sz w:val="26"/>
          <w:szCs w:val="26"/>
        </w:rPr>
        <w:t>krājaizdevu</w:t>
      </w:r>
      <w:proofErr w:type="spellEnd"/>
      <w:r w:rsidRPr="00333FF9">
        <w:rPr>
          <w:sz w:val="26"/>
          <w:szCs w:val="26"/>
        </w:rPr>
        <w:t xml:space="preserve"> sabiedrībām, un, līdz ar to, radītu papildu risku to maksātspējai, jo īpaši ņemot vērā, ka tām nav pietiekamas pieredzes un resursu detalizētai komercsabiedrību kredītspējas riska izvērtēšanai.  Arī citu Eiropas Savienības valstu pieredze norāda uz nepārdomātas </w:t>
      </w:r>
      <w:proofErr w:type="spellStart"/>
      <w:r w:rsidRPr="00333FF9">
        <w:rPr>
          <w:sz w:val="26"/>
          <w:szCs w:val="26"/>
        </w:rPr>
        <w:t>krājaizdevu</w:t>
      </w:r>
      <w:proofErr w:type="spellEnd"/>
      <w:r w:rsidRPr="00333FF9">
        <w:rPr>
          <w:sz w:val="26"/>
          <w:szCs w:val="26"/>
        </w:rPr>
        <w:t xml:space="preserve"> sabiedrību darbības liberalizācijas radītajiem riskiem</w:t>
      </w:r>
      <w:r w:rsidR="001D70DD" w:rsidRPr="00333FF9">
        <w:rPr>
          <w:sz w:val="26"/>
          <w:szCs w:val="26"/>
        </w:rPr>
        <w:t>,</w:t>
      </w:r>
      <w:r w:rsidR="00486D90">
        <w:rPr>
          <w:sz w:val="26"/>
          <w:szCs w:val="26"/>
        </w:rPr>
        <w:t xml:space="preserve"> kā arī</w:t>
      </w:r>
      <w:r w:rsidR="001D70DD" w:rsidRPr="00333FF9">
        <w:rPr>
          <w:sz w:val="26"/>
          <w:szCs w:val="26"/>
        </w:rPr>
        <w:t xml:space="preserve"> pastāv bažas </w:t>
      </w:r>
      <w:r w:rsidRPr="00333FF9">
        <w:rPr>
          <w:sz w:val="26"/>
          <w:szCs w:val="26"/>
        </w:rPr>
        <w:t xml:space="preserve">par straujo </w:t>
      </w:r>
      <w:proofErr w:type="spellStart"/>
      <w:r w:rsidRPr="00333FF9">
        <w:rPr>
          <w:sz w:val="26"/>
          <w:szCs w:val="26"/>
        </w:rPr>
        <w:t>krājaizdevu</w:t>
      </w:r>
      <w:proofErr w:type="spellEnd"/>
      <w:r w:rsidRPr="00333FF9">
        <w:rPr>
          <w:sz w:val="26"/>
          <w:szCs w:val="26"/>
        </w:rPr>
        <w:t xml:space="preserve"> sabiedrību uzņēmumiem izsniegto kredītu pieaugumu, kas ir veicinājis ievērojamu kavēto kredītu palielināšanos, un to ierobežotajām iespējām operatīvi palielināt kapitālu.   </w:t>
      </w:r>
    </w:p>
    <w:p w:rsidR="00546FE8" w:rsidRPr="00333FF9" w:rsidRDefault="003D4687" w:rsidP="0080718C">
      <w:pPr>
        <w:ind w:firstLine="720"/>
        <w:jc w:val="both"/>
        <w:rPr>
          <w:sz w:val="26"/>
          <w:szCs w:val="26"/>
        </w:rPr>
      </w:pPr>
      <w:r w:rsidRPr="00333FF9">
        <w:rPr>
          <w:sz w:val="26"/>
          <w:szCs w:val="26"/>
        </w:rPr>
        <w:t>Latvijas Komercbanku asociācija</w:t>
      </w:r>
      <w:r w:rsidR="009F6A8B" w:rsidRPr="00333FF9">
        <w:rPr>
          <w:sz w:val="26"/>
          <w:szCs w:val="26"/>
        </w:rPr>
        <w:t xml:space="preserve"> (turpmāk - LKA)</w:t>
      </w:r>
      <w:r w:rsidR="00A241DF">
        <w:rPr>
          <w:sz w:val="26"/>
          <w:szCs w:val="26"/>
        </w:rPr>
        <w:t xml:space="preserve"> ir atzinīgi novērtējusi </w:t>
      </w:r>
      <w:r w:rsidR="00602FC0">
        <w:rPr>
          <w:sz w:val="26"/>
          <w:szCs w:val="26"/>
        </w:rPr>
        <w:t>pasākumus</w:t>
      </w:r>
      <w:r w:rsidR="00A241DF">
        <w:rPr>
          <w:sz w:val="26"/>
          <w:szCs w:val="26"/>
        </w:rPr>
        <w:t xml:space="preserve"> par korespondentbanku tīkla attīstību un nodrošināšanu. LKA</w:t>
      </w:r>
      <w:r w:rsidRPr="00333FF9">
        <w:rPr>
          <w:sz w:val="26"/>
          <w:szCs w:val="26"/>
        </w:rPr>
        <w:t xml:space="preserve"> ir akcentējusi finanšu pakalpojumu eksporta un sektora konkurētspējas jautājumus, </w:t>
      </w:r>
      <w:r w:rsidR="00333F8A" w:rsidRPr="00333FF9">
        <w:rPr>
          <w:sz w:val="26"/>
          <w:szCs w:val="26"/>
        </w:rPr>
        <w:t xml:space="preserve">piedāvājot jaunu institūtu izveidi Latvijas tiesību sistēmā, tomēr </w:t>
      </w:r>
      <w:r w:rsidR="00C456AB" w:rsidRPr="00333FF9">
        <w:rPr>
          <w:sz w:val="26"/>
          <w:szCs w:val="26"/>
        </w:rPr>
        <w:t xml:space="preserve">plāna izstrādātāju skatījumā </w:t>
      </w:r>
      <w:r w:rsidR="00333F8A" w:rsidRPr="00333FF9">
        <w:rPr>
          <w:sz w:val="26"/>
          <w:szCs w:val="26"/>
        </w:rPr>
        <w:t xml:space="preserve">šādi priekšlikumi </w:t>
      </w:r>
      <w:r w:rsidR="00C456AB" w:rsidRPr="00333FF9">
        <w:rPr>
          <w:sz w:val="26"/>
          <w:szCs w:val="26"/>
        </w:rPr>
        <w:t>ir saistīti ar augstākiem riskiem. T</w:t>
      </w:r>
      <w:r w:rsidRPr="00333FF9">
        <w:rPr>
          <w:sz w:val="26"/>
          <w:szCs w:val="26"/>
        </w:rPr>
        <w:t xml:space="preserve">ādēļ </w:t>
      </w:r>
      <w:r w:rsidR="00AF570C" w:rsidRPr="00333FF9">
        <w:rPr>
          <w:sz w:val="26"/>
          <w:szCs w:val="26"/>
        </w:rPr>
        <w:t>plānā ir sabalansēti gan sektora attīstībai labvēlīgi vides aspekti, gan risku pārvaldības aspekti</w:t>
      </w:r>
      <w:r w:rsidRPr="00333FF9">
        <w:rPr>
          <w:sz w:val="26"/>
          <w:szCs w:val="26"/>
        </w:rPr>
        <w:t xml:space="preserve">, </w:t>
      </w:r>
      <w:r w:rsidR="00AF570C" w:rsidRPr="00333FF9">
        <w:rPr>
          <w:sz w:val="26"/>
          <w:szCs w:val="26"/>
        </w:rPr>
        <w:t xml:space="preserve">un </w:t>
      </w:r>
      <w:r w:rsidRPr="00333FF9">
        <w:rPr>
          <w:sz w:val="26"/>
          <w:szCs w:val="26"/>
        </w:rPr>
        <w:t>vienlaicīgi netiek atbalstīta jaunu institūtu izveide Latvijas tiesību sistēmā.</w:t>
      </w:r>
      <w:r w:rsidR="0080718C" w:rsidRPr="00333FF9">
        <w:rPr>
          <w:sz w:val="26"/>
          <w:szCs w:val="26"/>
        </w:rPr>
        <w:t xml:space="preserve"> </w:t>
      </w:r>
      <w:r w:rsidRPr="00333FF9">
        <w:rPr>
          <w:sz w:val="26"/>
          <w:szCs w:val="26"/>
        </w:rPr>
        <w:t xml:space="preserve"> </w:t>
      </w:r>
      <w:r w:rsidR="00765F8F">
        <w:rPr>
          <w:sz w:val="26"/>
          <w:szCs w:val="26"/>
        </w:rPr>
        <w:t xml:space="preserve">Tāpat arī LKA ir </w:t>
      </w:r>
      <w:r w:rsidR="00A241DF">
        <w:rPr>
          <w:sz w:val="26"/>
          <w:szCs w:val="26"/>
        </w:rPr>
        <w:t>aicinājusi neietvert paau</w:t>
      </w:r>
      <w:r w:rsidR="00765F8F">
        <w:rPr>
          <w:sz w:val="26"/>
          <w:szCs w:val="26"/>
        </w:rPr>
        <w:t xml:space="preserve">gstinātas prasības pret </w:t>
      </w:r>
      <w:r w:rsidR="00A241DF">
        <w:rPr>
          <w:sz w:val="26"/>
          <w:szCs w:val="26"/>
        </w:rPr>
        <w:t xml:space="preserve">nerezidentu </w:t>
      </w:r>
      <w:r w:rsidR="00765F8F">
        <w:rPr>
          <w:sz w:val="26"/>
          <w:szCs w:val="26"/>
        </w:rPr>
        <w:t>depozītiem uz pieprasījumu salīdzin</w:t>
      </w:r>
      <w:r w:rsidR="00A241DF">
        <w:rPr>
          <w:sz w:val="26"/>
          <w:szCs w:val="26"/>
        </w:rPr>
        <w:t xml:space="preserve">ot ar </w:t>
      </w:r>
      <w:proofErr w:type="spellStart"/>
      <w:r w:rsidR="00A241DF">
        <w:rPr>
          <w:sz w:val="26"/>
          <w:szCs w:val="26"/>
        </w:rPr>
        <w:t>termiņdepozītiem</w:t>
      </w:r>
      <w:proofErr w:type="spellEnd"/>
      <w:r w:rsidR="00A241DF">
        <w:rPr>
          <w:sz w:val="26"/>
          <w:szCs w:val="26"/>
        </w:rPr>
        <w:t xml:space="preserve">, tomēr </w:t>
      </w:r>
      <w:r w:rsidR="0080718C" w:rsidRPr="00333FF9">
        <w:rPr>
          <w:sz w:val="26"/>
          <w:szCs w:val="26"/>
        </w:rPr>
        <w:t xml:space="preserve">apzinoties tirgus situāciju un izveidojušos noguldījumu </w:t>
      </w:r>
      <w:proofErr w:type="spellStart"/>
      <w:r w:rsidR="0080718C" w:rsidRPr="00333FF9">
        <w:rPr>
          <w:sz w:val="26"/>
          <w:szCs w:val="26"/>
        </w:rPr>
        <w:t>termiņstruktūru</w:t>
      </w:r>
      <w:proofErr w:type="spellEnd"/>
      <w:r w:rsidR="0080718C" w:rsidRPr="00333FF9">
        <w:rPr>
          <w:sz w:val="26"/>
          <w:szCs w:val="26"/>
        </w:rPr>
        <w:t xml:space="preserve"> iepriekšējo gadu laikā</w:t>
      </w:r>
      <w:r w:rsidR="00A241DF">
        <w:rPr>
          <w:sz w:val="26"/>
          <w:szCs w:val="26"/>
        </w:rPr>
        <w:t xml:space="preserve">, plānā ir ietverti uzraudzības pasākumu pastiprināšana par noguldījumu </w:t>
      </w:r>
      <w:proofErr w:type="spellStart"/>
      <w:r w:rsidR="00A241DF">
        <w:rPr>
          <w:sz w:val="26"/>
          <w:szCs w:val="26"/>
        </w:rPr>
        <w:t>termiņstruktūru</w:t>
      </w:r>
      <w:proofErr w:type="spellEnd"/>
      <w:r w:rsidR="0080718C" w:rsidRPr="00333FF9">
        <w:rPr>
          <w:sz w:val="26"/>
          <w:szCs w:val="26"/>
        </w:rPr>
        <w:t>.</w:t>
      </w:r>
      <w:r w:rsidR="00A241DF">
        <w:rPr>
          <w:sz w:val="26"/>
          <w:szCs w:val="26"/>
        </w:rPr>
        <w:t xml:space="preserve"> Tā kā</w:t>
      </w:r>
      <w:r w:rsidR="00CF0D11" w:rsidRPr="00333FF9">
        <w:rPr>
          <w:sz w:val="26"/>
          <w:szCs w:val="26"/>
        </w:rPr>
        <w:t xml:space="preserve"> </w:t>
      </w:r>
      <w:r w:rsidR="0080718C" w:rsidRPr="00333FF9">
        <w:rPr>
          <w:sz w:val="26"/>
          <w:szCs w:val="26"/>
        </w:rPr>
        <w:t>ES paaugstinātās prasības kapitālam un jaunās likviditātes prasības neaptver visus biznesa riskus</w:t>
      </w:r>
      <w:r w:rsidR="00A241DF">
        <w:rPr>
          <w:sz w:val="26"/>
          <w:szCs w:val="26"/>
        </w:rPr>
        <w:t xml:space="preserve">, tad </w:t>
      </w:r>
      <w:r w:rsidR="0080718C" w:rsidRPr="00333FF9">
        <w:rPr>
          <w:sz w:val="26"/>
          <w:szCs w:val="26"/>
        </w:rPr>
        <w:t>saskaņā ar jauno regulējošo prasību kopumu dalībvalstīm arī turpmāk ir tiesības noteikt paaugstinātas prasības gan individuālu banku līmenī, gan arī konkrētām ekspozīcijām sistēmā, lai segtu riskus, kurus vienotās ES prasības neaptver.</w:t>
      </w:r>
      <w:r w:rsidR="00FD1F28" w:rsidRPr="00333FF9">
        <w:rPr>
          <w:sz w:val="26"/>
          <w:szCs w:val="26"/>
        </w:rPr>
        <w:t xml:space="preserve"> Tāpat arī plāna izstrādātāju skatījumā</w:t>
      </w:r>
      <w:r w:rsidR="0080718C" w:rsidRPr="00333FF9">
        <w:rPr>
          <w:sz w:val="26"/>
          <w:szCs w:val="26"/>
        </w:rPr>
        <w:t xml:space="preserve"> trasta </w:t>
      </w:r>
      <w:proofErr w:type="spellStart"/>
      <w:r w:rsidR="0080718C" w:rsidRPr="00333FF9">
        <w:rPr>
          <w:sz w:val="26"/>
          <w:szCs w:val="26"/>
        </w:rPr>
        <w:t>materiāltiesiskā</w:t>
      </w:r>
      <w:proofErr w:type="spellEnd"/>
      <w:r w:rsidR="0080718C" w:rsidRPr="00333FF9">
        <w:rPr>
          <w:sz w:val="26"/>
          <w:szCs w:val="26"/>
        </w:rPr>
        <w:t xml:space="preserve"> regulējuma iekļaušana Latvijas normatīvajos aktos neatbilst Latvijas tiesību sistēmai kopumā un trasta tiesiskā regulējuma izstrāde prasītu būtiskas un konceptuālas izmaiņas ne tikai vispārējā civiltiesību regulējumā, bet arī mantojuma tiesību un maksātnespējas regulējumā</w:t>
      </w:r>
      <w:r w:rsidR="009F6A8B" w:rsidRPr="00333FF9">
        <w:rPr>
          <w:rStyle w:val="FootnoteReference"/>
          <w:sz w:val="26"/>
          <w:szCs w:val="26"/>
        </w:rPr>
        <w:footnoteReference w:id="12"/>
      </w:r>
      <w:r w:rsidR="0080718C" w:rsidRPr="00333FF9">
        <w:rPr>
          <w:sz w:val="26"/>
          <w:szCs w:val="26"/>
        </w:rPr>
        <w:t xml:space="preserve">.  </w:t>
      </w:r>
      <w:r w:rsidR="009F6A8B" w:rsidRPr="00333FF9">
        <w:rPr>
          <w:sz w:val="26"/>
          <w:szCs w:val="26"/>
        </w:rPr>
        <w:t>Augsti</w:t>
      </w:r>
      <w:r w:rsidR="0080718C" w:rsidRPr="00333FF9">
        <w:rPr>
          <w:sz w:val="26"/>
          <w:szCs w:val="26"/>
        </w:rPr>
        <w:t xml:space="preserve"> attīstīto valstu vidū</w:t>
      </w:r>
      <w:r w:rsidR="009F6A8B" w:rsidRPr="00333FF9">
        <w:rPr>
          <w:sz w:val="26"/>
          <w:szCs w:val="26"/>
        </w:rPr>
        <w:t xml:space="preserve"> trasta kā mantas noslēpšanas institūta loma tiek samazināta.</w:t>
      </w:r>
      <w:r w:rsidR="0012410E" w:rsidRPr="00333FF9">
        <w:rPr>
          <w:sz w:val="26"/>
          <w:szCs w:val="26"/>
        </w:rPr>
        <w:t xml:space="preserve"> Trasta institūta iekļaušana Latvijas normatīvajos aktos būtu pretēja Ekonomiskās sadarbības un attīstības </w:t>
      </w:r>
      <w:r w:rsidR="0012410E" w:rsidRPr="00333FF9">
        <w:rPr>
          <w:sz w:val="26"/>
          <w:szCs w:val="26"/>
        </w:rPr>
        <w:lastRenderedPageBreak/>
        <w:t xml:space="preserve">organizācijas (turpmāk- OECD)  un Latvijas kā šīs organizācijas </w:t>
      </w:r>
      <w:r w:rsidR="00546FE8" w:rsidRPr="00333FF9">
        <w:rPr>
          <w:sz w:val="26"/>
          <w:szCs w:val="26"/>
        </w:rPr>
        <w:t>topošās</w:t>
      </w:r>
      <w:r w:rsidR="0012410E" w:rsidRPr="00333FF9">
        <w:rPr>
          <w:sz w:val="26"/>
          <w:szCs w:val="26"/>
        </w:rPr>
        <w:t xml:space="preserve"> dalībvalsts izvirzītajam mērķim attiecībā uz informācijas apmaiņas nodrošināšanu un izvairīšanos no nodokļiem novēršanu. </w:t>
      </w:r>
      <w:r w:rsidR="009F6A8B" w:rsidRPr="00333FF9">
        <w:rPr>
          <w:sz w:val="26"/>
          <w:szCs w:val="26"/>
        </w:rPr>
        <w:t>T</w:t>
      </w:r>
      <w:r w:rsidR="00546FE8" w:rsidRPr="00333FF9">
        <w:rPr>
          <w:sz w:val="26"/>
          <w:szCs w:val="26"/>
        </w:rPr>
        <w:t>rastu izveides mērķi, piemēram, aktīvu aizsardzība, nodokļu sloga optimizēšana, privātās dzīves konfidencialitātes nodrošināšana, atbildības ierobežošana, vai mantojuma nodošana vēlamai personai – no nodokļu aspekta nebūtu veicināmi. Attiecībā uz LKA priekšlikumu par juridisku personu kā valdi kapitālsabiedrībās, korporatīvo valdes locekļu institūta iekļaušana normatīvajos aktos ierobežotu caurskatāmību finanšu sektorā un veicināt</w:t>
      </w:r>
      <w:r w:rsidR="00C73E82">
        <w:rPr>
          <w:sz w:val="26"/>
          <w:szCs w:val="26"/>
        </w:rPr>
        <w:t>u iespēju</w:t>
      </w:r>
      <w:r w:rsidR="00546FE8" w:rsidRPr="00333FF9">
        <w:rPr>
          <w:sz w:val="26"/>
          <w:szCs w:val="26"/>
        </w:rPr>
        <w:t xml:space="preserve"> juridisko personu izmantot pretlikumīgiem mērķiem. Paredzot „korporatīvos valdes locekļus”, papildus jāņem vērā </w:t>
      </w:r>
      <w:r w:rsidR="00D31D6F" w:rsidRPr="00333FF9">
        <w:rPr>
          <w:sz w:val="26"/>
          <w:szCs w:val="26"/>
        </w:rPr>
        <w:t>nodokļu aplikšanas sekas, jo ienākuma saņēmējs par darbu valdē būs attiecīgi juridiskā persona. Latvijai kā OECD dalībvalsts pretendentei nav atbalstāmas šādas izmaiņas Latvijas normatīvajos tiesību aktos.</w:t>
      </w:r>
    </w:p>
    <w:p w:rsidR="003D4687" w:rsidRPr="00333FF9" w:rsidRDefault="003D4687" w:rsidP="0080718C">
      <w:pPr>
        <w:ind w:firstLine="720"/>
        <w:jc w:val="both"/>
        <w:rPr>
          <w:sz w:val="26"/>
          <w:szCs w:val="26"/>
        </w:rPr>
      </w:pPr>
      <w:r w:rsidRPr="00333FF9">
        <w:rPr>
          <w:sz w:val="26"/>
          <w:szCs w:val="26"/>
        </w:rPr>
        <w:t>Latvijas Profesionālo Apdrošināšanas brokeru asociācija ir ierosinājusi sekmēt uzkrājošās dzīvības apdrošināšanas instrumentus</w:t>
      </w:r>
      <w:r w:rsidR="0021375B" w:rsidRPr="00333FF9">
        <w:rPr>
          <w:sz w:val="26"/>
          <w:szCs w:val="26"/>
        </w:rPr>
        <w:t xml:space="preserve"> un to ieguldījumu palielināšanu iekšzemes investīcijās, kā arī apdrošinājuma ņēmēju (ieguldītāju, </w:t>
      </w:r>
      <w:bookmarkStart w:id="0" w:name="_GoBack"/>
      <w:r w:rsidR="0021375B" w:rsidRPr="00333FF9">
        <w:rPr>
          <w:sz w:val="26"/>
          <w:szCs w:val="26"/>
        </w:rPr>
        <w:t xml:space="preserve">uzkrājēju) tiesību nostiprināšanu uzkrājošā apdrošināšanā. </w:t>
      </w:r>
      <w:r w:rsidR="00957E5C" w:rsidRPr="00333FF9">
        <w:rPr>
          <w:sz w:val="26"/>
          <w:szCs w:val="26"/>
        </w:rPr>
        <w:t xml:space="preserve">Plāna izstrādātāju </w:t>
      </w:r>
      <w:bookmarkEnd w:id="0"/>
      <w:r w:rsidR="00957E5C" w:rsidRPr="00333FF9">
        <w:rPr>
          <w:sz w:val="26"/>
          <w:szCs w:val="26"/>
        </w:rPr>
        <w:t xml:space="preserve">skatījumā šie priekšlikumi </w:t>
      </w:r>
      <w:r w:rsidR="004C0CFB" w:rsidRPr="00333FF9">
        <w:rPr>
          <w:sz w:val="26"/>
          <w:szCs w:val="26"/>
        </w:rPr>
        <w:t>šobrīd nav gatavi ieviešanai</w:t>
      </w:r>
      <w:r w:rsidR="00FD1F28" w:rsidRPr="00333FF9">
        <w:rPr>
          <w:sz w:val="26"/>
          <w:szCs w:val="26"/>
        </w:rPr>
        <w:t xml:space="preserve"> un tiks vērtēti plāna pārskatīšanas periodā.</w:t>
      </w:r>
    </w:p>
    <w:p w:rsidR="00FD1F28" w:rsidRPr="00333FF9" w:rsidRDefault="00FD1F28" w:rsidP="0080718C">
      <w:pPr>
        <w:ind w:firstLine="720"/>
        <w:jc w:val="both"/>
        <w:rPr>
          <w:sz w:val="26"/>
          <w:szCs w:val="26"/>
        </w:rPr>
      </w:pPr>
    </w:p>
    <w:p w:rsidR="004A3772" w:rsidRPr="005F551C" w:rsidRDefault="004A3772" w:rsidP="005F551C">
      <w:pPr>
        <w:ind w:firstLine="720"/>
        <w:jc w:val="both"/>
        <w:rPr>
          <w:sz w:val="26"/>
          <w:szCs w:val="26"/>
        </w:rPr>
      </w:pPr>
    </w:p>
    <w:p w:rsidR="005A279A" w:rsidRPr="005A279A" w:rsidRDefault="00C41CB5" w:rsidP="005A279A">
      <w:pPr>
        <w:jc w:val="both"/>
        <w:rPr>
          <w:rFonts w:eastAsia="Times New Roman" w:cs="Times New Roman"/>
          <w:szCs w:val="28"/>
        </w:rPr>
      </w:pPr>
      <w:r>
        <w:rPr>
          <w:rFonts w:eastAsia="Times New Roman" w:cs="Times New Roman"/>
          <w:szCs w:val="28"/>
        </w:rPr>
        <w:t>Finanšu ministrs</w:t>
      </w:r>
      <w:r w:rsidR="005A279A" w:rsidRPr="005A279A">
        <w:rPr>
          <w:rFonts w:eastAsia="Times New Roman" w:cs="Times New Roman"/>
          <w:szCs w:val="28"/>
        </w:rPr>
        <w:tab/>
      </w:r>
      <w:r w:rsidR="005A279A" w:rsidRPr="005A279A">
        <w:rPr>
          <w:rFonts w:eastAsia="Times New Roman" w:cs="Times New Roman"/>
          <w:szCs w:val="28"/>
        </w:rPr>
        <w:tab/>
      </w:r>
      <w:r w:rsidR="005A279A" w:rsidRPr="005A279A">
        <w:rPr>
          <w:rFonts w:eastAsia="Times New Roman" w:cs="Times New Roman"/>
          <w:szCs w:val="28"/>
        </w:rPr>
        <w:tab/>
      </w:r>
      <w:r w:rsidR="005A279A" w:rsidRPr="005A279A">
        <w:rPr>
          <w:rFonts w:eastAsia="Times New Roman" w:cs="Times New Roman"/>
          <w:szCs w:val="28"/>
        </w:rPr>
        <w:tab/>
        <w:t xml:space="preserve">   </w:t>
      </w:r>
      <w:r w:rsidR="005A279A" w:rsidRPr="005A279A">
        <w:rPr>
          <w:rFonts w:eastAsia="Times New Roman" w:cs="Times New Roman"/>
          <w:szCs w:val="28"/>
        </w:rPr>
        <w:tab/>
      </w:r>
      <w:r w:rsidR="005A279A" w:rsidRPr="005A279A">
        <w:rPr>
          <w:rFonts w:eastAsia="Times New Roman" w:cs="Times New Roman"/>
          <w:szCs w:val="28"/>
        </w:rPr>
        <w:tab/>
        <w:t xml:space="preserve">      </w:t>
      </w:r>
      <w:r>
        <w:rPr>
          <w:rFonts w:eastAsia="Times New Roman" w:cs="Times New Roman"/>
          <w:szCs w:val="28"/>
        </w:rPr>
        <w:t xml:space="preserve">       </w:t>
      </w:r>
      <w:r w:rsidR="005A279A" w:rsidRPr="005A279A">
        <w:rPr>
          <w:rFonts w:eastAsia="Times New Roman" w:cs="Times New Roman"/>
          <w:szCs w:val="28"/>
        </w:rPr>
        <w:t xml:space="preserve">    </w:t>
      </w:r>
      <w:proofErr w:type="spellStart"/>
      <w:r>
        <w:rPr>
          <w:rFonts w:eastAsia="Times New Roman" w:cs="Times New Roman"/>
          <w:szCs w:val="28"/>
        </w:rPr>
        <w:t>A.Vilks</w:t>
      </w:r>
      <w:proofErr w:type="spellEnd"/>
    </w:p>
    <w:p w:rsidR="004A3772" w:rsidRPr="005F551C" w:rsidRDefault="00710235" w:rsidP="005F551C">
      <w:pPr>
        <w:ind w:firstLine="720"/>
        <w:jc w:val="both"/>
        <w:rPr>
          <w:sz w:val="26"/>
          <w:szCs w:val="26"/>
        </w:rPr>
      </w:pPr>
      <w:r w:rsidRPr="005F551C">
        <w:rPr>
          <w:sz w:val="26"/>
          <w:szCs w:val="26"/>
        </w:rPr>
        <w:t xml:space="preserve">                     </w:t>
      </w:r>
    </w:p>
    <w:p w:rsidR="004A3772" w:rsidRDefault="004A3772" w:rsidP="005F551C">
      <w:pPr>
        <w:ind w:firstLine="720"/>
        <w:jc w:val="both"/>
      </w:pPr>
    </w:p>
    <w:p w:rsidR="00994F46" w:rsidRDefault="00994F46" w:rsidP="005F551C">
      <w:pPr>
        <w:ind w:firstLine="720"/>
        <w:jc w:val="both"/>
      </w:pPr>
    </w:p>
    <w:p w:rsidR="00994F46" w:rsidRDefault="00994F46" w:rsidP="005F551C">
      <w:pPr>
        <w:ind w:firstLine="720"/>
        <w:jc w:val="both"/>
      </w:pPr>
    </w:p>
    <w:p w:rsidR="00994F46" w:rsidRDefault="00994F46" w:rsidP="005F551C">
      <w:pPr>
        <w:ind w:firstLine="720"/>
        <w:jc w:val="both"/>
      </w:pPr>
    </w:p>
    <w:p w:rsidR="00994F46" w:rsidRDefault="00994F46" w:rsidP="005F551C">
      <w:pPr>
        <w:ind w:firstLine="720"/>
        <w:jc w:val="both"/>
      </w:pPr>
    </w:p>
    <w:p w:rsidR="00994F46" w:rsidRDefault="00994F46" w:rsidP="005F551C">
      <w:pPr>
        <w:ind w:firstLine="720"/>
        <w:jc w:val="both"/>
      </w:pPr>
    </w:p>
    <w:p w:rsidR="00994F46" w:rsidRDefault="00994F46" w:rsidP="005F551C">
      <w:pPr>
        <w:ind w:firstLine="720"/>
        <w:jc w:val="both"/>
      </w:pPr>
    </w:p>
    <w:p w:rsidR="00994F46" w:rsidRDefault="00994F46" w:rsidP="005F551C">
      <w:pPr>
        <w:ind w:firstLine="720"/>
        <w:jc w:val="both"/>
      </w:pPr>
    </w:p>
    <w:p w:rsidR="00994F46" w:rsidRDefault="00994F46" w:rsidP="005F551C">
      <w:pPr>
        <w:ind w:firstLine="720"/>
        <w:jc w:val="both"/>
      </w:pPr>
    </w:p>
    <w:p w:rsidR="00994F46" w:rsidRDefault="00994F46" w:rsidP="005F551C">
      <w:pPr>
        <w:ind w:firstLine="720"/>
        <w:jc w:val="both"/>
      </w:pPr>
    </w:p>
    <w:p w:rsidR="00994F46" w:rsidRDefault="00994F46" w:rsidP="005F551C">
      <w:pPr>
        <w:ind w:firstLine="720"/>
        <w:jc w:val="both"/>
      </w:pPr>
    </w:p>
    <w:p w:rsidR="004A3772" w:rsidRPr="004A3772" w:rsidRDefault="00C41CB5" w:rsidP="004A3772">
      <w:pPr>
        <w:rPr>
          <w:rFonts w:eastAsia="Times New Roman" w:cs="Times New Roman"/>
          <w:sz w:val="22"/>
          <w:lang w:eastAsia="lv-LV"/>
        </w:rPr>
      </w:pPr>
      <w:r>
        <w:rPr>
          <w:rFonts w:eastAsia="Times New Roman" w:cs="Times New Roman"/>
          <w:sz w:val="22"/>
          <w:lang w:eastAsia="lv-LV"/>
        </w:rPr>
        <w:t>0</w:t>
      </w:r>
      <w:r w:rsidR="00423A5E">
        <w:rPr>
          <w:rFonts w:eastAsia="Times New Roman" w:cs="Times New Roman"/>
          <w:sz w:val="22"/>
          <w:lang w:eastAsia="lv-LV"/>
        </w:rPr>
        <w:t>2</w:t>
      </w:r>
      <w:r>
        <w:rPr>
          <w:rFonts w:eastAsia="Times New Roman" w:cs="Times New Roman"/>
          <w:sz w:val="22"/>
          <w:lang w:eastAsia="lv-LV"/>
        </w:rPr>
        <w:t>.01.2014</w:t>
      </w:r>
      <w:r w:rsidR="004A3772" w:rsidRPr="004A3772">
        <w:rPr>
          <w:rFonts w:eastAsia="Times New Roman" w:cs="Times New Roman"/>
          <w:sz w:val="22"/>
          <w:lang w:eastAsia="lv-LV"/>
        </w:rPr>
        <w:t xml:space="preserve">  </w:t>
      </w:r>
      <w:r w:rsidR="009F6A8B">
        <w:rPr>
          <w:rFonts w:eastAsia="Times New Roman" w:cs="Times New Roman"/>
          <w:sz w:val="22"/>
          <w:lang w:eastAsia="lv-LV"/>
        </w:rPr>
        <w:t>12</w:t>
      </w:r>
      <w:r w:rsidR="004351F5">
        <w:rPr>
          <w:rFonts w:eastAsia="Times New Roman" w:cs="Times New Roman"/>
          <w:sz w:val="22"/>
          <w:lang w:eastAsia="lv-LV"/>
        </w:rPr>
        <w:t>:</w:t>
      </w:r>
      <w:r w:rsidR="00596BEC">
        <w:rPr>
          <w:rFonts w:eastAsia="Times New Roman" w:cs="Times New Roman"/>
          <w:sz w:val="22"/>
          <w:lang w:eastAsia="lv-LV"/>
        </w:rPr>
        <w:t>0</w:t>
      </w:r>
      <w:r w:rsidR="00AF570C">
        <w:rPr>
          <w:rFonts w:eastAsia="Times New Roman" w:cs="Times New Roman"/>
          <w:sz w:val="22"/>
          <w:lang w:eastAsia="lv-LV"/>
        </w:rPr>
        <w:t>0</w:t>
      </w:r>
    </w:p>
    <w:p w:rsidR="004A3772" w:rsidRPr="004A3772" w:rsidRDefault="00994F46" w:rsidP="004A3772">
      <w:pPr>
        <w:rPr>
          <w:rFonts w:eastAsia="Times New Roman" w:cs="Times New Roman"/>
          <w:sz w:val="22"/>
          <w:lang w:eastAsia="lv-LV"/>
        </w:rPr>
      </w:pPr>
      <w:r>
        <w:rPr>
          <w:rFonts w:eastAsia="Times New Roman" w:cs="Times New Roman"/>
          <w:sz w:val="22"/>
          <w:lang w:eastAsia="lv-LV"/>
        </w:rPr>
        <w:t>3</w:t>
      </w:r>
      <w:r w:rsidR="00423A5E">
        <w:rPr>
          <w:rFonts w:eastAsia="Times New Roman" w:cs="Times New Roman"/>
          <w:sz w:val="22"/>
          <w:lang w:eastAsia="lv-LV"/>
        </w:rPr>
        <w:t>396</w:t>
      </w:r>
    </w:p>
    <w:p w:rsidR="004A3772" w:rsidRPr="004A3772" w:rsidRDefault="004A3772" w:rsidP="004A3772">
      <w:pPr>
        <w:rPr>
          <w:rFonts w:eastAsia="Times New Roman" w:cs="Times New Roman"/>
          <w:sz w:val="22"/>
          <w:lang w:eastAsia="lv-LV"/>
        </w:rPr>
      </w:pPr>
      <w:bookmarkStart w:id="1" w:name="OLE_LINK7"/>
      <w:bookmarkStart w:id="2" w:name="OLE_LINK8"/>
      <w:bookmarkStart w:id="3" w:name="OLE_LINK11"/>
      <w:bookmarkStart w:id="4" w:name="OLE_LINK12"/>
      <w:proofErr w:type="spellStart"/>
      <w:r w:rsidRPr="004A3772">
        <w:rPr>
          <w:rFonts w:eastAsia="Times New Roman" w:cs="Times New Roman"/>
          <w:sz w:val="22"/>
          <w:lang w:eastAsia="lv-LV"/>
        </w:rPr>
        <w:t>ITiesnieks</w:t>
      </w:r>
      <w:proofErr w:type="spellEnd"/>
    </w:p>
    <w:p w:rsidR="004A3772" w:rsidRPr="00DE1687" w:rsidRDefault="004A3772" w:rsidP="003157CC">
      <w:r w:rsidRPr="004A3772">
        <w:rPr>
          <w:rFonts w:eastAsia="Times New Roman" w:cs="Times New Roman"/>
          <w:sz w:val="22"/>
          <w:lang w:eastAsia="lv-LV"/>
        </w:rPr>
        <w:t>670</w:t>
      </w:r>
      <w:bookmarkEnd w:id="1"/>
      <w:bookmarkEnd w:id="2"/>
      <w:r w:rsidRPr="004A3772">
        <w:rPr>
          <w:rFonts w:eastAsia="Times New Roman" w:cs="Times New Roman"/>
          <w:sz w:val="22"/>
          <w:lang w:eastAsia="lv-LV"/>
        </w:rPr>
        <w:t>9</w:t>
      </w:r>
      <w:bookmarkEnd w:id="3"/>
      <w:bookmarkEnd w:id="4"/>
      <w:r w:rsidRPr="004A3772">
        <w:rPr>
          <w:rFonts w:eastAsia="Times New Roman" w:cs="Times New Roman"/>
          <w:sz w:val="22"/>
          <w:lang w:eastAsia="lv-LV"/>
        </w:rPr>
        <w:t>5667, Imants.Tiesnieks@fm.gov.lv</w:t>
      </w:r>
    </w:p>
    <w:sectPr w:rsidR="004A3772" w:rsidRPr="00DE1687" w:rsidSect="004110B3">
      <w:headerReference w:type="even" r:id="rId8"/>
      <w:headerReference w:type="default" r:id="rId9"/>
      <w:footerReference w:type="even" r:id="rId10"/>
      <w:footerReference w:type="default" r:id="rId11"/>
      <w:headerReference w:type="first" r:id="rId12"/>
      <w:footerReference w:type="first" r:id="rId13"/>
      <w:pgSz w:w="11906" w:h="16838"/>
      <w:pgMar w:top="1276"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742" w:rsidRDefault="006C3742" w:rsidP="00C4352E">
      <w:r>
        <w:separator/>
      </w:r>
    </w:p>
  </w:endnote>
  <w:endnote w:type="continuationSeparator" w:id="0">
    <w:p w:rsidR="006C3742" w:rsidRDefault="006C3742" w:rsidP="00C4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CAA" w:rsidRDefault="001F1C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212234"/>
      <w:docPartObj>
        <w:docPartGallery w:val="Page Numbers (Bottom of Page)"/>
        <w:docPartUnique/>
      </w:docPartObj>
    </w:sdtPr>
    <w:sdtEndPr>
      <w:rPr>
        <w:noProof/>
      </w:rPr>
    </w:sdtEndPr>
    <w:sdtContent>
      <w:p w:rsidR="00940132" w:rsidRDefault="00940132">
        <w:pPr>
          <w:pStyle w:val="Footer"/>
          <w:jc w:val="center"/>
        </w:pPr>
        <w:r>
          <w:fldChar w:fldCharType="begin"/>
        </w:r>
        <w:r>
          <w:instrText xml:space="preserve"> PAGE   \* MERGEFORMAT </w:instrText>
        </w:r>
        <w:r>
          <w:fldChar w:fldCharType="separate"/>
        </w:r>
        <w:r w:rsidR="000B4D6A">
          <w:rPr>
            <w:noProof/>
          </w:rPr>
          <w:t>10</w:t>
        </w:r>
        <w:r>
          <w:rPr>
            <w:noProof/>
          </w:rPr>
          <w:fldChar w:fldCharType="end"/>
        </w:r>
      </w:p>
    </w:sdtContent>
  </w:sdt>
  <w:p w:rsidR="00B776E1" w:rsidRDefault="002D39B1">
    <w:pPr>
      <w:pStyle w:val="Footer"/>
    </w:pPr>
    <w:r>
      <w:rPr>
        <w:sz w:val="22"/>
      </w:rPr>
      <w:t>FMplāns_</w:t>
    </w:r>
    <w:r w:rsidR="007C6B4F">
      <w:rPr>
        <w:sz w:val="22"/>
      </w:rPr>
      <w:t>02012014</w:t>
    </w:r>
    <w:r w:rsidR="00940132">
      <w:rPr>
        <w:sz w:val="22"/>
      </w:rPr>
      <w:t>_FSAPlāns</w:t>
    </w:r>
    <w:r w:rsidR="00940132" w:rsidRPr="009D61D1">
      <w:rPr>
        <w:sz w:val="22"/>
      </w:rPr>
      <w:t>; Finanšu sektora attīstības plāns 2014.-2016.gadam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CAA" w:rsidRDefault="001F1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742" w:rsidRDefault="006C3742" w:rsidP="00C4352E">
      <w:r>
        <w:separator/>
      </w:r>
    </w:p>
  </w:footnote>
  <w:footnote w:type="continuationSeparator" w:id="0">
    <w:p w:rsidR="006C3742" w:rsidRDefault="006C3742" w:rsidP="00C4352E">
      <w:r>
        <w:continuationSeparator/>
      </w:r>
    </w:p>
  </w:footnote>
  <w:footnote w:id="1">
    <w:p w:rsidR="00771164" w:rsidRDefault="00771164">
      <w:pPr>
        <w:pStyle w:val="FootnoteText"/>
      </w:pPr>
      <w:r>
        <w:rPr>
          <w:rStyle w:val="FootnoteReference"/>
        </w:rPr>
        <w:footnoteRef/>
      </w:r>
      <w:r>
        <w:t xml:space="preserve"> </w:t>
      </w:r>
      <w:hyperlink r:id="rId1" w:history="1">
        <w:r w:rsidRPr="00075ACF">
          <w:rPr>
            <w:rStyle w:val="Hyperlink"/>
          </w:rPr>
          <w:t>http://www.bank.lv/publikacijas/finansu-stabilitates-parskats/finansu-stabilitates-parskats/2503</w:t>
        </w:r>
      </w:hyperlink>
    </w:p>
    <w:p w:rsidR="00771164" w:rsidRDefault="00771164">
      <w:pPr>
        <w:pStyle w:val="FootnoteText"/>
      </w:pPr>
    </w:p>
  </w:footnote>
  <w:footnote w:id="2">
    <w:p w:rsidR="008170CF" w:rsidRDefault="008170CF">
      <w:pPr>
        <w:pStyle w:val="FootnoteText"/>
      </w:pPr>
      <w:r>
        <w:rPr>
          <w:rStyle w:val="FootnoteReference"/>
        </w:rPr>
        <w:footnoteRef/>
      </w:r>
      <w:r>
        <w:t xml:space="preserve"> </w:t>
      </w:r>
      <w:r w:rsidR="002B03E8" w:rsidRPr="002B03E8">
        <w:t xml:space="preserve">2013.gada 18.jūnija vēstule nr.1-5-02/3559 </w:t>
      </w:r>
      <w:proofErr w:type="spellStart"/>
      <w:r w:rsidR="002B03E8" w:rsidRPr="002B03E8">
        <w:t>Eirogrupas</w:t>
      </w:r>
      <w:proofErr w:type="spellEnd"/>
      <w:r w:rsidR="002B03E8" w:rsidRPr="002B03E8">
        <w:t xml:space="preserve"> prezidentam </w:t>
      </w:r>
      <w:proofErr w:type="spellStart"/>
      <w:r w:rsidR="002B03E8" w:rsidRPr="002B03E8">
        <w:t>J.Dijselblūmam</w:t>
      </w:r>
      <w:proofErr w:type="spellEnd"/>
      <w:r w:rsidR="002B03E8" w:rsidRPr="002B03E8">
        <w:t xml:space="preserve"> un </w:t>
      </w:r>
      <w:proofErr w:type="spellStart"/>
      <w:r w:rsidR="002B03E8" w:rsidRPr="002B03E8">
        <w:t>Eirogrupas</w:t>
      </w:r>
      <w:proofErr w:type="spellEnd"/>
      <w:r w:rsidR="002B03E8" w:rsidRPr="002B03E8">
        <w:t xml:space="preserve"> locekļiem, k</w:t>
      </w:r>
      <w:r w:rsidR="00D53424">
        <w:t>uru</w:t>
      </w:r>
      <w:r w:rsidR="002B03E8" w:rsidRPr="002B03E8">
        <w:t xml:space="preserve"> </w:t>
      </w:r>
      <w:r w:rsidR="00D53424">
        <w:t>parakstījuši</w:t>
      </w:r>
      <w:r w:rsidR="002B03E8" w:rsidRPr="002B03E8">
        <w:t xml:space="preserve"> -  Ministru kabineta vārdā -finanšu ministrs, Latvijas bankas prezidents un Finanšu un kapitāla tirgus komisijas priekšsēdētājs</w:t>
      </w:r>
    </w:p>
    <w:p w:rsidR="008170CF" w:rsidRDefault="008170CF">
      <w:pPr>
        <w:pStyle w:val="FootnoteText"/>
      </w:pPr>
    </w:p>
  </w:footnote>
  <w:footnote w:id="3">
    <w:p w:rsidR="00917D96" w:rsidRDefault="00917D96">
      <w:pPr>
        <w:pStyle w:val="FootnoteText"/>
      </w:pPr>
      <w:r>
        <w:rPr>
          <w:rStyle w:val="FootnoteReference"/>
        </w:rPr>
        <w:footnoteRef/>
      </w:r>
      <w:r>
        <w:t xml:space="preserve"> </w:t>
      </w:r>
      <w:r w:rsidRPr="00917D96">
        <w:t xml:space="preserve">Eiropas sistēmisko risku kolēģijas ieteikums par nacionālo iestāžu pilnvarām </w:t>
      </w:r>
      <w:proofErr w:type="spellStart"/>
      <w:r w:rsidRPr="00917D96">
        <w:t>makrouzraudzības</w:t>
      </w:r>
      <w:proofErr w:type="spellEnd"/>
      <w:r w:rsidRPr="00917D96">
        <w:t xml:space="preserve"> jomā, 22.12.2011 nr. ESRK/2011/2</w:t>
      </w:r>
    </w:p>
  </w:footnote>
  <w:footnote w:id="4">
    <w:p w:rsidR="008700DC" w:rsidRDefault="008700DC" w:rsidP="008700DC">
      <w:pPr>
        <w:pStyle w:val="FootnoteText"/>
      </w:pPr>
      <w:r>
        <w:rPr>
          <w:rStyle w:val="FootnoteReference"/>
        </w:rPr>
        <w:footnoteRef/>
      </w:r>
      <w:r>
        <w:t xml:space="preserve"> </w:t>
      </w:r>
      <w:hyperlink r:id="rId2" w:history="1">
        <w:r w:rsidRPr="00436531">
          <w:rPr>
            <w:rStyle w:val="Hyperlink"/>
          </w:rPr>
          <w:t>http://likumi.lv/doc.php?id=253919</w:t>
        </w:r>
      </w:hyperlink>
    </w:p>
  </w:footnote>
  <w:footnote w:id="5">
    <w:p w:rsidR="00F071C4" w:rsidRPr="00F071C4" w:rsidRDefault="00F071C4" w:rsidP="00F071C4">
      <w:pPr>
        <w:pStyle w:val="FootnoteText"/>
      </w:pPr>
      <w:r>
        <w:rPr>
          <w:rStyle w:val="FootnoteReference"/>
        </w:rPr>
        <w:footnoteRef/>
      </w:r>
      <w:r>
        <w:t xml:space="preserve"> </w:t>
      </w:r>
      <w:r w:rsidRPr="00F071C4">
        <w:t>Eiropas Parlamenta un Padomes 2013.gada 22.oktobra Regula (ES) Nr.1022/2013, ar kuru Regulu (ES) Nr.1093/2010, ar ko izveido Eiropas Uzraudzības iestādi (Eiropas Banku iestādi), groza attiecībā uz īpašu uzdevumu uzticēšanu Eiropas Centrālajai bankai, ievērojot Padomes Regulu (ES) Nr.1024/2013</w:t>
      </w:r>
    </w:p>
    <w:p w:rsidR="00F071C4" w:rsidRDefault="00F071C4">
      <w:pPr>
        <w:pStyle w:val="FootnoteText"/>
      </w:pPr>
      <w:r w:rsidRPr="00F071C4">
        <w:t xml:space="preserve">Padomes 2013.gada 15.oktobra Regula (ES) Nr.1024/2013, ar ko Eiropas Centrālajai bankai uztic īpašus uzdevumus saistībā ar politikas nostādnēm, kas attiecas uz kredītiestāžu </w:t>
      </w:r>
      <w:proofErr w:type="spellStart"/>
      <w:r w:rsidRPr="00F071C4">
        <w:t>prudenciālo</w:t>
      </w:r>
      <w:proofErr w:type="spellEnd"/>
      <w:r w:rsidRPr="00F071C4">
        <w:t xml:space="preserve"> uzraudzību</w:t>
      </w:r>
    </w:p>
  </w:footnote>
  <w:footnote w:id="6">
    <w:p w:rsidR="004F5D3E" w:rsidRPr="004F5D3E" w:rsidRDefault="004F5D3E" w:rsidP="004F5D3E">
      <w:pPr>
        <w:pStyle w:val="FootnoteText"/>
      </w:pPr>
      <w:r>
        <w:rPr>
          <w:rStyle w:val="FootnoteReference"/>
        </w:rPr>
        <w:footnoteRef/>
      </w:r>
      <w:r>
        <w:t xml:space="preserve"> </w:t>
      </w:r>
      <w:r w:rsidRPr="004F5D3E">
        <w:t>Ar Padomes vispārējā pieejā apstiprināto direktīvas priekšlikumu iespējams iepazīties šeit:</w:t>
      </w:r>
    </w:p>
    <w:p w:rsidR="004F5D3E" w:rsidRPr="004F5D3E" w:rsidRDefault="006C3742" w:rsidP="004F5D3E">
      <w:pPr>
        <w:pStyle w:val="FootnoteText"/>
        <w:numPr>
          <w:ilvl w:val="0"/>
          <w:numId w:val="18"/>
        </w:numPr>
      </w:pPr>
      <w:hyperlink r:id="rId3" w:history="1">
        <w:r w:rsidR="004F5D3E" w:rsidRPr="004F5D3E">
          <w:rPr>
            <w:rStyle w:val="Hyperlink"/>
          </w:rPr>
          <w:t>http://register.consilium.europa.eu/pdf/lv/13/st11/st11148-re01.lv13.pdf</w:t>
        </w:r>
      </w:hyperlink>
      <w:r w:rsidR="004F5D3E" w:rsidRPr="004F5D3E">
        <w:t xml:space="preserve"> </w:t>
      </w:r>
    </w:p>
    <w:p w:rsidR="004F5D3E" w:rsidRDefault="006C3742" w:rsidP="004F5D3E">
      <w:pPr>
        <w:pStyle w:val="FootnoteText"/>
        <w:numPr>
          <w:ilvl w:val="0"/>
          <w:numId w:val="18"/>
        </w:numPr>
      </w:pPr>
      <w:hyperlink r:id="rId4" w:history="1">
        <w:r w:rsidR="004F5D3E" w:rsidRPr="004F5D3E">
          <w:rPr>
            <w:rStyle w:val="Hyperlink"/>
          </w:rPr>
          <w:t>http://register.consilium.europa.eu/pdf/lv/13/st11/st11148-re01co01.lv13.pdf</w:t>
        </w:r>
      </w:hyperlink>
      <w:r w:rsidR="004F5D3E" w:rsidRPr="004F5D3E">
        <w:t xml:space="preserve"> </w:t>
      </w:r>
    </w:p>
  </w:footnote>
  <w:footnote w:id="7">
    <w:p w:rsidR="0025180D" w:rsidRDefault="0025180D" w:rsidP="0025180D">
      <w:pPr>
        <w:pStyle w:val="FootnoteText"/>
      </w:pPr>
      <w:r>
        <w:rPr>
          <w:rStyle w:val="FootnoteReference"/>
        </w:rPr>
        <w:footnoteRef/>
      </w:r>
      <w:r>
        <w:t xml:space="preserve"> Ar EK sākotnējo priekšlikumu iespējams iepazīties šeit:</w:t>
      </w:r>
    </w:p>
    <w:p w:rsidR="0025180D" w:rsidRDefault="006C3742" w:rsidP="0025180D">
      <w:pPr>
        <w:pStyle w:val="FootnoteText"/>
      </w:pPr>
      <w:hyperlink r:id="rId5" w:history="1">
        <w:r w:rsidR="0025180D" w:rsidRPr="00E57A43">
          <w:rPr>
            <w:rStyle w:val="Hyperlink"/>
          </w:rPr>
          <w:t>http://eur-lex.europa.eu/LexUriServ/LexUriServ.do?uri=COM:2013:0520:FIN:LV:HTML</w:t>
        </w:r>
      </w:hyperlink>
      <w:r w:rsidR="0025180D">
        <w:t xml:space="preserve"> </w:t>
      </w:r>
    </w:p>
  </w:footnote>
  <w:footnote w:id="8">
    <w:p w:rsidR="004F5D3E" w:rsidRDefault="004F5D3E">
      <w:pPr>
        <w:pStyle w:val="FootnoteText"/>
      </w:pPr>
      <w:r>
        <w:rPr>
          <w:rStyle w:val="FootnoteReference"/>
        </w:rPr>
        <w:footnoteRef/>
      </w:r>
      <w:r>
        <w:t xml:space="preserve"> Ar EK sākotnējo priekšlikumu iespējams iepazīties šeit:</w:t>
      </w:r>
    </w:p>
    <w:p w:rsidR="004F5D3E" w:rsidRDefault="006C3742">
      <w:pPr>
        <w:pStyle w:val="FootnoteText"/>
      </w:pPr>
      <w:hyperlink r:id="rId6" w:history="1">
        <w:r w:rsidR="004F5D3E" w:rsidRPr="00E57A43">
          <w:rPr>
            <w:rStyle w:val="Hyperlink"/>
          </w:rPr>
          <w:t>http://eur-lex.europa.eu/LexUriServ/LexUriServ.do?uri=COM:2013:0520:FIN:LV:HTML</w:t>
        </w:r>
      </w:hyperlink>
      <w:r w:rsidR="004F5D3E">
        <w:t xml:space="preserve"> </w:t>
      </w:r>
    </w:p>
  </w:footnote>
  <w:footnote w:id="9">
    <w:p w:rsidR="00285959" w:rsidRDefault="00285959" w:rsidP="00285959">
      <w:pPr>
        <w:pStyle w:val="FootnoteText"/>
      </w:pPr>
      <w:r>
        <w:rPr>
          <w:rStyle w:val="FootnoteReference"/>
        </w:rPr>
        <w:footnoteRef/>
      </w:r>
      <w:r>
        <w:t xml:space="preserve"> Saīsinājums no angļu valodā lietotā apzīmējuma – </w:t>
      </w:r>
      <w:proofErr w:type="spellStart"/>
      <w:r w:rsidRPr="00EE78F5">
        <w:rPr>
          <w:i/>
        </w:rPr>
        <w:t>Single</w:t>
      </w:r>
      <w:proofErr w:type="spellEnd"/>
      <w:r w:rsidRPr="00EE78F5">
        <w:rPr>
          <w:i/>
        </w:rPr>
        <w:t xml:space="preserve"> </w:t>
      </w:r>
      <w:proofErr w:type="spellStart"/>
      <w:r w:rsidRPr="00EE78F5">
        <w:rPr>
          <w:i/>
        </w:rPr>
        <w:t>Resolution</w:t>
      </w:r>
      <w:proofErr w:type="spellEnd"/>
      <w:r w:rsidRPr="00EE78F5">
        <w:rPr>
          <w:i/>
        </w:rPr>
        <w:t xml:space="preserve"> </w:t>
      </w:r>
      <w:proofErr w:type="spellStart"/>
      <w:r w:rsidRPr="00EE78F5">
        <w:rPr>
          <w:i/>
        </w:rPr>
        <w:t>Mechanism</w:t>
      </w:r>
      <w:proofErr w:type="spellEnd"/>
      <w:r>
        <w:t xml:space="preserve"> </w:t>
      </w:r>
      <w:r w:rsidRPr="00EE78F5">
        <w:rPr>
          <w:i/>
        </w:rPr>
        <w:t>(SRM)</w:t>
      </w:r>
      <w:r>
        <w:t xml:space="preserve"> </w:t>
      </w:r>
    </w:p>
  </w:footnote>
  <w:footnote w:id="10">
    <w:p w:rsidR="00285959" w:rsidRDefault="00285959" w:rsidP="00285959">
      <w:pPr>
        <w:pStyle w:val="FootnoteText"/>
      </w:pPr>
      <w:r>
        <w:rPr>
          <w:rStyle w:val="FootnoteReference"/>
        </w:rPr>
        <w:footnoteRef/>
      </w:r>
      <w:r>
        <w:t xml:space="preserve"> Ar Padomes vispārējā pieejā apstiprināto direktīvas priekšlikumu iespējams iepazīties šeit:</w:t>
      </w:r>
    </w:p>
    <w:p w:rsidR="00285959" w:rsidRDefault="006C3742" w:rsidP="00285959">
      <w:pPr>
        <w:pStyle w:val="FootnoteText"/>
        <w:numPr>
          <w:ilvl w:val="0"/>
          <w:numId w:val="18"/>
        </w:numPr>
        <w:jc w:val="both"/>
      </w:pPr>
      <w:hyperlink r:id="rId7" w:history="1">
        <w:r w:rsidR="00285959" w:rsidRPr="00857727">
          <w:rPr>
            <w:rStyle w:val="Hyperlink"/>
          </w:rPr>
          <w:t>http://register.consilium.europa.eu/pdf/lv/13/st11/st11148-re01.lv13.pdf</w:t>
        </w:r>
      </w:hyperlink>
      <w:r w:rsidR="00285959">
        <w:t xml:space="preserve"> </w:t>
      </w:r>
    </w:p>
    <w:p w:rsidR="00285959" w:rsidRDefault="006C3742" w:rsidP="00285959">
      <w:pPr>
        <w:pStyle w:val="FootnoteText"/>
        <w:numPr>
          <w:ilvl w:val="0"/>
          <w:numId w:val="18"/>
        </w:numPr>
        <w:jc w:val="both"/>
      </w:pPr>
      <w:hyperlink r:id="rId8" w:history="1">
        <w:r w:rsidR="00285959" w:rsidRPr="00857727">
          <w:rPr>
            <w:rStyle w:val="Hyperlink"/>
          </w:rPr>
          <w:t>http://register.consilium.europa.eu/pdf/lv/13/st11/st11148-re01co01.lv13.pdf</w:t>
        </w:r>
      </w:hyperlink>
      <w:r w:rsidR="00285959">
        <w:t xml:space="preserve"> </w:t>
      </w:r>
    </w:p>
  </w:footnote>
  <w:footnote w:id="11">
    <w:p w:rsidR="00285959" w:rsidRDefault="00285959" w:rsidP="00285959">
      <w:pPr>
        <w:pStyle w:val="FootnoteText"/>
      </w:pPr>
      <w:r>
        <w:rPr>
          <w:rStyle w:val="FootnoteReference"/>
        </w:rPr>
        <w:footnoteRef/>
      </w:r>
      <w:r>
        <w:t xml:space="preserve"> Saīsinājums no angļu valodā lietotā apzīmējuma – </w:t>
      </w:r>
      <w:proofErr w:type="spellStart"/>
      <w:r w:rsidRPr="00A83FD9">
        <w:rPr>
          <w:i/>
        </w:rPr>
        <w:t>Bank</w:t>
      </w:r>
      <w:proofErr w:type="spellEnd"/>
      <w:r w:rsidRPr="00A83FD9">
        <w:rPr>
          <w:i/>
        </w:rPr>
        <w:t xml:space="preserve"> </w:t>
      </w:r>
      <w:proofErr w:type="spellStart"/>
      <w:r w:rsidRPr="00A83FD9">
        <w:rPr>
          <w:i/>
        </w:rPr>
        <w:t>recovery</w:t>
      </w:r>
      <w:proofErr w:type="spellEnd"/>
      <w:r w:rsidRPr="00A83FD9">
        <w:rPr>
          <w:i/>
        </w:rPr>
        <w:t xml:space="preserve"> </w:t>
      </w:r>
      <w:proofErr w:type="spellStart"/>
      <w:r w:rsidRPr="00A83FD9">
        <w:rPr>
          <w:i/>
        </w:rPr>
        <w:t>and</w:t>
      </w:r>
      <w:proofErr w:type="spellEnd"/>
      <w:r w:rsidRPr="00A83FD9">
        <w:rPr>
          <w:i/>
        </w:rPr>
        <w:t xml:space="preserve"> </w:t>
      </w:r>
      <w:proofErr w:type="spellStart"/>
      <w:r w:rsidRPr="00A83FD9">
        <w:rPr>
          <w:i/>
        </w:rPr>
        <w:t>resolution</w:t>
      </w:r>
      <w:proofErr w:type="spellEnd"/>
      <w:r>
        <w:rPr>
          <w:i/>
        </w:rPr>
        <w:t xml:space="preserve"> (BRR)</w:t>
      </w:r>
    </w:p>
  </w:footnote>
  <w:footnote w:id="12">
    <w:p w:rsidR="009F6A8B" w:rsidRDefault="009F6A8B" w:rsidP="009F6A8B">
      <w:pPr>
        <w:pStyle w:val="FootnoteText"/>
      </w:pPr>
      <w:r>
        <w:rPr>
          <w:rStyle w:val="FootnoteReference"/>
        </w:rPr>
        <w:footnoteRef/>
      </w:r>
      <w:r>
        <w:t xml:space="preserve"> LR Tieslietu ministrijas  2013.gada 9.septembra atzinums nr. 1-18/338.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CAA" w:rsidRDefault="001F1C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30" w:rsidRDefault="009C2830" w:rsidP="00940132">
    <w:pPr>
      <w:pStyle w:val="Header"/>
      <w:ind w:firstLine="720"/>
      <w:rPr>
        <w:sz w:val="22"/>
      </w:rPr>
    </w:pPr>
    <w:r w:rsidRPr="009C2830">
      <w:rPr>
        <w:sz w:val="22"/>
      </w:rPr>
      <w:ptab w:relativeTo="margin" w:alignment="center" w:leader="none"/>
    </w:r>
    <w:r w:rsidRPr="009C2830">
      <w:rPr>
        <w:sz w:val="22"/>
      </w:rPr>
      <w:ptab w:relativeTo="margin" w:alignment="right" w:leader="none"/>
    </w:r>
    <w:r>
      <w:rPr>
        <w:sz w:val="22"/>
      </w:rPr>
      <w:t>PROJEKTS</w:t>
    </w:r>
  </w:p>
  <w:p w:rsidR="009C2830" w:rsidRPr="009D61D1" w:rsidRDefault="009C2830" w:rsidP="0003795E">
    <w:pPr>
      <w:pStyle w:val="Header"/>
      <w:ind w:firstLine="720"/>
      <w:rPr>
        <w:sz w:val="22"/>
      </w:rPr>
    </w:pPr>
    <w:r>
      <w:rPr>
        <w:sz w:val="22"/>
      </w:rPr>
      <w:tab/>
    </w:r>
    <w:r>
      <w:rPr>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CAA" w:rsidRDefault="001F1C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1CA01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E324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80540E"/>
    <w:multiLevelType w:val="multilevel"/>
    <w:tmpl w:val="C61C9D8A"/>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4094A23"/>
    <w:multiLevelType w:val="hybridMultilevel"/>
    <w:tmpl w:val="BC96698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8C60C54"/>
    <w:multiLevelType w:val="multilevel"/>
    <w:tmpl w:val="4142FF12"/>
    <w:lvl w:ilvl="0">
      <w:start w:val="1"/>
      <w:numFmt w:val="decimal"/>
      <w:lvlText w:val="%1."/>
      <w:lvlJc w:val="left"/>
      <w:pPr>
        <w:ind w:left="235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3438" w:hanging="720"/>
      </w:pPr>
      <w:rPr>
        <w:rFonts w:hint="default"/>
      </w:rPr>
    </w:lvl>
    <w:lvl w:ilvl="3">
      <w:start w:val="1"/>
      <w:numFmt w:val="decimal"/>
      <w:isLgl/>
      <w:lvlText w:val="%1.%2.%3.%4."/>
      <w:lvlJc w:val="left"/>
      <w:pPr>
        <w:ind w:left="4158" w:hanging="1080"/>
      </w:pPr>
      <w:rPr>
        <w:rFonts w:hint="default"/>
      </w:rPr>
    </w:lvl>
    <w:lvl w:ilvl="4">
      <w:start w:val="1"/>
      <w:numFmt w:val="decimal"/>
      <w:isLgl/>
      <w:lvlText w:val="%1.%2.%3.%4.%5."/>
      <w:lvlJc w:val="left"/>
      <w:pPr>
        <w:ind w:left="4518" w:hanging="1080"/>
      </w:pPr>
      <w:rPr>
        <w:rFonts w:hint="default"/>
      </w:rPr>
    </w:lvl>
    <w:lvl w:ilvl="5">
      <w:start w:val="1"/>
      <w:numFmt w:val="decimal"/>
      <w:isLgl/>
      <w:lvlText w:val="%1.%2.%3.%4.%5.%6."/>
      <w:lvlJc w:val="left"/>
      <w:pPr>
        <w:ind w:left="5238"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318" w:hanging="1800"/>
      </w:pPr>
      <w:rPr>
        <w:rFonts w:hint="default"/>
      </w:rPr>
    </w:lvl>
    <w:lvl w:ilvl="8">
      <w:start w:val="1"/>
      <w:numFmt w:val="decimal"/>
      <w:isLgl/>
      <w:lvlText w:val="%1.%2.%3.%4.%5.%6.%7.%8.%9."/>
      <w:lvlJc w:val="left"/>
      <w:pPr>
        <w:ind w:left="7038" w:hanging="2160"/>
      </w:pPr>
      <w:rPr>
        <w:rFonts w:hint="default"/>
      </w:rPr>
    </w:lvl>
  </w:abstractNum>
  <w:abstractNum w:abstractNumId="5">
    <w:nsid w:val="18DF5D16"/>
    <w:multiLevelType w:val="hybridMultilevel"/>
    <w:tmpl w:val="030884B8"/>
    <w:lvl w:ilvl="0" w:tplc="524A673C">
      <w:start w:val="200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1B0D0139"/>
    <w:multiLevelType w:val="hybridMultilevel"/>
    <w:tmpl w:val="BBC62E6A"/>
    <w:lvl w:ilvl="0" w:tplc="1464B8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D345F6B"/>
    <w:multiLevelType w:val="hybridMultilevel"/>
    <w:tmpl w:val="CE5402CA"/>
    <w:lvl w:ilvl="0" w:tplc="50240250">
      <w:start w:val="1"/>
      <w:numFmt w:val="decimal"/>
      <w:lvlText w:val="%1)"/>
      <w:lvlJc w:val="left"/>
      <w:pPr>
        <w:ind w:left="1070" w:hanging="360"/>
      </w:pPr>
      <w:rPr>
        <w:rFonts w:ascii="Times New Roman" w:eastAsia="Times New Roman" w:hAnsi="Times New Roman" w:cs="Times New Roman"/>
        <w:b w:val="0"/>
        <w:color w:val="auto"/>
        <w:u w:val="none"/>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8">
    <w:nsid w:val="2E1F1329"/>
    <w:multiLevelType w:val="hybridMultilevel"/>
    <w:tmpl w:val="6AFEF6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FB5BA0"/>
    <w:multiLevelType w:val="multilevel"/>
    <w:tmpl w:val="C5224DD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0DD1A45"/>
    <w:multiLevelType w:val="hybridMultilevel"/>
    <w:tmpl w:val="F09E6ABE"/>
    <w:lvl w:ilvl="0" w:tplc="B866A50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425B515B"/>
    <w:multiLevelType w:val="hybridMultilevel"/>
    <w:tmpl w:val="A178FF1A"/>
    <w:lvl w:ilvl="0" w:tplc="E4DEBB98">
      <w:start w:val="1"/>
      <w:numFmt w:val="decimal"/>
      <w:suff w:val="space"/>
      <w:lvlText w:val="%1."/>
      <w:lvlJc w:val="right"/>
      <w:pPr>
        <w:snapToGrid w:val="0"/>
        <w:ind w:left="-360" w:firstLine="36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3BF435C"/>
    <w:multiLevelType w:val="hybridMultilevel"/>
    <w:tmpl w:val="8F563C50"/>
    <w:lvl w:ilvl="0" w:tplc="420C35C4">
      <w:start w:val="1"/>
      <w:numFmt w:val="decimal"/>
      <w:lvlText w:val="%1)"/>
      <w:lvlJc w:val="left"/>
      <w:pPr>
        <w:ind w:left="1070" w:hanging="360"/>
      </w:pPr>
      <w:rPr>
        <w:rFonts w:hint="default"/>
        <w:b w:val="0"/>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3">
    <w:nsid w:val="53BC265C"/>
    <w:multiLevelType w:val="hybridMultilevel"/>
    <w:tmpl w:val="B35ED51A"/>
    <w:lvl w:ilvl="0" w:tplc="98E4E06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4D1C70"/>
    <w:multiLevelType w:val="hybridMultilevel"/>
    <w:tmpl w:val="E1344A9E"/>
    <w:lvl w:ilvl="0" w:tplc="A9828B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DE8637B"/>
    <w:multiLevelType w:val="hybridMultilevel"/>
    <w:tmpl w:val="661242DC"/>
    <w:lvl w:ilvl="0" w:tplc="15B4EF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23564E5"/>
    <w:multiLevelType w:val="hybridMultilevel"/>
    <w:tmpl w:val="2A64BEE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6D64A7"/>
    <w:multiLevelType w:val="hybridMultilevel"/>
    <w:tmpl w:val="CB7AA846"/>
    <w:lvl w:ilvl="0" w:tplc="85C44364">
      <w:start w:val="3"/>
      <w:numFmt w:val="decimal"/>
      <w:lvlText w:val="%1"/>
      <w:lvlJc w:val="left"/>
      <w:pPr>
        <w:ind w:left="1085" w:hanging="360"/>
      </w:pPr>
      <w:rPr>
        <w:rFonts w:hint="default"/>
      </w:rPr>
    </w:lvl>
    <w:lvl w:ilvl="1" w:tplc="04260019" w:tentative="1">
      <w:start w:val="1"/>
      <w:numFmt w:val="lowerLetter"/>
      <w:lvlText w:val="%2."/>
      <w:lvlJc w:val="left"/>
      <w:pPr>
        <w:ind w:left="1805" w:hanging="360"/>
      </w:pPr>
    </w:lvl>
    <w:lvl w:ilvl="2" w:tplc="0426001B" w:tentative="1">
      <w:start w:val="1"/>
      <w:numFmt w:val="lowerRoman"/>
      <w:lvlText w:val="%3."/>
      <w:lvlJc w:val="right"/>
      <w:pPr>
        <w:ind w:left="2525" w:hanging="180"/>
      </w:pPr>
    </w:lvl>
    <w:lvl w:ilvl="3" w:tplc="0426000F" w:tentative="1">
      <w:start w:val="1"/>
      <w:numFmt w:val="decimal"/>
      <w:lvlText w:val="%4."/>
      <w:lvlJc w:val="left"/>
      <w:pPr>
        <w:ind w:left="3245" w:hanging="360"/>
      </w:pPr>
    </w:lvl>
    <w:lvl w:ilvl="4" w:tplc="04260019" w:tentative="1">
      <w:start w:val="1"/>
      <w:numFmt w:val="lowerLetter"/>
      <w:lvlText w:val="%5."/>
      <w:lvlJc w:val="left"/>
      <w:pPr>
        <w:ind w:left="3965" w:hanging="360"/>
      </w:pPr>
    </w:lvl>
    <w:lvl w:ilvl="5" w:tplc="0426001B" w:tentative="1">
      <w:start w:val="1"/>
      <w:numFmt w:val="lowerRoman"/>
      <w:lvlText w:val="%6."/>
      <w:lvlJc w:val="right"/>
      <w:pPr>
        <w:ind w:left="4685" w:hanging="180"/>
      </w:pPr>
    </w:lvl>
    <w:lvl w:ilvl="6" w:tplc="0426000F" w:tentative="1">
      <w:start w:val="1"/>
      <w:numFmt w:val="decimal"/>
      <w:lvlText w:val="%7."/>
      <w:lvlJc w:val="left"/>
      <w:pPr>
        <w:ind w:left="5405" w:hanging="360"/>
      </w:pPr>
    </w:lvl>
    <w:lvl w:ilvl="7" w:tplc="04260019" w:tentative="1">
      <w:start w:val="1"/>
      <w:numFmt w:val="lowerLetter"/>
      <w:lvlText w:val="%8."/>
      <w:lvlJc w:val="left"/>
      <w:pPr>
        <w:ind w:left="6125" w:hanging="360"/>
      </w:pPr>
    </w:lvl>
    <w:lvl w:ilvl="8" w:tplc="0426001B" w:tentative="1">
      <w:start w:val="1"/>
      <w:numFmt w:val="lowerRoman"/>
      <w:lvlText w:val="%9."/>
      <w:lvlJc w:val="right"/>
      <w:pPr>
        <w:ind w:left="6845" w:hanging="180"/>
      </w:pPr>
    </w:lvl>
  </w:abstractNum>
  <w:abstractNum w:abstractNumId="18">
    <w:nsid w:val="69066A6A"/>
    <w:multiLevelType w:val="hybridMultilevel"/>
    <w:tmpl w:val="751C1B10"/>
    <w:lvl w:ilvl="0" w:tplc="4E740872">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nsid w:val="7D962C37"/>
    <w:multiLevelType w:val="hybridMultilevel"/>
    <w:tmpl w:val="E8A809D2"/>
    <w:lvl w:ilvl="0" w:tplc="F7367A72">
      <w:numFmt w:val="bullet"/>
      <w:lvlText w:val="-"/>
      <w:lvlJc w:val="left"/>
      <w:pPr>
        <w:ind w:left="720" w:hanging="360"/>
      </w:pPr>
      <w:rPr>
        <w:rFonts w:ascii="Calibri" w:eastAsia="Calibri" w:hAnsi="Calibri" w:cs="Calibri" w:hint="default"/>
        <w:b/>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nsid w:val="7E7D636B"/>
    <w:multiLevelType w:val="hybridMultilevel"/>
    <w:tmpl w:val="B55AE04E"/>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0"/>
  </w:num>
  <w:num w:numId="6">
    <w:abstractNumId w:val="5"/>
  </w:num>
  <w:num w:numId="7">
    <w:abstractNumId w:val="7"/>
  </w:num>
  <w:num w:numId="8">
    <w:abstractNumId w:val="4"/>
  </w:num>
  <w:num w:numId="9">
    <w:abstractNumId w:val="12"/>
  </w:num>
  <w:num w:numId="10">
    <w:abstractNumId w:val="17"/>
  </w:num>
  <w:num w:numId="11">
    <w:abstractNumId w:val="11"/>
  </w:num>
  <w:num w:numId="12">
    <w:abstractNumId w:val="0"/>
  </w:num>
  <w:num w:numId="13">
    <w:abstractNumId w:val="13"/>
  </w:num>
  <w:num w:numId="14">
    <w:abstractNumId w:val="9"/>
  </w:num>
  <w:num w:numId="15">
    <w:abstractNumId w:val="16"/>
  </w:num>
  <w:num w:numId="16">
    <w:abstractNumId w:val="18"/>
  </w:num>
  <w:num w:numId="17">
    <w:abstractNumId w:val="19"/>
  </w:num>
  <w:num w:numId="18">
    <w:abstractNumId w:val="15"/>
  </w:num>
  <w:num w:numId="19">
    <w:abstractNumId w:val="8"/>
  </w:num>
  <w:num w:numId="20">
    <w:abstractNumId w:val="1"/>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2F0"/>
    <w:rsid w:val="00003F1C"/>
    <w:rsid w:val="0001093D"/>
    <w:rsid w:val="0001172E"/>
    <w:rsid w:val="00022DFF"/>
    <w:rsid w:val="0003795E"/>
    <w:rsid w:val="00045B56"/>
    <w:rsid w:val="0005050E"/>
    <w:rsid w:val="0006033C"/>
    <w:rsid w:val="00070207"/>
    <w:rsid w:val="000719F0"/>
    <w:rsid w:val="000743C1"/>
    <w:rsid w:val="0007797B"/>
    <w:rsid w:val="000A144F"/>
    <w:rsid w:val="000A6035"/>
    <w:rsid w:val="000B1AC0"/>
    <w:rsid w:val="000B4D6A"/>
    <w:rsid w:val="000D5D99"/>
    <w:rsid w:val="000E4311"/>
    <w:rsid w:val="000F3638"/>
    <w:rsid w:val="00110C13"/>
    <w:rsid w:val="00113A73"/>
    <w:rsid w:val="00121B9D"/>
    <w:rsid w:val="0012410E"/>
    <w:rsid w:val="00124201"/>
    <w:rsid w:val="00125635"/>
    <w:rsid w:val="00132F9D"/>
    <w:rsid w:val="00137D7E"/>
    <w:rsid w:val="00144A09"/>
    <w:rsid w:val="00162B46"/>
    <w:rsid w:val="001662F6"/>
    <w:rsid w:val="001711D7"/>
    <w:rsid w:val="001800B6"/>
    <w:rsid w:val="00185D2E"/>
    <w:rsid w:val="00191C42"/>
    <w:rsid w:val="0019219A"/>
    <w:rsid w:val="0019451D"/>
    <w:rsid w:val="001A2438"/>
    <w:rsid w:val="001A5B1F"/>
    <w:rsid w:val="001B064D"/>
    <w:rsid w:val="001B28EC"/>
    <w:rsid w:val="001B497C"/>
    <w:rsid w:val="001C4BBB"/>
    <w:rsid w:val="001D5185"/>
    <w:rsid w:val="001D694C"/>
    <w:rsid w:val="001D70DD"/>
    <w:rsid w:val="001E5237"/>
    <w:rsid w:val="001F1CAA"/>
    <w:rsid w:val="001F7708"/>
    <w:rsid w:val="0020105F"/>
    <w:rsid w:val="00201FAB"/>
    <w:rsid w:val="00203D35"/>
    <w:rsid w:val="00206541"/>
    <w:rsid w:val="0021059C"/>
    <w:rsid w:val="0021201D"/>
    <w:rsid w:val="0021251F"/>
    <w:rsid w:val="0021375B"/>
    <w:rsid w:val="0022220F"/>
    <w:rsid w:val="00231D56"/>
    <w:rsid w:val="002511A8"/>
    <w:rsid w:val="0025171A"/>
    <w:rsid w:val="0025180D"/>
    <w:rsid w:val="002555B2"/>
    <w:rsid w:val="00256121"/>
    <w:rsid w:val="00256648"/>
    <w:rsid w:val="00262AFF"/>
    <w:rsid w:val="0026409B"/>
    <w:rsid w:val="002730B4"/>
    <w:rsid w:val="00277142"/>
    <w:rsid w:val="00277391"/>
    <w:rsid w:val="00280C59"/>
    <w:rsid w:val="00285959"/>
    <w:rsid w:val="00296307"/>
    <w:rsid w:val="002A0F95"/>
    <w:rsid w:val="002A2396"/>
    <w:rsid w:val="002B03E8"/>
    <w:rsid w:val="002B2ACA"/>
    <w:rsid w:val="002B4732"/>
    <w:rsid w:val="002B5D0C"/>
    <w:rsid w:val="002B6B21"/>
    <w:rsid w:val="002C2816"/>
    <w:rsid w:val="002C67F7"/>
    <w:rsid w:val="002D1970"/>
    <w:rsid w:val="002D39B1"/>
    <w:rsid w:val="002E3200"/>
    <w:rsid w:val="002F079A"/>
    <w:rsid w:val="002F52EE"/>
    <w:rsid w:val="00300C7A"/>
    <w:rsid w:val="003018F4"/>
    <w:rsid w:val="00307543"/>
    <w:rsid w:val="00310B04"/>
    <w:rsid w:val="00310CE2"/>
    <w:rsid w:val="003157CC"/>
    <w:rsid w:val="00315B90"/>
    <w:rsid w:val="00327C0A"/>
    <w:rsid w:val="003338B6"/>
    <w:rsid w:val="00333F8A"/>
    <w:rsid w:val="00333FF9"/>
    <w:rsid w:val="0034352E"/>
    <w:rsid w:val="0036195B"/>
    <w:rsid w:val="00367451"/>
    <w:rsid w:val="00372543"/>
    <w:rsid w:val="00373DC0"/>
    <w:rsid w:val="00382129"/>
    <w:rsid w:val="0038481F"/>
    <w:rsid w:val="00384CB9"/>
    <w:rsid w:val="00385CB3"/>
    <w:rsid w:val="00393A6A"/>
    <w:rsid w:val="00396C91"/>
    <w:rsid w:val="003A0FB6"/>
    <w:rsid w:val="003A3258"/>
    <w:rsid w:val="003A6468"/>
    <w:rsid w:val="003B69D0"/>
    <w:rsid w:val="003C1904"/>
    <w:rsid w:val="003C321B"/>
    <w:rsid w:val="003C5AFF"/>
    <w:rsid w:val="003C7832"/>
    <w:rsid w:val="003D1FA3"/>
    <w:rsid w:val="003D4687"/>
    <w:rsid w:val="003D4841"/>
    <w:rsid w:val="003D5FBB"/>
    <w:rsid w:val="003E6162"/>
    <w:rsid w:val="003F71CA"/>
    <w:rsid w:val="003F7656"/>
    <w:rsid w:val="0040198A"/>
    <w:rsid w:val="00401E37"/>
    <w:rsid w:val="0040204D"/>
    <w:rsid w:val="00405240"/>
    <w:rsid w:val="004110B3"/>
    <w:rsid w:val="00412BA2"/>
    <w:rsid w:val="004150C6"/>
    <w:rsid w:val="0042167A"/>
    <w:rsid w:val="00423A5E"/>
    <w:rsid w:val="00432894"/>
    <w:rsid w:val="004351F5"/>
    <w:rsid w:val="00441C69"/>
    <w:rsid w:val="00450351"/>
    <w:rsid w:val="004527AB"/>
    <w:rsid w:val="00461854"/>
    <w:rsid w:val="004737AD"/>
    <w:rsid w:val="00480B3C"/>
    <w:rsid w:val="00486959"/>
    <w:rsid w:val="00486D90"/>
    <w:rsid w:val="00493F62"/>
    <w:rsid w:val="004A3772"/>
    <w:rsid w:val="004A6D98"/>
    <w:rsid w:val="004B2482"/>
    <w:rsid w:val="004B2B46"/>
    <w:rsid w:val="004B61C8"/>
    <w:rsid w:val="004C0CFB"/>
    <w:rsid w:val="004C7C91"/>
    <w:rsid w:val="004D4AB4"/>
    <w:rsid w:val="004D5692"/>
    <w:rsid w:val="004F2CE4"/>
    <w:rsid w:val="004F5D3E"/>
    <w:rsid w:val="004F6FC9"/>
    <w:rsid w:val="004F712E"/>
    <w:rsid w:val="0050516A"/>
    <w:rsid w:val="00513A08"/>
    <w:rsid w:val="0052638B"/>
    <w:rsid w:val="00526FB4"/>
    <w:rsid w:val="0053391E"/>
    <w:rsid w:val="00544C73"/>
    <w:rsid w:val="00546FE8"/>
    <w:rsid w:val="005629E1"/>
    <w:rsid w:val="00566C7E"/>
    <w:rsid w:val="00572F65"/>
    <w:rsid w:val="0057616E"/>
    <w:rsid w:val="005802E3"/>
    <w:rsid w:val="00583C7E"/>
    <w:rsid w:val="00596BEC"/>
    <w:rsid w:val="005A07C0"/>
    <w:rsid w:val="005A279A"/>
    <w:rsid w:val="005A36F6"/>
    <w:rsid w:val="005A678F"/>
    <w:rsid w:val="005B7A8F"/>
    <w:rsid w:val="005C0F74"/>
    <w:rsid w:val="005C2DB7"/>
    <w:rsid w:val="005D0DFE"/>
    <w:rsid w:val="005E6DC6"/>
    <w:rsid w:val="005F0D06"/>
    <w:rsid w:val="005F38C3"/>
    <w:rsid w:val="005F551C"/>
    <w:rsid w:val="005F5D3F"/>
    <w:rsid w:val="00602FC0"/>
    <w:rsid w:val="006061BC"/>
    <w:rsid w:val="00611EE9"/>
    <w:rsid w:val="0061275F"/>
    <w:rsid w:val="00613C07"/>
    <w:rsid w:val="006159B9"/>
    <w:rsid w:val="0062016E"/>
    <w:rsid w:val="00620251"/>
    <w:rsid w:val="00620FE6"/>
    <w:rsid w:val="00625E27"/>
    <w:rsid w:val="0063368E"/>
    <w:rsid w:val="006372CF"/>
    <w:rsid w:val="00637349"/>
    <w:rsid w:val="006415D3"/>
    <w:rsid w:val="006456B2"/>
    <w:rsid w:val="006547E2"/>
    <w:rsid w:val="00674431"/>
    <w:rsid w:val="006823B4"/>
    <w:rsid w:val="006832FD"/>
    <w:rsid w:val="0068435A"/>
    <w:rsid w:val="006A627B"/>
    <w:rsid w:val="006B0D04"/>
    <w:rsid w:val="006B1A45"/>
    <w:rsid w:val="006B7307"/>
    <w:rsid w:val="006C3742"/>
    <w:rsid w:val="006C40D6"/>
    <w:rsid w:val="006E5B5E"/>
    <w:rsid w:val="006F2256"/>
    <w:rsid w:val="0070285B"/>
    <w:rsid w:val="00706829"/>
    <w:rsid w:val="00710235"/>
    <w:rsid w:val="00713A23"/>
    <w:rsid w:val="00715E9B"/>
    <w:rsid w:val="00733E51"/>
    <w:rsid w:val="007342E0"/>
    <w:rsid w:val="00735CB1"/>
    <w:rsid w:val="007422C7"/>
    <w:rsid w:val="007515D8"/>
    <w:rsid w:val="007526A3"/>
    <w:rsid w:val="00765F8F"/>
    <w:rsid w:val="00771164"/>
    <w:rsid w:val="007739E3"/>
    <w:rsid w:val="00784496"/>
    <w:rsid w:val="007A2F0C"/>
    <w:rsid w:val="007B2C15"/>
    <w:rsid w:val="007B49F3"/>
    <w:rsid w:val="007B69D1"/>
    <w:rsid w:val="007C1828"/>
    <w:rsid w:val="007C1EE1"/>
    <w:rsid w:val="007C43CA"/>
    <w:rsid w:val="007C6B4F"/>
    <w:rsid w:val="007E5208"/>
    <w:rsid w:val="0080411F"/>
    <w:rsid w:val="0080718C"/>
    <w:rsid w:val="00807992"/>
    <w:rsid w:val="008118D4"/>
    <w:rsid w:val="00811903"/>
    <w:rsid w:val="0081347C"/>
    <w:rsid w:val="008170CF"/>
    <w:rsid w:val="00817900"/>
    <w:rsid w:val="008263AB"/>
    <w:rsid w:val="0083462B"/>
    <w:rsid w:val="0083615C"/>
    <w:rsid w:val="00841F5E"/>
    <w:rsid w:val="0084520F"/>
    <w:rsid w:val="00845235"/>
    <w:rsid w:val="00860D12"/>
    <w:rsid w:val="008672F0"/>
    <w:rsid w:val="008700DC"/>
    <w:rsid w:val="00872F3F"/>
    <w:rsid w:val="00874324"/>
    <w:rsid w:val="00891BBC"/>
    <w:rsid w:val="00894604"/>
    <w:rsid w:val="00896174"/>
    <w:rsid w:val="0089737F"/>
    <w:rsid w:val="008A46C8"/>
    <w:rsid w:val="008A569D"/>
    <w:rsid w:val="008B3AAB"/>
    <w:rsid w:val="008B6228"/>
    <w:rsid w:val="008C48EE"/>
    <w:rsid w:val="008C545C"/>
    <w:rsid w:val="008C74C3"/>
    <w:rsid w:val="008C7C3F"/>
    <w:rsid w:val="008D5A98"/>
    <w:rsid w:val="008E1315"/>
    <w:rsid w:val="008E395F"/>
    <w:rsid w:val="0090245C"/>
    <w:rsid w:val="00914FF3"/>
    <w:rsid w:val="00917D96"/>
    <w:rsid w:val="0092343F"/>
    <w:rsid w:val="009248AB"/>
    <w:rsid w:val="00931785"/>
    <w:rsid w:val="00940132"/>
    <w:rsid w:val="00943309"/>
    <w:rsid w:val="009473E2"/>
    <w:rsid w:val="00951B49"/>
    <w:rsid w:val="009558B8"/>
    <w:rsid w:val="00957478"/>
    <w:rsid w:val="00957E5C"/>
    <w:rsid w:val="00960CDB"/>
    <w:rsid w:val="009622DD"/>
    <w:rsid w:val="00970C18"/>
    <w:rsid w:val="0097265F"/>
    <w:rsid w:val="00975EE0"/>
    <w:rsid w:val="009813C0"/>
    <w:rsid w:val="00994F46"/>
    <w:rsid w:val="00995003"/>
    <w:rsid w:val="009A253E"/>
    <w:rsid w:val="009B0E9E"/>
    <w:rsid w:val="009B724A"/>
    <w:rsid w:val="009C2830"/>
    <w:rsid w:val="009C2AB6"/>
    <w:rsid w:val="009D3DE4"/>
    <w:rsid w:val="009D4F3A"/>
    <w:rsid w:val="009D61D1"/>
    <w:rsid w:val="009E1B72"/>
    <w:rsid w:val="009E4B2C"/>
    <w:rsid w:val="009E4E15"/>
    <w:rsid w:val="009F2196"/>
    <w:rsid w:val="009F29E7"/>
    <w:rsid w:val="009F3888"/>
    <w:rsid w:val="009F50F3"/>
    <w:rsid w:val="009F564E"/>
    <w:rsid w:val="009F6A8B"/>
    <w:rsid w:val="00A04A9D"/>
    <w:rsid w:val="00A04FC9"/>
    <w:rsid w:val="00A06BCA"/>
    <w:rsid w:val="00A17977"/>
    <w:rsid w:val="00A241DF"/>
    <w:rsid w:val="00A3479A"/>
    <w:rsid w:val="00A50EC8"/>
    <w:rsid w:val="00A750F4"/>
    <w:rsid w:val="00A7794D"/>
    <w:rsid w:val="00A94007"/>
    <w:rsid w:val="00AA5275"/>
    <w:rsid w:val="00AB2692"/>
    <w:rsid w:val="00AC1A28"/>
    <w:rsid w:val="00AC2E4D"/>
    <w:rsid w:val="00AD2FE1"/>
    <w:rsid w:val="00AF570C"/>
    <w:rsid w:val="00AF7943"/>
    <w:rsid w:val="00B0110E"/>
    <w:rsid w:val="00B0697A"/>
    <w:rsid w:val="00B102D2"/>
    <w:rsid w:val="00B11BA5"/>
    <w:rsid w:val="00B13121"/>
    <w:rsid w:val="00B14055"/>
    <w:rsid w:val="00B20269"/>
    <w:rsid w:val="00B20F33"/>
    <w:rsid w:val="00B262AE"/>
    <w:rsid w:val="00B364DC"/>
    <w:rsid w:val="00B3714B"/>
    <w:rsid w:val="00B54031"/>
    <w:rsid w:val="00B565D5"/>
    <w:rsid w:val="00B60B99"/>
    <w:rsid w:val="00B776E1"/>
    <w:rsid w:val="00BA48D6"/>
    <w:rsid w:val="00BA6907"/>
    <w:rsid w:val="00BC0E70"/>
    <w:rsid w:val="00BC4A24"/>
    <w:rsid w:val="00BC4D96"/>
    <w:rsid w:val="00BC571D"/>
    <w:rsid w:val="00BE384E"/>
    <w:rsid w:val="00BE3B8B"/>
    <w:rsid w:val="00BF4405"/>
    <w:rsid w:val="00BF7EB7"/>
    <w:rsid w:val="00C00A64"/>
    <w:rsid w:val="00C01FEC"/>
    <w:rsid w:val="00C057CE"/>
    <w:rsid w:val="00C13874"/>
    <w:rsid w:val="00C16CD5"/>
    <w:rsid w:val="00C21D47"/>
    <w:rsid w:val="00C26A42"/>
    <w:rsid w:val="00C32CFA"/>
    <w:rsid w:val="00C41CB5"/>
    <w:rsid w:val="00C4352E"/>
    <w:rsid w:val="00C456AB"/>
    <w:rsid w:val="00C56633"/>
    <w:rsid w:val="00C63723"/>
    <w:rsid w:val="00C73E82"/>
    <w:rsid w:val="00C8393B"/>
    <w:rsid w:val="00C8673E"/>
    <w:rsid w:val="00C87BBC"/>
    <w:rsid w:val="00C94A46"/>
    <w:rsid w:val="00C94BAC"/>
    <w:rsid w:val="00C94BEB"/>
    <w:rsid w:val="00C95E0C"/>
    <w:rsid w:val="00CA588D"/>
    <w:rsid w:val="00CA5DB6"/>
    <w:rsid w:val="00CD1C11"/>
    <w:rsid w:val="00CD5695"/>
    <w:rsid w:val="00CD7172"/>
    <w:rsid w:val="00CF0D11"/>
    <w:rsid w:val="00CF1C39"/>
    <w:rsid w:val="00CF63CB"/>
    <w:rsid w:val="00D02117"/>
    <w:rsid w:val="00D10CF9"/>
    <w:rsid w:val="00D250A1"/>
    <w:rsid w:val="00D2714A"/>
    <w:rsid w:val="00D31D6F"/>
    <w:rsid w:val="00D34766"/>
    <w:rsid w:val="00D42CC9"/>
    <w:rsid w:val="00D53424"/>
    <w:rsid w:val="00D610F5"/>
    <w:rsid w:val="00D637C5"/>
    <w:rsid w:val="00D6436A"/>
    <w:rsid w:val="00D67570"/>
    <w:rsid w:val="00D741B9"/>
    <w:rsid w:val="00D76E52"/>
    <w:rsid w:val="00D80694"/>
    <w:rsid w:val="00D82650"/>
    <w:rsid w:val="00D87C0E"/>
    <w:rsid w:val="00D925D9"/>
    <w:rsid w:val="00D96AE7"/>
    <w:rsid w:val="00DA084A"/>
    <w:rsid w:val="00DC292A"/>
    <w:rsid w:val="00DC7190"/>
    <w:rsid w:val="00DD6473"/>
    <w:rsid w:val="00DE1687"/>
    <w:rsid w:val="00DF1343"/>
    <w:rsid w:val="00DF3056"/>
    <w:rsid w:val="00DF5A30"/>
    <w:rsid w:val="00DF6FEF"/>
    <w:rsid w:val="00E00045"/>
    <w:rsid w:val="00E037F8"/>
    <w:rsid w:val="00E05CE3"/>
    <w:rsid w:val="00E06D91"/>
    <w:rsid w:val="00E14D92"/>
    <w:rsid w:val="00E209D7"/>
    <w:rsid w:val="00E24F95"/>
    <w:rsid w:val="00E40E9E"/>
    <w:rsid w:val="00E43FFF"/>
    <w:rsid w:val="00E50AD7"/>
    <w:rsid w:val="00E50D21"/>
    <w:rsid w:val="00E50DDB"/>
    <w:rsid w:val="00E64B8C"/>
    <w:rsid w:val="00E66DCB"/>
    <w:rsid w:val="00E677EE"/>
    <w:rsid w:val="00E825A0"/>
    <w:rsid w:val="00E847BC"/>
    <w:rsid w:val="00E85117"/>
    <w:rsid w:val="00E86695"/>
    <w:rsid w:val="00E90A03"/>
    <w:rsid w:val="00E94C85"/>
    <w:rsid w:val="00E95AD9"/>
    <w:rsid w:val="00EA4F65"/>
    <w:rsid w:val="00EA6168"/>
    <w:rsid w:val="00EA6192"/>
    <w:rsid w:val="00EB6247"/>
    <w:rsid w:val="00EC18A1"/>
    <w:rsid w:val="00EF747F"/>
    <w:rsid w:val="00F062B9"/>
    <w:rsid w:val="00F071C4"/>
    <w:rsid w:val="00F101E7"/>
    <w:rsid w:val="00F1399E"/>
    <w:rsid w:val="00F212DE"/>
    <w:rsid w:val="00F34CED"/>
    <w:rsid w:val="00F4014B"/>
    <w:rsid w:val="00F463BD"/>
    <w:rsid w:val="00F4708A"/>
    <w:rsid w:val="00F51415"/>
    <w:rsid w:val="00F60B11"/>
    <w:rsid w:val="00F60EE6"/>
    <w:rsid w:val="00F61098"/>
    <w:rsid w:val="00F630BD"/>
    <w:rsid w:val="00F67C79"/>
    <w:rsid w:val="00F729D4"/>
    <w:rsid w:val="00F73D0B"/>
    <w:rsid w:val="00F75684"/>
    <w:rsid w:val="00F82EA9"/>
    <w:rsid w:val="00F87071"/>
    <w:rsid w:val="00F934AC"/>
    <w:rsid w:val="00F96ADA"/>
    <w:rsid w:val="00FA6628"/>
    <w:rsid w:val="00FA6700"/>
    <w:rsid w:val="00FB05D9"/>
    <w:rsid w:val="00FB3796"/>
    <w:rsid w:val="00FB3CCE"/>
    <w:rsid w:val="00FC6839"/>
    <w:rsid w:val="00FD1F28"/>
    <w:rsid w:val="00FD7806"/>
    <w:rsid w:val="00FE76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2C2B9D-1FE2-4D6A-A4E7-A410C2E2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5CE3"/>
    <w:pPr>
      <w:spacing w:before="100" w:beforeAutospacing="1" w:after="100" w:afterAutospacing="1"/>
    </w:pPr>
    <w:rPr>
      <w:rFonts w:cs="Times New Roman"/>
      <w:sz w:val="24"/>
      <w:szCs w:val="24"/>
      <w:lang w:eastAsia="lv-LV"/>
    </w:rPr>
  </w:style>
  <w:style w:type="paragraph" w:styleId="ListParagraph">
    <w:name w:val="List Paragraph"/>
    <w:basedOn w:val="Normal"/>
    <w:uiPriority w:val="34"/>
    <w:qFormat/>
    <w:rsid w:val="00DE1687"/>
    <w:pPr>
      <w:ind w:left="720"/>
      <w:contextualSpacing/>
    </w:pPr>
  </w:style>
  <w:style w:type="paragraph" w:customStyle="1" w:styleId="Default">
    <w:name w:val="Default"/>
    <w:rsid w:val="00AF7943"/>
    <w:pPr>
      <w:autoSpaceDE w:val="0"/>
      <w:autoSpaceDN w:val="0"/>
      <w:adjustRightInd w:val="0"/>
    </w:pPr>
    <w:rPr>
      <w:rFonts w:cs="Times New Roman"/>
      <w:color w:val="000000"/>
      <w:sz w:val="24"/>
      <w:szCs w:val="24"/>
    </w:rPr>
  </w:style>
  <w:style w:type="character" w:styleId="CommentReference">
    <w:name w:val="annotation reference"/>
    <w:basedOn w:val="DefaultParagraphFont"/>
    <w:uiPriority w:val="99"/>
    <w:semiHidden/>
    <w:unhideWhenUsed/>
    <w:rsid w:val="00AF7943"/>
    <w:rPr>
      <w:sz w:val="16"/>
      <w:szCs w:val="16"/>
    </w:rPr>
  </w:style>
  <w:style w:type="paragraph" w:styleId="CommentText">
    <w:name w:val="annotation text"/>
    <w:aliases w:val="Char3"/>
    <w:basedOn w:val="Normal"/>
    <w:link w:val="CommentTextChar"/>
    <w:semiHidden/>
    <w:unhideWhenUsed/>
    <w:rsid w:val="00AF7943"/>
    <w:rPr>
      <w:sz w:val="20"/>
      <w:szCs w:val="20"/>
    </w:rPr>
  </w:style>
  <w:style w:type="character" w:customStyle="1" w:styleId="CommentTextChar">
    <w:name w:val="Comment Text Char"/>
    <w:aliases w:val="Char3 Char"/>
    <w:basedOn w:val="DefaultParagraphFont"/>
    <w:link w:val="CommentText"/>
    <w:semiHidden/>
    <w:rsid w:val="00AF7943"/>
    <w:rPr>
      <w:sz w:val="20"/>
      <w:szCs w:val="20"/>
    </w:rPr>
  </w:style>
  <w:style w:type="paragraph" w:styleId="CommentSubject">
    <w:name w:val="annotation subject"/>
    <w:basedOn w:val="CommentText"/>
    <w:next w:val="CommentText"/>
    <w:link w:val="CommentSubjectChar"/>
    <w:uiPriority w:val="99"/>
    <w:semiHidden/>
    <w:unhideWhenUsed/>
    <w:rsid w:val="00AF7943"/>
    <w:rPr>
      <w:b/>
      <w:bCs/>
    </w:rPr>
  </w:style>
  <w:style w:type="character" w:customStyle="1" w:styleId="CommentSubjectChar">
    <w:name w:val="Comment Subject Char"/>
    <w:basedOn w:val="CommentTextChar"/>
    <w:link w:val="CommentSubject"/>
    <w:uiPriority w:val="99"/>
    <w:semiHidden/>
    <w:rsid w:val="00AF7943"/>
    <w:rPr>
      <w:b/>
      <w:bCs/>
      <w:sz w:val="20"/>
      <w:szCs w:val="20"/>
    </w:rPr>
  </w:style>
  <w:style w:type="paragraph" w:styleId="BalloonText">
    <w:name w:val="Balloon Text"/>
    <w:basedOn w:val="Normal"/>
    <w:link w:val="BalloonTextChar"/>
    <w:uiPriority w:val="99"/>
    <w:semiHidden/>
    <w:unhideWhenUsed/>
    <w:rsid w:val="00AF7943"/>
    <w:rPr>
      <w:rFonts w:ascii="Tahoma" w:hAnsi="Tahoma" w:cs="Tahoma"/>
      <w:sz w:val="16"/>
      <w:szCs w:val="16"/>
    </w:rPr>
  </w:style>
  <w:style w:type="character" w:customStyle="1" w:styleId="BalloonTextChar">
    <w:name w:val="Balloon Text Char"/>
    <w:basedOn w:val="DefaultParagraphFont"/>
    <w:link w:val="BalloonText"/>
    <w:uiPriority w:val="99"/>
    <w:semiHidden/>
    <w:rsid w:val="00AF7943"/>
    <w:rPr>
      <w:rFonts w:ascii="Tahoma" w:hAnsi="Tahoma" w:cs="Tahoma"/>
      <w:sz w:val="16"/>
      <w:szCs w:val="16"/>
    </w:rPr>
  </w:style>
  <w:style w:type="paragraph" w:styleId="Revision">
    <w:name w:val="Revision"/>
    <w:hidden/>
    <w:uiPriority w:val="99"/>
    <w:semiHidden/>
    <w:rsid w:val="00970C18"/>
  </w:style>
  <w:style w:type="paragraph" w:styleId="Header">
    <w:name w:val="header"/>
    <w:basedOn w:val="Normal"/>
    <w:link w:val="HeaderChar"/>
    <w:uiPriority w:val="99"/>
    <w:unhideWhenUsed/>
    <w:rsid w:val="00C4352E"/>
    <w:pPr>
      <w:tabs>
        <w:tab w:val="center" w:pos="4153"/>
        <w:tab w:val="right" w:pos="8306"/>
      </w:tabs>
    </w:pPr>
  </w:style>
  <w:style w:type="character" w:customStyle="1" w:styleId="HeaderChar">
    <w:name w:val="Header Char"/>
    <w:basedOn w:val="DefaultParagraphFont"/>
    <w:link w:val="Header"/>
    <w:uiPriority w:val="99"/>
    <w:rsid w:val="00C4352E"/>
  </w:style>
  <w:style w:type="paragraph" w:styleId="Footer">
    <w:name w:val="footer"/>
    <w:basedOn w:val="Normal"/>
    <w:link w:val="FooterChar"/>
    <w:uiPriority w:val="99"/>
    <w:unhideWhenUsed/>
    <w:rsid w:val="00C4352E"/>
    <w:pPr>
      <w:tabs>
        <w:tab w:val="center" w:pos="4153"/>
        <w:tab w:val="right" w:pos="8306"/>
      </w:tabs>
    </w:pPr>
  </w:style>
  <w:style w:type="character" w:customStyle="1" w:styleId="FooterChar">
    <w:name w:val="Footer Char"/>
    <w:basedOn w:val="DefaultParagraphFont"/>
    <w:link w:val="Footer"/>
    <w:uiPriority w:val="99"/>
    <w:rsid w:val="00C4352E"/>
  </w:style>
  <w:style w:type="character" w:customStyle="1" w:styleId="tvhtml">
    <w:name w:val="tv_html"/>
    <w:basedOn w:val="DefaultParagraphFont"/>
    <w:rsid w:val="00620251"/>
  </w:style>
  <w:style w:type="paragraph" w:styleId="ListBullet">
    <w:name w:val="List Bullet"/>
    <w:basedOn w:val="Normal"/>
    <w:uiPriority w:val="99"/>
    <w:unhideWhenUsed/>
    <w:rsid w:val="00EA4F65"/>
    <w:pPr>
      <w:numPr>
        <w:numId w:val="12"/>
      </w:numPr>
      <w:contextualSpacing/>
    </w:pPr>
  </w:style>
  <w:style w:type="paragraph" w:styleId="FootnoteText">
    <w:name w:val="footnote text"/>
    <w:basedOn w:val="Normal"/>
    <w:link w:val="FootnoteTextChar"/>
    <w:uiPriority w:val="99"/>
    <w:semiHidden/>
    <w:unhideWhenUsed/>
    <w:rsid w:val="00A94007"/>
    <w:rPr>
      <w:sz w:val="20"/>
      <w:szCs w:val="20"/>
    </w:rPr>
  </w:style>
  <w:style w:type="character" w:customStyle="1" w:styleId="FootnoteTextChar">
    <w:name w:val="Footnote Text Char"/>
    <w:basedOn w:val="DefaultParagraphFont"/>
    <w:link w:val="FootnoteText"/>
    <w:uiPriority w:val="99"/>
    <w:semiHidden/>
    <w:rsid w:val="00A94007"/>
    <w:rPr>
      <w:sz w:val="20"/>
      <w:szCs w:val="20"/>
    </w:rPr>
  </w:style>
  <w:style w:type="character" w:styleId="FootnoteReference">
    <w:name w:val="footnote reference"/>
    <w:basedOn w:val="DefaultParagraphFont"/>
    <w:uiPriority w:val="99"/>
    <w:semiHidden/>
    <w:unhideWhenUsed/>
    <w:rsid w:val="00A94007"/>
    <w:rPr>
      <w:vertAlign w:val="superscript"/>
    </w:rPr>
  </w:style>
  <w:style w:type="character" w:styleId="Hyperlink">
    <w:name w:val="Hyperlink"/>
    <w:basedOn w:val="DefaultParagraphFont"/>
    <w:uiPriority w:val="99"/>
    <w:unhideWhenUsed/>
    <w:rsid w:val="00A94007"/>
    <w:rPr>
      <w:color w:val="0000FF" w:themeColor="hyperlink"/>
      <w:u w:val="single"/>
    </w:rPr>
  </w:style>
  <w:style w:type="character" w:styleId="FollowedHyperlink">
    <w:name w:val="FollowedHyperlink"/>
    <w:basedOn w:val="DefaultParagraphFont"/>
    <w:uiPriority w:val="99"/>
    <w:semiHidden/>
    <w:unhideWhenUsed/>
    <w:rsid w:val="004F5D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39232">
      <w:bodyDiv w:val="1"/>
      <w:marLeft w:val="0"/>
      <w:marRight w:val="0"/>
      <w:marTop w:val="0"/>
      <w:marBottom w:val="0"/>
      <w:divBdr>
        <w:top w:val="none" w:sz="0" w:space="0" w:color="auto"/>
        <w:left w:val="none" w:sz="0" w:space="0" w:color="auto"/>
        <w:bottom w:val="none" w:sz="0" w:space="0" w:color="auto"/>
        <w:right w:val="none" w:sz="0" w:space="0" w:color="auto"/>
      </w:divBdr>
    </w:div>
    <w:div w:id="276838614">
      <w:bodyDiv w:val="1"/>
      <w:marLeft w:val="0"/>
      <w:marRight w:val="0"/>
      <w:marTop w:val="0"/>
      <w:marBottom w:val="0"/>
      <w:divBdr>
        <w:top w:val="none" w:sz="0" w:space="0" w:color="auto"/>
        <w:left w:val="none" w:sz="0" w:space="0" w:color="auto"/>
        <w:bottom w:val="none" w:sz="0" w:space="0" w:color="auto"/>
        <w:right w:val="none" w:sz="0" w:space="0" w:color="auto"/>
      </w:divBdr>
      <w:divsChild>
        <w:div w:id="1935942422">
          <w:marLeft w:val="0"/>
          <w:marRight w:val="0"/>
          <w:marTop w:val="0"/>
          <w:marBottom w:val="0"/>
          <w:divBdr>
            <w:top w:val="none" w:sz="0" w:space="0" w:color="auto"/>
            <w:left w:val="none" w:sz="0" w:space="0" w:color="auto"/>
            <w:bottom w:val="none" w:sz="0" w:space="0" w:color="auto"/>
            <w:right w:val="none" w:sz="0" w:space="0" w:color="auto"/>
          </w:divBdr>
          <w:divsChild>
            <w:div w:id="808324150">
              <w:marLeft w:val="0"/>
              <w:marRight w:val="0"/>
              <w:marTop w:val="0"/>
              <w:marBottom w:val="0"/>
              <w:divBdr>
                <w:top w:val="none" w:sz="0" w:space="0" w:color="auto"/>
                <w:left w:val="none" w:sz="0" w:space="0" w:color="auto"/>
                <w:bottom w:val="none" w:sz="0" w:space="0" w:color="auto"/>
                <w:right w:val="none" w:sz="0" w:space="0" w:color="auto"/>
              </w:divBdr>
              <w:divsChild>
                <w:div w:id="102193209">
                  <w:marLeft w:val="0"/>
                  <w:marRight w:val="0"/>
                  <w:marTop w:val="0"/>
                  <w:marBottom w:val="0"/>
                  <w:divBdr>
                    <w:top w:val="none" w:sz="0" w:space="0" w:color="auto"/>
                    <w:left w:val="none" w:sz="0" w:space="0" w:color="auto"/>
                    <w:bottom w:val="none" w:sz="0" w:space="0" w:color="auto"/>
                    <w:right w:val="none" w:sz="0" w:space="0" w:color="auto"/>
                  </w:divBdr>
                  <w:divsChild>
                    <w:div w:id="1204249213">
                      <w:marLeft w:val="0"/>
                      <w:marRight w:val="0"/>
                      <w:marTop w:val="0"/>
                      <w:marBottom w:val="0"/>
                      <w:divBdr>
                        <w:top w:val="none" w:sz="0" w:space="0" w:color="auto"/>
                        <w:left w:val="none" w:sz="0" w:space="0" w:color="auto"/>
                        <w:bottom w:val="none" w:sz="0" w:space="0" w:color="auto"/>
                        <w:right w:val="none" w:sz="0" w:space="0" w:color="auto"/>
                      </w:divBdr>
                      <w:divsChild>
                        <w:div w:id="1495995604">
                          <w:marLeft w:val="0"/>
                          <w:marRight w:val="0"/>
                          <w:marTop w:val="300"/>
                          <w:marBottom w:val="0"/>
                          <w:divBdr>
                            <w:top w:val="none" w:sz="0" w:space="0" w:color="auto"/>
                            <w:left w:val="none" w:sz="0" w:space="0" w:color="auto"/>
                            <w:bottom w:val="none" w:sz="0" w:space="0" w:color="auto"/>
                            <w:right w:val="none" w:sz="0" w:space="0" w:color="auto"/>
                          </w:divBdr>
                          <w:divsChild>
                            <w:div w:id="7796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828604">
      <w:bodyDiv w:val="1"/>
      <w:marLeft w:val="0"/>
      <w:marRight w:val="0"/>
      <w:marTop w:val="0"/>
      <w:marBottom w:val="0"/>
      <w:divBdr>
        <w:top w:val="none" w:sz="0" w:space="0" w:color="auto"/>
        <w:left w:val="none" w:sz="0" w:space="0" w:color="auto"/>
        <w:bottom w:val="none" w:sz="0" w:space="0" w:color="auto"/>
        <w:right w:val="none" w:sz="0" w:space="0" w:color="auto"/>
      </w:divBdr>
    </w:div>
    <w:div w:id="511460663">
      <w:bodyDiv w:val="1"/>
      <w:marLeft w:val="0"/>
      <w:marRight w:val="0"/>
      <w:marTop w:val="0"/>
      <w:marBottom w:val="0"/>
      <w:divBdr>
        <w:top w:val="none" w:sz="0" w:space="0" w:color="auto"/>
        <w:left w:val="none" w:sz="0" w:space="0" w:color="auto"/>
        <w:bottom w:val="none" w:sz="0" w:space="0" w:color="auto"/>
        <w:right w:val="none" w:sz="0" w:space="0" w:color="auto"/>
      </w:divBdr>
    </w:div>
    <w:div w:id="553009581">
      <w:bodyDiv w:val="1"/>
      <w:marLeft w:val="0"/>
      <w:marRight w:val="0"/>
      <w:marTop w:val="0"/>
      <w:marBottom w:val="0"/>
      <w:divBdr>
        <w:top w:val="none" w:sz="0" w:space="0" w:color="auto"/>
        <w:left w:val="none" w:sz="0" w:space="0" w:color="auto"/>
        <w:bottom w:val="none" w:sz="0" w:space="0" w:color="auto"/>
        <w:right w:val="none" w:sz="0" w:space="0" w:color="auto"/>
      </w:divBdr>
    </w:div>
    <w:div w:id="814569585">
      <w:bodyDiv w:val="1"/>
      <w:marLeft w:val="0"/>
      <w:marRight w:val="0"/>
      <w:marTop w:val="0"/>
      <w:marBottom w:val="0"/>
      <w:divBdr>
        <w:top w:val="none" w:sz="0" w:space="0" w:color="auto"/>
        <w:left w:val="none" w:sz="0" w:space="0" w:color="auto"/>
        <w:bottom w:val="none" w:sz="0" w:space="0" w:color="auto"/>
        <w:right w:val="none" w:sz="0" w:space="0" w:color="auto"/>
      </w:divBdr>
      <w:divsChild>
        <w:div w:id="1532955436">
          <w:marLeft w:val="0"/>
          <w:marRight w:val="0"/>
          <w:marTop w:val="0"/>
          <w:marBottom w:val="0"/>
          <w:divBdr>
            <w:top w:val="none" w:sz="0" w:space="0" w:color="auto"/>
            <w:left w:val="none" w:sz="0" w:space="0" w:color="auto"/>
            <w:bottom w:val="none" w:sz="0" w:space="0" w:color="auto"/>
            <w:right w:val="none" w:sz="0" w:space="0" w:color="auto"/>
          </w:divBdr>
          <w:divsChild>
            <w:div w:id="651059015">
              <w:marLeft w:val="0"/>
              <w:marRight w:val="0"/>
              <w:marTop w:val="0"/>
              <w:marBottom w:val="0"/>
              <w:divBdr>
                <w:top w:val="none" w:sz="0" w:space="0" w:color="auto"/>
                <w:left w:val="none" w:sz="0" w:space="0" w:color="auto"/>
                <w:bottom w:val="none" w:sz="0" w:space="0" w:color="auto"/>
                <w:right w:val="none" w:sz="0" w:space="0" w:color="auto"/>
              </w:divBdr>
              <w:divsChild>
                <w:div w:id="1366325417">
                  <w:marLeft w:val="0"/>
                  <w:marRight w:val="0"/>
                  <w:marTop w:val="0"/>
                  <w:marBottom w:val="0"/>
                  <w:divBdr>
                    <w:top w:val="none" w:sz="0" w:space="0" w:color="auto"/>
                    <w:left w:val="none" w:sz="0" w:space="0" w:color="auto"/>
                    <w:bottom w:val="none" w:sz="0" w:space="0" w:color="auto"/>
                    <w:right w:val="none" w:sz="0" w:space="0" w:color="auto"/>
                  </w:divBdr>
                  <w:divsChild>
                    <w:div w:id="438455750">
                      <w:marLeft w:val="0"/>
                      <w:marRight w:val="0"/>
                      <w:marTop w:val="0"/>
                      <w:marBottom w:val="0"/>
                      <w:divBdr>
                        <w:top w:val="none" w:sz="0" w:space="0" w:color="auto"/>
                        <w:left w:val="none" w:sz="0" w:space="0" w:color="auto"/>
                        <w:bottom w:val="none" w:sz="0" w:space="0" w:color="auto"/>
                        <w:right w:val="none" w:sz="0" w:space="0" w:color="auto"/>
                      </w:divBdr>
                      <w:divsChild>
                        <w:div w:id="938488734">
                          <w:marLeft w:val="0"/>
                          <w:marRight w:val="0"/>
                          <w:marTop w:val="300"/>
                          <w:marBottom w:val="0"/>
                          <w:divBdr>
                            <w:top w:val="none" w:sz="0" w:space="0" w:color="auto"/>
                            <w:left w:val="none" w:sz="0" w:space="0" w:color="auto"/>
                            <w:bottom w:val="none" w:sz="0" w:space="0" w:color="auto"/>
                            <w:right w:val="none" w:sz="0" w:space="0" w:color="auto"/>
                          </w:divBdr>
                          <w:divsChild>
                            <w:div w:id="474639719">
                              <w:marLeft w:val="0"/>
                              <w:marRight w:val="0"/>
                              <w:marTop w:val="240"/>
                              <w:marBottom w:val="0"/>
                              <w:divBdr>
                                <w:top w:val="none" w:sz="0" w:space="0" w:color="auto"/>
                                <w:left w:val="none" w:sz="0" w:space="0" w:color="auto"/>
                                <w:bottom w:val="none" w:sz="0" w:space="0" w:color="auto"/>
                                <w:right w:val="none" w:sz="0" w:space="0" w:color="auto"/>
                              </w:divBdr>
                            </w:div>
                            <w:div w:id="126572760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742798">
      <w:bodyDiv w:val="1"/>
      <w:marLeft w:val="0"/>
      <w:marRight w:val="0"/>
      <w:marTop w:val="0"/>
      <w:marBottom w:val="0"/>
      <w:divBdr>
        <w:top w:val="none" w:sz="0" w:space="0" w:color="auto"/>
        <w:left w:val="none" w:sz="0" w:space="0" w:color="auto"/>
        <w:bottom w:val="none" w:sz="0" w:space="0" w:color="auto"/>
        <w:right w:val="none" w:sz="0" w:space="0" w:color="auto"/>
      </w:divBdr>
    </w:div>
    <w:div w:id="1339652147">
      <w:bodyDiv w:val="1"/>
      <w:marLeft w:val="0"/>
      <w:marRight w:val="0"/>
      <w:marTop w:val="0"/>
      <w:marBottom w:val="0"/>
      <w:divBdr>
        <w:top w:val="none" w:sz="0" w:space="0" w:color="auto"/>
        <w:left w:val="none" w:sz="0" w:space="0" w:color="auto"/>
        <w:bottom w:val="none" w:sz="0" w:space="0" w:color="auto"/>
        <w:right w:val="none" w:sz="0" w:space="0" w:color="auto"/>
      </w:divBdr>
    </w:div>
    <w:div w:id="1374304229">
      <w:bodyDiv w:val="1"/>
      <w:marLeft w:val="0"/>
      <w:marRight w:val="0"/>
      <w:marTop w:val="0"/>
      <w:marBottom w:val="0"/>
      <w:divBdr>
        <w:top w:val="none" w:sz="0" w:space="0" w:color="auto"/>
        <w:left w:val="none" w:sz="0" w:space="0" w:color="auto"/>
        <w:bottom w:val="none" w:sz="0" w:space="0" w:color="auto"/>
        <w:right w:val="none" w:sz="0" w:space="0" w:color="auto"/>
      </w:divBdr>
    </w:div>
    <w:div w:id="1499267612">
      <w:bodyDiv w:val="1"/>
      <w:marLeft w:val="0"/>
      <w:marRight w:val="0"/>
      <w:marTop w:val="0"/>
      <w:marBottom w:val="0"/>
      <w:divBdr>
        <w:top w:val="none" w:sz="0" w:space="0" w:color="auto"/>
        <w:left w:val="none" w:sz="0" w:space="0" w:color="auto"/>
        <w:bottom w:val="none" w:sz="0" w:space="0" w:color="auto"/>
        <w:right w:val="none" w:sz="0" w:space="0" w:color="auto"/>
      </w:divBdr>
    </w:div>
    <w:div w:id="1555197036">
      <w:bodyDiv w:val="1"/>
      <w:marLeft w:val="0"/>
      <w:marRight w:val="0"/>
      <w:marTop w:val="0"/>
      <w:marBottom w:val="0"/>
      <w:divBdr>
        <w:top w:val="none" w:sz="0" w:space="0" w:color="auto"/>
        <w:left w:val="none" w:sz="0" w:space="0" w:color="auto"/>
        <w:bottom w:val="none" w:sz="0" w:space="0" w:color="auto"/>
        <w:right w:val="none" w:sz="0" w:space="0" w:color="auto"/>
      </w:divBdr>
    </w:div>
    <w:div w:id="1790659669">
      <w:bodyDiv w:val="1"/>
      <w:marLeft w:val="0"/>
      <w:marRight w:val="0"/>
      <w:marTop w:val="0"/>
      <w:marBottom w:val="0"/>
      <w:divBdr>
        <w:top w:val="none" w:sz="0" w:space="0" w:color="auto"/>
        <w:left w:val="none" w:sz="0" w:space="0" w:color="auto"/>
        <w:bottom w:val="none" w:sz="0" w:space="0" w:color="auto"/>
        <w:right w:val="none" w:sz="0" w:space="0" w:color="auto"/>
      </w:divBdr>
      <w:divsChild>
        <w:div w:id="1905947308">
          <w:marLeft w:val="0"/>
          <w:marRight w:val="0"/>
          <w:marTop w:val="0"/>
          <w:marBottom w:val="0"/>
          <w:divBdr>
            <w:top w:val="none" w:sz="0" w:space="0" w:color="auto"/>
            <w:left w:val="none" w:sz="0" w:space="0" w:color="auto"/>
            <w:bottom w:val="none" w:sz="0" w:space="0" w:color="auto"/>
            <w:right w:val="none" w:sz="0" w:space="0" w:color="auto"/>
          </w:divBdr>
          <w:divsChild>
            <w:div w:id="410856644">
              <w:marLeft w:val="0"/>
              <w:marRight w:val="0"/>
              <w:marTop w:val="0"/>
              <w:marBottom w:val="0"/>
              <w:divBdr>
                <w:top w:val="none" w:sz="0" w:space="0" w:color="auto"/>
                <w:left w:val="none" w:sz="0" w:space="0" w:color="auto"/>
                <w:bottom w:val="none" w:sz="0" w:space="0" w:color="auto"/>
                <w:right w:val="none" w:sz="0" w:space="0" w:color="auto"/>
              </w:divBdr>
              <w:divsChild>
                <w:div w:id="718671470">
                  <w:marLeft w:val="0"/>
                  <w:marRight w:val="0"/>
                  <w:marTop w:val="0"/>
                  <w:marBottom w:val="0"/>
                  <w:divBdr>
                    <w:top w:val="none" w:sz="0" w:space="0" w:color="auto"/>
                    <w:left w:val="none" w:sz="0" w:space="0" w:color="auto"/>
                    <w:bottom w:val="none" w:sz="0" w:space="0" w:color="auto"/>
                    <w:right w:val="none" w:sz="0" w:space="0" w:color="auto"/>
                  </w:divBdr>
                  <w:divsChild>
                    <w:div w:id="437650156">
                      <w:marLeft w:val="0"/>
                      <w:marRight w:val="0"/>
                      <w:marTop w:val="0"/>
                      <w:marBottom w:val="0"/>
                      <w:divBdr>
                        <w:top w:val="none" w:sz="0" w:space="0" w:color="auto"/>
                        <w:left w:val="none" w:sz="0" w:space="0" w:color="auto"/>
                        <w:bottom w:val="none" w:sz="0" w:space="0" w:color="auto"/>
                        <w:right w:val="none" w:sz="0" w:space="0" w:color="auto"/>
                      </w:divBdr>
                      <w:divsChild>
                        <w:div w:id="2002656356">
                          <w:marLeft w:val="0"/>
                          <w:marRight w:val="0"/>
                          <w:marTop w:val="300"/>
                          <w:marBottom w:val="0"/>
                          <w:divBdr>
                            <w:top w:val="none" w:sz="0" w:space="0" w:color="auto"/>
                            <w:left w:val="none" w:sz="0" w:space="0" w:color="auto"/>
                            <w:bottom w:val="none" w:sz="0" w:space="0" w:color="auto"/>
                            <w:right w:val="none" w:sz="0" w:space="0" w:color="auto"/>
                          </w:divBdr>
                          <w:divsChild>
                            <w:div w:id="11308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07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register.consilium.europa.eu/pdf/lv/13/st11/st11148-re01co01.lv13.pdf" TargetMode="External"/><Relationship Id="rId3" Type="http://schemas.openxmlformats.org/officeDocument/2006/relationships/hyperlink" Target="http://register.consilium.europa.eu/pdf/lv/13/st11/st11148-re01.lv13.pdf" TargetMode="External"/><Relationship Id="rId7" Type="http://schemas.openxmlformats.org/officeDocument/2006/relationships/hyperlink" Target="http://register.consilium.europa.eu/pdf/lv/13/st11/st11148-re01.lv13.pdf" TargetMode="External"/><Relationship Id="rId2" Type="http://schemas.openxmlformats.org/officeDocument/2006/relationships/hyperlink" Target="http://likumi.lv/doc.php?id=253919" TargetMode="External"/><Relationship Id="rId1" Type="http://schemas.openxmlformats.org/officeDocument/2006/relationships/hyperlink" Target="http://www.bank.lv/publikacijas/finansu-stabilitates-parskats/finansu-stabilitates-parskats/2503" TargetMode="External"/><Relationship Id="rId6" Type="http://schemas.openxmlformats.org/officeDocument/2006/relationships/hyperlink" Target="http://eur-lex.europa.eu/LexUriServ/LexUriServ.do?uri=COM:2013:0520:FIN:LV:HTML" TargetMode="External"/><Relationship Id="rId5" Type="http://schemas.openxmlformats.org/officeDocument/2006/relationships/hyperlink" Target="http://eur-lex.europa.eu/LexUriServ/LexUriServ.do?uri=COM:2013:0520:FIN:LV:HTML" TargetMode="External"/><Relationship Id="rId4" Type="http://schemas.openxmlformats.org/officeDocument/2006/relationships/hyperlink" Target="http://register.consilium.europa.eu/pdf/lv/13/st11/st11148-re01co01.lv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CB67B-2BD3-4B4F-90B5-ADB7C38EC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17535</Words>
  <Characters>9996</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27477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FMplāns_02012014_FSAPlāns; Finanšu sektora attīstības plāns 2014.-2016.gadam</dc:title>
  <dc:subject>Precizēts plāna projekts</dc:subject>
  <dc:creator>Finanšu Ministrija;imants.tiesnieks@fm.gov.lv</dc:creator>
  <cp:keywords/>
  <dc:description>67095667, Imants.Tiesnieks@fm.gov.lv</dc:description>
  <cp:lastModifiedBy>Lagzdiņa Lelde</cp:lastModifiedBy>
  <cp:revision>9</cp:revision>
  <cp:lastPrinted>2014-01-03T13:05:00Z</cp:lastPrinted>
  <dcterms:created xsi:type="dcterms:W3CDTF">2014-01-02T18:02:00Z</dcterms:created>
  <dcterms:modified xsi:type="dcterms:W3CDTF">2014-03-19T12:39:00Z</dcterms:modified>
</cp:coreProperties>
</file>