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6BC" w:rsidRDefault="00D56F15" w:rsidP="00CF56BC">
      <w:pPr>
        <w:pStyle w:val="Heading3"/>
        <w:numPr>
          <w:ilvl w:val="0"/>
          <w:numId w:val="0"/>
        </w:numPr>
        <w:ind w:left="720"/>
        <w:jc w:val="right"/>
        <w:rPr>
          <w:color w:val="auto"/>
          <w:lang w:val="lv-LV"/>
        </w:rPr>
      </w:pPr>
      <w:bookmarkStart w:id="0" w:name="_Toc374450690"/>
      <w:bookmarkStart w:id="1" w:name="_GoBack"/>
      <w:bookmarkEnd w:id="1"/>
      <w:r>
        <w:rPr>
          <w:color w:val="auto"/>
          <w:lang w:val="lv-LV"/>
        </w:rPr>
        <w:t xml:space="preserve">3.pielikums. </w:t>
      </w:r>
    </w:p>
    <w:p w:rsidR="00D56F15" w:rsidRPr="00006131" w:rsidRDefault="00D56F15" w:rsidP="00CF56BC">
      <w:pPr>
        <w:pStyle w:val="Heading3"/>
        <w:numPr>
          <w:ilvl w:val="0"/>
          <w:numId w:val="0"/>
        </w:numPr>
        <w:ind w:left="720"/>
        <w:rPr>
          <w:color w:val="auto"/>
        </w:rPr>
      </w:pPr>
      <w:r w:rsidRPr="00006131">
        <w:rPr>
          <w:color w:val="auto"/>
        </w:rPr>
        <w:t>Kopsavilkums par partneru sniegtajiem būtiskākajiem komentāriem</w:t>
      </w:r>
      <w:bookmarkEnd w:id="0"/>
    </w:p>
    <w:tbl>
      <w:tblPr>
        <w:tblW w:w="13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50"/>
        <w:gridCol w:w="1855"/>
        <w:gridCol w:w="5528"/>
        <w:gridCol w:w="3260"/>
      </w:tblGrid>
      <w:tr w:rsidR="00D56F15" w:rsidRPr="00006131" w:rsidTr="00D56F15">
        <w:trPr>
          <w:tblHeader/>
          <w:jc w:val="center"/>
        </w:trPr>
        <w:tc>
          <w:tcPr>
            <w:tcW w:w="2950" w:type="dxa"/>
            <w:shd w:val="clear" w:color="auto" w:fill="DAEEF3" w:themeFill="accent5" w:themeFillTint="33"/>
          </w:tcPr>
          <w:p w:rsidR="00D56F15" w:rsidRPr="00006131" w:rsidRDefault="00D56F15" w:rsidP="001A6502">
            <w:pPr>
              <w:jc w:val="center"/>
              <w:rPr>
                <w:rFonts w:cs="Times New Roman"/>
                <w:b/>
                <w:szCs w:val="24"/>
                <w:lang w:val="lv-LV"/>
              </w:rPr>
            </w:pPr>
            <w:r w:rsidRPr="00006131">
              <w:rPr>
                <w:rFonts w:cs="Times New Roman"/>
                <w:b/>
                <w:szCs w:val="24"/>
                <w:lang w:val="lv-LV"/>
              </w:rPr>
              <w:t xml:space="preserve">Prioritārais virziens </w:t>
            </w:r>
          </w:p>
        </w:tc>
        <w:tc>
          <w:tcPr>
            <w:tcW w:w="1855" w:type="dxa"/>
            <w:shd w:val="clear" w:color="auto" w:fill="DAEEF3" w:themeFill="accent5" w:themeFillTint="33"/>
            <w:tcMar>
              <w:top w:w="0" w:type="dxa"/>
              <w:left w:w="108" w:type="dxa"/>
              <w:bottom w:w="0" w:type="dxa"/>
              <w:right w:w="108" w:type="dxa"/>
            </w:tcMar>
            <w:hideMark/>
          </w:tcPr>
          <w:p w:rsidR="00D56F15" w:rsidRPr="00006131" w:rsidRDefault="00D56F15" w:rsidP="001A6502">
            <w:pPr>
              <w:jc w:val="center"/>
              <w:rPr>
                <w:rFonts w:cs="Times New Roman"/>
                <w:b/>
                <w:szCs w:val="24"/>
                <w:lang w:val="lv-LV"/>
              </w:rPr>
            </w:pPr>
            <w:r w:rsidRPr="00006131">
              <w:rPr>
                <w:rFonts w:cs="Times New Roman"/>
                <w:b/>
                <w:szCs w:val="24"/>
                <w:lang w:val="lv-LV"/>
              </w:rPr>
              <w:t>Komentāru sniedzēji</w:t>
            </w:r>
          </w:p>
        </w:tc>
        <w:tc>
          <w:tcPr>
            <w:tcW w:w="5528" w:type="dxa"/>
            <w:shd w:val="clear" w:color="auto" w:fill="DAEEF3" w:themeFill="accent5" w:themeFillTint="33"/>
            <w:tcMar>
              <w:top w:w="0" w:type="dxa"/>
              <w:left w:w="108" w:type="dxa"/>
              <w:bottom w:w="0" w:type="dxa"/>
              <w:right w:w="108" w:type="dxa"/>
            </w:tcMar>
          </w:tcPr>
          <w:p w:rsidR="00D56F15" w:rsidRPr="00006131" w:rsidRDefault="00D56F15" w:rsidP="001A6502">
            <w:pPr>
              <w:jc w:val="center"/>
              <w:rPr>
                <w:rFonts w:cs="Times New Roman"/>
                <w:b/>
                <w:szCs w:val="24"/>
                <w:lang w:val="lv-LV"/>
              </w:rPr>
            </w:pPr>
            <w:r w:rsidRPr="00006131">
              <w:rPr>
                <w:rFonts w:cs="Times New Roman"/>
                <w:b/>
                <w:szCs w:val="24"/>
                <w:lang w:val="lv-LV"/>
              </w:rPr>
              <w:t>Komentāru būtība</w:t>
            </w:r>
          </w:p>
        </w:tc>
        <w:tc>
          <w:tcPr>
            <w:tcW w:w="3260" w:type="dxa"/>
            <w:shd w:val="clear" w:color="auto" w:fill="DAEEF3" w:themeFill="accent5" w:themeFillTint="33"/>
          </w:tcPr>
          <w:p w:rsidR="00D56F15" w:rsidRPr="00006131" w:rsidRDefault="00D56F15" w:rsidP="001A6502">
            <w:pPr>
              <w:jc w:val="center"/>
              <w:rPr>
                <w:rFonts w:cs="Times New Roman"/>
                <w:b/>
                <w:szCs w:val="24"/>
                <w:lang w:val="lv-LV"/>
              </w:rPr>
            </w:pPr>
            <w:r w:rsidRPr="00006131">
              <w:rPr>
                <w:rFonts w:cs="Times New Roman"/>
                <w:b/>
                <w:szCs w:val="24"/>
                <w:lang w:val="lv-LV"/>
              </w:rPr>
              <w:t xml:space="preserve">Komentāru statuss, argumenti </w:t>
            </w:r>
          </w:p>
        </w:tc>
      </w:tr>
      <w:tr w:rsidR="00D56F15" w:rsidRPr="00006131" w:rsidTr="001A6502">
        <w:trPr>
          <w:jc w:val="center"/>
        </w:trPr>
        <w:tc>
          <w:tcPr>
            <w:tcW w:w="2950" w:type="dxa"/>
            <w:shd w:val="clear" w:color="auto" w:fill="auto"/>
          </w:tcPr>
          <w:p w:rsidR="00D56F15" w:rsidRPr="00006131" w:rsidRDefault="00D56F15" w:rsidP="00D56F15">
            <w:pPr>
              <w:pStyle w:val="ListParagraph"/>
              <w:numPr>
                <w:ilvl w:val="0"/>
                <w:numId w:val="3"/>
              </w:numPr>
              <w:ind w:left="411" w:right="271" w:hanging="284"/>
              <w:jc w:val="both"/>
              <w:rPr>
                <w:rFonts w:eastAsiaTheme="minorHAnsi" w:cs="Times New Roman"/>
                <w:b/>
                <w:sz w:val="20"/>
                <w:szCs w:val="20"/>
                <w:lang w:val="lv-LV" w:eastAsia="lv-LV"/>
              </w:rPr>
            </w:pPr>
            <w:r w:rsidRPr="00006131">
              <w:rPr>
                <w:rFonts w:eastAsiaTheme="minorHAnsi" w:cs="Times New Roman"/>
                <w:b/>
                <w:sz w:val="20"/>
                <w:szCs w:val="20"/>
                <w:lang w:val="lv-LV" w:eastAsia="lv-LV"/>
              </w:rPr>
              <w:t>Pētniecība, tehnoloģiju attīstība un inovācijas</w:t>
            </w:r>
          </w:p>
        </w:tc>
        <w:tc>
          <w:tcPr>
            <w:tcW w:w="1855" w:type="dxa"/>
            <w:shd w:val="clear" w:color="auto" w:fill="auto"/>
            <w:tcMar>
              <w:top w:w="0" w:type="dxa"/>
              <w:left w:w="108" w:type="dxa"/>
              <w:bottom w:w="0" w:type="dxa"/>
              <w:right w:w="108" w:type="dxa"/>
            </w:tcMar>
          </w:tcPr>
          <w:p w:rsidR="00D56F15" w:rsidRPr="00006131" w:rsidRDefault="00D56F15" w:rsidP="001A6502">
            <w:pPr>
              <w:rPr>
                <w:rFonts w:cs="Times New Roman"/>
                <w:sz w:val="20"/>
                <w:szCs w:val="20"/>
                <w:lang w:val="lv-LV"/>
              </w:rPr>
            </w:pPr>
            <w:r w:rsidRPr="00006131">
              <w:rPr>
                <w:rFonts w:cs="Times New Roman"/>
                <w:sz w:val="20"/>
                <w:szCs w:val="20"/>
                <w:lang w:val="lv-LV"/>
              </w:rPr>
              <w:t>Asociācijas.</w:t>
            </w:r>
          </w:p>
        </w:tc>
        <w:tc>
          <w:tcPr>
            <w:tcW w:w="5528" w:type="dxa"/>
            <w:shd w:val="clear" w:color="auto" w:fill="auto"/>
            <w:tcMar>
              <w:top w:w="0" w:type="dxa"/>
              <w:left w:w="108" w:type="dxa"/>
              <w:bottom w:w="0" w:type="dxa"/>
              <w:right w:w="108" w:type="dxa"/>
            </w:tcMar>
          </w:tcPr>
          <w:p w:rsidR="00D56F15" w:rsidRPr="00006131" w:rsidRDefault="00D56F15" w:rsidP="00D56F15">
            <w:pPr>
              <w:pStyle w:val="ListParagraph"/>
              <w:numPr>
                <w:ilvl w:val="0"/>
                <w:numId w:val="7"/>
              </w:numPr>
              <w:ind w:left="327" w:hanging="327"/>
              <w:jc w:val="both"/>
              <w:rPr>
                <w:rFonts w:eastAsiaTheme="minorHAnsi" w:cs="Times New Roman"/>
                <w:sz w:val="20"/>
                <w:szCs w:val="20"/>
                <w:lang w:val="lv-LV" w:eastAsia="lv-LV"/>
              </w:rPr>
            </w:pPr>
            <w:r w:rsidRPr="00006131">
              <w:rPr>
                <w:rFonts w:eastAsiaTheme="minorHAnsi" w:cs="Times New Roman"/>
                <w:sz w:val="20"/>
                <w:szCs w:val="20"/>
                <w:lang w:val="lv-LV" w:eastAsia="lv-LV"/>
              </w:rPr>
              <w:t>Piešķirtais finansējums pētniecībai un attīstībai ir pārāk neliels;</w:t>
            </w:r>
          </w:p>
          <w:p w:rsidR="00D56F15" w:rsidRPr="00006131" w:rsidRDefault="00D56F15" w:rsidP="00D56F15">
            <w:pPr>
              <w:pStyle w:val="ListParagraph"/>
              <w:numPr>
                <w:ilvl w:val="0"/>
                <w:numId w:val="7"/>
              </w:numPr>
              <w:ind w:left="327" w:hanging="327"/>
              <w:jc w:val="both"/>
              <w:rPr>
                <w:rFonts w:eastAsiaTheme="minorHAnsi" w:cs="Times New Roman"/>
                <w:sz w:val="20"/>
                <w:szCs w:val="20"/>
                <w:lang w:val="lv-LV" w:eastAsia="lv-LV"/>
              </w:rPr>
            </w:pPr>
            <w:r w:rsidRPr="00006131">
              <w:rPr>
                <w:rFonts w:eastAsiaTheme="minorHAnsi" w:cs="Times New Roman"/>
                <w:sz w:val="20"/>
                <w:szCs w:val="20"/>
                <w:lang w:val="lv-LV" w:eastAsia="lv-LV"/>
              </w:rPr>
              <w:t xml:space="preserve">Papildināt atbalstāmās darbības, paredzot atbalstu IKT aprīkojumam un risinājumiem, kā arī paredzēt sadarbību ar biedrībām. </w:t>
            </w:r>
          </w:p>
        </w:tc>
        <w:tc>
          <w:tcPr>
            <w:tcW w:w="3260" w:type="dxa"/>
            <w:shd w:val="clear" w:color="auto" w:fill="auto"/>
          </w:tcPr>
          <w:p w:rsidR="00D56F15" w:rsidRPr="00006131" w:rsidRDefault="00D56F15" w:rsidP="001A6502">
            <w:pPr>
              <w:rPr>
                <w:rFonts w:cs="Times New Roman"/>
                <w:b/>
                <w:sz w:val="20"/>
                <w:szCs w:val="20"/>
                <w:lang w:val="lv-LV"/>
              </w:rPr>
            </w:pPr>
            <w:r w:rsidRPr="00006131">
              <w:rPr>
                <w:rFonts w:cs="Times New Roman"/>
                <w:sz w:val="20"/>
                <w:szCs w:val="20"/>
                <w:lang w:val="lv-LV"/>
              </w:rPr>
              <w:t>Ņemts vērā un iestrādāts aktuālajā dokumenta versijā.</w:t>
            </w:r>
          </w:p>
        </w:tc>
      </w:tr>
      <w:tr w:rsidR="00D56F15" w:rsidRPr="00006131" w:rsidTr="001A6502">
        <w:trPr>
          <w:jc w:val="center"/>
        </w:trPr>
        <w:tc>
          <w:tcPr>
            <w:tcW w:w="2950" w:type="dxa"/>
            <w:shd w:val="clear" w:color="auto" w:fill="auto"/>
          </w:tcPr>
          <w:p w:rsidR="00D56F15" w:rsidRPr="00006131" w:rsidRDefault="00D56F15" w:rsidP="00D56F15">
            <w:pPr>
              <w:pStyle w:val="ListParagraph"/>
              <w:numPr>
                <w:ilvl w:val="0"/>
                <w:numId w:val="3"/>
              </w:numPr>
              <w:ind w:left="411" w:right="271" w:hanging="284"/>
              <w:jc w:val="both"/>
              <w:rPr>
                <w:rFonts w:eastAsiaTheme="minorHAnsi" w:cs="Times New Roman"/>
                <w:b/>
                <w:sz w:val="20"/>
                <w:szCs w:val="20"/>
                <w:lang w:val="lv-LV" w:eastAsia="lv-LV"/>
              </w:rPr>
            </w:pPr>
            <w:r w:rsidRPr="00006131">
              <w:rPr>
                <w:rFonts w:eastAsiaTheme="minorHAnsi" w:cs="Times New Roman"/>
                <w:b/>
                <w:sz w:val="20"/>
                <w:szCs w:val="20"/>
                <w:lang w:val="lv-LV" w:eastAsia="lv-LV"/>
              </w:rPr>
              <w:t xml:space="preserve">IKT pieejamība, e-pārvalde un pakalpojumi </w:t>
            </w:r>
          </w:p>
        </w:tc>
        <w:tc>
          <w:tcPr>
            <w:tcW w:w="1855" w:type="dxa"/>
            <w:shd w:val="clear" w:color="auto" w:fill="auto"/>
            <w:tcMar>
              <w:top w:w="0" w:type="dxa"/>
              <w:left w:w="108" w:type="dxa"/>
              <w:bottom w:w="0" w:type="dxa"/>
              <w:right w:w="108" w:type="dxa"/>
            </w:tcMar>
          </w:tcPr>
          <w:p w:rsidR="00D56F15" w:rsidRPr="00006131" w:rsidRDefault="00D56F15" w:rsidP="001A6502">
            <w:pPr>
              <w:rPr>
                <w:rFonts w:cs="Times New Roman"/>
                <w:sz w:val="20"/>
                <w:szCs w:val="20"/>
                <w:lang w:val="lv-LV"/>
              </w:rPr>
            </w:pPr>
            <w:r w:rsidRPr="00006131">
              <w:rPr>
                <w:rFonts w:cs="Times New Roman"/>
                <w:sz w:val="20"/>
                <w:szCs w:val="20"/>
                <w:lang w:val="lv-LV"/>
              </w:rPr>
              <w:t xml:space="preserve">Pašvaldības, asociācijas. </w:t>
            </w:r>
          </w:p>
        </w:tc>
        <w:tc>
          <w:tcPr>
            <w:tcW w:w="5528" w:type="dxa"/>
            <w:shd w:val="clear" w:color="auto" w:fill="auto"/>
            <w:tcMar>
              <w:top w:w="0" w:type="dxa"/>
              <w:left w:w="108" w:type="dxa"/>
              <w:bottom w:w="0" w:type="dxa"/>
              <w:right w:w="108" w:type="dxa"/>
            </w:tcMar>
          </w:tcPr>
          <w:p w:rsidR="00D56F15" w:rsidRPr="00006131" w:rsidRDefault="00D56F15" w:rsidP="00D56F15">
            <w:pPr>
              <w:pStyle w:val="ListParagraph"/>
              <w:numPr>
                <w:ilvl w:val="0"/>
                <w:numId w:val="8"/>
              </w:numPr>
              <w:tabs>
                <w:tab w:val="clear" w:pos="720"/>
                <w:tab w:val="num" w:pos="468"/>
              </w:tabs>
              <w:ind w:left="327" w:hanging="327"/>
              <w:jc w:val="both"/>
              <w:rPr>
                <w:rFonts w:eastAsiaTheme="minorHAnsi" w:cs="Times New Roman"/>
                <w:sz w:val="20"/>
                <w:szCs w:val="20"/>
                <w:lang w:val="lv-LV" w:eastAsia="lv-LV"/>
              </w:rPr>
            </w:pPr>
            <w:r w:rsidRPr="00006131">
              <w:rPr>
                <w:rFonts w:eastAsiaTheme="minorHAnsi" w:cs="Times New Roman"/>
                <w:sz w:val="20"/>
                <w:szCs w:val="20"/>
                <w:lang w:val="lv-LV" w:eastAsia="lv-LV"/>
              </w:rPr>
              <w:t>Papildināt noteikto finansējuma saņēmēju loku ar biedrībām un nodibinājumiem;</w:t>
            </w:r>
          </w:p>
          <w:p w:rsidR="00D56F15" w:rsidRPr="00006131" w:rsidRDefault="00D56F15" w:rsidP="00D56F15">
            <w:pPr>
              <w:numPr>
                <w:ilvl w:val="0"/>
                <w:numId w:val="8"/>
              </w:numPr>
              <w:tabs>
                <w:tab w:val="clear" w:pos="720"/>
                <w:tab w:val="num" w:pos="468"/>
              </w:tabs>
              <w:ind w:left="327" w:hanging="327"/>
              <w:jc w:val="both"/>
              <w:rPr>
                <w:rFonts w:eastAsiaTheme="minorHAnsi" w:cs="Times New Roman"/>
                <w:sz w:val="20"/>
                <w:szCs w:val="20"/>
                <w:lang w:val="lv-LV" w:eastAsia="lv-LV"/>
              </w:rPr>
            </w:pPr>
            <w:r w:rsidRPr="00006131">
              <w:rPr>
                <w:rFonts w:eastAsiaTheme="minorHAnsi" w:cs="Times New Roman"/>
                <w:sz w:val="20"/>
                <w:szCs w:val="20"/>
                <w:lang w:val="lv-LV" w:eastAsia="lv-LV"/>
              </w:rPr>
              <w:t>Papildināt noteikto finansējuma saņēmēju loku ar pašvaldību kapitālsabiedrībām.</w:t>
            </w:r>
          </w:p>
        </w:tc>
        <w:tc>
          <w:tcPr>
            <w:tcW w:w="3260" w:type="dxa"/>
            <w:shd w:val="clear" w:color="auto" w:fill="auto"/>
          </w:tcPr>
          <w:p w:rsidR="00D56F15" w:rsidRPr="00006131" w:rsidRDefault="00D56F15" w:rsidP="001A6502">
            <w:pPr>
              <w:rPr>
                <w:rFonts w:cs="Times New Roman"/>
                <w:b/>
                <w:sz w:val="20"/>
                <w:szCs w:val="20"/>
                <w:lang w:val="lv-LV"/>
              </w:rPr>
            </w:pPr>
            <w:r w:rsidRPr="00006131">
              <w:rPr>
                <w:rFonts w:cs="Times New Roman"/>
                <w:sz w:val="20"/>
                <w:szCs w:val="20"/>
                <w:lang w:val="lv-LV"/>
              </w:rPr>
              <w:t>Ņemts vērā un iestrādāts aktuālajā dokumenta versijā.</w:t>
            </w:r>
          </w:p>
        </w:tc>
      </w:tr>
      <w:tr w:rsidR="00D56F15" w:rsidRPr="00006131" w:rsidTr="001A6502">
        <w:trPr>
          <w:jc w:val="center"/>
        </w:trPr>
        <w:tc>
          <w:tcPr>
            <w:tcW w:w="2950" w:type="dxa"/>
            <w:shd w:val="clear" w:color="auto" w:fill="auto"/>
          </w:tcPr>
          <w:p w:rsidR="00D56F15" w:rsidRPr="00006131" w:rsidRDefault="00D56F15" w:rsidP="00D56F15">
            <w:pPr>
              <w:pStyle w:val="ListParagraph"/>
              <w:numPr>
                <w:ilvl w:val="0"/>
                <w:numId w:val="3"/>
              </w:numPr>
              <w:ind w:left="411" w:right="271" w:hanging="284"/>
              <w:jc w:val="both"/>
              <w:rPr>
                <w:rFonts w:eastAsiaTheme="minorHAnsi" w:cs="Times New Roman"/>
                <w:b/>
                <w:sz w:val="20"/>
                <w:szCs w:val="20"/>
                <w:lang w:val="lv-LV" w:eastAsia="lv-LV"/>
              </w:rPr>
            </w:pPr>
            <w:r w:rsidRPr="00006131">
              <w:rPr>
                <w:rFonts w:eastAsiaTheme="minorHAnsi" w:cs="Times New Roman"/>
                <w:b/>
                <w:sz w:val="20"/>
                <w:szCs w:val="20"/>
                <w:lang w:val="lv-LV" w:eastAsia="lv-LV"/>
              </w:rPr>
              <w:t>Mazo un vidējo komersantu konkurētspēja</w:t>
            </w:r>
          </w:p>
        </w:tc>
        <w:tc>
          <w:tcPr>
            <w:tcW w:w="1855" w:type="dxa"/>
            <w:shd w:val="clear" w:color="auto" w:fill="auto"/>
            <w:tcMar>
              <w:top w:w="0" w:type="dxa"/>
              <w:left w:w="108" w:type="dxa"/>
              <w:bottom w:w="0" w:type="dxa"/>
              <w:right w:w="108" w:type="dxa"/>
            </w:tcMar>
          </w:tcPr>
          <w:p w:rsidR="00D56F15" w:rsidRPr="00006131" w:rsidRDefault="00D56F15" w:rsidP="001A6502">
            <w:pPr>
              <w:jc w:val="both"/>
              <w:rPr>
                <w:rFonts w:cs="Times New Roman"/>
                <w:sz w:val="20"/>
                <w:szCs w:val="20"/>
                <w:lang w:val="lv-LV"/>
              </w:rPr>
            </w:pPr>
            <w:r w:rsidRPr="00006131">
              <w:rPr>
                <w:rFonts w:cs="Times New Roman"/>
                <w:sz w:val="20"/>
                <w:szCs w:val="20"/>
                <w:lang w:val="lv-LV"/>
              </w:rPr>
              <w:t xml:space="preserve">Pašvaldības, asociācijas,   komercsabiedrības. </w:t>
            </w:r>
          </w:p>
        </w:tc>
        <w:tc>
          <w:tcPr>
            <w:tcW w:w="5528" w:type="dxa"/>
            <w:shd w:val="clear" w:color="auto" w:fill="auto"/>
            <w:tcMar>
              <w:top w:w="0" w:type="dxa"/>
              <w:left w:w="108" w:type="dxa"/>
              <w:bottom w:w="0" w:type="dxa"/>
              <w:right w:w="108" w:type="dxa"/>
            </w:tcMar>
          </w:tcPr>
          <w:p w:rsidR="00D56F15" w:rsidRPr="00006131" w:rsidRDefault="00D56F15" w:rsidP="00D56F15">
            <w:pPr>
              <w:numPr>
                <w:ilvl w:val="1"/>
                <w:numId w:val="9"/>
              </w:numPr>
              <w:ind w:left="327" w:hanging="324"/>
              <w:contextualSpacing/>
              <w:jc w:val="both"/>
              <w:rPr>
                <w:rFonts w:eastAsiaTheme="minorHAnsi" w:cs="Times New Roman"/>
                <w:sz w:val="20"/>
                <w:szCs w:val="20"/>
                <w:lang w:val="lv-LV" w:eastAsia="lv-LV"/>
              </w:rPr>
            </w:pPr>
            <w:r w:rsidRPr="00006131">
              <w:rPr>
                <w:rFonts w:eastAsiaTheme="minorHAnsi" w:cs="Times New Roman"/>
                <w:sz w:val="20"/>
                <w:szCs w:val="20"/>
                <w:lang w:val="lv-LV" w:eastAsia="lv-LV"/>
              </w:rPr>
              <w:t>Veikt konkrētu nozaru profesionālo biedrību piesaisti finanšu resursu mērķtiecīgas izmantošanas izvērtēšanā;</w:t>
            </w:r>
          </w:p>
          <w:p w:rsidR="00D56F15" w:rsidRPr="00006131" w:rsidRDefault="00D56F15" w:rsidP="00D56F15">
            <w:pPr>
              <w:numPr>
                <w:ilvl w:val="1"/>
                <w:numId w:val="9"/>
              </w:numPr>
              <w:ind w:left="327" w:hanging="324"/>
              <w:contextualSpacing/>
              <w:jc w:val="both"/>
              <w:rPr>
                <w:rFonts w:eastAsiaTheme="minorHAnsi" w:cs="Times New Roman"/>
                <w:sz w:val="20"/>
                <w:szCs w:val="20"/>
                <w:lang w:val="lv-LV" w:eastAsia="lv-LV"/>
              </w:rPr>
            </w:pPr>
            <w:r w:rsidRPr="00006131">
              <w:rPr>
                <w:rFonts w:eastAsiaTheme="minorHAnsi" w:cs="Times New Roman"/>
                <w:sz w:val="20"/>
                <w:szCs w:val="20"/>
                <w:lang w:val="lv-LV" w:eastAsia="lv-LV"/>
              </w:rPr>
              <w:t xml:space="preserve">Papildināt finansējuma saņēmēju loku, paredzot atbalstu biedrībām; </w:t>
            </w:r>
          </w:p>
          <w:p w:rsidR="00D56F15" w:rsidRPr="00006131" w:rsidRDefault="00D56F15" w:rsidP="001A6502">
            <w:pPr>
              <w:contextualSpacing/>
              <w:jc w:val="both"/>
              <w:rPr>
                <w:rFonts w:eastAsiaTheme="minorHAnsi" w:cs="Times New Roman"/>
                <w:sz w:val="20"/>
                <w:szCs w:val="20"/>
                <w:lang w:val="lv-LV" w:eastAsia="lv-LV"/>
              </w:rPr>
            </w:pPr>
          </w:p>
          <w:p w:rsidR="00D56F15" w:rsidRPr="00006131" w:rsidRDefault="00D56F15" w:rsidP="001A6502">
            <w:pPr>
              <w:contextualSpacing/>
              <w:jc w:val="both"/>
              <w:rPr>
                <w:rFonts w:eastAsiaTheme="minorHAnsi" w:cs="Times New Roman"/>
                <w:sz w:val="20"/>
                <w:szCs w:val="20"/>
                <w:lang w:val="lv-LV" w:eastAsia="lv-LV"/>
              </w:rPr>
            </w:pPr>
          </w:p>
          <w:p w:rsidR="00D56F15" w:rsidRPr="00006131" w:rsidRDefault="00D56F15" w:rsidP="001A6502">
            <w:pPr>
              <w:contextualSpacing/>
              <w:jc w:val="both"/>
              <w:rPr>
                <w:rFonts w:eastAsiaTheme="minorHAnsi" w:cs="Times New Roman"/>
                <w:sz w:val="20"/>
                <w:szCs w:val="20"/>
                <w:lang w:val="lv-LV" w:eastAsia="lv-LV"/>
              </w:rPr>
            </w:pPr>
          </w:p>
          <w:p w:rsidR="00D56F15" w:rsidRPr="00006131" w:rsidRDefault="00D56F15" w:rsidP="00D56F15">
            <w:pPr>
              <w:numPr>
                <w:ilvl w:val="1"/>
                <w:numId w:val="9"/>
              </w:numPr>
              <w:ind w:left="327" w:hanging="324"/>
              <w:contextualSpacing/>
              <w:jc w:val="both"/>
              <w:rPr>
                <w:rFonts w:eastAsiaTheme="minorHAnsi" w:cs="Times New Roman"/>
                <w:sz w:val="20"/>
                <w:szCs w:val="20"/>
                <w:lang w:val="lv-LV" w:eastAsia="lv-LV"/>
              </w:rPr>
            </w:pPr>
            <w:r w:rsidRPr="00006131">
              <w:rPr>
                <w:rFonts w:eastAsiaTheme="minorHAnsi" w:cs="Times New Roman"/>
                <w:sz w:val="20"/>
                <w:szCs w:val="20"/>
                <w:lang w:val="lv-LV" w:eastAsia="lv-LV"/>
              </w:rPr>
              <w:t>Atsevišķi paredzēt atbalstu kūrortu infrastruktūrai;</w:t>
            </w:r>
          </w:p>
          <w:p w:rsidR="00D56F15" w:rsidRPr="00006131" w:rsidRDefault="00D56F15" w:rsidP="00D56F15">
            <w:pPr>
              <w:numPr>
                <w:ilvl w:val="1"/>
                <w:numId w:val="9"/>
              </w:numPr>
              <w:ind w:left="327" w:hanging="324"/>
              <w:contextualSpacing/>
              <w:jc w:val="both"/>
              <w:rPr>
                <w:rFonts w:eastAsiaTheme="minorHAnsi" w:cs="Times New Roman"/>
                <w:sz w:val="20"/>
                <w:szCs w:val="20"/>
                <w:lang w:val="lv-LV" w:eastAsia="lv-LV"/>
              </w:rPr>
            </w:pPr>
            <w:r w:rsidRPr="00006131">
              <w:rPr>
                <w:rFonts w:eastAsiaTheme="minorHAnsi" w:cs="Times New Roman"/>
                <w:sz w:val="20"/>
                <w:szCs w:val="20"/>
                <w:lang w:val="lv-LV" w:eastAsia="lv-LV"/>
              </w:rPr>
              <w:t>Papildināt tūrisma atbalsta pasākumu mērķa rezultātus.</w:t>
            </w:r>
          </w:p>
        </w:tc>
        <w:tc>
          <w:tcPr>
            <w:tcW w:w="3260" w:type="dxa"/>
            <w:shd w:val="clear" w:color="auto" w:fill="auto"/>
          </w:tcPr>
          <w:p w:rsidR="00D56F15" w:rsidRPr="00006131" w:rsidRDefault="00D56F15" w:rsidP="001A6502">
            <w:pPr>
              <w:jc w:val="both"/>
              <w:rPr>
                <w:rFonts w:cs="Times New Roman"/>
                <w:b/>
                <w:sz w:val="20"/>
                <w:szCs w:val="20"/>
                <w:lang w:val="lv-LV"/>
              </w:rPr>
            </w:pPr>
            <w:r w:rsidRPr="00006131">
              <w:rPr>
                <w:rFonts w:cs="Times New Roman"/>
                <w:sz w:val="20"/>
                <w:szCs w:val="20"/>
                <w:lang w:val="lv-LV"/>
              </w:rPr>
              <w:t xml:space="preserve">Daļēji ņemts vērā. Tājos SAM, kur </w:t>
            </w:r>
            <w:r w:rsidRPr="00006131">
              <w:rPr>
                <w:rFonts w:cs="Times New Roman"/>
                <w:bCs/>
                <w:kern w:val="36"/>
                <w:sz w:val="20"/>
                <w:szCs w:val="20"/>
                <w:lang w:val="lv-LV"/>
              </w:rPr>
              <w:t xml:space="preserve">atbalstu plānots sniegt publiskās infrastruktūras attīstībai, kur atbalsta saņēmēji var būt tikai novadu pašvaldības, iebildums nav ņemts vērā.  </w:t>
            </w:r>
          </w:p>
          <w:p w:rsidR="00D56F15" w:rsidRPr="00006131" w:rsidRDefault="00D56F15" w:rsidP="001A6502">
            <w:pPr>
              <w:rPr>
                <w:rFonts w:cs="Times New Roman"/>
                <w:b/>
                <w:sz w:val="20"/>
                <w:szCs w:val="20"/>
                <w:lang w:val="lv-LV"/>
              </w:rPr>
            </w:pPr>
          </w:p>
          <w:p w:rsidR="00D56F15" w:rsidRPr="00006131" w:rsidRDefault="00D56F15" w:rsidP="001A6502">
            <w:pPr>
              <w:tabs>
                <w:tab w:val="left" w:pos="5660"/>
              </w:tabs>
              <w:jc w:val="both"/>
              <w:rPr>
                <w:rFonts w:cs="Times New Roman"/>
                <w:sz w:val="20"/>
                <w:szCs w:val="20"/>
                <w:lang w:val="lv-LV"/>
              </w:rPr>
            </w:pPr>
            <w:r w:rsidRPr="00006131">
              <w:rPr>
                <w:rFonts w:cs="Times New Roman"/>
                <w:sz w:val="20"/>
                <w:szCs w:val="20"/>
                <w:lang w:val="lv-LV"/>
              </w:rPr>
              <w:t xml:space="preserve">Daļēji ņemts vērā. Uzņēmējdarbības infrastruktūras izveidei atbalsts paredzēts industriālo teritoriju un telpu attīstībai. Savukārt tūrisma objektu attīstība paredzēta pie nacionāla līmeņa tūristu piesaistes objektiem (paredzot tādu tūrisma objektu attīstību, kuriem Latvijā ir atbilstoši resursi un/vai augsts pievienotās vērtības potenciāls, piemēram, darījumu un veselības  tūrisms).  </w:t>
            </w:r>
          </w:p>
        </w:tc>
      </w:tr>
      <w:tr w:rsidR="00D56F15" w:rsidRPr="00006131" w:rsidTr="001A6502">
        <w:trPr>
          <w:jc w:val="center"/>
        </w:trPr>
        <w:tc>
          <w:tcPr>
            <w:tcW w:w="2950" w:type="dxa"/>
            <w:shd w:val="clear" w:color="auto" w:fill="auto"/>
          </w:tcPr>
          <w:p w:rsidR="00D56F15" w:rsidRPr="00006131" w:rsidRDefault="00D56F15" w:rsidP="00D56F15">
            <w:pPr>
              <w:pStyle w:val="ListParagraph"/>
              <w:numPr>
                <w:ilvl w:val="0"/>
                <w:numId w:val="3"/>
              </w:numPr>
              <w:ind w:left="411" w:right="271" w:hanging="284"/>
              <w:jc w:val="both"/>
              <w:rPr>
                <w:rFonts w:eastAsiaTheme="minorHAnsi" w:cs="Times New Roman"/>
                <w:b/>
                <w:sz w:val="20"/>
                <w:szCs w:val="20"/>
                <w:lang w:val="lv-LV" w:eastAsia="lv-LV"/>
              </w:rPr>
            </w:pPr>
            <w:r w:rsidRPr="00006131">
              <w:rPr>
                <w:rFonts w:eastAsiaTheme="minorHAnsi" w:cs="Times New Roman"/>
                <w:b/>
                <w:sz w:val="20"/>
                <w:szCs w:val="20"/>
                <w:lang w:val="lv-LV" w:eastAsia="lv-LV"/>
              </w:rPr>
              <w:t>Pāreja uz ekonomiku kura ar zemu oglekļa emisijas visās nozarēs</w:t>
            </w:r>
          </w:p>
        </w:tc>
        <w:tc>
          <w:tcPr>
            <w:tcW w:w="1855" w:type="dxa"/>
            <w:shd w:val="clear" w:color="auto" w:fill="auto"/>
            <w:tcMar>
              <w:top w:w="0" w:type="dxa"/>
              <w:left w:w="108" w:type="dxa"/>
              <w:bottom w:w="0" w:type="dxa"/>
              <w:right w:w="108" w:type="dxa"/>
            </w:tcMar>
          </w:tcPr>
          <w:p w:rsidR="00D56F15" w:rsidRPr="00006131" w:rsidRDefault="00D56F15" w:rsidP="001A6502">
            <w:pPr>
              <w:jc w:val="both"/>
              <w:rPr>
                <w:rFonts w:cs="Times New Roman"/>
                <w:sz w:val="20"/>
                <w:szCs w:val="20"/>
                <w:lang w:val="lv-LV"/>
              </w:rPr>
            </w:pPr>
            <w:r w:rsidRPr="00006131">
              <w:rPr>
                <w:rFonts w:cs="Times New Roman"/>
                <w:sz w:val="20"/>
                <w:szCs w:val="20"/>
                <w:lang w:val="lv-LV"/>
              </w:rPr>
              <w:t>Komercsabiedrības,</w:t>
            </w:r>
          </w:p>
          <w:p w:rsidR="00D56F15" w:rsidRPr="00006131" w:rsidRDefault="00D56F15" w:rsidP="001A6502">
            <w:pPr>
              <w:jc w:val="both"/>
              <w:rPr>
                <w:rFonts w:cs="Times New Roman"/>
                <w:sz w:val="20"/>
                <w:szCs w:val="20"/>
                <w:lang w:val="lv-LV"/>
              </w:rPr>
            </w:pPr>
            <w:r w:rsidRPr="00006131">
              <w:rPr>
                <w:rFonts w:cs="Times New Roman"/>
                <w:sz w:val="20"/>
                <w:szCs w:val="20"/>
                <w:lang w:val="lv-LV"/>
              </w:rPr>
              <w:t xml:space="preserve">pašvaldības, asociācijas, </w:t>
            </w:r>
            <w:r w:rsidRPr="00006131">
              <w:rPr>
                <w:rFonts w:cs="Times New Roman"/>
                <w:sz w:val="20"/>
                <w:szCs w:val="20"/>
                <w:lang w:val="lv-LV"/>
              </w:rPr>
              <w:lastRenderedPageBreak/>
              <w:t>biedrības un nodibinājumi</w:t>
            </w:r>
          </w:p>
        </w:tc>
        <w:tc>
          <w:tcPr>
            <w:tcW w:w="5528" w:type="dxa"/>
            <w:shd w:val="clear" w:color="auto" w:fill="auto"/>
            <w:tcMar>
              <w:top w:w="0" w:type="dxa"/>
              <w:left w:w="108" w:type="dxa"/>
              <w:bottom w:w="0" w:type="dxa"/>
              <w:right w:w="108" w:type="dxa"/>
            </w:tcMar>
          </w:tcPr>
          <w:p w:rsidR="00D56F15" w:rsidRPr="00006131" w:rsidRDefault="00D56F15" w:rsidP="00D56F15">
            <w:pPr>
              <w:pStyle w:val="ListParagraph"/>
              <w:numPr>
                <w:ilvl w:val="0"/>
                <w:numId w:val="2"/>
              </w:numPr>
              <w:spacing w:before="100" w:beforeAutospacing="1" w:afterAutospacing="1"/>
              <w:ind w:left="327" w:hanging="324"/>
              <w:jc w:val="both"/>
              <w:rPr>
                <w:rFonts w:cs="Times New Roman"/>
                <w:sz w:val="20"/>
                <w:szCs w:val="20"/>
                <w:lang w:val="lv-LV"/>
              </w:rPr>
            </w:pPr>
            <w:r w:rsidRPr="00006131">
              <w:rPr>
                <w:rFonts w:cs="Times New Roman"/>
                <w:sz w:val="20"/>
                <w:szCs w:val="20"/>
                <w:lang w:val="lv-LV"/>
              </w:rPr>
              <w:lastRenderedPageBreak/>
              <w:t xml:space="preserve">Papildināt atbalstāmās darbības ar </w:t>
            </w:r>
            <w:r w:rsidRPr="00006131">
              <w:rPr>
                <w:rFonts w:cs="Times New Roman"/>
                <w:bCs/>
                <w:sz w:val="20"/>
                <w:szCs w:val="20"/>
                <w:lang w:val="lv-LV"/>
              </w:rPr>
              <w:t>atbalstu tehnoloģiju ieviešanai energoefektivitātes un AER jomās;</w:t>
            </w:r>
          </w:p>
          <w:p w:rsidR="00D56F15" w:rsidRPr="00006131" w:rsidRDefault="00D56F15" w:rsidP="00D56F15">
            <w:pPr>
              <w:pStyle w:val="ListParagraph"/>
              <w:numPr>
                <w:ilvl w:val="0"/>
                <w:numId w:val="2"/>
              </w:numPr>
              <w:ind w:left="327" w:hanging="324"/>
              <w:jc w:val="both"/>
              <w:rPr>
                <w:rFonts w:cs="Times New Roman"/>
                <w:sz w:val="20"/>
                <w:szCs w:val="20"/>
                <w:lang w:val="lv-LV"/>
              </w:rPr>
            </w:pPr>
            <w:r w:rsidRPr="00006131">
              <w:rPr>
                <w:rFonts w:eastAsiaTheme="minorHAnsi" w:cs="Times New Roman"/>
                <w:sz w:val="20"/>
                <w:szCs w:val="20"/>
                <w:lang w:val="lv-LV" w:eastAsia="lv-LV"/>
              </w:rPr>
              <w:t xml:space="preserve">Noteikt, ka tiek atbalstīta </w:t>
            </w:r>
            <w:r w:rsidRPr="00006131">
              <w:rPr>
                <w:rFonts w:eastAsiaTheme="minorHAnsi" w:cs="Times New Roman"/>
                <w:bCs/>
                <w:sz w:val="20"/>
                <w:szCs w:val="20"/>
                <w:lang w:val="lv-LV" w:eastAsia="lv-LV"/>
              </w:rPr>
              <w:t xml:space="preserve">arī AER izmantošana mazā mērogā </w:t>
            </w:r>
            <w:r w:rsidRPr="00006131">
              <w:rPr>
                <w:rFonts w:eastAsiaTheme="minorHAnsi" w:cs="Times New Roman"/>
                <w:bCs/>
                <w:sz w:val="20"/>
                <w:szCs w:val="20"/>
                <w:lang w:val="lv-LV" w:eastAsia="lv-LV"/>
              </w:rPr>
              <w:lastRenderedPageBreak/>
              <w:t>elektroenerģijas un siltumenerģijas ražošanai ar primāro mērķi nodrošināt pašpatēriņu.</w:t>
            </w:r>
          </w:p>
          <w:p w:rsidR="00D56F15" w:rsidRPr="00006131" w:rsidRDefault="00D56F15" w:rsidP="001A6502">
            <w:pPr>
              <w:pStyle w:val="ListParagraph"/>
              <w:ind w:left="327"/>
              <w:jc w:val="both"/>
              <w:rPr>
                <w:rFonts w:cs="Times New Roman"/>
                <w:sz w:val="20"/>
                <w:szCs w:val="20"/>
                <w:lang w:val="lv-LV"/>
              </w:rPr>
            </w:pPr>
          </w:p>
          <w:p w:rsidR="00D56F15" w:rsidRPr="00006131" w:rsidRDefault="00D56F15" w:rsidP="001A6502">
            <w:pPr>
              <w:pStyle w:val="ListParagraph"/>
              <w:ind w:left="327"/>
              <w:jc w:val="both"/>
              <w:rPr>
                <w:rFonts w:cs="Times New Roman"/>
                <w:sz w:val="20"/>
                <w:szCs w:val="20"/>
                <w:lang w:val="lv-LV"/>
              </w:rPr>
            </w:pPr>
          </w:p>
          <w:p w:rsidR="00D56F15" w:rsidRPr="00006131" w:rsidRDefault="00D56F15" w:rsidP="001A6502">
            <w:pPr>
              <w:pStyle w:val="ListParagraph"/>
              <w:ind w:left="327"/>
              <w:jc w:val="both"/>
              <w:rPr>
                <w:rFonts w:cs="Times New Roman"/>
                <w:sz w:val="20"/>
                <w:szCs w:val="20"/>
                <w:lang w:val="lv-LV"/>
              </w:rPr>
            </w:pPr>
          </w:p>
          <w:p w:rsidR="00D56F15" w:rsidRPr="00006131" w:rsidRDefault="00D56F15" w:rsidP="001A6502">
            <w:pPr>
              <w:pStyle w:val="ListParagraph"/>
              <w:ind w:left="327"/>
              <w:jc w:val="both"/>
              <w:rPr>
                <w:rFonts w:cs="Times New Roman"/>
                <w:sz w:val="20"/>
                <w:szCs w:val="20"/>
                <w:lang w:val="lv-LV"/>
              </w:rPr>
            </w:pPr>
          </w:p>
          <w:p w:rsidR="00D56F15" w:rsidRPr="00006131" w:rsidRDefault="00D56F15" w:rsidP="001A6502">
            <w:pPr>
              <w:pStyle w:val="ListParagraph"/>
              <w:ind w:left="327"/>
              <w:jc w:val="both"/>
              <w:rPr>
                <w:rFonts w:cs="Times New Roman"/>
                <w:sz w:val="20"/>
                <w:szCs w:val="20"/>
                <w:lang w:val="lv-LV"/>
              </w:rPr>
            </w:pPr>
          </w:p>
          <w:p w:rsidR="00D56F15" w:rsidRPr="00006131" w:rsidRDefault="00D56F15" w:rsidP="001A6502">
            <w:pPr>
              <w:pStyle w:val="ListParagraph"/>
              <w:ind w:left="327"/>
              <w:jc w:val="both"/>
              <w:rPr>
                <w:rFonts w:cs="Times New Roman"/>
                <w:sz w:val="20"/>
                <w:szCs w:val="20"/>
                <w:lang w:val="lv-LV"/>
              </w:rPr>
            </w:pPr>
          </w:p>
          <w:p w:rsidR="00D56F15" w:rsidRPr="00006131" w:rsidRDefault="00D56F15" w:rsidP="00D56F15">
            <w:pPr>
              <w:pStyle w:val="ListParagraph"/>
              <w:numPr>
                <w:ilvl w:val="0"/>
                <w:numId w:val="2"/>
              </w:numPr>
              <w:spacing w:before="100" w:beforeAutospacing="1" w:after="100" w:afterAutospacing="1"/>
              <w:ind w:left="327" w:hanging="324"/>
              <w:jc w:val="both"/>
              <w:rPr>
                <w:rFonts w:cs="Times New Roman"/>
                <w:sz w:val="20"/>
                <w:szCs w:val="20"/>
                <w:lang w:val="lv-LV"/>
              </w:rPr>
            </w:pPr>
            <w:r w:rsidRPr="00006131">
              <w:rPr>
                <w:rFonts w:cs="Times New Roman"/>
                <w:sz w:val="20"/>
                <w:szCs w:val="20"/>
                <w:lang w:val="lv-LV"/>
              </w:rPr>
              <w:t xml:space="preserve">Iekļaut atbalsta jomās AER iekārtu uzstādīšanu, īpaši </w:t>
            </w:r>
            <w:r w:rsidRPr="00006131">
              <w:rPr>
                <w:rFonts w:cs="Times New Roman"/>
                <w:bCs/>
                <w:sz w:val="20"/>
                <w:szCs w:val="20"/>
                <w:lang w:val="lv-LV"/>
              </w:rPr>
              <w:t>saules kolektorus un solārās sistēmas</w:t>
            </w:r>
            <w:r w:rsidRPr="00006131">
              <w:rPr>
                <w:rFonts w:cs="Times New Roman"/>
                <w:sz w:val="20"/>
                <w:szCs w:val="20"/>
                <w:lang w:val="lv-LV"/>
              </w:rPr>
              <w:t xml:space="preserve"> siltā ūdens sagatavošanai un apkures atbalstam.</w:t>
            </w:r>
          </w:p>
          <w:p w:rsidR="00D56F15" w:rsidRPr="00006131" w:rsidRDefault="00D56F15" w:rsidP="001A6502">
            <w:pPr>
              <w:jc w:val="both"/>
              <w:rPr>
                <w:rFonts w:cs="Times New Roman"/>
                <w:sz w:val="20"/>
                <w:szCs w:val="20"/>
                <w:lang w:val="lv-LV"/>
              </w:rPr>
            </w:pPr>
          </w:p>
          <w:p w:rsidR="00D56F15" w:rsidRPr="00006131" w:rsidRDefault="00D56F15" w:rsidP="001A6502">
            <w:pPr>
              <w:jc w:val="both"/>
              <w:rPr>
                <w:rFonts w:cs="Times New Roman"/>
                <w:sz w:val="20"/>
                <w:szCs w:val="20"/>
                <w:lang w:val="lv-LV"/>
              </w:rPr>
            </w:pPr>
          </w:p>
          <w:p w:rsidR="00D56F15" w:rsidRPr="00006131" w:rsidRDefault="00D56F15" w:rsidP="00D56F15">
            <w:pPr>
              <w:pStyle w:val="ListParagraph"/>
              <w:numPr>
                <w:ilvl w:val="0"/>
                <w:numId w:val="2"/>
              </w:numPr>
              <w:ind w:left="327" w:hanging="324"/>
              <w:contextualSpacing w:val="0"/>
              <w:jc w:val="both"/>
              <w:rPr>
                <w:rFonts w:cs="Times New Roman"/>
                <w:sz w:val="20"/>
                <w:szCs w:val="20"/>
                <w:lang w:val="lv-LV" w:eastAsia="en-US"/>
              </w:rPr>
            </w:pPr>
            <w:r w:rsidRPr="00006131">
              <w:rPr>
                <w:rFonts w:cs="Times New Roman"/>
                <w:sz w:val="20"/>
                <w:szCs w:val="20"/>
                <w:lang w:val="lv-LV"/>
              </w:rPr>
              <w:t xml:space="preserve">Noteikt, ka ražošanas ēku energefektivitātes mērķī finansējuma </w:t>
            </w:r>
            <w:r w:rsidRPr="00006131">
              <w:rPr>
                <w:rFonts w:cs="Times New Roman"/>
                <w:bCs/>
                <w:sz w:val="20"/>
                <w:szCs w:val="20"/>
                <w:lang w:val="lv-LV"/>
              </w:rPr>
              <w:t>saņēmēji ir arī ražošanas ēku valdītāji (ostu pārvaldes, biedrības un nodibinājumi)</w:t>
            </w:r>
            <w:r w:rsidRPr="00006131">
              <w:rPr>
                <w:rFonts w:cs="Times New Roman"/>
                <w:sz w:val="20"/>
                <w:szCs w:val="20"/>
                <w:lang w:val="lv-LV"/>
              </w:rPr>
              <w:t>.</w:t>
            </w:r>
          </w:p>
          <w:p w:rsidR="00D56F15" w:rsidRPr="00006131" w:rsidRDefault="00D56F15" w:rsidP="00D56F15">
            <w:pPr>
              <w:pStyle w:val="ListParagraph"/>
              <w:numPr>
                <w:ilvl w:val="0"/>
                <w:numId w:val="2"/>
              </w:numPr>
              <w:ind w:left="327" w:hanging="324"/>
              <w:contextualSpacing w:val="0"/>
              <w:jc w:val="both"/>
              <w:rPr>
                <w:rFonts w:cs="Times New Roman"/>
                <w:sz w:val="20"/>
                <w:szCs w:val="20"/>
                <w:lang w:val="lv-LV" w:eastAsia="en-US"/>
              </w:rPr>
            </w:pPr>
            <w:r w:rsidRPr="00006131">
              <w:rPr>
                <w:rFonts w:cs="Times New Roman"/>
                <w:sz w:val="20"/>
                <w:szCs w:val="20"/>
                <w:lang w:val="lv-LV" w:eastAsia="lv-LV"/>
              </w:rPr>
              <w:t>Papildināt prioritāti ar informāciju par koģenerācijas elektrostaciju efektivitāti un aprēķinu primāro energoresursu ietaupījumu, ko iegūst, koģenerācijas elektrostacijām ražojot enerģiju koģenerācijā.</w:t>
            </w:r>
          </w:p>
        </w:tc>
        <w:tc>
          <w:tcPr>
            <w:tcW w:w="3260" w:type="dxa"/>
            <w:shd w:val="clear" w:color="auto" w:fill="auto"/>
          </w:tcPr>
          <w:p w:rsidR="00D56F15" w:rsidRPr="00006131" w:rsidRDefault="00D56F15" w:rsidP="001A6502">
            <w:pPr>
              <w:spacing w:before="100" w:beforeAutospacing="1" w:after="100" w:afterAutospacing="1"/>
              <w:jc w:val="both"/>
              <w:rPr>
                <w:rFonts w:cs="Times New Roman"/>
                <w:sz w:val="20"/>
                <w:szCs w:val="20"/>
                <w:lang w:val="lv-LV"/>
              </w:rPr>
            </w:pPr>
            <w:r w:rsidRPr="00006131">
              <w:rPr>
                <w:rFonts w:cs="Times New Roman"/>
                <w:sz w:val="20"/>
                <w:szCs w:val="20"/>
                <w:lang w:val="lv-LV"/>
              </w:rPr>
              <w:lastRenderedPageBreak/>
              <w:t>Ņemts vērā un iestrādāts aktuālajā dokumenta versijā.</w:t>
            </w:r>
          </w:p>
          <w:p w:rsidR="00D56F15" w:rsidRPr="00006131" w:rsidRDefault="00D56F15" w:rsidP="001A6502">
            <w:pPr>
              <w:jc w:val="both"/>
              <w:rPr>
                <w:rFonts w:cs="Times New Roman"/>
                <w:sz w:val="20"/>
                <w:szCs w:val="20"/>
                <w:lang w:val="lv-LV"/>
              </w:rPr>
            </w:pPr>
            <w:r w:rsidRPr="00006131">
              <w:rPr>
                <w:rFonts w:cs="Times New Roman"/>
                <w:sz w:val="20"/>
                <w:szCs w:val="20"/>
                <w:lang w:val="lv-LV"/>
              </w:rPr>
              <w:lastRenderedPageBreak/>
              <w:t>Daļēji ņemts vērā. Ēku energoefektivitātes pasākumi un AER izmantošana ēkās jāskata kontekstā ar centralizētās siltumapgādes sistēmu attīstību un efektivitāti. Tādēļ atbalsts AER izmantošanai ēkās ir atbalstāms, ja tiek sasniegts augsts energoefektivitātes līmenis</w:t>
            </w:r>
          </w:p>
          <w:p w:rsidR="00D56F15" w:rsidRPr="00006131" w:rsidRDefault="00D56F15" w:rsidP="001A6502">
            <w:pPr>
              <w:jc w:val="both"/>
              <w:rPr>
                <w:rFonts w:cs="Times New Roman"/>
                <w:sz w:val="20"/>
                <w:szCs w:val="20"/>
                <w:lang w:val="lv-LV"/>
              </w:rPr>
            </w:pPr>
            <w:r w:rsidRPr="00006131">
              <w:rPr>
                <w:rFonts w:cs="Times New Roman"/>
                <w:sz w:val="20"/>
                <w:szCs w:val="20"/>
                <w:lang w:val="lv-LV"/>
              </w:rPr>
              <w:t>Nav ņemts vērā. ES fondu atbalsts nākamajā plānošanas periodā tiek koncentrēts enerģijas patēriņa, nevis ražošanas daļā, ņemot vērā potenciālos ieguvumus šajā sektorā.</w:t>
            </w:r>
          </w:p>
          <w:p w:rsidR="00D56F15" w:rsidRPr="00006131" w:rsidRDefault="00D56F15" w:rsidP="001A6502">
            <w:pPr>
              <w:jc w:val="both"/>
              <w:rPr>
                <w:rFonts w:cs="Times New Roman"/>
                <w:sz w:val="20"/>
                <w:szCs w:val="20"/>
                <w:lang w:val="lv-LV"/>
              </w:rPr>
            </w:pPr>
            <w:r w:rsidRPr="00006131">
              <w:rPr>
                <w:rFonts w:cs="Times New Roman"/>
                <w:sz w:val="20"/>
                <w:szCs w:val="20"/>
                <w:lang w:val="lv-LV"/>
              </w:rPr>
              <w:t>Ņemts vērā un iestrādāts aktuālajā dokumenta versijā.</w:t>
            </w:r>
          </w:p>
          <w:p w:rsidR="00D56F15" w:rsidRPr="00006131" w:rsidRDefault="00D56F15" w:rsidP="001A6502">
            <w:pPr>
              <w:rPr>
                <w:rFonts w:cs="Times New Roman"/>
                <w:sz w:val="20"/>
                <w:szCs w:val="20"/>
                <w:lang w:val="lv-LV"/>
              </w:rPr>
            </w:pPr>
          </w:p>
          <w:p w:rsidR="00D56F15" w:rsidRPr="00006131" w:rsidRDefault="00D56F15" w:rsidP="001A6502">
            <w:pPr>
              <w:ind w:right="141"/>
              <w:jc w:val="both"/>
              <w:rPr>
                <w:rFonts w:cs="Times New Roman"/>
                <w:b/>
                <w:sz w:val="20"/>
                <w:szCs w:val="20"/>
                <w:lang w:val="lv-LV"/>
              </w:rPr>
            </w:pPr>
            <w:r w:rsidRPr="00006131">
              <w:rPr>
                <w:rFonts w:cs="Times New Roman"/>
                <w:sz w:val="20"/>
                <w:szCs w:val="20"/>
                <w:lang w:val="lv-LV"/>
              </w:rPr>
              <w:t xml:space="preserve">Nav ņemts vērā. Līdz bridim kamēr nav veikts koģenerācijas potenciālā izmantošanas novērtējums Latvijā, jaunas investīcijas koģenerācijas attīstībā veikt nav lietderīgi, un investīcijas prioritāri jāveic centralizētās siltumapgādes efektivitātes paaugstināšanā un pārejā uz AER izmantošanas veicināšanā, un energoefektivitātes uzlabošanā visos ēku sektoros. Minētajās jomās arī tiek plānots koncentrēt ES fondu finansējumu.  </w:t>
            </w:r>
          </w:p>
        </w:tc>
      </w:tr>
      <w:tr w:rsidR="00D56F15" w:rsidRPr="00006131" w:rsidTr="001A6502">
        <w:trPr>
          <w:jc w:val="center"/>
        </w:trPr>
        <w:tc>
          <w:tcPr>
            <w:tcW w:w="2950" w:type="dxa"/>
            <w:shd w:val="clear" w:color="auto" w:fill="auto"/>
          </w:tcPr>
          <w:p w:rsidR="00D56F15" w:rsidRPr="00006131" w:rsidRDefault="00D56F15" w:rsidP="00D56F15">
            <w:pPr>
              <w:pStyle w:val="ListParagraph"/>
              <w:numPr>
                <w:ilvl w:val="0"/>
                <w:numId w:val="3"/>
              </w:numPr>
              <w:ind w:left="411" w:right="271" w:hanging="284"/>
              <w:jc w:val="both"/>
              <w:rPr>
                <w:rFonts w:eastAsiaTheme="minorHAnsi" w:cs="Times New Roman"/>
                <w:b/>
                <w:sz w:val="20"/>
                <w:szCs w:val="20"/>
                <w:lang w:val="lv-LV" w:eastAsia="lv-LV"/>
              </w:rPr>
            </w:pPr>
            <w:r w:rsidRPr="00006131">
              <w:rPr>
                <w:rFonts w:eastAsiaTheme="minorHAnsi" w:cs="Times New Roman"/>
                <w:b/>
                <w:sz w:val="20"/>
                <w:szCs w:val="20"/>
                <w:lang w:val="lv-LV" w:eastAsia="lv-LV"/>
              </w:rPr>
              <w:lastRenderedPageBreak/>
              <w:t xml:space="preserve">Vides aizsardzības un resursu izmantošanas efektivitāte </w:t>
            </w:r>
          </w:p>
        </w:tc>
        <w:tc>
          <w:tcPr>
            <w:tcW w:w="1855" w:type="dxa"/>
            <w:shd w:val="clear" w:color="auto" w:fill="auto"/>
            <w:tcMar>
              <w:top w:w="0" w:type="dxa"/>
              <w:left w:w="108" w:type="dxa"/>
              <w:bottom w:w="0" w:type="dxa"/>
              <w:right w:w="108" w:type="dxa"/>
            </w:tcMar>
          </w:tcPr>
          <w:p w:rsidR="00D56F15" w:rsidRPr="00006131" w:rsidRDefault="00D56F15" w:rsidP="001A6502">
            <w:pPr>
              <w:jc w:val="both"/>
              <w:rPr>
                <w:rFonts w:cs="Times New Roman"/>
                <w:sz w:val="20"/>
                <w:szCs w:val="20"/>
                <w:lang w:val="lv-LV"/>
              </w:rPr>
            </w:pPr>
            <w:r w:rsidRPr="00006131">
              <w:rPr>
                <w:rFonts w:cs="Times New Roman"/>
                <w:sz w:val="20"/>
                <w:szCs w:val="20"/>
                <w:lang w:val="lv-LV"/>
              </w:rPr>
              <w:t xml:space="preserve">Pašvaldības,  asociācijas.  </w:t>
            </w:r>
          </w:p>
        </w:tc>
        <w:tc>
          <w:tcPr>
            <w:tcW w:w="5528" w:type="dxa"/>
            <w:shd w:val="clear" w:color="auto" w:fill="auto"/>
            <w:tcMar>
              <w:top w:w="0" w:type="dxa"/>
              <w:left w:w="108" w:type="dxa"/>
              <w:bottom w:w="0" w:type="dxa"/>
              <w:right w:w="108" w:type="dxa"/>
            </w:tcMar>
          </w:tcPr>
          <w:p w:rsidR="00D56F15" w:rsidRPr="00006131" w:rsidRDefault="00D56F15" w:rsidP="00D56F15">
            <w:pPr>
              <w:pStyle w:val="ListParagraph"/>
              <w:numPr>
                <w:ilvl w:val="0"/>
                <w:numId w:val="10"/>
              </w:numPr>
              <w:ind w:left="327" w:hanging="282"/>
              <w:jc w:val="both"/>
              <w:rPr>
                <w:rFonts w:cs="Times New Roman"/>
                <w:sz w:val="20"/>
                <w:szCs w:val="20"/>
                <w:lang w:val="lv-LV"/>
              </w:rPr>
            </w:pPr>
            <w:r w:rsidRPr="00006131">
              <w:rPr>
                <w:rFonts w:cs="Times New Roman"/>
                <w:sz w:val="20"/>
                <w:szCs w:val="20"/>
                <w:lang w:val="lv-LV"/>
              </w:rPr>
              <w:t>Nepieciešams, lai plūdu aktivitātes ietvaros netiktu finansētas darbības, kas ir pretrunā ar ES vides aizsardzības mērķiem (attiecībā uz NATURA 2000 teritorijām).</w:t>
            </w:r>
          </w:p>
          <w:p w:rsidR="00D56F15" w:rsidRPr="00006131" w:rsidRDefault="00D56F15" w:rsidP="00D56F15">
            <w:pPr>
              <w:pStyle w:val="ListParagraph"/>
              <w:numPr>
                <w:ilvl w:val="0"/>
                <w:numId w:val="10"/>
              </w:numPr>
              <w:ind w:left="327" w:hanging="282"/>
              <w:jc w:val="both"/>
              <w:rPr>
                <w:rFonts w:cs="Times New Roman"/>
                <w:sz w:val="20"/>
                <w:szCs w:val="20"/>
                <w:lang w:val="lv-LV"/>
              </w:rPr>
            </w:pPr>
            <w:r w:rsidRPr="00006131">
              <w:rPr>
                <w:rFonts w:cs="Times New Roman"/>
                <w:sz w:val="20"/>
                <w:szCs w:val="20"/>
                <w:lang w:val="lv-LV"/>
              </w:rPr>
              <w:t xml:space="preserve">Finansējuma saņēmēju loku paplašināšana (piemērām, </w:t>
            </w:r>
            <w:r w:rsidRPr="00006131">
              <w:rPr>
                <w:rFonts w:cs="Times New Roman"/>
                <w:sz w:val="20"/>
                <w:szCs w:val="20"/>
                <w:lang w:val="lv-LV"/>
              </w:rPr>
              <w:lastRenderedPageBreak/>
              <w:t>pašvaldību kapitālsabiedrības), atlases karšu palielināšana, atbalsta darbības paplašināšana.</w:t>
            </w:r>
          </w:p>
        </w:tc>
        <w:tc>
          <w:tcPr>
            <w:tcW w:w="3260" w:type="dxa"/>
            <w:shd w:val="clear" w:color="auto" w:fill="auto"/>
          </w:tcPr>
          <w:p w:rsidR="00D56F15" w:rsidRPr="00006131" w:rsidRDefault="00D56F15" w:rsidP="001A6502">
            <w:pPr>
              <w:jc w:val="both"/>
              <w:rPr>
                <w:rFonts w:cs="Times New Roman"/>
                <w:sz w:val="20"/>
                <w:szCs w:val="20"/>
                <w:lang w:val="lv-LV"/>
              </w:rPr>
            </w:pPr>
            <w:r w:rsidRPr="00006131">
              <w:rPr>
                <w:rFonts w:cs="Times New Roman"/>
                <w:b/>
                <w:sz w:val="20"/>
                <w:szCs w:val="20"/>
                <w:lang w:val="lv-LV"/>
              </w:rPr>
              <w:lastRenderedPageBreak/>
              <w:t xml:space="preserve"> </w:t>
            </w:r>
            <w:r w:rsidRPr="00006131">
              <w:rPr>
                <w:rFonts w:cs="Times New Roman"/>
                <w:sz w:val="20"/>
                <w:szCs w:val="20"/>
                <w:lang w:val="lv-LV"/>
              </w:rPr>
              <w:t xml:space="preserve">Ņemts vērā un iestrādāts aktuālajā dokumenta versijā. </w:t>
            </w:r>
          </w:p>
        </w:tc>
      </w:tr>
      <w:tr w:rsidR="00D56F15" w:rsidRPr="00006131" w:rsidTr="001A6502">
        <w:trPr>
          <w:jc w:val="center"/>
        </w:trPr>
        <w:tc>
          <w:tcPr>
            <w:tcW w:w="2950" w:type="dxa"/>
            <w:shd w:val="clear" w:color="auto" w:fill="auto"/>
          </w:tcPr>
          <w:p w:rsidR="00D56F15" w:rsidRPr="00006131" w:rsidRDefault="00D56F15" w:rsidP="00D56F15">
            <w:pPr>
              <w:pStyle w:val="ListParagraph"/>
              <w:numPr>
                <w:ilvl w:val="0"/>
                <w:numId w:val="3"/>
              </w:numPr>
              <w:ind w:left="411" w:right="271" w:hanging="284"/>
              <w:jc w:val="both"/>
              <w:rPr>
                <w:rFonts w:eastAsiaTheme="minorHAnsi" w:cs="Times New Roman"/>
                <w:b/>
                <w:sz w:val="20"/>
                <w:szCs w:val="20"/>
                <w:lang w:val="lv-LV" w:eastAsia="lv-LV"/>
              </w:rPr>
            </w:pPr>
            <w:r w:rsidRPr="00006131">
              <w:rPr>
                <w:rFonts w:eastAsiaTheme="minorHAnsi" w:cs="Times New Roman"/>
                <w:b/>
                <w:sz w:val="20"/>
                <w:szCs w:val="20"/>
                <w:lang w:val="lv-LV" w:eastAsia="lv-LV"/>
              </w:rPr>
              <w:lastRenderedPageBreak/>
              <w:t>Ilgtspējīga transporta sistēma</w:t>
            </w:r>
          </w:p>
        </w:tc>
        <w:tc>
          <w:tcPr>
            <w:tcW w:w="1855" w:type="dxa"/>
            <w:shd w:val="clear" w:color="auto" w:fill="auto"/>
            <w:tcMar>
              <w:top w:w="0" w:type="dxa"/>
              <w:left w:w="108" w:type="dxa"/>
              <w:bottom w:w="0" w:type="dxa"/>
              <w:right w:w="108" w:type="dxa"/>
            </w:tcMar>
          </w:tcPr>
          <w:p w:rsidR="00D56F15" w:rsidRPr="00006131" w:rsidRDefault="00D56F15" w:rsidP="001A6502">
            <w:pPr>
              <w:jc w:val="both"/>
              <w:rPr>
                <w:rFonts w:cs="Times New Roman"/>
                <w:sz w:val="20"/>
                <w:szCs w:val="20"/>
                <w:lang w:val="lv-LV"/>
              </w:rPr>
            </w:pPr>
            <w:r w:rsidRPr="00006131">
              <w:rPr>
                <w:rFonts w:cs="Times New Roman"/>
                <w:sz w:val="20"/>
                <w:szCs w:val="20"/>
                <w:lang w:val="lv-LV"/>
              </w:rPr>
              <w:t xml:space="preserve">Pašvaldības.  </w:t>
            </w:r>
          </w:p>
        </w:tc>
        <w:tc>
          <w:tcPr>
            <w:tcW w:w="5528" w:type="dxa"/>
            <w:shd w:val="clear" w:color="auto" w:fill="auto"/>
            <w:tcMar>
              <w:top w:w="0" w:type="dxa"/>
              <w:left w:w="108" w:type="dxa"/>
              <w:bottom w:w="0" w:type="dxa"/>
              <w:right w:w="108" w:type="dxa"/>
            </w:tcMar>
          </w:tcPr>
          <w:p w:rsidR="00D56F15" w:rsidRPr="00006131" w:rsidRDefault="00D56F15" w:rsidP="00D56F15">
            <w:pPr>
              <w:pStyle w:val="ListParagraph"/>
              <w:numPr>
                <w:ilvl w:val="0"/>
                <w:numId w:val="6"/>
              </w:numPr>
              <w:ind w:left="327" w:hanging="284"/>
              <w:jc w:val="both"/>
              <w:rPr>
                <w:rFonts w:eastAsiaTheme="minorHAnsi" w:cs="Times New Roman"/>
                <w:sz w:val="20"/>
                <w:szCs w:val="20"/>
                <w:lang w:val="lv-LV" w:eastAsia="lv-LV"/>
              </w:rPr>
            </w:pPr>
            <w:r w:rsidRPr="00006131">
              <w:rPr>
                <w:rFonts w:eastAsiaTheme="minorHAnsi" w:cs="Times New Roman"/>
                <w:sz w:val="20"/>
                <w:szCs w:val="20"/>
                <w:lang w:val="lv-LV" w:eastAsia="lv-LV"/>
              </w:rPr>
              <w:t>Piesaistīt finansējumu ceļu infrastruktūrai arī tām pašvaldībām, kas spēj piesaistīt privātos investorus un nodrošina lielāku ekonomisko atdevi</w:t>
            </w:r>
          </w:p>
          <w:p w:rsidR="00D56F15" w:rsidRPr="00006131" w:rsidRDefault="00D56F15" w:rsidP="001A6502">
            <w:pPr>
              <w:jc w:val="both"/>
              <w:rPr>
                <w:rFonts w:eastAsiaTheme="minorHAnsi" w:cs="Times New Roman"/>
                <w:sz w:val="20"/>
                <w:szCs w:val="20"/>
                <w:lang w:val="lv-LV" w:eastAsia="lv-LV"/>
              </w:rPr>
            </w:pPr>
          </w:p>
          <w:p w:rsidR="00D56F15" w:rsidRPr="00006131" w:rsidRDefault="00D56F15" w:rsidP="001A6502">
            <w:pPr>
              <w:jc w:val="both"/>
              <w:rPr>
                <w:rFonts w:eastAsiaTheme="minorHAnsi" w:cs="Times New Roman"/>
                <w:sz w:val="20"/>
                <w:szCs w:val="20"/>
                <w:lang w:val="lv-LV" w:eastAsia="lv-LV"/>
              </w:rPr>
            </w:pPr>
          </w:p>
          <w:p w:rsidR="00D56F15" w:rsidRPr="00006131" w:rsidRDefault="00D56F15" w:rsidP="001A6502">
            <w:pPr>
              <w:jc w:val="both"/>
              <w:rPr>
                <w:rFonts w:eastAsiaTheme="minorHAnsi" w:cs="Times New Roman"/>
                <w:sz w:val="20"/>
                <w:szCs w:val="20"/>
                <w:lang w:val="lv-LV" w:eastAsia="lv-LV"/>
              </w:rPr>
            </w:pPr>
          </w:p>
          <w:p w:rsidR="00D56F15" w:rsidRPr="00006131" w:rsidRDefault="00D56F15" w:rsidP="001A6502">
            <w:pPr>
              <w:jc w:val="both"/>
              <w:rPr>
                <w:rFonts w:eastAsiaTheme="minorHAnsi" w:cs="Times New Roman"/>
                <w:sz w:val="20"/>
                <w:szCs w:val="20"/>
                <w:lang w:val="lv-LV" w:eastAsia="lv-LV"/>
              </w:rPr>
            </w:pPr>
          </w:p>
          <w:p w:rsidR="00D56F15" w:rsidRPr="00006131" w:rsidRDefault="00D56F15" w:rsidP="001A6502">
            <w:pPr>
              <w:pStyle w:val="ListParagraph"/>
              <w:ind w:left="327"/>
              <w:jc w:val="both"/>
              <w:rPr>
                <w:rFonts w:eastAsiaTheme="minorHAnsi" w:cs="Times New Roman"/>
                <w:sz w:val="20"/>
                <w:szCs w:val="20"/>
                <w:lang w:val="lv-LV" w:eastAsia="lv-LV"/>
              </w:rPr>
            </w:pPr>
          </w:p>
          <w:p w:rsidR="00D56F15" w:rsidRPr="00006131" w:rsidRDefault="00D56F15" w:rsidP="00D56F15">
            <w:pPr>
              <w:pStyle w:val="ListParagraph"/>
              <w:numPr>
                <w:ilvl w:val="0"/>
                <w:numId w:val="6"/>
              </w:numPr>
              <w:ind w:left="327" w:hanging="284"/>
              <w:jc w:val="both"/>
              <w:rPr>
                <w:rFonts w:eastAsiaTheme="minorHAnsi" w:cs="Times New Roman"/>
                <w:sz w:val="20"/>
                <w:szCs w:val="20"/>
                <w:lang w:val="lv-LV" w:eastAsia="lv-LV"/>
              </w:rPr>
            </w:pPr>
            <w:r w:rsidRPr="00006131">
              <w:rPr>
                <w:rFonts w:eastAsiaTheme="minorHAnsi" w:cs="Times New Roman"/>
                <w:sz w:val="20"/>
                <w:szCs w:val="20"/>
                <w:lang w:val="lv-LV" w:eastAsia="lv-LV"/>
              </w:rPr>
              <w:t>Palielināt finansējuma apjomu dzelzceļa infrastruktūrai, paredzot arī atbalstu dzelzceļa pārvadātājiem lokomatīvju nomaiņai.</w:t>
            </w:r>
          </w:p>
          <w:p w:rsidR="00D56F15" w:rsidRPr="00006131" w:rsidRDefault="00D56F15" w:rsidP="001A6502">
            <w:pPr>
              <w:pStyle w:val="ListParagraph"/>
              <w:ind w:left="327"/>
              <w:jc w:val="both"/>
              <w:rPr>
                <w:rFonts w:eastAsiaTheme="minorHAnsi" w:cs="Times New Roman"/>
                <w:sz w:val="20"/>
                <w:szCs w:val="20"/>
                <w:lang w:val="lv-LV" w:eastAsia="lv-LV"/>
              </w:rPr>
            </w:pPr>
          </w:p>
          <w:p w:rsidR="00D56F15" w:rsidRPr="00006131" w:rsidRDefault="00D56F15" w:rsidP="001A6502">
            <w:pPr>
              <w:pStyle w:val="ListParagraph"/>
              <w:ind w:left="327"/>
              <w:jc w:val="both"/>
              <w:rPr>
                <w:rFonts w:eastAsiaTheme="minorHAnsi" w:cs="Times New Roman"/>
                <w:sz w:val="20"/>
                <w:szCs w:val="20"/>
                <w:lang w:val="lv-LV" w:eastAsia="lv-LV"/>
              </w:rPr>
            </w:pPr>
          </w:p>
          <w:p w:rsidR="00D56F15" w:rsidRPr="00006131" w:rsidRDefault="00D56F15" w:rsidP="00D56F15">
            <w:pPr>
              <w:pStyle w:val="ListParagraph"/>
              <w:numPr>
                <w:ilvl w:val="0"/>
                <w:numId w:val="6"/>
              </w:numPr>
              <w:ind w:left="327" w:hanging="284"/>
              <w:jc w:val="both"/>
              <w:rPr>
                <w:rFonts w:eastAsiaTheme="minorHAnsi" w:cs="Times New Roman"/>
                <w:sz w:val="20"/>
                <w:szCs w:val="20"/>
                <w:lang w:val="lv-LV" w:eastAsia="lv-LV"/>
              </w:rPr>
            </w:pPr>
            <w:r w:rsidRPr="00006131">
              <w:rPr>
                <w:rFonts w:eastAsiaTheme="minorHAnsi" w:cs="Times New Roman"/>
                <w:sz w:val="20"/>
                <w:szCs w:val="20"/>
                <w:lang w:val="lv-LV" w:eastAsia="lv-LV"/>
              </w:rPr>
              <w:t>Paredzēt finansējumu reģionālajām lidostām, nosakot kā finansējuma saņēmējus arī reģionālās lidostas – Liepāja, Daugavpils un Tukuma lidostas.</w:t>
            </w:r>
          </w:p>
        </w:tc>
        <w:tc>
          <w:tcPr>
            <w:tcW w:w="3260" w:type="dxa"/>
            <w:shd w:val="clear" w:color="auto" w:fill="auto"/>
          </w:tcPr>
          <w:p w:rsidR="00D56F15" w:rsidRPr="00006131" w:rsidRDefault="00D56F15" w:rsidP="001A6502">
            <w:pPr>
              <w:jc w:val="both"/>
              <w:rPr>
                <w:rFonts w:cs="Times New Roman"/>
                <w:sz w:val="20"/>
                <w:szCs w:val="20"/>
                <w:lang w:val="lv-LV"/>
              </w:rPr>
            </w:pPr>
            <w:r w:rsidRPr="00006131">
              <w:rPr>
                <w:rFonts w:cs="Times New Roman"/>
                <w:sz w:val="20"/>
                <w:szCs w:val="20"/>
                <w:lang w:val="lv-LV"/>
              </w:rPr>
              <w:t>Nav ņemts vērā. ES fondu atbalsts tiek novirzīts Latvija2030 noteiktajām funkcionālajām teritorijām – ERAF finansējums nacionālas un reģionālas nozīmes attīstības centru pašvaldībām, Latgales reģionam, Baltijas jūras piekrastei, ELFLA finansējums – lauku teritorijām.</w:t>
            </w:r>
          </w:p>
          <w:p w:rsidR="00D56F15" w:rsidRPr="00006131" w:rsidRDefault="00D56F15" w:rsidP="001A6502">
            <w:pPr>
              <w:jc w:val="both"/>
              <w:rPr>
                <w:rFonts w:cs="Times New Roman"/>
                <w:b/>
                <w:sz w:val="20"/>
                <w:szCs w:val="20"/>
                <w:lang w:val="lv-LV"/>
              </w:rPr>
            </w:pPr>
            <w:r w:rsidRPr="00006131">
              <w:rPr>
                <w:rFonts w:cs="Times New Roman"/>
                <w:sz w:val="20"/>
                <w:szCs w:val="20"/>
                <w:lang w:val="lv-LV"/>
              </w:rPr>
              <w:t>Nav ņemts vērā.</w:t>
            </w:r>
            <w:r w:rsidRPr="00006131">
              <w:rPr>
                <w:rFonts w:cs="Times New Roman"/>
                <w:b/>
                <w:sz w:val="20"/>
                <w:szCs w:val="20"/>
                <w:lang w:val="lv-LV"/>
              </w:rPr>
              <w:t xml:space="preserve"> </w:t>
            </w:r>
            <w:r w:rsidRPr="00006131">
              <w:rPr>
                <w:rFonts w:cs="Times New Roman"/>
                <w:sz w:val="20"/>
                <w:szCs w:val="20"/>
                <w:lang w:val="lv-LV"/>
              </w:rPr>
              <w:t>Atbalsta mērķi plānoti atbilstoši NAP2020 prioritāšu, rīcības virzienu un uzdevumu indikatīvā finanšu ietvara izvērsumam.</w:t>
            </w:r>
          </w:p>
          <w:p w:rsidR="00D56F15" w:rsidRPr="00006131" w:rsidRDefault="00D56F15" w:rsidP="001A6502">
            <w:pPr>
              <w:rPr>
                <w:rFonts w:cs="Times New Roman"/>
                <w:b/>
                <w:sz w:val="20"/>
                <w:szCs w:val="20"/>
                <w:lang w:val="lv-LV"/>
              </w:rPr>
            </w:pPr>
          </w:p>
          <w:p w:rsidR="00D56F15" w:rsidRPr="00006131" w:rsidRDefault="00D56F15" w:rsidP="001A6502">
            <w:pPr>
              <w:jc w:val="both"/>
              <w:rPr>
                <w:rFonts w:cs="Times New Roman"/>
                <w:sz w:val="20"/>
                <w:szCs w:val="20"/>
                <w:lang w:val="lv-LV"/>
              </w:rPr>
            </w:pPr>
            <w:r w:rsidRPr="00006131">
              <w:rPr>
                <w:rFonts w:cs="Times New Roman"/>
                <w:sz w:val="20"/>
                <w:szCs w:val="20"/>
                <w:lang w:val="lv-LV"/>
              </w:rPr>
              <w:t>Nav ņemts vērā. Nacionālā attīstības plāna 2013.-2020.gadam izstrādes laikā netika panākta vienošanās par atbalstu reģionālajām lidostām.</w:t>
            </w:r>
          </w:p>
        </w:tc>
      </w:tr>
      <w:tr w:rsidR="00D56F15" w:rsidRPr="00006131" w:rsidTr="001A6502">
        <w:trPr>
          <w:jc w:val="center"/>
        </w:trPr>
        <w:tc>
          <w:tcPr>
            <w:tcW w:w="2950" w:type="dxa"/>
            <w:shd w:val="clear" w:color="auto" w:fill="auto"/>
          </w:tcPr>
          <w:p w:rsidR="00D56F15" w:rsidRPr="00006131" w:rsidRDefault="00D56F15" w:rsidP="00D56F15">
            <w:pPr>
              <w:pStyle w:val="ListParagraph"/>
              <w:numPr>
                <w:ilvl w:val="0"/>
                <w:numId w:val="3"/>
              </w:numPr>
              <w:ind w:left="411" w:right="271" w:hanging="284"/>
              <w:jc w:val="both"/>
              <w:rPr>
                <w:rFonts w:eastAsiaTheme="minorHAnsi" w:cs="Times New Roman"/>
                <w:b/>
                <w:sz w:val="20"/>
                <w:szCs w:val="20"/>
                <w:lang w:val="lv-LV" w:eastAsia="lv-LV"/>
              </w:rPr>
            </w:pPr>
            <w:r w:rsidRPr="00006131">
              <w:rPr>
                <w:rFonts w:eastAsiaTheme="minorHAnsi" w:cs="Times New Roman"/>
                <w:b/>
                <w:sz w:val="20"/>
                <w:szCs w:val="20"/>
                <w:lang w:val="lv-LV" w:eastAsia="lv-LV"/>
              </w:rPr>
              <w:t xml:space="preserve">Nodarbinātība, darbaspēka mobilitāte un sociālā iekļaušana </w:t>
            </w:r>
          </w:p>
        </w:tc>
        <w:tc>
          <w:tcPr>
            <w:tcW w:w="1855" w:type="dxa"/>
            <w:shd w:val="clear" w:color="auto" w:fill="auto"/>
            <w:tcMar>
              <w:top w:w="0" w:type="dxa"/>
              <w:left w:w="108" w:type="dxa"/>
              <w:bottom w:w="0" w:type="dxa"/>
              <w:right w:w="108" w:type="dxa"/>
            </w:tcMar>
          </w:tcPr>
          <w:p w:rsidR="00D56F15" w:rsidRPr="00006131" w:rsidRDefault="00D56F15" w:rsidP="001A6502">
            <w:pPr>
              <w:jc w:val="both"/>
              <w:rPr>
                <w:rFonts w:cs="Times New Roman"/>
                <w:sz w:val="20"/>
                <w:szCs w:val="20"/>
                <w:lang w:val="lv-LV"/>
              </w:rPr>
            </w:pPr>
            <w:r w:rsidRPr="00006131">
              <w:rPr>
                <w:rFonts w:cs="Times New Roman"/>
                <w:sz w:val="20"/>
                <w:szCs w:val="20"/>
                <w:lang w:val="lv-LV"/>
              </w:rPr>
              <w:t>Pašvaldības, asociācijas.</w:t>
            </w:r>
          </w:p>
        </w:tc>
        <w:tc>
          <w:tcPr>
            <w:tcW w:w="5528" w:type="dxa"/>
            <w:shd w:val="clear" w:color="auto" w:fill="auto"/>
            <w:tcMar>
              <w:top w:w="0" w:type="dxa"/>
              <w:left w:w="108" w:type="dxa"/>
              <w:bottom w:w="0" w:type="dxa"/>
              <w:right w:w="108" w:type="dxa"/>
            </w:tcMar>
          </w:tcPr>
          <w:p w:rsidR="00D56F15" w:rsidRPr="00006131" w:rsidRDefault="00D56F15" w:rsidP="001A6502">
            <w:pPr>
              <w:pStyle w:val="ListParagraph"/>
              <w:ind w:left="327"/>
              <w:jc w:val="both"/>
              <w:rPr>
                <w:rFonts w:eastAsiaTheme="minorHAnsi" w:cs="Times New Roman"/>
                <w:sz w:val="20"/>
                <w:szCs w:val="20"/>
                <w:lang w:val="lv-LV" w:eastAsia="lv-LV"/>
              </w:rPr>
            </w:pPr>
          </w:p>
          <w:p w:rsidR="00D56F15" w:rsidRPr="00006131" w:rsidRDefault="00D56F15" w:rsidP="00D56F15">
            <w:pPr>
              <w:pStyle w:val="ListParagraph"/>
              <w:numPr>
                <w:ilvl w:val="0"/>
                <w:numId w:val="5"/>
              </w:numPr>
              <w:ind w:left="327" w:hanging="327"/>
              <w:jc w:val="both"/>
              <w:rPr>
                <w:rFonts w:eastAsiaTheme="minorHAnsi" w:cs="Times New Roman"/>
                <w:sz w:val="20"/>
                <w:szCs w:val="20"/>
                <w:lang w:val="lv-LV" w:eastAsia="lv-LV"/>
              </w:rPr>
            </w:pPr>
            <w:r w:rsidRPr="00006131">
              <w:rPr>
                <w:rFonts w:cs="Times New Roman"/>
                <w:sz w:val="20"/>
                <w:szCs w:val="20"/>
                <w:lang w:val="lv-LV"/>
              </w:rPr>
              <w:t>Nepieciešama atbalstāmo darbību paplašināšana un Finansējuma saņēmēju loka papildināšana ar biedrībām un nodibinājumiem.</w:t>
            </w:r>
          </w:p>
        </w:tc>
        <w:tc>
          <w:tcPr>
            <w:tcW w:w="3260" w:type="dxa"/>
            <w:shd w:val="clear" w:color="auto" w:fill="auto"/>
          </w:tcPr>
          <w:p w:rsidR="00D56F15" w:rsidRPr="00006131" w:rsidRDefault="00D56F15" w:rsidP="001A6502">
            <w:pPr>
              <w:jc w:val="both"/>
              <w:rPr>
                <w:rFonts w:cs="Times New Roman"/>
                <w:sz w:val="20"/>
                <w:szCs w:val="20"/>
                <w:lang w:val="lv-LV"/>
              </w:rPr>
            </w:pPr>
            <w:r w:rsidRPr="00006131">
              <w:rPr>
                <w:rFonts w:cs="Times New Roman"/>
                <w:sz w:val="20"/>
                <w:szCs w:val="20"/>
                <w:lang w:val="lv-LV"/>
              </w:rPr>
              <w:t>Ņemts vērā un iestrādāts aktuālajā dokumenta versijā.</w:t>
            </w:r>
          </w:p>
          <w:p w:rsidR="00D56F15" w:rsidRPr="00006131" w:rsidRDefault="00D56F15" w:rsidP="001A6502">
            <w:pPr>
              <w:jc w:val="both"/>
              <w:rPr>
                <w:rFonts w:cs="Times New Roman"/>
                <w:sz w:val="20"/>
                <w:szCs w:val="20"/>
                <w:lang w:val="lv-LV"/>
              </w:rPr>
            </w:pPr>
          </w:p>
        </w:tc>
      </w:tr>
      <w:tr w:rsidR="00D56F15" w:rsidRPr="00006131" w:rsidTr="001A6502">
        <w:trPr>
          <w:jc w:val="center"/>
        </w:trPr>
        <w:tc>
          <w:tcPr>
            <w:tcW w:w="2950" w:type="dxa"/>
            <w:shd w:val="clear" w:color="auto" w:fill="auto"/>
          </w:tcPr>
          <w:p w:rsidR="00D56F15" w:rsidRPr="00006131" w:rsidRDefault="00D56F15" w:rsidP="00D56F15">
            <w:pPr>
              <w:pStyle w:val="ListParagraph"/>
              <w:numPr>
                <w:ilvl w:val="0"/>
                <w:numId w:val="3"/>
              </w:numPr>
              <w:ind w:left="411" w:right="271" w:hanging="284"/>
              <w:jc w:val="both"/>
              <w:rPr>
                <w:rFonts w:eastAsiaTheme="minorHAnsi" w:cs="Times New Roman"/>
                <w:b/>
                <w:sz w:val="20"/>
                <w:szCs w:val="20"/>
                <w:lang w:val="lv-LV" w:eastAsia="lv-LV"/>
              </w:rPr>
            </w:pPr>
            <w:r w:rsidRPr="00006131">
              <w:rPr>
                <w:rFonts w:eastAsiaTheme="minorHAnsi" w:cs="Times New Roman"/>
                <w:b/>
                <w:sz w:val="20"/>
                <w:szCs w:val="20"/>
                <w:lang w:val="lv-LV" w:eastAsia="lv-LV"/>
              </w:rPr>
              <w:t>Izglītība, prasmes un mūžizglītība</w:t>
            </w:r>
          </w:p>
        </w:tc>
        <w:tc>
          <w:tcPr>
            <w:tcW w:w="1855" w:type="dxa"/>
            <w:shd w:val="clear" w:color="auto" w:fill="auto"/>
            <w:tcMar>
              <w:top w:w="0" w:type="dxa"/>
              <w:left w:w="108" w:type="dxa"/>
              <w:bottom w:w="0" w:type="dxa"/>
              <w:right w:w="108" w:type="dxa"/>
            </w:tcMar>
          </w:tcPr>
          <w:p w:rsidR="00D56F15" w:rsidRPr="00006131" w:rsidRDefault="00D56F15" w:rsidP="001A6502">
            <w:pPr>
              <w:jc w:val="both"/>
              <w:rPr>
                <w:rFonts w:cs="Times New Roman"/>
                <w:sz w:val="20"/>
                <w:szCs w:val="20"/>
                <w:lang w:val="lv-LV"/>
              </w:rPr>
            </w:pPr>
            <w:r w:rsidRPr="00006131">
              <w:rPr>
                <w:rFonts w:cs="Times New Roman"/>
                <w:sz w:val="20"/>
                <w:szCs w:val="20"/>
                <w:lang w:val="lv-LV"/>
              </w:rPr>
              <w:t>Asociācijas.</w:t>
            </w:r>
          </w:p>
        </w:tc>
        <w:tc>
          <w:tcPr>
            <w:tcW w:w="5528" w:type="dxa"/>
            <w:shd w:val="clear" w:color="auto" w:fill="auto"/>
            <w:tcMar>
              <w:top w:w="0" w:type="dxa"/>
              <w:left w:w="108" w:type="dxa"/>
              <w:bottom w:w="0" w:type="dxa"/>
              <w:right w:w="108" w:type="dxa"/>
            </w:tcMar>
          </w:tcPr>
          <w:p w:rsidR="00D56F15" w:rsidRPr="00006131" w:rsidRDefault="00D56F15" w:rsidP="00D56F15">
            <w:pPr>
              <w:pStyle w:val="ListParagraph"/>
              <w:numPr>
                <w:ilvl w:val="0"/>
                <w:numId w:val="4"/>
              </w:numPr>
              <w:ind w:left="327" w:hanging="284"/>
              <w:jc w:val="both"/>
              <w:rPr>
                <w:rFonts w:cs="Times New Roman"/>
                <w:sz w:val="20"/>
                <w:szCs w:val="20"/>
                <w:lang w:val="lv-LV"/>
              </w:rPr>
            </w:pPr>
            <w:r w:rsidRPr="00006131">
              <w:rPr>
                <w:rFonts w:cs="Times New Roman"/>
                <w:sz w:val="20"/>
                <w:szCs w:val="20"/>
                <w:lang w:val="lv-LV"/>
              </w:rPr>
              <w:t>Nepieciešams minēt būtiskākās izglītības pieejamības problēmas, kas ietekmē vidējās vai profesionālās izglītības neiegūšanu;</w:t>
            </w:r>
          </w:p>
          <w:p w:rsidR="00D56F15" w:rsidRPr="00006131" w:rsidRDefault="00D56F15" w:rsidP="001A6502">
            <w:pPr>
              <w:pStyle w:val="ListParagraph"/>
              <w:ind w:left="327"/>
              <w:jc w:val="both"/>
              <w:rPr>
                <w:rFonts w:cs="Times New Roman"/>
                <w:sz w:val="20"/>
                <w:szCs w:val="20"/>
                <w:lang w:val="lv-LV"/>
              </w:rPr>
            </w:pPr>
          </w:p>
          <w:p w:rsidR="00D56F15" w:rsidRPr="00006131" w:rsidRDefault="00D56F15" w:rsidP="00D56F15">
            <w:pPr>
              <w:pStyle w:val="ListParagraph"/>
              <w:numPr>
                <w:ilvl w:val="0"/>
                <w:numId w:val="4"/>
              </w:numPr>
              <w:ind w:left="327" w:hanging="284"/>
              <w:jc w:val="both"/>
              <w:rPr>
                <w:rFonts w:cs="Times New Roman"/>
                <w:sz w:val="20"/>
                <w:szCs w:val="20"/>
                <w:lang w:val="lv-LV"/>
              </w:rPr>
            </w:pPr>
            <w:r w:rsidRPr="00006131">
              <w:rPr>
                <w:rFonts w:cs="Times New Roman"/>
                <w:sz w:val="20"/>
                <w:szCs w:val="20"/>
                <w:lang w:val="lv-LV"/>
              </w:rPr>
              <w:t xml:space="preserve">Nepieciešams papildināt PL ar informāciju, ka </w:t>
            </w:r>
            <w:r w:rsidRPr="00006131">
              <w:rPr>
                <w:sz w:val="20"/>
                <w:szCs w:val="20"/>
                <w:lang w:val="lv-LV"/>
              </w:rPr>
              <w:t xml:space="preserve">lai nodrošinātu lauksaimniecības, mežsaimniecības un pārtikas ražošanas nozaru konkurētspēju un paaugstinātu to produktivitāti, atbalsts tiek plānots zināšanu pārneses un informācijas pasākumu īstenošanai (apmācības), konsultāciju pasākumiem attiecīgo zināšanu padziļināšanai, kā arī kopdarbības </w:t>
            </w:r>
            <w:r w:rsidRPr="00006131">
              <w:rPr>
                <w:sz w:val="20"/>
                <w:szCs w:val="20"/>
                <w:lang w:val="lv-LV"/>
              </w:rPr>
              <w:lastRenderedPageBreak/>
              <w:t>veicināšanai minētajās nozarēs.</w:t>
            </w:r>
          </w:p>
          <w:p w:rsidR="00D56F15" w:rsidRPr="00006131" w:rsidRDefault="00D56F15" w:rsidP="001A6502">
            <w:pPr>
              <w:pStyle w:val="ListParagraph"/>
              <w:ind w:left="327"/>
              <w:jc w:val="both"/>
              <w:rPr>
                <w:rFonts w:cs="Times New Roman"/>
                <w:sz w:val="20"/>
                <w:szCs w:val="20"/>
                <w:lang w:val="lv-LV"/>
              </w:rPr>
            </w:pPr>
          </w:p>
          <w:p w:rsidR="00D56F15" w:rsidRPr="00006131" w:rsidRDefault="00D56F15" w:rsidP="00D56F15">
            <w:pPr>
              <w:pStyle w:val="ListParagraph"/>
              <w:numPr>
                <w:ilvl w:val="0"/>
                <w:numId w:val="4"/>
              </w:numPr>
              <w:ind w:left="327" w:hanging="284"/>
              <w:jc w:val="both"/>
              <w:rPr>
                <w:rFonts w:cs="Times New Roman"/>
                <w:sz w:val="20"/>
                <w:szCs w:val="20"/>
                <w:lang w:val="lv-LV"/>
              </w:rPr>
            </w:pPr>
            <w:r w:rsidRPr="00006131">
              <w:rPr>
                <w:bCs/>
                <w:sz w:val="20"/>
                <w:szCs w:val="20"/>
                <w:lang w:val="lv-LV" w:eastAsia="lv-LV"/>
              </w:rPr>
              <w:t>Nepieciešams papildināt izaicinājumu satakstu ar atbalsta trūkumu izglītojamiem sociālo prasmju apguvē un sociāli emocionālajā audzināšanā, lai mazinātu agresīvu un vardarbīgu uzvedību</w:t>
            </w:r>
          </w:p>
          <w:p w:rsidR="00D56F15" w:rsidRPr="00006131" w:rsidRDefault="00D56F15" w:rsidP="001A6502">
            <w:pPr>
              <w:jc w:val="both"/>
              <w:rPr>
                <w:rFonts w:cs="Times New Roman"/>
                <w:sz w:val="20"/>
                <w:szCs w:val="20"/>
                <w:lang w:val="lv-LV"/>
              </w:rPr>
            </w:pPr>
          </w:p>
          <w:p w:rsidR="00D56F15" w:rsidRPr="00006131" w:rsidRDefault="00D56F15" w:rsidP="001A6502">
            <w:pPr>
              <w:jc w:val="both"/>
              <w:rPr>
                <w:rFonts w:cs="Times New Roman"/>
                <w:sz w:val="20"/>
                <w:szCs w:val="20"/>
                <w:lang w:val="lv-LV"/>
              </w:rPr>
            </w:pPr>
          </w:p>
          <w:p w:rsidR="00D56F15" w:rsidRPr="00006131" w:rsidRDefault="00D56F15" w:rsidP="001A6502">
            <w:pPr>
              <w:jc w:val="both"/>
              <w:rPr>
                <w:rFonts w:cs="Times New Roman"/>
                <w:sz w:val="20"/>
                <w:szCs w:val="20"/>
                <w:lang w:val="lv-LV"/>
              </w:rPr>
            </w:pPr>
          </w:p>
          <w:p w:rsidR="00D56F15" w:rsidRPr="00006131" w:rsidRDefault="00D56F15" w:rsidP="001A6502">
            <w:pPr>
              <w:jc w:val="both"/>
              <w:rPr>
                <w:rFonts w:cs="Times New Roman"/>
                <w:sz w:val="20"/>
                <w:szCs w:val="20"/>
                <w:lang w:val="lv-LV"/>
              </w:rPr>
            </w:pPr>
          </w:p>
          <w:p w:rsidR="00D56F15" w:rsidRPr="00006131" w:rsidRDefault="00D56F15" w:rsidP="00D56F15">
            <w:pPr>
              <w:pStyle w:val="ListParagraph"/>
              <w:numPr>
                <w:ilvl w:val="0"/>
                <w:numId w:val="4"/>
              </w:numPr>
              <w:ind w:left="327" w:hanging="284"/>
              <w:jc w:val="both"/>
              <w:rPr>
                <w:rFonts w:cs="Times New Roman"/>
                <w:sz w:val="20"/>
                <w:szCs w:val="20"/>
                <w:lang w:val="lv-LV"/>
              </w:rPr>
            </w:pPr>
            <w:r w:rsidRPr="00006131">
              <w:rPr>
                <w:sz w:val="20"/>
                <w:szCs w:val="20"/>
                <w:lang w:val="lv-LV"/>
              </w:rPr>
              <w:t>Ir nepieciešams papildināt, ka sistēmiski jāizglīto skolotāji savās darbavietās par jaunākajām pedagoģiskajām atziņām un nepieciešamajām izmaiņām skolu kultūrā, lai sekmētu sociāli iekļaujošas skolas attīstību.".</w:t>
            </w:r>
          </w:p>
        </w:tc>
        <w:tc>
          <w:tcPr>
            <w:tcW w:w="3260" w:type="dxa"/>
            <w:shd w:val="clear" w:color="auto" w:fill="auto"/>
          </w:tcPr>
          <w:p w:rsidR="00D56F15" w:rsidRPr="00006131" w:rsidRDefault="00D56F15" w:rsidP="001A6502">
            <w:pPr>
              <w:jc w:val="both"/>
              <w:rPr>
                <w:rFonts w:cs="Times New Roman"/>
                <w:sz w:val="20"/>
                <w:szCs w:val="20"/>
                <w:lang w:val="lv-LV"/>
              </w:rPr>
            </w:pPr>
            <w:r w:rsidRPr="00006131">
              <w:rPr>
                <w:rFonts w:cs="Times New Roman"/>
                <w:sz w:val="20"/>
                <w:szCs w:val="20"/>
                <w:lang w:val="lv-LV"/>
              </w:rPr>
              <w:lastRenderedPageBreak/>
              <w:t>Ņemts vērā un iestrādāts aktuālajā dokumenta versijā.</w:t>
            </w:r>
          </w:p>
          <w:p w:rsidR="00D56F15" w:rsidRPr="00006131" w:rsidRDefault="00D56F15" w:rsidP="001A6502">
            <w:pPr>
              <w:rPr>
                <w:rFonts w:cs="Times New Roman"/>
                <w:sz w:val="20"/>
                <w:szCs w:val="20"/>
                <w:lang w:val="lv-LV"/>
              </w:rPr>
            </w:pPr>
          </w:p>
          <w:p w:rsidR="00D56F15" w:rsidRPr="00006131" w:rsidRDefault="00D56F15" w:rsidP="001A6502">
            <w:pPr>
              <w:rPr>
                <w:rFonts w:cs="Times New Roman"/>
                <w:sz w:val="20"/>
                <w:szCs w:val="20"/>
                <w:lang w:val="lv-LV"/>
              </w:rPr>
            </w:pPr>
          </w:p>
          <w:p w:rsidR="00D56F15" w:rsidRPr="00006131" w:rsidRDefault="00D56F15" w:rsidP="001A6502">
            <w:pPr>
              <w:rPr>
                <w:rFonts w:cs="Times New Roman"/>
                <w:sz w:val="20"/>
                <w:szCs w:val="20"/>
                <w:lang w:val="lv-LV"/>
              </w:rPr>
            </w:pPr>
            <w:r w:rsidRPr="00006131">
              <w:rPr>
                <w:rFonts w:cs="Times New Roman"/>
                <w:sz w:val="20"/>
                <w:szCs w:val="20"/>
                <w:lang w:val="lv-LV"/>
              </w:rPr>
              <w:t>Ņemt vērā, norādot, ka atbalsts tiek sniegts ELFLA ietvaros.</w:t>
            </w:r>
          </w:p>
          <w:p w:rsidR="00D56F15" w:rsidRPr="00006131" w:rsidRDefault="00D56F15" w:rsidP="001A6502">
            <w:pPr>
              <w:rPr>
                <w:rFonts w:cs="Times New Roman"/>
                <w:sz w:val="20"/>
                <w:szCs w:val="20"/>
                <w:lang w:val="lv-LV"/>
              </w:rPr>
            </w:pPr>
          </w:p>
          <w:p w:rsidR="00D56F15" w:rsidRPr="00006131" w:rsidRDefault="00D56F15" w:rsidP="001A6502">
            <w:pPr>
              <w:rPr>
                <w:rFonts w:cs="Times New Roman"/>
                <w:sz w:val="20"/>
                <w:szCs w:val="20"/>
                <w:lang w:val="lv-LV"/>
              </w:rPr>
            </w:pPr>
          </w:p>
          <w:p w:rsidR="00D56F15" w:rsidRPr="00006131" w:rsidRDefault="00D56F15" w:rsidP="001A6502">
            <w:pPr>
              <w:rPr>
                <w:rFonts w:cs="Times New Roman"/>
                <w:sz w:val="20"/>
                <w:szCs w:val="20"/>
                <w:lang w:val="lv-LV"/>
              </w:rPr>
            </w:pPr>
          </w:p>
          <w:p w:rsidR="00D56F15" w:rsidRPr="00006131" w:rsidRDefault="00D56F15" w:rsidP="001A6502">
            <w:pPr>
              <w:rPr>
                <w:rFonts w:cs="Times New Roman"/>
                <w:sz w:val="20"/>
                <w:szCs w:val="20"/>
                <w:lang w:val="lv-LV"/>
              </w:rPr>
            </w:pPr>
          </w:p>
          <w:p w:rsidR="00D56F15" w:rsidRPr="00006131" w:rsidRDefault="00D56F15" w:rsidP="001A6502">
            <w:pPr>
              <w:rPr>
                <w:rFonts w:cs="Times New Roman"/>
                <w:sz w:val="20"/>
                <w:szCs w:val="20"/>
                <w:lang w:val="lv-LV"/>
              </w:rPr>
            </w:pPr>
          </w:p>
          <w:p w:rsidR="00D56F15" w:rsidRPr="00006131" w:rsidRDefault="00D56F15" w:rsidP="001A6502">
            <w:pPr>
              <w:rPr>
                <w:rFonts w:cs="Times New Roman"/>
                <w:sz w:val="20"/>
                <w:szCs w:val="20"/>
                <w:lang w:val="lv-LV"/>
              </w:rPr>
            </w:pPr>
          </w:p>
          <w:p w:rsidR="00D56F15" w:rsidRPr="00006131" w:rsidRDefault="00D56F15" w:rsidP="001A6502">
            <w:pPr>
              <w:rPr>
                <w:sz w:val="20"/>
                <w:szCs w:val="20"/>
                <w:lang w:val="lv-LV"/>
              </w:rPr>
            </w:pPr>
            <w:r w:rsidRPr="00006131">
              <w:rPr>
                <w:sz w:val="20"/>
                <w:szCs w:val="20"/>
                <w:lang w:val="lv-LV"/>
              </w:rPr>
              <w:t>Panākta vienošanās saskaņošanas sanāksmes laikā.</w:t>
            </w:r>
            <w:r w:rsidRPr="00006131">
              <w:rPr>
                <w:rFonts w:cs="Times New Roman"/>
                <w:sz w:val="20"/>
                <w:szCs w:val="20"/>
                <w:lang w:val="lv-LV"/>
              </w:rPr>
              <w:t xml:space="preserve"> </w:t>
            </w:r>
            <w:r w:rsidRPr="00006131">
              <w:rPr>
                <w:sz w:val="20"/>
                <w:szCs w:val="20"/>
                <w:lang w:val="lv-LV"/>
              </w:rPr>
              <w:t>Sociālo prasmju apguve un sociāli emocionālā audzināšana ir ietverta visu izglītības līmeņu atbalstā kā papildinošs un pastarpināts elements izglītības satura apguvei.</w:t>
            </w:r>
          </w:p>
          <w:p w:rsidR="00D56F15" w:rsidRPr="00006131" w:rsidRDefault="00D56F15" w:rsidP="001A6502">
            <w:pPr>
              <w:rPr>
                <w:sz w:val="20"/>
                <w:szCs w:val="20"/>
                <w:lang w:val="lv-LV"/>
              </w:rPr>
            </w:pPr>
          </w:p>
          <w:p w:rsidR="00D56F15" w:rsidRPr="00006131" w:rsidRDefault="00D56F15" w:rsidP="001A6502">
            <w:pPr>
              <w:rPr>
                <w:rFonts w:cs="Times New Roman"/>
                <w:b/>
                <w:sz w:val="20"/>
                <w:szCs w:val="20"/>
                <w:lang w:val="lv-LV"/>
              </w:rPr>
            </w:pPr>
            <w:r w:rsidRPr="00006131">
              <w:rPr>
                <w:sz w:val="20"/>
                <w:szCs w:val="20"/>
                <w:lang w:val="lv-LV"/>
              </w:rPr>
              <w:t>Panākta vienošanās saskaņošanas sanāksmes laikā.. Atbalsts pedagogu kompetences un darba kvalitātes uzlabošanai iekļauj pedagogu pedagoģiskās un profesionālās izglītošanas pasākumus.</w:t>
            </w:r>
          </w:p>
        </w:tc>
      </w:tr>
    </w:tbl>
    <w:p w:rsidR="001E18C8" w:rsidRDefault="001E18C8"/>
    <w:sectPr w:rsidR="001E18C8" w:rsidSect="00D56F15">
      <w:headerReference w:type="even" r:id="rId8"/>
      <w:headerReference w:type="default" r:id="rId9"/>
      <w:footerReference w:type="even" r:id="rId10"/>
      <w:footerReference w:type="default" r:id="rId11"/>
      <w:headerReference w:type="first" r:id="rId12"/>
      <w:footerReference w:type="first" r:id="rId13"/>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6BC" w:rsidRDefault="00CF56BC" w:rsidP="00CF56BC">
      <w:r>
        <w:separator/>
      </w:r>
    </w:p>
  </w:endnote>
  <w:endnote w:type="continuationSeparator" w:id="0">
    <w:p w:rsidR="00CF56BC" w:rsidRDefault="00CF56BC" w:rsidP="00CF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9F" w:rsidRDefault="00EF2A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44761"/>
      <w:docPartObj>
        <w:docPartGallery w:val="Page Numbers (Bottom of Page)"/>
        <w:docPartUnique/>
      </w:docPartObj>
    </w:sdtPr>
    <w:sdtEndPr>
      <w:rPr>
        <w:noProof/>
        <w:sz w:val="20"/>
        <w:szCs w:val="20"/>
      </w:rPr>
    </w:sdtEndPr>
    <w:sdtContent>
      <w:p w:rsidR="00EF2A9F" w:rsidRDefault="00EF2A9F">
        <w:pPr>
          <w:pStyle w:val="Footer"/>
          <w:jc w:val="center"/>
          <w:rPr>
            <w:noProof/>
          </w:rPr>
        </w:pPr>
        <w:r>
          <w:fldChar w:fldCharType="begin"/>
        </w:r>
        <w:r>
          <w:instrText xml:space="preserve"> PAGE   \* MERGEFORMAT </w:instrText>
        </w:r>
        <w:r>
          <w:fldChar w:fldCharType="separate"/>
        </w:r>
        <w:r w:rsidR="003F4C19">
          <w:rPr>
            <w:noProof/>
          </w:rPr>
          <w:t>3</w:t>
        </w:r>
        <w:r>
          <w:rPr>
            <w:noProof/>
          </w:rPr>
          <w:fldChar w:fldCharType="end"/>
        </w:r>
      </w:p>
      <w:p w:rsidR="00CF56BC" w:rsidRPr="00EF2A9F" w:rsidRDefault="00EF2A9F" w:rsidP="00EF2A9F">
        <w:pPr>
          <w:pStyle w:val="Footer"/>
          <w:jc w:val="both"/>
          <w:rPr>
            <w:sz w:val="20"/>
            <w:szCs w:val="20"/>
          </w:rPr>
        </w:pPr>
        <w:r w:rsidRPr="00EF2A9F">
          <w:rPr>
            <w:noProof/>
            <w:sz w:val="20"/>
            <w:szCs w:val="20"/>
          </w:rPr>
          <w:fldChar w:fldCharType="begin"/>
        </w:r>
        <w:r w:rsidRPr="00EF2A9F">
          <w:rPr>
            <w:noProof/>
            <w:sz w:val="20"/>
            <w:szCs w:val="20"/>
          </w:rPr>
          <w:instrText xml:space="preserve"> FILENAME   \* MERGEFORMAT </w:instrText>
        </w:r>
        <w:r w:rsidRPr="00EF2A9F">
          <w:rPr>
            <w:noProof/>
            <w:sz w:val="20"/>
            <w:szCs w:val="20"/>
          </w:rPr>
          <w:fldChar w:fldCharType="separate"/>
        </w:r>
        <w:r w:rsidRPr="00EF2A9F">
          <w:rPr>
            <w:noProof/>
            <w:sz w:val="20"/>
            <w:szCs w:val="20"/>
          </w:rPr>
          <w:t>FMPlansP03_101213_Partn_lig</w:t>
        </w:r>
        <w:r w:rsidRPr="00EF2A9F">
          <w:rPr>
            <w:noProof/>
            <w:sz w:val="20"/>
            <w:szCs w:val="20"/>
          </w:rPr>
          <w:fldChar w:fldCharType="end"/>
        </w:r>
        <w:r w:rsidRPr="00EF2A9F">
          <w:rPr>
            <w:noProof/>
            <w:sz w:val="20"/>
            <w:szCs w:val="20"/>
          </w:rPr>
          <w:t xml:space="preserve">; </w:t>
        </w:r>
        <w:sdt>
          <w:sdtPr>
            <w:rPr>
              <w:noProof/>
              <w:sz w:val="20"/>
              <w:szCs w:val="20"/>
            </w:rPr>
            <w:alias w:val="Title"/>
            <w:tag w:val=""/>
            <w:id w:val="-1026553546"/>
            <w:placeholder>
              <w:docPart w:val="4F4D59ECE4C14895970CB3A5B986405D"/>
            </w:placeholder>
            <w:dataBinding w:prefixMappings="xmlns:ns0='http://purl.org/dc/elements/1.1/' xmlns:ns1='http://schemas.openxmlformats.org/package/2006/metadata/core-properties' " w:xpath="/ns1:coreProperties[1]/ns0:title[1]" w:storeItemID="{6C3C8BC8-F283-45AE-878A-BAB7291924A1}"/>
            <w:text/>
          </w:sdtPr>
          <w:sdtEndPr/>
          <w:sdtContent>
            <w:r w:rsidRPr="00EF2A9F">
              <w:rPr>
                <w:noProof/>
                <w:sz w:val="20"/>
                <w:szCs w:val="20"/>
                <w:lang w:val="lv-LV"/>
              </w:rPr>
              <w:t xml:space="preserve">3.pielikums. Kopsavilkums par partneru sniegtajiem būtiskākajiem komentāriem </w:t>
            </w:r>
          </w:sdtContent>
        </w:sdt>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9F" w:rsidRDefault="00EF2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6BC" w:rsidRDefault="00CF56BC" w:rsidP="00CF56BC">
      <w:r>
        <w:separator/>
      </w:r>
    </w:p>
  </w:footnote>
  <w:footnote w:type="continuationSeparator" w:id="0">
    <w:p w:rsidR="00CF56BC" w:rsidRDefault="00CF56BC" w:rsidP="00CF5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9F" w:rsidRDefault="00EF2A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9F" w:rsidRDefault="00EF2A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9F" w:rsidRDefault="00EF2A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02EB"/>
    <w:multiLevelType w:val="hybridMultilevel"/>
    <w:tmpl w:val="9328E3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D3776E"/>
    <w:multiLevelType w:val="hybridMultilevel"/>
    <w:tmpl w:val="A7F88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482775B"/>
    <w:multiLevelType w:val="multilevel"/>
    <w:tmpl w:val="4E429ED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711"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BA946C9"/>
    <w:multiLevelType w:val="hybridMultilevel"/>
    <w:tmpl w:val="6EC01CEA"/>
    <w:lvl w:ilvl="0" w:tplc="9B9AFA24">
      <w:start w:val="1"/>
      <w:numFmt w:val="decimal"/>
      <w:lvlText w:val="%1."/>
      <w:lvlJc w:val="left"/>
      <w:pPr>
        <w:ind w:left="720" w:hanging="360"/>
      </w:pPr>
      <w:rPr>
        <w:rFonts w:ascii="Times New Roman" w:eastAsiaTheme="minorHAnsi"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20755C4E"/>
    <w:multiLevelType w:val="hybridMultilevel"/>
    <w:tmpl w:val="D4EAD698"/>
    <w:lvl w:ilvl="0" w:tplc="04260001">
      <w:start w:val="1"/>
      <w:numFmt w:val="bullet"/>
      <w:lvlText w:val=""/>
      <w:lvlJc w:val="left"/>
      <w:pPr>
        <w:ind w:left="720" w:hanging="360"/>
      </w:pPr>
      <w:rPr>
        <w:rFonts w:ascii="Symbol" w:hAnsi="Symbol" w:hint="default"/>
      </w:rPr>
    </w:lvl>
    <w:lvl w:ilvl="1" w:tplc="05DAE374">
      <w:start w:val="1"/>
      <w:numFmt w:val="decimal"/>
      <w:lvlText w:val="%2."/>
      <w:lvlJc w:val="left"/>
      <w:pPr>
        <w:ind w:left="1440" w:hanging="360"/>
      </w:pPr>
      <w:rPr>
        <w:rFonts w:ascii="Times New Roman" w:eastAsiaTheme="minorHAnsi" w:hAnsi="Times New Roman" w:cs="Times New Roman"/>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256A0F0F"/>
    <w:multiLevelType w:val="hybridMultilevel"/>
    <w:tmpl w:val="9690B0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EE54914"/>
    <w:multiLevelType w:val="hybridMultilevel"/>
    <w:tmpl w:val="EEA02C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845267F"/>
    <w:multiLevelType w:val="hybridMultilevel"/>
    <w:tmpl w:val="450EBC24"/>
    <w:lvl w:ilvl="0" w:tplc="450EAFAC">
      <w:start w:val="1"/>
      <w:numFmt w:val="decimal"/>
      <w:lvlText w:val="%1."/>
      <w:lvlJc w:val="left"/>
      <w:pPr>
        <w:tabs>
          <w:tab w:val="num" w:pos="720"/>
        </w:tabs>
        <w:ind w:left="720" w:hanging="360"/>
      </w:pPr>
      <w:rPr>
        <w:rFonts w:ascii="Times New Roman" w:eastAsiaTheme="minorHAnsi" w:hAnsi="Times New Roman" w:cs="Times New Roman"/>
      </w:rPr>
    </w:lvl>
    <w:lvl w:ilvl="1" w:tplc="00227CFE">
      <w:start w:val="1"/>
      <w:numFmt w:val="bullet"/>
      <w:lvlText w:val="•"/>
      <w:lvlJc w:val="left"/>
      <w:pPr>
        <w:tabs>
          <w:tab w:val="num" w:pos="1440"/>
        </w:tabs>
        <w:ind w:left="1440" w:hanging="360"/>
      </w:pPr>
      <w:rPr>
        <w:rFonts w:ascii="Arial" w:hAnsi="Arial" w:cs="Times New Roman" w:hint="default"/>
      </w:rPr>
    </w:lvl>
    <w:lvl w:ilvl="2" w:tplc="798A376A">
      <w:start w:val="1"/>
      <w:numFmt w:val="bullet"/>
      <w:lvlText w:val="•"/>
      <w:lvlJc w:val="left"/>
      <w:pPr>
        <w:tabs>
          <w:tab w:val="num" w:pos="2160"/>
        </w:tabs>
        <w:ind w:left="2160" w:hanging="360"/>
      </w:pPr>
      <w:rPr>
        <w:rFonts w:ascii="Arial" w:hAnsi="Arial" w:cs="Times New Roman" w:hint="default"/>
      </w:rPr>
    </w:lvl>
    <w:lvl w:ilvl="3" w:tplc="60EE2074">
      <w:start w:val="1"/>
      <w:numFmt w:val="bullet"/>
      <w:lvlText w:val="•"/>
      <w:lvlJc w:val="left"/>
      <w:pPr>
        <w:tabs>
          <w:tab w:val="num" w:pos="2880"/>
        </w:tabs>
        <w:ind w:left="2880" w:hanging="360"/>
      </w:pPr>
      <w:rPr>
        <w:rFonts w:ascii="Arial" w:hAnsi="Arial" w:cs="Times New Roman" w:hint="default"/>
      </w:rPr>
    </w:lvl>
    <w:lvl w:ilvl="4" w:tplc="442473E6">
      <w:start w:val="1"/>
      <w:numFmt w:val="bullet"/>
      <w:lvlText w:val="•"/>
      <w:lvlJc w:val="left"/>
      <w:pPr>
        <w:tabs>
          <w:tab w:val="num" w:pos="3600"/>
        </w:tabs>
        <w:ind w:left="3600" w:hanging="360"/>
      </w:pPr>
      <w:rPr>
        <w:rFonts w:ascii="Arial" w:hAnsi="Arial" w:cs="Times New Roman" w:hint="default"/>
      </w:rPr>
    </w:lvl>
    <w:lvl w:ilvl="5" w:tplc="ABF67AA2">
      <w:start w:val="1"/>
      <w:numFmt w:val="bullet"/>
      <w:lvlText w:val="•"/>
      <w:lvlJc w:val="left"/>
      <w:pPr>
        <w:tabs>
          <w:tab w:val="num" w:pos="4320"/>
        </w:tabs>
        <w:ind w:left="4320" w:hanging="360"/>
      </w:pPr>
      <w:rPr>
        <w:rFonts w:ascii="Arial" w:hAnsi="Arial" w:cs="Times New Roman" w:hint="default"/>
      </w:rPr>
    </w:lvl>
    <w:lvl w:ilvl="6" w:tplc="1F04290A">
      <w:start w:val="1"/>
      <w:numFmt w:val="bullet"/>
      <w:lvlText w:val="•"/>
      <w:lvlJc w:val="left"/>
      <w:pPr>
        <w:tabs>
          <w:tab w:val="num" w:pos="5040"/>
        </w:tabs>
        <w:ind w:left="5040" w:hanging="360"/>
      </w:pPr>
      <w:rPr>
        <w:rFonts w:ascii="Arial" w:hAnsi="Arial" w:cs="Times New Roman" w:hint="default"/>
      </w:rPr>
    </w:lvl>
    <w:lvl w:ilvl="7" w:tplc="AC8863E6">
      <w:start w:val="1"/>
      <w:numFmt w:val="bullet"/>
      <w:lvlText w:val="•"/>
      <w:lvlJc w:val="left"/>
      <w:pPr>
        <w:tabs>
          <w:tab w:val="num" w:pos="5760"/>
        </w:tabs>
        <w:ind w:left="5760" w:hanging="360"/>
      </w:pPr>
      <w:rPr>
        <w:rFonts w:ascii="Arial" w:hAnsi="Arial" w:cs="Times New Roman" w:hint="default"/>
      </w:rPr>
    </w:lvl>
    <w:lvl w:ilvl="8" w:tplc="E6C83A12">
      <w:start w:val="1"/>
      <w:numFmt w:val="bullet"/>
      <w:lvlText w:val="•"/>
      <w:lvlJc w:val="left"/>
      <w:pPr>
        <w:tabs>
          <w:tab w:val="num" w:pos="6480"/>
        </w:tabs>
        <w:ind w:left="6480" w:hanging="360"/>
      </w:pPr>
      <w:rPr>
        <w:rFonts w:ascii="Arial" w:hAnsi="Arial" w:cs="Times New Roman" w:hint="default"/>
      </w:rPr>
    </w:lvl>
  </w:abstractNum>
  <w:abstractNum w:abstractNumId="8">
    <w:nsid w:val="5D846424"/>
    <w:multiLevelType w:val="hybridMultilevel"/>
    <w:tmpl w:val="34AE4D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5DB584B"/>
    <w:multiLevelType w:val="hybridMultilevel"/>
    <w:tmpl w:val="4D065D66"/>
    <w:lvl w:ilvl="0" w:tplc="703054E0">
      <w:start w:val="1"/>
      <w:numFmt w:val="decimal"/>
      <w:lvlText w:val="%1."/>
      <w:lvlJc w:val="left"/>
      <w:pPr>
        <w:ind w:left="720" w:hanging="360"/>
      </w:pPr>
      <w:rPr>
        <w:rFonts w:ascii="Times New Roman" w:eastAsiaTheme="minorHAnsi"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9"/>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87"/>
    <w:rsid w:val="001E18C8"/>
    <w:rsid w:val="00203587"/>
    <w:rsid w:val="00325F45"/>
    <w:rsid w:val="00351B48"/>
    <w:rsid w:val="0035284D"/>
    <w:rsid w:val="003F4C19"/>
    <w:rsid w:val="00CF56BC"/>
    <w:rsid w:val="00D56F15"/>
    <w:rsid w:val="00EF2A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F15"/>
    <w:rPr>
      <w:rFonts w:eastAsia="SimSun" w:cs="Arial"/>
      <w:lang w:val="en-US" w:eastAsia="ja-JP"/>
    </w:rPr>
  </w:style>
  <w:style w:type="paragraph" w:styleId="Heading1">
    <w:name w:val="heading 1"/>
    <w:basedOn w:val="Normal"/>
    <w:next w:val="Normal"/>
    <w:link w:val="Heading1Char"/>
    <w:uiPriority w:val="9"/>
    <w:qFormat/>
    <w:rsid w:val="00D56F15"/>
    <w:pPr>
      <w:keepNext/>
      <w:keepLines/>
      <w:numPr>
        <w:numId w:val="1"/>
      </w:numPr>
      <w:pBdr>
        <w:bottom w:val="single" w:sz="4" w:space="1" w:color="595959"/>
      </w:pBdr>
      <w:spacing w:before="360"/>
      <w:outlineLvl w:val="0"/>
    </w:pPr>
    <w:rPr>
      <w:rFonts w:cs="Times New Roman"/>
      <w:b/>
      <w:bCs/>
      <w:smallCaps/>
      <w:color w:val="000000"/>
      <w:sz w:val="28"/>
      <w:szCs w:val="36"/>
      <w:lang w:val="x-none" w:eastAsia="x-none"/>
    </w:rPr>
  </w:style>
  <w:style w:type="paragraph" w:styleId="Heading2">
    <w:name w:val="heading 2"/>
    <w:basedOn w:val="Normal"/>
    <w:next w:val="Normal"/>
    <w:link w:val="Heading2Char"/>
    <w:uiPriority w:val="9"/>
    <w:unhideWhenUsed/>
    <w:qFormat/>
    <w:rsid w:val="00D56F15"/>
    <w:pPr>
      <w:keepNext/>
      <w:keepLines/>
      <w:numPr>
        <w:ilvl w:val="1"/>
        <w:numId w:val="1"/>
      </w:numPr>
      <w:spacing w:before="360"/>
      <w:outlineLvl w:val="1"/>
    </w:pPr>
    <w:rPr>
      <w:rFonts w:cs="Times New Roman"/>
      <w:b/>
      <w:bCs/>
      <w:smallCaps/>
      <w:color w:val="000000"/>
      <w:sz w:val="28"/>
      <w:szCs w:val="28"/>
    </w:rPr>
  </w:style>
  <w:style w:type="paragraph" w:styleId="Heading3">
    <w:name w:val="heading 3"/>
    <w:basedOn w:val="Normal"/>
    <w:next w:val="Normal"/>
    <w:link w:val="Heading3Char"/>
    <w:uiPriority w:val="9"/>
    <w:unhideWhenUsed/>
    <w:qFormat/>
    <w:rsid w:val="00D56F15"/>
    <w:pPr>
      <w:keepNext/>
      <w:keepLines/>
      <w:numPr>
        <w:ilvl w:val="2"/>
        <w:numId w:val="1"/>
      </w:numPr>
      <w:spacing w:before="200"/>
      <w:jc w:val="center"/>
      <w:outlineLvl w:val="2"/>
    </w:pPr>
    <w:rPr>
      <w:rFonts w:cs="Times New Roman"/>
      <w:b/>
      <w:bCs/>
      <w:color w:val="000000"/>
      <w:szCs w:val="20"/>
      <w:lang w:val="x-none" w:eastAsia="x-none"/>
    </w:rPr>
  </w:style>
  <w:style w:type="paragraph" w:styleId="Heading4">
    <w:name w:val="heading 4"/>
    <w:basedOn w:val="Normal"/>
    <w:next w:val="Normal"/>
    <w:link w:val="Heading4Char"/>
    <w:uiPriority w:val="9"/>
    <w:unhideWhenUsed/>
    <w:qFormat/>
    <w:rsid w:val="00D56F15"/>
    <w:pPr>
      <w:keepNext/>
      <w:keepLines/>
      <w:numPr>
        <w:ilvl w:val="3"/>
        <w:numId w:val="1"/>
      </w:numPr>
      <w:spacing w:before="200"/>
      <w:outlineLvl w:val="3"/>
    </w:pPr>
    <w:rPr>
      <w:rFonts w:cs="Times New Roman"/>
      <w:b/>
      <w:bCs/>
      <w:iCs/>
      <w:color w:val="000000"/>
      <w:szCs w:val="20"/>
      <w:lang w:val="x-none" w:eastAsia="x-none"/>
    </w:rPr>
  </w:style>
  <w:style w:type="paragraph" w:styleId="Heading5">
    <w:name w:val="heading 5"/>
    <w:basedOn w:val="Normal"/>
    <w:next w:val="Normal"/>
    <w:link w:val="Heading5Char"/>
    <w:uiPriority w:val="9"/>
    <w:unhideWhenUsed/>
    <w:qFormat/>
    <w:rsid w:val="00D56F15"/>
    <w:pPr>
      <w:keepNext/>
      <w:keepLines/>
      <w:numPr>
        <w:ilvl w:val="4"/>
        <w:numId w:val="1"/>
      </w:numPr>
      <w:spacing w:before="200"/>
      <w:outlineLvl w:val="4"/>
    </w:pPr>
    <w:rPr>
      <w:rFonts w:ascii="Calibri Light" w:hAnsi="Calibri Light" w:cs="Times New Roman"/>
      <w:color w:val="252525"/>
      <w:sz w:val="20"/>
      <w:szCs w:val="20"/>
      <w:lang w:val="x-none" w:eastAsia="x-none"/>
    </w:rPr>
  </w:style>
  <w:style w:type="paragraph" w:styleId="Heading6">
    <w:name w:val="heading 6"/>
    <w:basedOn w:val="Normal"/>
    <w:next w:val="Normal"/>
    <w:link w:val="Heading6Char"/>
    <w:uiPriority w:val="9"/>
    <w:semiHidden/>
    <w:unhideWhenUsed/>
    <w:qFormat/>
    <w:rsid w:val="00D56F15"/>
    <w:pPr>
      <w:keepNext/>
      <w:keepLines/>
      <w:numPr>
        <w:ilvl w:val="5"/>
        <w:numId w:val="1"/>
      </w:numPr>
      <w:spacing w:before="200"/>
      <w:outlineLvl w:val="5"/>
    </w:pPr>
    <w:rPr>
      <w:rFonts w:ascii="Calibri Light" w:hAnsi="Calibri Light" w:cs="Times New Roman"/>
      <w:i/>
      <w:iCs/>
      <w:color w:val="252525"/>
      <w:sz w:val="20"/>
      <w:szCs w:val="20"/>
      <w:lang w:val="x-none" w:eastAsia="x-none"/>
    </w:rPr>
  </w:style>
  <w:style w:type="paragraph" w:styleId="Heading7">
    <w:name w:val="heading 7"/>
    <w:basedOn w:val="Normal"/>
    <w:next w:val="Normal"/>
    <w:link w:val="Heading7Char"/>
    <w:uiPriority w:val="9"/>
    <w:semiHidden/>
    <w:unhideWhenUsed/>
    <w:qFormat/>
    <w:rsid w:val="00D56F15"/>
    <w:pPr>
      <w:keepNext/>
      <w:keepLines/>
      <w:numPr>
        <w:ilvl w:val="6"/>
        <w:numId w:val="1"/>
      </w:numPr>
      <w:spacing w:before="200"/>
      <w:outlineLvl w:val="6"/>
    </w:pPr>
    <w:rPr>
      <w:rFonts w:ascii="Calibri Light" w:hAnsi="Calibri Light" w:cs="Times New Roman"/>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D56F15"/>
    <w:pPr>
      <w:keepNext/>
      <w:keepLines/>
      <w:numPr>
        <w:ilvl w:val="7"/>
        <w:numId w:val="1"/>
      </w:numPr>
      <w:spacing w:before="200"/>
      <w:outlineLvl w:val="7"/>
    </w:pPr>
    <w:rPr>
      <w:rFonts w:ascii="Calibri Light" w:hAnsi="Calibri Light" w:cs="Times New Roman"/>
      <w:color w:val="404040"/>
      <w:sz w:val="20"/>
      <w:szCs w:val="20"/>
      <w:lang w:val="x-none" w:eastAsia="x-none"/>
    </w:rPr>
  </w:style>
  <w:style w:type="paragraph" w:styleId="Heading9">
    <w:name w:val="heading 9"/>
    <w:basedOn w:val="Normal"/>
    <w:next w:val="Normal"/>
    <w:link w:val="Heading9Char"/>
    <w:uiPriority w:val="9"/>
    <w:semiHidden/>
    <w:unhideWhenUsed/>
    <w:qFormat/>
    <w:rsid w:val="00D56F15"/>
    <w:pPr>
      <w:keepNext/>
      <w:keepLines/>
      <w:numPr>
        <w:ilvl w:val="8"/>
        <w:numId w:val="1"/>
      </w:numPr>
      <w:spacing w:before="200"/>
      <w:outlineLvl w:val="8"/>
    </w:pPr>
    <w:rPr>
      <w:rFonts w:ascii="Calibri Light" w:hAnsi="Calibri Light"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F15"/>
    <w:rPr>
      <w:rFonts w:eastAsia="SimSun" w:cs="Times New Roman"/>
      <w:b/>
      <w:bCs/>
      <w:smallCaps/>
      <w:color w:val="000000"/>
      <w:sz w:val="28"/>
      <w:szCs w:val="36"/>
      <w:lang w:val="x-none" w:eastAsia="x-none"/>
    </w:rPr>
  </w:style>
  <w:style w:type="character" w:customStyle="1" w:styleId="Heading2Char">
    <w:name w:val="Heading 2 Char"/>
    <w:basedOn w:val="DefaultParagraphFont"/>
    <w:link w:val="Heading2"/>
    <w:uiPriority w:val="9"/>
    <w:rsid w:val="00D56F15"/>
    <w:rPr>
      <w:rFonts w:eastAsia="SimSun" w:cs="Times New Roman"/>
      <w:b/>
      <w:bCs/>
      <w:smallCaps/>
      <w:color w:val="000000"/>
      <w:sz w:val="28"/>
      <w:szCs w:val="28"/>
      <w:lang w:val="en-US" w:eastAsia="ja-JP"/>
    </w:rPr>
  </w:style>
  <w:style w:type="character" w:customStyle="1" w:styleId="Heading3Char">
    <w:name w:val="Heading 3 Char"/>
    <w:basedOn w:val="DefaultParagraphFont"/>
    <w:link w:val="Heading3"/>
    <w:uiPriority w:val="9"/>
    <w:rsid w:val="00D56F15"/>
    <w:rPr>
      <w:rFonts w:eastAsia="SimSun" w:cs="Times New Roman"/>
      <w:b/>
      <w:bCs/>
      <w:color w:val="000000"/>
      <w:szCs w:val="20"/>
      <w:lang w:val="x-none" w:eastAsia="x-none"/>
    </w:rPr>
  </w:style>
  <w:style w:type="character" w:customStyle="1" w:styleId="Heading4Char">
    <w:name w:val="Heading 4 Char"/>
    <w:basedOn w:val="DefaultParagraphFont"/>
    <w:link w:val="Heading4"/>
    <w:uiPriority w:val="9"/>
    <w:rsid w:val="00D56F15"/>
    <w:rPr>
      <w:rFonts w:eastAsia="SimSun" w:cs="Times New Roman"/>
      <w:b/>
      <w:bCs/>
      <w:iCs/>
      <w:color w:val="000000"/>
      <w:szCs w:val="20"/>
      <w:lang w:val="x-none" w:eastAsia="x-none"/>
    </w:rPr>
  </w:style>
  <w:style w:type="character" w:customStyle="1" w:styleId="Heading5Char">
    <w:name w:val="Heading 5 Char"/>
    <w:basedOn w:val="DefaultParagraphFont"/>
    <w:link w:val="Heading5"/>
    <w:uiPriority w:val="9"/>
    <w:rsid w:val="00D56F15"/>
    <w:rPr>
      <w:rFonts w:ascii="Calibri Light" w:eastAsia="SimSun" w:hAnsi="Calibri Light" w:cs="Times New Roman"/>
      <w:color w:val="252525"/>
      <w:sz w:val="20"/>
      <w:szCs w:val="20"/>
      <w:lang w:val="x-none" w:eastAsia="x-none"/>
    </w:rPr>
  </w:style>
  <w:style w:type="character" w:customStyle="1" w:styleId="Heading6Char">
    <w:name w:val="Heading 6 Char"/>
    <w:basedOn w:val="DefaultParagraphFont"/>
    <w:link w:val="Heading6"/>
    <w:uiPriority w:val="9"/>
    <w:semiHidden/>
    <w:rsid w:val="00D56F15"/>
    <w:rPr>
      <w:rFonts w:ascii="Calibri Light" w:eastAsia="SimSun" w:hAnsi="Calibri Light" w:cs="Times New Roman"/>
      <w:i/>
      <w:iCs/>
      <w:color w:val="252525"/>
      <w:sz w:val="20"/>
      <w:szCs w:val="20"/>
      <w:lang w:val="x-none" w:eastAsia="x-none"/>
    </w:rPr>
  </w:style>
  <w:style w:type="character" w:customStyle="1" w:styleId="Heading7Char">
    <w:name w:val="Heading 7 Char"/>
    <w:basedOn w:val="DefaultParagraphFont"/>
    <w:link w:val="Heading7"/>
    <w:uiPriority w:val="9"/>
    <w:semiHidden/>
    <w:rsid w:val="00D56F15"/>
    <w:rPr>
      <w:rFonts w:ascii="Calibri Light" w:eastAsia="SimSun" w:hAnsi="Calibri Light" w:cs="Times New Roman"/>
      <w:i/>
      <w:iCs/>
      <w:color w:val="404040"/>
      <w:sz w:val="20"/>
      <w:szCs w:val="20"/>
      <w:lang w:val="x-none" w:eastAsia="x-none"/>
    </w:rPr>
  </w:style>
  <w:style w:type="character" w:customStyle="1" w:styleId="Heading8Char">
    <w:name w:val="Heading 8 Char"/>
    <w:basedOn w:val="DefaultParagraphFont"/>
    <w:link w:val="Heading8"/>
    <w:uiPriority w:val="9"/>
    <w:semiHidden/>
    <w:rsid w:val="00D56F15"/>
    <w:rPr>
      <w:rFonts w:ascii="Calibri Light" w:eastAsia="SimSun" w:hAnsi="Calibri Light" w:cs="Times New Roman"/>
      <w:color w:val="404040"/>
      <w:sz w:val="20"/>
      <w:szCs w:val="20"/>
      <w:lang w:val="x-none" w:eastAsia="x-none"/>
    </w:rPr>
  </w:style>
  <w:style w:type="character" w:customStyle="1" w:styleId="Heading9Char">
    <w:name w:val="Heading 9 Char"/>
    <w:basedOn w:val="DefaultParagraphFont"/>
    <w:link w:val="Heading9"/>
    <w:uiPriority w:val="9"/>
    <w:semiHidden/>
    <w:rsid w:val="00D56F15"/>
    <w:rPr>
      <w:rFonts w:ascii="Calibri Light" w:eastAsia="SimSun" w:hAnsi="Calibri Light" w:cs="Times New Roman"/>
      <w:i/>
      <w:iCs/>
      <w:color w:val="404040"/>
      <w:sz w:val="20"/>
      <w:szCs w:val="20"/>
      <w:lang w:val="x-none" w:eastAsia="x-none"/>
    </w:rPr>
  </w:style>
  <w:style w:type="paragraph" w:styleId="ListParagraph">
    <w:name w:val="List Paragraph"/>
    <w:aliases w:val="2"/>
    <w:basedOn w:val="Normal"/>
    <w:link w:val="ListParagraphChar"/>
    <w:uiPriority w:val="34"/>
    <w:qFormat/>
    <w:rsid w:val="00D56F15"/>
    <w:pPr>
      <w:ind w:left="720"/>
      <w:contextualSpacing/>
    </w:pPr>
  </w:style>
  <w:style w:type="character" w:customStyle="1" w:styleId="ListParagraphChar">
    <w:name w:val="List Paragraph Char"/>
    <w:aliases w:val="2 Char"/>
    <w:link w:val="ListParagraph"/>
    <w:uiPriority w:val="34"/>
    <w:rsid w:val="00D56F15"/>
    <w:rPr>
      <w:rFonts w:eastAsia="SimSun" w:cs="Arial"/>
      <w:lang w:val="en-US" w:eastAsia="ja-JP"/>
    </w:rPr>
  </w:style>
  <w:style w:type="paragraph" w:styleId="Header">
    <w:name w:val="header"/>
    <w:basedOn w:val="Normal"/>
    <w:link w:val="HeaderChar"/>
    <w:uiPriority w:val="99"/>
    <w:unhideWhenUsed/>
    <w:rsid w:val="00CF56BC"/>
    <w:pPr>
      <w:tabs>
        <w:tab w:val="center" w:pos="4153"/>
        <w:tab w:val="right" w:pos="8306"/>
      </w:tabs>
    </w:pPr>
  </w:style>
  <w:style w:type="character" w:customStyle="1" w:styleId="HeaderChar">
    <w:name w:val="Header Char"/>
    <w:basedOn w:val="DefaultParagraphFont"/>
    <w:link w:val="Header"/>
    <w:uiPriority w:val="99"/>
    <w:rsid w:val="00CF56BC"/>
    <w:rPr>
      <w:rFonts w:eastAsia="SimSun" w:cs="Arial"/>
      <w:lang w:val="en-US" w:eastAsia="ja-JP"/>
    </w:rPr>
  </w:style>
  <w:style w:type="paragraph" w:styleId="Footer">
    <w:name w:val="footer"/>
    <w:basedOn w:val="Normal"/>
    <w:link w:val="FooterChar"/>
    <w:uiPriority w:val="99"/>
    <w:unhideWhenUsed/>
    <w:rsid w:val="00CF56BC"/>
    <w:pPr>
      <w:tabs>
        <w:tab w:val="center" w:pos="4153"/>
        <w:tab w:val="right" w:pos="8306"/>
      </w:tabs>
    </w:pPr>
  </w:style>
  <w:style w:type="character" w:customStyle="1" w:styleId="FooterChar">
    <w:name w:val="Footer Char"/>
    <w:basedOn w:val="DefaultParagraphFont"/>
    <w:link w:val="Footer"/>
    <w:uiPriority w:val="99"/>
    <w:rsid w:val="00CF56BC"/>
    <w:rPr>
      <w:rFonts w:eastAsia="SimSun" w:cs="Arial"/>
      <w:lang w:val="en-US" w:eastAsia="ja-JP"/>
    </w:rPr>
  </w:style>
  <w:style w:type="paragraph" w:styleId="BalloonText">
    <w:name w:val="Balloon Text"/>
    <w:basedOn w:val="Normal"/>
    <w:link w:val="BalloonTextChar"/>
    <w:uiPriority w:val="99"/>
    <w:semiHidden/>
    <w:unhideWhenUsed/>
    <w:rsid w:val="00CF56BC"/>
    <w:rPr>
      <w:rFonts w:ascii="Tahoma" w:hAnsi="Tahoma" w:cs="Tahoma"/>
      <w:sz w:val="16"/>
      <w:szCs w:val="16"/>
    </w:rPr>
  </w:style>
  <w:style w:type="character" w:customStyle="1" w:styleId="BalloonTextChar">
    <w:name w:val="Balloon Text Char"/>
    <w:basedOn w:val="DefaultParagraphFont"/>
    <w:link w:val="BalloonText"/>
    <w:uiPriority w:val="99"/>
    <w:semiHidden/>
    <w:rsid w:val="00CF56BC"/>
    <w:rPr>
      <w:rFonts w:ascii="Tahoma" w:eastAsia="SimSun" w:hAnsi="Tahoma" w:cs="Tahoma"/>
      <w:sz w:val="16"/>
      <w:szCs w:val="16"/>
      <w:lang w:val="en-US" w:eastAsia="ja-JP"/>
    </w:rPr>
  </w:style>
  <w:style w:type="character" w:styleId="PlaceholderText">
    <w:name w:val="Placeholder Text"/>
    <w:basedOn w:val="DefaultParagraphFont"/>
    <w:uiPriority w:val="99"/>
    <w:semiHidden/>
    <w:rsid w:val="00CF56B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F15"/>
    <w:rPr>
      <w:rFonts w:eastAsia="SimSun" w:cs="Arial"/>
      <w:lang w:val="en-US" w:eastAsia="ja-JP"/>
    </w:rPr>
  </w:style>
  <w:style w:type="paragraph" w:styleId="Heading1">
    <w:name w:val="heading 1"/>
    <w:basedOn w:val="Normal"/>
    <w:next w:val="Normal"/>
    <w:link w:val="Heading1Char"/>
    <w:uiPriority w:val="9"/>
    <w:qFormat/>
    <w:rsid w:val="00D56F15"/>
    <w:pPr>
      <w:keepNext/>
      <w:keepLines/>
      <w:numPr>
        <w:numId w:val="1"/>
      </w:numPr>
      <w:pBdr>
        <w:bottom w:val="single" w:sz="4" w:space="1" w:color="595959"/>
      </w:pBdr>
      <w:spacing w:before="360"/>
      <w:outlineLvl w:val="0"/>
    </w:pPr>
    <w:rPr>
      <w:rFonts w:cs="Times New Roman"/>
      <w:b/>
      <w:bCs/>
      <w:smallCaps/>
      <w:color w:val="000000"/>
      <w:sz w:val="28"/>
      <w:szCs w:val="36"/>
      <w:lang w:val="x-none" w:eastAsia="x-none"/>
    </w:rPr>
  </w:style>
  <w:style w:type="paragraph" w:styleId="Heading2">
    <w:name w:val="heading 2"/>
    <w:basedOn w:val="Normal"/>
    <w:next w:val="Normal"/>
    <w:link w:val="Heading2Char"/>
    <w:uiPriority w:val="9"/>
    <w:unhideWhenUsed/>
    <w:qFormat/>
    <w:rsid w:val="00D56F15"/>
    <w:pPr>
      <w:keepNext/>
      <w:keepLines/>
      <w:numPr>
        <w:ilvl w:val="1"/>
        <w:numId w:val="1"/>
      </w:numPr>
      <w:spacing w:before="360"/>
      <w:outlineLvl w:val="1"/>
    </w:pPr>
    <w:rPr>
      <w:rFonts w:cs="Times New Roman"/>
      <w:b/>
      <w:bCs/>
      <w:smallCaps/>
      <w:color w:val="000000"/>
      <w:sz w:val="28"/>
      <w:szCs w:val="28"/>
    </w:rPr>
  </w:style>
  <w:style w:type="paragraph" w:styleId="Heading3">
    <w:name w:val="heading 3"/>
    <w:basedOn w:val="Normal"/>
    <w:next w:val="Normal"/>
    <w:link w:val="Heading3Char"/>
    <w:uiPriority w:val="9"/>
    <w:unhideWhenUsed/>
    <w:qFormat/>
    <w:rsid w:val="00D56F15"/>
    <w:pPr>
      <w:keepNext/>
      <w:keepLines/>
      <w:numPr>
        <w:ilvl w:val="2"/>
        <w:numId w:val="1"/>
      </w:numPr>
      <w:spacing w:before="200"/>
      <w:jc w:val="center"/>
      <w:outlineLvl w:val="2"/>
    </w:pPr>
    <w:rPr>
      <w:rFonts w:cs="Times New Roman"/>
      <w:b/>
      <w:bCs/>
      <w:color w:val="000000"/>
      <w:szCs w:val="20"/>
      <w:lang w:val="x-none" w:eastAsia="x-none"/>
    </w:rPr>
  </w:style>
  <w:style w:type="paragraph" w:styleId="Heading4">
    <w:name w:val="heading 4"/>
    <w:basedOn w:val="Normal"/>
    <w:next w:val="Normal"/>
    <w:link w:val="Heading4Char"/>
    <w:uiPriority w:val="9"/>
    <w:unhideWhenUsed/>
    <w:qFormat/>
    <w:rsid w:val="00D56F15"/>
    <w:pPr>
      <w:keepNext/>
      <w:keepLines/>
      <w:numPr>
        <w:ilvl w:val="3"/>
        <w:numId w:val="1"/>
      </w:numPr>
      <w:spacing w:before="200"/>
      <w:outlineLvl w:val="3"/>
    </w:pPr>
    <w:rPr>
      <w:rFonts w:cs="Times New Roman"/>
      <w:b/>
      <w:bCs/>
      <w:iCs/>
      <w:color w:val="000000"/>
      <w:szCs w:val="20"/>
      <w:lang w:val="x-none" w:eastAsia="x-none"/>
    </w:rPr>
  </w:style>
  <w:style w:type="paragraph" w:styleId="Heading5">
    <w:name w:val="heading 5"/>
    <w:basedOn w:val="Normal"/>
    <w:next w:val="Normal"/>
    <w:link w:val="Heading5Char"/>
    <w:uiPriority w:val="9"/>
    <w:unhideWhenUsed/>
    <w:qFormat/>
    <w:rsid w:val="00D56F15"/>
    <w:pPr>
      <w:keepNext/>
      <w:keepLines/>
      <w:numPr>
        <w:ilvl w:val="4"/>
        <w:numId w:val="1"/>
      </w:numPr>
      <w:spacing w:before="200"/>
      <w:outlineLvl w:val="4"/>
    </w:pPr>
    <w:rPr>
      <w:rFonts w:ascii="Calibri Light" w:hAnsi="Calibri Light" w:cs="Times New Roman"/>
      <w:color w:val="252525"/>
      <w:sz w:val="20"/>
      <w:szCs w:val="20"/>
      <w:lang w:val="x-none" w:eastAsia="x-none"/>
    </w:rPr>
  </w:style>
  <w:style w:type="paragraph" w:styleId="Heading6">
    <w:name w:val="heading 6"/>
    <w:basedOn w:val="Normal"/>
    <w:next w:val="Normal"/>
    <w:link w:val="Heading6Char"/>
    <w:uiPriority w:val="9"/>
    <w:semiHidden/>
    <w:unhideWhenUsed/>
    <w:qFormat/>
    <w:rsid w:val="00D56F15"/>
    <w:pPr>
      <w:keepNext/>
      <w:keepLines/>
      <w:numPr>
        <w:ilvl w:val="5"/>
        <w:numId w:val="1"/>
      </w:numPr>
      <w:spacing w:before="200"/>
      <w:outlineLvl w:val="5"/>
    </w:pPr>
    <w:rPr>
      <w:rFonts w:ascii="Calibri Light" w:hAnsi="Calibri Light" w:cs="Times New Roman"/>
      <w:i/>
      <w:iCs/>
      <w:color w:val="252525"/>
      <w:sz w:val="20"/>
      <w:szCs w:val="20"/>
      <w:lang w:val="x-none" w:eastAsia="x-none"/>
    </w:rPr>
  </w:style>
  <w:style w:type="paragraph" w:styleId="Heading7">
    <w:name w:val="heading 7"/>
    <w:basedOn w:val="Normal"/>
    <w:next w:val="Normal"/>
    <w:link w:val="Heading7Char"/>
    <w:uiPriority w:val="9"/>
    <w:semiHidden/>
    <w:unhideWhenUsed/>
    <w:qFormat/>
    <w:rsid w:val="00D56F15"/>
    <w:pPr>
      <w:keepNext/>
      <w:keepLines/>
      <w:numPr>
        <w:ilvl w:val="6"/>
        <w:numId w:val="1"/>
      </w:numPr>
      <w:spacing w:before="200"/>
      <w:outlineLvl w:val="6"/>
    </w:pPr>
    <w:rPr>
      <w:rFonts w:ascii="Calibri Light" w:hAnsi="Calibri Light" w:cs="Times New Roman"/>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D56F15"/>
    <w:pPr>
      <w:keepNext/>
      <w:keepLines/>
      <w:numPr>
        <w:ilvl w:val="7"/>
        <w:numId w:val="1"/>
      </w:numPr>
      <w:spacing w:before="200"/>
      <w:outlineLvl w:val="7"/>
    </w:pPr>
    <w:rPr>
      <w:rFonts w:ascii="Calibri Light" w:hAnsi="Calibri Light" w:cs="Times New Roman"/>
      <w:color w:val="404040"/>
      <w:sz w:val="20"/>
      <w:szCs w:val="20"/>
      <w:lang w:val="x-none" w:eastAsia="x-none"/>
    </w:rPr>
  </w:style>
  <w:style w:type="paragraph" w:styleId="Heading9">
    <w:name w:val="heading 9"/>
    <w:basedOn w:val="Normal"/>
    <w:next w:val="Normal"/>
    <w:link w:val="Heading9Char"/>
    <w:uiPriority w:val="9"/>
    <w:semiHidden/>
    <w:unhideWhenUsed/>
    <w:qFormat/>
    <w:rsid w:val="00D56F15"/>
    <w:pPr>
      <w:keepNext/>
      <w:keepLines/>
      <w:numPr>
        <w:ilvl w:val="8"/>
        <w:numId w:val="1"/>
      </w:numPr>
      <w:spacing w:before="200"/>
      <w:outlineLvl w:val="8"/>
    </w:pPr>
    <w:rPr>
      <w:rFonts w:ascii="Calibri Light" w:hAnsi="Calibri Light"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F15"/>
    <w:rPr>
      <w:rFonts w:eastAsia="SimSun" w:cs="Times New Roman"/>
      <w:b/>
      <w:bCs/>
      <w:smallCaps/>
      <w:color w:val="000000"/>
      <w:sz w:val="28"/>
      <w:szCs w:val="36"/>
      <w:lang w:val="x-none" w:eastAsia="x-none"/>
    </w:rPr>
  </w:style>
  <w:style w:type="character" w:customStyle="1" w:styleId="Heading2Char">
    <w:name w:val="Heading 2 Char"/>
    <w:basedOn w:val="DefaultParagraphFont"/>
    <w:link w:val="Heading2"/>
    <w:uiPriority w:val="9"/>
    <w:rsid w:val="00D56F15"/>
    <w:rPr>
      <w:rFonts w:eastAsia="SimSun" w:cs="Times New Roman"/>
      <w:b/>
      <w:bCs/>
      <w:smallCaps/>
      <w:color w:val="000000"/>
      <w:sz w:val="28"/>
      <w:szCs w:val="28"/>
      <w:lang w:val="en-US" w:eastAsia="ja-JP"/>
    </w:rPr>
  </w:style>
  <w:style w:type="character" w:customStyle="1" w:styleId="Heading3Char">
    <w:name w:val="Heading 3 Char"/>
    <w:basedOn w:val="DefaultParagraphFont"/>
    <w:link w:val="Heading3"/>
    <w:uiPriority w:val="9"/>
    <w:rsid w:val="00D56F15"/>
    <w:rPr>
      <w:rFonts w:eastAsia="SimSun" w:cs="Times New Roman"/>
      <w:b/>
      <w:bCs/>
      <w:color w:val="000000"/>
      <w:szCs w:val="20"/>
      <w:lang w:val="x-none" w:eastAsia="x-none"/>
    </w:rPr>
  </w:style>
  <w:style w:type="character" w:customStyle="1" w:styleId="Heading4Char">
    <w:name w:val="Heading 4 Char"/>
    <w:basedOn w:val="DefaultParagraphFont"/>
    <w:link w:val="Heading4"/>
    <w:uiPriority w:val="9"/>
    <w:rsid w:val="00D56F15"/>
    <w:rPr>
      <w:rFonts w:eastAsia="SimSun" w:cs="Times New Roman"/>
      <w:b/>
      <w:bCs/>
      <w:iCs/>
      <w:color w:val="000000"/>
      <w:szCs w:val="20"/>
      <w:lang w:val="x-none" w:eastAsia="x-none"/>
    </w:rPr>
  </w:style>
  <w:style w:type="character" w:customStyle="1" w:styleId="Heading5Char">
    <w:name w:val="Heading 5 Char"/>
    <w:basedOn w:val="DefaultParagraphFont"/>
    <w:link w:val="Heading5"/>
    <w:uiPriority w:val="9"/>
    <w:rsid w:val="00D56F15"/>
    <w:rPr>
      <w:rFonts w:ascii="Calibri Light" w:eastAsia="SimSun" w:hAnsi="Calibri Light" w:cs="Times New Roman"/>
      <w:color w:val="252525"/>
      <w:sz w:val="20"/>
      <w:szCs w:val="20"/>
      <w:lang w:val="x-none" w:eastAsia="x-none"/>
    </w:rPr>
  </w:style>
  <w:style w:type="character" w:customStyle="1" w:styleId="Heading6Char">
    <w:name w:val="Heading 6 Char"/>
    <w:basedOn w:val="DefaultParagraphFont"/>
    <w:link w:val="Heading6"/>
    <w:uiPriority w:val="9"/>
    <w:semiHidden/>
    <w:rsid w:val="00D56F15"/>
    <w:rPr>
      <w:rFonts w:ascii="Calibri Light" w:eastAsia="SimSun" w:hAnsi="Calibri Light" w:cs="Times New Roman"/>
      <w:i/>
      <w:iCs/>
      <w:color w:val="252525"/>
      <w:sz w:val="20"/>
      <w:szCs w:val="20"/>
      <w:lang w:val="x-none" w:eastAsia="x-none"/>
    </w:rPr>
  </w:style>
  <w:style w:type="character" w:customStyle="1" w:styleId="Heading7Char">
    <w:name w:val="Heading 7 Char"/>
    <w:basedOn w:val="DefaultParagraphFont"/>
    <w:link w:val="Heading7"/>
    <w:uiPriority w:val="9"/>
    <w:semiHidden/>
    <w:rsid w:val="00D56F15"/>
    <w:rPr>
      <w:rFonts w:ascii="Calibri Light" w:eastAsia="SimSun" w:hAnsi="Calibri Light" w:cs="Times New Roman"/>
      <w:i/>
      <w:iCs/>
      <w:color w:val="404040"/>
      <w:sz w:val="20"/>
      <w:szCs w:val="20"/>
      <w:lang w:val="x-none" w:eastAsia="x-none"/>
    </w:rPr>
  </w:style>
  <w:style w:type="character" w:customStyle="1" w:styleId="Heading8Char">
    <w:name w:val="Heading 8 Char"/>
    <w:basedOn w:val="DefaultParagraphFont"/>
    <w:link w:val="Heading8"/>
    <w:uiPriority w:val="9"/>
    <w:semiHidden/>
    <w:rsid w:val="00D56F15"/>
    <w:rPr>
      <w:rFonts w:ascii="Calibri Light" w:eastAsia="SimSun" w:hAnsi="Calibri Light" w:cs="Times New Roman"/>
      <w:color w:val="404040"/>
      <w:sz w:val="20"/>
      <w:szCs w:val="20"/>
      <w:lang w:val="x-none" w:eastAsia="x-none"/>
    </w:rPr>
  </w:style>
  <w:style w:type="character" w:customStyle="1" w:styleId="Heading9Char">
    <w:name w:val="Heading 9 Char"/>
    <w:basedOn w:val="DefaultParagraphFont"/>
    <w:link w:val="Heading9"/>
    <w:uiPriority w:val="9"/>
    <w:semiHidden/>
    <w:rsid w:val="00D56F15"/>
    <w:rPr>
      <w:rFonts w:ascii="Calibri Light" w:eastAsia="SimSun" w:hAnsi="Calibri Light" w:cs="Times New Roman"/>
      <w:i/>
      <w:iCs/>
      <w:color w:val="404040"/>
      <w:sz w:val="20"/>
      <w:szCs w:val="20"/>
      <w:lang w:val="x-none" w:eastAsia="x-none"/>
    </w:rPr>
  </w:style>
  <w:style w:type="paragraph" w:styleId="ListParagraph">
    <w:name w:val="List Paragraph"/>
    <w:aliases w:val="2"/>
    <w:basedOn w:val="Normal"/>
    <w:link w:val="ListParagraphChar"/>
    <w:uiPriority w:val="34"/>
    <w:qFormat/>
    <w:rsid w:val="00D56F15"/>
    <w:pPr>
      <w:ind w:left="720"/>
      <w:contextualSpacing/>
    </w:pPr>
  </w:style>
  <w:style w:type="character" w:customStyle="1" w:styleId="ListParagraphChar">
    <w:name w:val="List Paragraph Char"/>
    <w:aliases w:val="2 Char"/>
    <w:link w:val="ListParagraph"/>
    <w:uiPriority w:val="34"/>
    <w:rsid w:val="00D56F15"/>
    <w:rPr>
      <w:rFonts w:eastAsia="SimSun" w:cs="Arial"/>
      <w:lang w:val="en-US" w:eastAsia="ja-JP"/>
    </w:rPr>
  </w:style>
  <w:style w:type="paragraph" w:styleId="Header">
    <w:name w:val="header"/>
    <w:basedOn w:val="Normal"/>
    <w:link w:val="HeaderChar"/>
    <w:uiPriority w:val="99"/>
    <w:unhideWhenUsed/>
    <w:rsid w:val="00CF56BC"/>
    <w:pPr>
      <w:tabs>
        <w:tab w:val="center" w:pos="4153"/>
        <w:tab w:val="right" w:pos="8306"/>
      </w:tabs>
    </w:pPr>
  </w:style>
  <w:style w:type="character" w:customStyle="1" w:styleId="HeaderChar">
    <w:name w:val="Header Char"/>
    <w:basedOn w:val="DefaultParagraphFont"/>
    <w:link w:val="Header"/>
    <w:uiPriority w:val="99"/>
    <w:rsid w:val="00CF56BC"/>
    <w:rPr>
      <w:rFonts w:eastAsia="SimSun" w:cs="Arial"/>
      <w:lang w:val="en-US" w:eastAsia="ja-JP"/>
    </w:rPr>
  </w:style>
  <w:style w:type="paragraph" w:styleId="Footer">
    <w:name w:val="footer"/>
    <w:basedOn w:val="Normal"/>
    <w:link w:val="FooterChar"/>
    <w:uiPriority w:val="99"/>
    <w:unhideWhenUsed/>
    <w:rsid w:val="00CF56BC"/>
    <w:pPr>
      <w:tabs>
        <w:tab w:val="center" w:pos="4153"/>
        <w:tab w:val="right" w:pos="8306"/>
      </w:tabs>
    </w:pPr>
  </w:style>
  <w:style w:type="character" w:customStyle="1" w:styleId="FooterChar">
    <w:name w:val="Footer Char"/>
    <w:basedOn w:val="DefaultParagraphFont"/>
    <w:link w:val="Footer"/>
    <w:uiPriority w:val="99"/>
    <w:rsid w:val="00CF56BC"/>
    <w:rPr>
      <w:rFonts w:eastAsia="SimSun" w:cs="Arial"/>
      <w:lang w:val="en-US" w:eastAsia="ja-JP"/>
    </w:rPr>
  </w:style>
  <w:style w:type="paragraph" w:styleId="BalloonText">
    <w:name w:val="Balloon Text"/>
    <w:basedOn w:val="Normal"/>
    <w:link w:val="BalloonTextChar"/>
    <w:uiPriority w:val="99"/>
    <w:semiHidden/>
    <w:unhideWhenUsed/>
    <w:rsid w:val="00CF56BC"/>
    <w:rPr>
      <w:rFonts w:ascii="Tahoma" w:hAnsi="Tahoma" w:cs="Tahoma"/>
      <w:sz w:val="16"/>
      <w:szCs w:val="16"/>
    </w:rPr>
  </w:style>
  <w:style w:type="character" w:customStyle="1" w:styleId="BalloonTextChar">
    <w:name w:val="Balloon Text Char"/>
    <w:basedOn w:val="DefaultParagraphFont"/>
    <w:link w:val="BalloonText"/>
    <w:uiPriority w:val="99"/>
    <w:semiHidden/>
    <w:rsid w:val="00CF56BC"/>
    <w:rPr>
      <w:rFonts w:ascii="Tahoma" w:eastAsia="SimSun" w:hAnsi="Tahoma" w:cs="Tahoma"/>
      <w:sz w:val="16"/>
      <w:szCs w:val="16"/>
      <w:lang w:val="en-US" w:eastAsia="ja-JP"/>
    </w:rPr>
  </w:style>
  <w:style w:type="character" w:styleId="PlaceholderText">
    <w:name w:val="Placeholder Text"/>
    <w:basedOn w:val="DefaultParagraphFont"/>
    <w:uiPriority w:val="99"/>
    <w:semiHidden/>
    <w:rsid w:val="00CF56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B23"/>
    <w:rsid w:val="002F349E"/>
    <w:rsid w:val="00B07046"/>
    <w:rsid w:val="00C56B23"/>
    <w:rsid w:val="00C579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B3732333F747F8AC7C45B97EF832EE">
    <w:name w:val="53B3732333F747F8AC7C45B97EF832EE"/>
    <w:rsid w:val="00C56B23"/>
  </w:style>
  <w:style w:type="character" w:styleId="PlaceholderText">
    <w:name w:val="Placeholder Text"/>
    <w:basedOn w:val="DefaultParagraphFont"/>
    <w:uiPriority w:val="99"/>
    <w:semiHidden/>
    <w:rsid w:val="00B0704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B3732333F747F8AC7C45B97EF832EE">
    <w:name w:val="53B3732333F747F8AC7C45B97EF832EE"/>
    <w:rsid w:val="00C56B23"/>
  </w:style>
  <w:style w:type="character" w:styleId="PlaceholderText">
    <w:name w:val="Placeholder Text"/>
    <w:basedOn w:val="DefaultParagraphFont"/>
    <w:uiPriority w:val="99"/>
    <w:semiHidden/>
    <w:rsid w:val="00B070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4306</Words>
  <Characters>2455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3.pielikums. Kopsavilkums par partneru sniegtajiem būtiskākajiem komentāriem </vt:lpstr>
    </vt:vector>
  </TitlesOfParts>
  <Company>Finanšu ministrija</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3.pielikums. Kopsavilkums par partneru sniegtajiem būtiskākajiem komentāriem </dc:title>
  <dc:subject>Plānošanas dokumenta pielikums</dc:subject>
  <dc:creator>J.Radvila, I.Alhasova, O.Kurakina, N.Strautmanis.</dc:creator>
  <cp:keywords/>
  <dc:description>J.Radvila, 67095699, Jana.Radvila@fm.gov.lv;
I.Alhasova, 67095636, Ieva.Alhasova@fm.gov.lv;
O.Kurakina, 67095552, Olesja.Kurakina@fm.gov.lv;
N.Strautmanis, 67083840, Normunds.Strautmanis@fm.gov.lv/</dc:description>
  <cp:lastModifiedBy>Karīna Virse</cp:lastModifiedBy>
  <cp:revision>7</cp:revision>
  <dcterms:created xsi:type="dcterms:W3CDTF">2013-12-11T08:53:00Z</dcterms:created>
  <dcterms:modified xsi:type="dcterms:W3CDTF">2013-12-12T16:33:00Z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