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355F8" w14:textId="77777777" w:rsidR="00EC1525" w:rsidRDefault="00EC1525" w:rsidP="0051651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14:paraId="5E5A3437" w14:textId="77777777" w:rsidR="00516515" w:rsidRDefault="00516515" w:rsidP="0051651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14:paraId="4592124C" w14:textId="77777777" w:rsidR="00516515" w:rsidRDefault="00516515" w:rsidP="0051651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14:paraId="0FD4D22B" w14:textId="77777777" w:rsidR="00516515" w:rsidRDefault="00516515" w:rsidP="0051651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14:paraId="728F65F4" w14:textId="77777777" w:rsidR="00516515" w:rsidRPr="007410E3" w:rsidRDefault="00516515" w:rsidP="0051651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EC1525" w:rsidRPr="007410E3" w14:paraId="241355FC" w14:textId="77777777" w:rsidTr="00472434">
        <w:trPr>
          <w:cantSplit/>
          <w:jc w:val="center"/>
        </w:trPr>
        <w:tc>
          <w:tcPr>
            <w:tcW w:w="3967" w:type="dxa"/>
          </w:tcPr>
          <w:p w14:paraId="241355F9" w14:textId="77777777" w:rsidR="00EC1525" w:rsidRPr="007410E3" w:rsidRDefault="00EC1525" w:rsidP="005165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410E3">
              <w:rPr>
                <w:rFonts w:ascii="Times New Roman" w:eastAsia="Times New Roman" w:hAnsi="Times New Roman"/>
                <w:sz w:val="28"/>
                <w:szCs w:val="20"/>
              </w:rPr>
              <w:t>Rīgā</w:t>
            </w:r>
          </w:p>
        </w:tc>
        <w:tc>
          <w:tcPr>
            <w:tcW w:w="886" w:type="dxa"/>
          </w:tcPr>
          <w:p w14:paraId="241355FA" w14:textId="77777777" w:rsidR="00EC1525" w:rsidRPr="007410E3" w:rsidRDefault="00EC1525" w:rsidP="005165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410E3">
              <w:rPr>
                <w:rFonts w:ascii="Times New Roman" w:eastAsia="Times New Roman" w:hAnsi="Times New Roman"/>
                <w:sz w:val="28"/>
                <w:szCs w:val="20"/>
              </w:rPr>
              <w:t>Nr.</w:t>
            </w:r>
          </w:p>
        </w:tc>
        <w:tc>
          <w:tcPr>
            <w:tcW w:w="4361" w:type="dxa"/>
          </w:tcPr>
          <w:p w14:paraId="241355FB" w14:textId="4D02B65A" w:rsidR="00EC1525" w:rsidRPr="007410E3" w:rsidRDefault="00EC1525" w:rsidP="00B05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bookmarkStart w:id="0" w:name="_GoBack"/>
            <w:bookmarkEnd w:id="0"/>
            <w:proofErr w:type="spellStart"/>
            <w:r w:rsidRPr="007410E3">
              <w:rPr>
                <w:rFonts w:ascii="Times New Roman" w:eastAsia="Times New Roman" w:hAnsi="Times New Roman"/>
                <w:sz w:val="28"/>
                <w:szCs w:val="20"/>
              </w:rPr>
              <w:t>2013.gada</w:t>
            </w:r>
            <w:proofErr w:type="spellEnd"/>
            <w:r w:rsidR="00516515">
              <w:rPr>
                <w:rFonts w:ascii="Times New Roman" w:eastAsia="Times New Roman" w:hAnsi="Times New Roman"/>
                <w:sz w:val="28"/>
                <w:szCs w:val="20"/>
              </w:rPr>
              <w:t>             </w:t>
            </w:r>
            <w:r w:rsidRPr="007410E3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</w:p>
        </w:tc>
      </w:tr>
    </w:tbl>
    <w:p w14:paraId="02473389" w14:textId="77777777" w:rsidR="00516515" w:rsidRDefault="00516515" w:rsidP="005165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14:paraId="0090C5D9" w14:textId="77777777" w:rsidR="00516515" w:rsidRPr="007410E3" w:rsidRDefault="00516515" w:rsidP="005165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14:paraId="241355FE" w14:textId="77777777" w:rsidR="00EC1525" w:rsidRDefault="00EC1525" w:rsidP="005165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7410E3">
        <w:rPr>
          <w:rFonts w:ascii="Times New Roman" w:eastAsia="Times New Roman" w:hAnsi="Times New Roman"/>
          <w:b/>
          <w:sz w:val="28"/>
          <w:szCs w:val="20"/>
        </w:rPr>
        <w:t>.§</w:t>
      </w:r>
    </w:p>
    <w:p w14:paraId="241355FF" w14:textId="77777777" w:rsidR="00EC1525" w:rsidRPr="007410E3" w:rsidRDefault="00EC1525" w:rsidP="005165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14:paraId="01CDE67B" w14:textId="77777777" w:rsidR="00566090" w:rsidRDefault="00EC1525" w:rsidP="005165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2CAE">
        <w:rPr>
          <w:rFonts w:ascii="Times New Roman" w:eastAsia="Times New Roman" w:hAnsi="Times New Roman"/>
          <w:b/>
          <w:sz w:val="28"/>
          <w:szCs w:val="28"/>
        </w:rPr>
        <w:t>Par Ministru kabineta 201</w:t>
      </w:r>
      <w:r w:rsidR="00CE5B2B" w:rsidRPr="00222CAE">
        <w:rPr>
          <w:rFonts w:ascii="Times New Roman" w:eastAsia="Times New Roman" w:hAnsi="Times New Roman"/>
          <w:b/>
          <w:sz w:val="28"/>
          <w:szCs w:val="28"/>
        </w:rPr>
        <w:t>3</w:t>
      </w:r>
      <w:r w:rsidRPr="00222CAE">
        <w:rPr>
          <w:rFonts w:ascii="Times New Roman" w:eastAsia="Times New Roman" w:hAnsi="Times New Roman"/>
          <w:b/>
          <w:sz w:val="28"/>
          <w:szCs w:val="28"/>
        </w:rPr>
        <w:t xml:space="preserve">.gada </w:t>
      </w:r>
      <w:proofErr w:type="spellStart"/>
      <w:r w:rsidRPr="00222CAE">
        <w:rPr>
          <w:rFonts w:ascii="Times New Roman" w:eastAsia="Times New Roman" w:hAnsi="Times New Roman"/>
          <w:b/>
          <w:sz w:val="28"/>
          <w:szCs w:val="28"/>
        </w:rPr>
        <w:t>2</w:t>
      </w:r>
      <w:r w:rsidR="00CE5B2B" w:rsidRPr="00222CAE">
        <w:rPr>
          <w:rFonts w:ascii="Times New Roman" w:eastAsia="Times New Roman" w:hAnsi="Times New Roman"/>
          <w:b/>
          <w:sz w:val="28"/>
          <w:szCs w:val="28"/>
        </w:rPr>
        <w:t>8</w:t>
      </w:r>
      <w:r w:rsidRPr="00222CAE">
        <w:rPr>
          <w:rFonts w:ascii="Times New Roman" w:eastAsia="Times New Roman" w:hAnsi="Times New Roman"/>
          <w:b/>
          <w:sz w:val="28"/>
          <w:szCs w:val="28"/>
        </w:rPr>
        <w:t>.</w:t>
      </w:r>
      <w:r w:rsidR="00CE5B2B" w:rsidRPr="00222CAE">
        <w:rPr>
          <w:rFonts w:ascii="Times New Roman" w:eastAsia="Times New Roman" w:hAnsi="Times New Roman"/>
          <w:b/>
          <w:sz w:val="28"/>
          <w:szCs w:val="28"/>
        </w:rPr>
        <w:t>maija</w:t>
      </w:r>
      <w:proofErr w:type="spellEnd"/>
      <w:r w:rsidR="00566090">
        <w:rPr>
          <w:rFonts w:ascii="Times New Roman" w:eastAsia="Times New Roman" w:hAnsi="Times New Roman"/>
          <w:b/>
          <w:sz w:val="28"/>
          <w:szCs w:val="28"/>
        </w:rPr>
        <w:t xml:space="preserve"> sēdes </w:t>
      </w:r>
      <w:proofErr w:type="spellStart"/>
      <w:r w:rsidR="00566090">
        <w:rPr>
          <w:rFonts w:ascii="Times New Roman" w:eastAsia="Times New Roman" w:hAnsi="Times New Roman"/>
          <w:b/>
          <w:sz w:val="28"/>
          <w:szCs w:val="28"/>
        </w:rPr>
        <w:t>protokollēmuma</w:t>
      </w:r>
      <w:proofErr w:type="spellEnd"/>
      <w:r w:rsidR="00566090">
        <w:rPr>
          <w:rFonts w:ascii="Times New Roman" w:eastAsia="Times New Roman" w:hAnsi="Times New Roman"/>
          <w:b/>
          <w:sz w:val="28"/>
          <w:szCs w:val="28"/>
        </w:rPr>
        <w:t xml:space="preserve"> (prot. </w:t>
      </w:r>
      <w:proofErr w:type="spellStart"/>
      <w:r w:rsidRPr="00222CAE">
        <w:rPr>
          <w:rFonts w:ascii="Times New Roman" w:eastAsia="Times New Roman" w:hAnsi="Times New Roman"/>
          <w:b/>
          <w:sz w:val="28"/>
          <w:szCs w:val="28"/>
        </w:rPr>
        <w:t>Nr.3</w:t>
      </w:r>
      <w:r w:rsidR="00CE5B2B" w:rsidRPr="00222CAE">
        <w:rPr>
          <w:rFonts w:ascii="Times New Roman" w:eastAsia="Times New Roman" w:hAnsi="Times New Roman"/>
          <w:b/>
          <w:sz w:val="28"/>
          <w:szCs w:val="28"/>
        </w:rPr>
        <w:t>2</w:t>
      </w:r>
      <w:proofErr w:type="spellEnd"/>
      <w:r w:rsidRPr="00222CAE">
        <w:rPr>
          <w:rFonts w:ascii="Times New Roman" w:eastAsia="Times New Roman" w:hAnsi="Times New Roman"/>
          <w:b/>
          <w:sz w:val="28"/>
          <w:szCs w:val="28"/>
        </w:rPr>
        <w:t xml:space="preserve"> 3</w:t>
      </w:r>
      <w:r w:rsidR="00CE5B2B" w:rsidRPr="00222CAE">
        <w:rPr>
          <w:rFonts w:ascii="Times New Roman" w:eastAsia="Times New Roman" w:hAnsi="Times New Roman"/>
          <w:b/>
          <w:sz w:val="28"/>
          <w:szCs w:val="28"/>
        </w:rPr>
        <w:t>9</w:t>
      </w:r>
      <w:r w:rsidRPr="00222CAE">
        <w:rPr>
          <w:rFonts w:ascii="Times New Roman" w:eastAsia="Times New Roman" w:hAnsi="Times New Roman"/>
          <w:b/>
          <w:sz w:val="28"/>
          <w:szCs w:val="28"/>
        </w:rPr>
        <w:t xml:space="preserve">.§) </w:t>
      </w:r>
      <w:r w:rsidR="00516515">
        <w:rPr>
          <w:rFonts w:ascii="Times New Roman" w:eastAsia="Times New Roman" w:hAnsi="Times New Roman"/>
          <w:b/>
          <w:sz w:val="28"/>
          <w:szCs w:val="28"/>
        </w:rPr>
        <w:t>"</w:t>
      </w:r>
      <w:r w:rsidR="00CE5B2B" w:rsidRPr="00222CAE">
        <w:rPr>
          <w:rFonts w:ascii="Times New Roman" w:eastAsia="Times New Roman" w:hAnsi="Times New Roman"/>
          <w:b/>
          <w:sz w:val="28"/>
          <w:szCs w:val="28"/>
        </w:rPr>
        <w:t xml:space="preserve">Likumprojekts </w:t>
      </w:r>
      <w:r w:rsidR="00516515">
        <w:rPr>
          <w:rFonts w:ascii="Times New Roman" w:eastAsia="Times New Roman" w:hAnsi="Times New Roman"/>
          <w:b/>
          <w:sz w:val="28"/>
          <w:szCs w:val="28"/>
        </w:rPr>
        <w:t>"</w:t>
      </w:r>
      <w:r w:rsidR="00CE5B2B" w:rsidRPr="00222CAE">
        <w:rPr>
          <w:rFonts w:ascii="Times New Roman" w:eastAsia="Times New Roman" w:hAnsi="Times New Roman"/>
          <w:b/>
          <w:sz w:val="28"/>
          <w:szCs w:val="28"/>
        </w:rPr>
        <w:t>Grozījumi Valsts un pašvaldību institūciju amatpersonu un darbinieku atlīdzības likumā</w:t>
      </w:r>
      <w:r w:rsidR="00516515">
        <w:rPr>
          <w:rFonts w:ascii="Times New Roman" w:eastAsia="Times New Roman" w:hAnsi="Times New Roman"/>
          <w:b/>
          <w:sz w:val="28"/>
          <w:szCs w:val="28"/>
        </w:rPr>
        <w:t>""</w:t>
      </w:r>
      <w:r w:rsidRPr="00222CA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CE5B2B" w:rsidRPr="00222CAE">
        <w:rPr>
          <w:rFonts w:ascii="Times New Roman" w:eastAsia="Times New Roman" w:hAnsi="Times New Roman"/>
          <w:b/>
          <w:sz w:val="28"/>
          <w:szCs w:val="28"/>
        </w:rPr>
        <w:t>2</w:t>
      </w:r>
      <w:r w:rsidRPr="00222CAE">
        <w:rPr>
          <w:rFonts w:ascii="Times New Roman" w:eastAsia="Times New Roman" w:hAnsi="Times New Roman"/>
          <w:b/>
          <w:sz w:val="28"/>
          <w:szCs w:val="28"/>
        </w:rPr>
        <w:t>.punktā</w:t>
      </w:r>
      <w:proofErr w:type="spellEnd"/>
      <w:r w:rsidRPr="00222CA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24135600" w14:textId="530FAB10" w:rsidR="00EC1525" w:rsidRPr="00222CAE" w:rsidRDefault="00EC1525" w:rsidP="0051651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2CAE">
        <w:rPr>
          <w:rFonts w:ascii="Times New Roman" w:eastAsia="Times New Roman" w:hAnsi="Times New Roman"/>
          <w:b/>
          <w:sz w:val="28"/>
          <w:szCs w:val="28"/>
        </w:rPr>
        <w:t xml:space="preserve">dotā uzdevuma </w:t>
      </w:r>
      <w:r w:rsidR="00222CAE" w:rsidRPr="00222CAE">
        <w:rPr>
          <w:rFonts w:ascii="Times New Roman" w:eastAsia="Times New Roman" w:hAnsi="Times New Roman"/>
          <w:b/>
          <w:sz w:val="28"/>
          <w:szCs w:val="28"/>
        </w:rPr>
        <w:t>atzīšanu par aktualitāti zaudējušu</w:t>
      </w:r>
    </w:p>
    <w:p w14:paraId="26300262" w14:textId="77777777" w:rsidR="00222CAE" w:rsidRPr="00516515" w:rsidRDefault="00222CAE" w:rsidP="00516515">
      <w:pPr>
        <w:tabs>
          <w:tab w:val="left" w:pos="10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516515">
        <w:rPr>
          <w:rFonts w:ascii="Times New Roman" w:eastAsia="Times New Roman" w:hAnsi="Times New Roman"/>
          <w:b/>
          <w:sz w:val="24"/>
          <w:szCs w:val="24"/>
        </w:rPr>
        <w:t>TA-3094</w:t>
      </w:r>
      <w:proofErr w:type="spellEnd"/>
    </w:p>
    <w:p w14:paraId="36FDA4C1" w14:textId="0778374B" w:rsidR="00222CAE" w:rsidRPr="00516515" w:rsidRDefault="00222CAE" w:rsidP="00516515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516515">
        <w:rPr>
          <w:rFonts w:ascii="Times New Roman" w:eastAsia="Times New Roman" w:hAnsi="Times New Roman"/>
          <w:sz w:val="24"/>
          <w:szCs w:val="28"/>
        </w:rPr>
        <w:t>________________</w:t>
      </w:r>
      <w:r w:rsidR="00516515">
        <w:rPr>
          <w:rFonts w:ascii="Times New Roman" w:eastAsia="Times New Roman" w:hAnsi="Times New Roman"/>
          <w:sz w:val="24"/>
          <w:szCs w:val="28"/>
        </w:rPr>
        <w:t>_______________</w:t>
      </w:r>
      <w:r w:rsidRPr="00516515">
        <w:rPr>
          <w:rFonts w:ascii="Times New Roman" w:eastAsia="Times New Roman" w:hAnsi="Times New Roman"/>
          <w:sz w:val="24"/>
          <w:szCs w:val="28"/>
        </w:rPr>
        <w:t>___________________________</w:t>
      </w:r>
    </w:p>
    <w:p w14:paraId="3BA648DF" w14:textId="7297FAA3" w:rsidR="00222CAE" w:rsidRPr="00516515" w:rsidRDefault="00222CAE" w:rsidP="00516515">
      <w:pPr>
        <w:tabs>
          <w:tab w:val="left" w:pos="10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8"/>
        </w:rPr>
      </w:pPr>
      <w:r w:rsidRPr="00516515">
        <w:rPr>
          <w:rFonts w:ascii="Times New Roman" w:eastAsia="Times New Roman" w:hAnsi="Times New Roman"/>
          <w:sz w:val="24"/>
          <w:szCs w:val="28"/>
        </w:rPr>
        <w:t>(...)</w:t>
      </w:r>
    </w:p>
    <w:p w14:paraId="24135602" w14:textId="77777777" w:rsidR="00070711" w:rsidRPr="00B056EC" w:rsidRDefault="00070711" w:rsidP="00516515">
      <w:pPr>
        <w:tabs>
          <w:tab w:val="left" w:pos="10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24135603" w14:textId="26788FBA" w:rsidR="00EC1525" w:rsidRPr="00B056EC" w:rsidRDefault="00EC1525" w:rsidP="00516515">
      <w:pPr>
        <w:tabs>
          <w:tab w:val="left" w:pos="10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56EC">
        <w:rPr>
          <w:rFonts w:ascii="Times New Roman" w:eastAsia="Times New Roman" w:hAnsi="Times New Roman"/>
          <w:sz w:val="28"/>
          <w:szCs w:val="28"/>
          <w:lang w:eastAsia="lv-LV"/>
        </w:rPr>
        <w:t>Ņemot vērā iesniegto informāciju</w:t>
      </w:r>
      <w:r w:rsidR="000E38E7" w:rsidRPr="00B056EC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B056EC">
        <w:rPr>
          <w:rFonts w:ascii="Times New Roman" w:eastAsia="Times New Roman" w:hAnsi="Times New Roman"/>
          <w:sz w:val="28"/>
          <w:szCs w:val="28"/>
          <w:lang w:eastAsia="lv-LV"/>
        </w:rPr>
        <w:t xml:space="preserve"> Ministru kabineta </w:t>
      </w:r>
      <w:proofErr w:type="spellStart"/>
      <w:r w:rsidRPr="00B056EC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CE5B2B" w:rsidRPr="00B056EC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B056EC">
        <w:rPr>
          <w:rFonts w:ascii="Times New Roman" w:eastAsia="Times New Roman" w:hAnsi="Times New Roman"/>
          <w:sz w:val="28"/>
          <w:szCs w:val="28"/>
          <w:lang w:eastAsia="lv-LV"/>
        </w:rPr>
        <w:t>.gada</w:t>
      </w:r>
      <w:proofErr w:type="spellEnd"/>
      <w:r w:rsidRPr="00B056E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B056EC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CE5B2B" w:rsidRPr="00B056EC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Pr="00B056E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E5B2B" w:rsidRPr="00B056EC">
        <w:rPr>
          <w:rFonts w:ascii="Times New Roman" w:eastAsia="Times New Roman" w:hAnsi="Times New Roman"/>
          <w:sz w:val="28"/>
          <w:szCs w:val="28"/>
          <w:lang w:eastAsia="lv-LV"/>
        </w:rPr>
        <w:t>maija</w:t>
      </w:r>
      <w:proofErr w:type="spellEnd"/>
      <w:r w:rsidR="00222CAE" w:rsidRPr="00B056EC">
        <w:rPr>
          <w:rFonts w:ascii="Times New Roman" w:eastAsia="Times New Roman" w:hAnsi="Times New Roman"/>
          <w:sz w:val="28"/>
          <w:szCs w:val="28"/>
          <w:lang w:eastAsia="lv-LV"/>
        </w:rPr>
        <w:t xml:space="preserve"> sēdes </w:t>
      </w:r>
      <w:proofErr w:type="spellStart"/>
      <w:r w:rsidR="00222CAE" w:rsidRPr="00B056EC">
        <w:rPr>
          <w:rFonts w:ascii="Times New Roman" w:eastAsia="Times New Roman" w:hAnsi="Times New Roman"/>
          <w:sz w:val="28"/>
          <w:szCs w:val="28"/>
          <w:lang w:eastAsia="lv-LV"/>
        </w:rPr>
        <w:t>protokollēmuma</w:t>
      </w:r>
      <w:proofErr w:type="spellEnd"/>
      <w:r w:rsidR="00566090" w:rsidRPr="00B056E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B056EC">
        <w:rPr>
          <w:rFonts w:ascii="Times New Roman" w:eastAsia="Times New Roman" w:hAnsi="Times New Roman"/>
          <w:sz w:val="28"/>
          <w:szCs w:val="28"/>
          <w:lang w:eastAsia="lv-LV"/>
        </w:rPr>
        <w:t>(prot.</w:t>
      </w:r>
      <w:r w:rsidR="00566090" w:rsidRPr="00B056E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B056EC">
        <w:rPr>
          <w:rFonts w:ascii="Times New Roman" w:eastAsia="Times New Roman" w:hAnsi="Times New Roman"/>
          <w:sz w:val="28"/>
          <w:szCs w:val="28"/>
          <w:lang w:eastAsia="lv-LV"/>
        </w:rPr>
        <w:t>Nr.3</w:t>
      </w:r>
      <w:r w:rsidR="00CE5B2B" w:rsidRPr="00B056EC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proofErr w:type="spellEnd"/>
      <w:r w:rsidR="00566090" w:rsidRPr="00B056E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B056EC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CE5B2B" w:rsidRPr="00B056EC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Pr="00B056EC">
        <w:rPr>
          <w:rFonts w:ascii="Times New Roman" w:eastAsia="Times New Roman" w:hAnsi="Times New Roman"/>
          <w:sz w:val="28"/>
          <w:szCs w:val="28"/>
          <w:lang w:eastAsia="lv-LV"/>
        </w:rPr>
        <w:t xml:space="preserve">.§) </w:t>
      </w:r>
      <w:r w:rsidR="00516515" w:rsidRPr="00B056EC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E5B2B" w:rsidRPr="00B056EC">
        <w:rPr>
          <w:rFonts w:ascii="Times New Roman" w:eastAsia="Times New Roman" w:hAnsi="Times New Roman"/>
          <w:sz w:val="28"/>
          <w:szCs w:val="28"/>
          <w:lang w:eastAsia="lv-LV"/>
        </w:rPr>
        <w:t xml:space="preserve">Likumprojekts </w:t>
      </w:r>
      <w:r w:rsidR="00516515" w:rsidRPr="00B056EC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E5B2B" w:rsidRPr="00B056EC">
        <w:rPr>
          <w:rFonts w:ascii="Times New Roman" w:eastAsia="Times New Roman" w:hAnsi="Times New Roman"/>
          <w:sz w:val="28"/>
          <w:szCs w:val="28"/>
          <w:lang w:eastAsia="lv-LV"/>
        </w:rPr>
        <w:t>Grozījumi Valsts un pašvaldību institūciju amatpersonu un darbinieku atlīdzības likumā</w:t>
      </w:r>
      <w:r w:rsidR="00516515" w:rsidRPr="00B056EC">
        <w:rPr>
          <w:rFonts w:ascii="Times New Roman" w:eastAsia="Times New Roman" w:hAnsi="Times New Roman"/>
          <w:sz w:val="28"/>
          <w:szCs w:val="28"/>
          <w:lang w:eastAsia="lv-LV"/>
        </w:rPr>
        <w:t>""</w:t>
      </w:r>
      <w:r w:rsidRPr="00B056E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AC163E" w:rsidRPr="00B056EC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B056EC">
        <w:rPr>
          <w:rFonts w:ascii="Times New Roman" w:eastAsia="Times New Roman" w:hAnsi="Times New Roman"/>
          <w:sz w:val="28"/>
          <w:szCs w:val="28"/>
          <w:lang w:eastAsia="lv-LV"/>
        </w:rPr>
        <w:t>.punktā</w:t>
      </w:r>
      <w:proofErr w:type="spellEnd"/>
      <w:r w:rsidRPr="00B056EC">
        <w:rPr>
          <w:rFonts w:ascii="Times New Roman" w:eastAsia="Times New Roman" w:hAnsi="Times New Roman"/>
          <w:sz w:val="28"/>
          <w:szCs w:val="28"/>
          <w:lang w:eastAsia="lv-LV"/>
        </w:rPr>
        <w:t xml:space="preserve"> doto uzdevumu </w:t>
      </w:r>
      <w:r w:rsidR="00222CAE" w:rsidRPr="00B056EC">
        <w:rPr>
          <w:rFonts w:ascii="Times New Roman" w:eastAsia="Times New Roman" w:hAnsi="Times New Roman"/>
          <w:sz w:val="28"/>
          <w:szCs w:val="28"/>
          <w:lang w:eastAsia="lv-LV"/>
        </w:rPr>
        <w:t xml:space="preserve">atzīt </w:t>
      </w:r>
      <w:r w:rsidRPr="00B056EC">
        <w:rPr>
          <w:rFonts w:ascii="Times New Roman" w:eastAsia="Times New Roman" w:hAnsi="Times New Roman"/>
          <w:sz w:val="28"/>
          <w:szCs w:val="28"/>
          <w:lang w:eastAsia="lv-LV"/>
        </w:rPr>
        <w:t>par aktualitāti zaudējušu.</w:t>
      </w:r>
    </w:p>
    <w:p w14:paraId="24135604" w14:textId="77777777" w:rsidR="00EC1525" w:rsidRPr="00B056EC" w:rsidRDefault="00EC1525" w:rsidP="00516515">
      <w:pPr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14:paraId="29EDEB46" w14:textId="77777777" w:rsidR="00516515" w:rsidRPr="00B056EC" w:rsidRDefault="00516515" w:rsidP="00516515">
      <w:pPr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14:paraId="24135605" w14:textId="77777777" w:rsidR="00EC1525" w:rsidRPr="00B056EC" w:rsidRDefault="00EC1525" w:rsidP="00516515">
      <w:pPr>
        <w:widowControl w:val="0"/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135606" w14:textId="5C4B8F54" w:rsidR="00EC1525" w:rsidRPr="00B056EC" w:rsidRDefault="00EC1525" w:rsidP="00516515">
      <w:pPr>
        <w:widowControl w:val="0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56EC">
        <w:rPr>
          <w:rFonts w:ascii="Times New Roman" w:eastAsia="Times New Roman" w:hAnsi="Times New Roman"/>
          <w:sz w:val="28"/>
          <w:szCs w:val="28"/>
        </w:rPr>
        <w:t>Ministru prezidents</w:t>
      </w:r>
      <w:r w:rsidRPr="00B056EC">
        <w:rPr>
          <w:rFonts w:ascii="Times New Roman" w:eastAsia="Times New Roman" w:hAnsi="Times New Roman"/>
          <w:sz w:val="28"/>
          <w:szCs w:val="28"/>
        </w:rPr>
        <w:tab/>
        <w:t>V</w:t>
      </w:r>
      <w:r w:rsidR="00222CAE" w:rsidRPr="00B056EC">
        <w:rPr>
          <w:rFonts w:ascii="Times New Roman" w:eastAsia="Times New Roman" w:hAnsi="Times New Roman"/>
          <w:sz w:val="28"/>
          <w:szCs w:val="28"/>
        </w:rPr>
        <w:t xml:space="preserve">aldis </w:t>
      </w:r>
      <w:r w:rsidRPr="00B056EC">
        <w:rPr>
          <w:rFonts w:ascii="Times New Roman" w:eastAsia="Times New Roman" w:hAnsi="Times New Roman"/>
          <w:sz w:val="28"/>
          <w:szCs w:val="28"/>
        </w:rPr>
        <w:t>Dombrovskis</w:t>
      </w:r>
    </w:p>
    <w:p w14:paraId="24135607" w14:textId="77777777" w:rsidR="00EC1525" w:rsidRPr="00B056EC" w:rsidRDefault="00EC1525" w:rsidP="00516515">
      <w:pPr>
        <w:widowControl w:val="0"/>
        <w:tabs>
          <w:tab w:val="left" w:pos="6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767AAA8" w14:textId="77777777" w:rsidR="00516515" w:rsidRPr="00B056EC" w:rsidRDefault="00516515" w:rsidP="00516515">
      <w:pPr>
        <w:widowControl w:val="0"/>
        <w:tabs>
          <w:tab w:val="left" w:pos="6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0ABAC8" w14:textId="77777777" w:rsidR="00516515" w:rsidRPr="00B056EC" w:rsidRDefault="00516515" w:rsidP="00516515">
      <w:pPr>
        <w:widowControl w:val="0"/>
        <w:tabs>
          <w:tab w:val="left" w:pos="6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4135608" w14:textId="1B95B172" w:rsidR="00EC1525" w:rsidRPr="00B056EC" w:rsidRDefault="00EC1525" w:rsidP="00516515">
      <w:pPr>
        <w:widowControl w:val="0"/>
        <w:tabs>
          <w:tab w:val="left" w:pos="7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56EC">
        <w:rPr>
          <w:rFonts w:ascii="Times New Roman" w:eastAsia="Times New Roman" w:hAnsi="Times New Roman"/>
          <w:sz w:val="28"/>
          <w:szCs w:val="28"/>
        </w:rPr>
        <w:t>Valsts kancelejas direktore</w:t>
      </w:r>
      <w:r w:rsidRPr="00B056EC">
        <w:rPr>
          <w:rFonts w:ascii="Times New Roman" w:eastAsia="Times New Roman" w:hAnsi="Times New Roman"/>
          <w:sz w:val="28"/>
          <w:szCs w:val="28"/>
        </w:rPr>
        <w:tab/>
      </w:r>
      <w:r w:rsidR="00222CAE" w:rsidRPr="00B056EC">
        <w:rPr>
          <w:rFonts w:ascii="Times New Roman" w:eastAsia="Times New Roman" w:hAnsi="Times New Roman"/>
          <w:sz w:val="28"/>
          <w:szCs w:val="28"/>
        </w:rPr>
        <w:t xml:space="preserve">Elita </w:t>
      </w:r>
      <w:r w:rsidRPr="00B056EC">
        <w:rPr>
          <w:rFonts w:ascii="Times New Roman" w:eastAsia="Times New Roman" w:hAnsi="Times New Roman"/>
          <w:sz w:val="28"/>
          <w:szCs w:val="28"/>
        </w:rPr>
        <w:t>Dreimane</w:t>
      </w:r>
    </w:p>
    <w:sectPr w:rsidR="00EC1525" w:rsidRPr="00B056EC" w:rsidSect="00516515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35622" w14:textId="77777777" w:rsidR="00EE2504" w:rsidRDefault="00EE2504" w:rsidP="00EE2504">
      <w:pPr>
        <w:spacing w:after="0" w:line="240" w:lineRule="auto"/>
      </w:pPr>
      <w:r>
        <w:separator/>
      </w:r>
    </w:p>
  </w:endnote>
  <w:endnote w:type="continuationSeparator" w:id="0">
    <w:p w14:paraId="24135623" w14:textId="77777777" w:rsidR="00EE2504" w:rsidRDefault="00EE2504" w:rsidP="00EE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35624" w14:textId="4E8DE798" w:rsidR="00F265EC" w:rsidRPr="00516515" w:rsidRDefault="00516515" w:rsidP="00926D81">
    <w:pPr>
      <w:pStyle w:val="Footer"/>
      <w:jc w:val="both"/>
      <w:rPr>
        <w:sz w:val="16"/>
        <w:szCs w:val="16"/>
        <w:lang w:val="lv-LV"/>
      </w:rPr>
    </w:pPr>
    <w:proofErr w:type="spellStart"/>
    <w:r w:rsidRPr="00516515">
      <w:rPr>
        <w:sz w:val="16"/>
        <w:szCs w:val="16"/>
        <w:lang w:val="lv-LV"/>
      </w:rPr>
      <w:t>3094z3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35620" w14:textId="77777777" w:rsidR="00EE2504" w:rsidRDefault="00EE2504" w:rsidP="00EE2504">
      <w:pPr>
        <w:spacing w:after="0" w:line="240" w:lineRule="auto"/>
      </w:pPr>
      <w:r>
        <w:separator/>
      </w:r>
    </w:p>
  </w:footnote>
  <w:footnote w:type="continuationSeparator" w:id="0">
    <w:p w14:paraId="24135621" w14:textId="77777777" w:rsidR="00EE2504" w:rsidRDefault="00EE2504" w:rsidP="00EE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9AF8D" w14:textId="77777777" w:rsidR="00516515" w:rsidRPr="00516515" w:rsidRDefault="00516515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  <w:szCs w:val="28"/>
      </w:rPr>
    </w:pPr>
    <w:r w:rsidRPr="00516515">
      <w:rPr>
        <w:rFonts w:ascii="Times New Roman" w:hAnsi="Times New Roman"/>
        <w:b/>
        <w:bCs/>
        <w:sz w:val="28"/>
        <w:szCs w:val="28"/>
      </w:rPr>
      <w:t xml:space="preserve">MINISTRU KABINETA SĒDES </w:t>
    </w:r>
    <w:proofErr w:type="spellStart"/>
    <w:r w:rsidRPr="00516515">
      <w:rPr>
        <w:rFonts w:ascii="Times New Roman" w:hAnsi="Times New Roman"/>
        <w:b/>
        <w:bCs/>
        <w:sz w:val="28"/>
        <w:szCs w:val="28"/>
      </w:rPr>
      <w:t>PROTOKOLLĒMUMS</w:t>
    </w:r>
    <w:proofErr w:type="spellEnd"/>
  </w:p>
  <w:p w14:paraId="4A70849F" w14:textId="77777777" w:rsidR="00516515" w:rsidRPr="00516515" w:rsidRDefault="00516515">
    <w:pPr>
      <w:pStyle w:val="Header"/>
      <w:rPr>
        <w:rFonts w:ascii="Times New Roman" w:hAnsi="Times New Roman"/>
        <w:sz w:val="28"/>
        <w:szCs w:val="28"/>
      </w:rPr>
    </w:pPr>
  </w:p>
  <w:p w14:paraId="125B2694" w14:textId="70F3A54F" w:rsidR="00516515" w:rsidRDefault="00516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25"/>
    <w:rsid w:val="0003641A"/>
    <w:rsid w:val="00070711"/>
    <w:rsid w:val="000E38E7"/>
    <w:rsid w:val="00210900"/>
    <w:rsid w:val="00222CAE"/>
    <w:rsid w:val="00516515"/>
    <w:rsid w:val="005567E0"/>
    <w:rsid w:val="00566090"/>
    <w:rsid w:val="006859D4"/>
    <w:rsid w:val="00AC163E"/>
    <w:rsid w:val="00B056EC"/>
    <w:rsid w:val="00B37931"/>
    <w:rsid w:val="00CE5B2B"/>
    <w:rsid w:val="00D921C8"/>
    <w:rsid w:val="00E86AE4"/>
    <w:rsid w:val="00EC1525"/>
    <w:rsid w:val="00EE2504"/>
    <w:rsid w:val="00E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5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2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152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EC1525"/>
    <w:rPr>
      <w:rFonts w:eastAsia="Times New Roman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15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525"/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0707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2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152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EC1525"/>
    <w:rPr>
      <w:rFonts w:eastAsia="Times New Roman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15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525"/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070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„Par Ministru kabineta 2013.gada 28.maija sēdes protokollēmuma (prot. Nr.32 39.§) „Likumprojekts „Grozījumi Valsts un pašvaldību institūciju amatpersonu un darbinieku atlīdzības likumā”” 2.punktā dotā uzdevu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Ministru kabineta 2013.gada 28.maija sēdes protokollēmuma (prot. Nr.32 39.§) „Likumprojekts „Grozījumi Valsts un pašvaldību institūciju amatpersonu un darbinieku atlīdzības likumā”” 2.punktā dotā uzdevuma izpildi </dc:title>
  <dc:subject>protokollēmuma projekts</dc:subject>
  <dc:creator>Artemjeva Ineta</dc:creator>
  <cp:keywords/>
  <dc:description>tālr. 67095599;
ineta.artemjeva@fm.gov.lv </dc:description>
  <cp:lastModifiedBy>Emīlija Spundzāne</cp:lastModifiedBy>
  <cp:revision>16</cp:revision>
  <cp:lastPrinted>2013-10-18T07:39:00Z</cp:lastPrinted>
  <dcterms:created xsi:type="dcterms:W3CDTF">2013-10-03T11:46:00Z</dcterms:created>
  <dcterms:modified xsi:type="dcterms:W3CDTF">2013-10-18T07:40:00Z</dcterms:modified>
</cp:coreProperties>
</file>