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A2B" w:rsidRPr="00B15026" w:rsidRDefault="00F56A2B" w:rsidP="00F56A2B">
      <w:pPr>
        <w:pStyle w:val="BodyText"/>
        <w:jc w:val="right"/>
      </w:pPr>
      <w:r w:rsidRPr="00B15026">
        <w:t>Projekts</w:t>
      </w:r>
    </w:p>
    <w:p w:rsidR="00F56A2B" w:rsidRDefault="00F56A2B" w:rsidP="00F56A2B">
      <w:pPr>
        <w:pStyle w:val="BodyText"/>
        <w:jc w:val="center"/>
        <w:rPr>
          <w:b/>
        </w:rPr>
      </w:pPr>
    </w:p>
    <w:p w:rsidR="00F56A2B" w:rsidRPr="00B15026" w:rsidRDefault="00F56A2B" w:rsidP="00F56A2B">
      <w:pPr>
        <w:pStyle w:val="BodyText"/>
        <w:jc w:val="center"/>
        <w:rPr>
          <w:b/>
        </w:rPr>
      </w:pPr>
    </w:p>
    <w:p w:rsidR="00F56A2B" w:rsidRPr="00B15026" w:rsidRDefault="00F56A2B" w:rsidP="00F56A2B">
      <w:pPr>
        <w:pStyle w:val="BodyText"/>
        <w:jc w:val="center"/>
        <w:rPr>
          <w:b/>
        </w:rPr>
      </w:pPr>
      <w:r w:rsidRPr="00B15026">
        <w:rPr>
          <w:b/>
        </w:rPr>
        <w:t>LATVIJAS REPUBLIKAS MINISTRU KABINETA</w:t>
      </w:r>
    </w:p>
    <w:p w:rsidR="00F56A2B" w:rsidRDefault="00F56A2B" w:rsidP="00F56A2B">
      <w:pPr>
        <w:pStyle w:val="BodyText"/>
        <w:jc w:val="center"/>
        <w:rPr>
          <w:b/>
        </w:rPr>
      </w:pPr>
      <w:r w:rsidRPr="00B15026">
        <w:rPr>
          <w:b/>
        </w:rPr>
        <w:t xml:space="preserve"> SĒDES PROTOKOLS</w:t>
      </w:r>
    </w:p>
    <w:p w:rsidR="00F56A2B" w:rsidRPr="00B15026" w:rsidRDefault="00F56A2B" w:rsidP="00F56A2B">
      <w:pPr>
        <w:pStyle w:val="BodyText"/>
        <w:jc w:val="center"/>
        <w:rPr>
          <w:b/>
        </w:rPr>
      </w:pPr>
    </w:p>
    <w:p w:rsidR="00F56A2B" w:rsidRPr="00B15026" w:rsidRDefault="00F56A2B" w:rsidP="00F56A2B">
      <w:pPr>
        <w:pStyle w:val="Heading3"/>
        <w:tabs>
          <w:tab w:val="clear" w:pos="9072"/>
          <w:tab w:val="left" w:pos="4500"/>
          <w:tab w:val="left" w:pos="6660"/>
          <w:tab w:val="right" w:pos="9356"/>
        </w:tabs>
      </w:pPr>
      <w:r>
        <w:rPr>
          <w:noProof/>
          <w:lang w:eastAsia="lv-LV"/>
        </w:rPr>
        <mc:AlternateContent>
          <mc:Choice Requires="wps">
            <w:drawing>
              <wp:anchor distT="4294967295" distB="4294967295" distL="114300" distR="114300" simplePos="0" relativeHeight="251660288" behindDoc="0" locked="0" layoutInCell="0" allowOverlap="1" wp14:anchorId="10D2DDC7" wp14:editId="0492E2EE">
                <wp:simplePos x="0" y="0"/>
                <wp:positionH relativeFrom="column">
                  <wp:posOffset>17145</wp:posOffset>
                </wp:positionH>
                <wp:positionV relativeFrom="paragraph">
                  <wp:posOffset>96519</wp:posOffset>
                </wp:positionV>
                <wp:extent cx="5852160" cy="0"/>
                <wp:effectExtent l="0" t="0" r="1524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970C6"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7.6pt" to="46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fDrJZi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" o:allowincell="f" strokeweight="1.5pt"/>
            </w:pict>
          </mc:Fallback>
        </mc:AlternateContent>
      </w:r>
      <w:r>
        <w:rPr>
          <w:noProof/>
          <w:lang w:eastAsia="lv-LV"/>
        </w:rPr>
        <mc:AlternateContent>
          <mc:Choice Requires="wps">
            <w:drawing>
              <wp:anchor distT="4294967295" distB="4294967295" distL="114299" distR="114299" simplePos="0" relativeHeight="251659264" behindDoc="0" locked="0" layoutInCell="0" allowOverlap="1" wp14:anchorId="12186A74" wp14:editId="4DB89B23">
                <wp:simplePos x="0" y="0"/>
                <wp:positionH relativeFrom="column">
                  <wp:posOffset>17144</wp:posOffset>
                </wp:positionH>
                <wp:positionV relativeFrom="paragraph">
                  <wp:posOffset>96519</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54B80" id="Line 2"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EDV/zAsCAAAiBAAADgAA&#10;AAAAAAAAAAAAAAAuAgAAZHJzL2Uyb0RvYy54bWxQSwECLQAUAAYACAAAACEA41elzNgAAAAFAQAA&#10;DwAAAAAAAAAAAAAAAABlBAAAZHJzL2Rvd25yZXYueG1sUEsFBgAAAAAEAAQA8wAAAGoFAAAAAA==&#10;" o:allowincell="f"/>
            </w:pict>
          </mc:Fallback>
        </mc:AlternateContent>
      </w:r>
      <w:r w:rsidRPr="00B15026">
        <w:t>Rīgā</w:t>
      </w:r>
      <w:r w:rsidRPr="00B15026">
        <w:tab/>
        <w:t>Nr.                        201</w:t>
      </w:r>
      <w:r>
        <w:t>3</w:t>
      </w:r>
      <w:r w:rsidRPr="00B15026">
        <w:t>.gada   ________</w:t>
      </w:r>
    </w:p>
    <w:p w:rsidR="00F56A2B" w:rsidRPr="00B15026" w:rsidRDefault="00F56A2B" w:rsidP="00F56A2B">
      <w:pPr>
        <w:spacing w:before="120" w:after="120"/>
        <w:jc w:val="center"/>
        <w:rPr>
          <w:sz w:val="28"/>
          <w:lang w:val="lv-LV"/>
        </w:rPr>
      </w:pPr>
    </w:p>
    <w:p w:rsidR="00F56A2B" w:rsidRPr="00B15026" w:rsidRDefault="00F56A2B" w:rsidP="00F56A2B">
      <w:pPr>
        <w:spacing w:before="120" w:after="120"/>
        <w:jc w:val="center"/>
        <w:rPr>
          <w:sz w:val="28"/>
          <w:lang w:val="lv-LV"/>
        </w:rPr>
      </w:pPr>
      <w:r w:rsidRPr="00B15026">
        <w:rPr>
          <w:sz w:val="28"/>
          <w:lang w:val="lv-LV"/>
        </w:rPr>
        <w:t>.§</w:t>
      </w:r>
    </w:p>
    <w:p w:rsidR="00F56A2B" w:rsidRDefault="00F56A2B" w:rsidP="00F56A2B">
      <w:pPr>
        <w:spacing w:before="120" w:after="120"/>
        <w:jc w:val="center"/>
        <w:rPr>
          <w:lang w:val="lv-LV"/>
        </w:rPr>
      </w:pPr>
    </w:p>
    <w:p w:rsidR="00F56A2B" w:rsidRPr="001E69DE" w:rsidRDefault="00F56A2B" w:rsidP="00F56A2B">
      <w:pPr>
        <w:jc w:val="center"/>
        <w:rPr>
          <w:b/>
          <w:sz w:val="28"/>
          <w:szCs w:val="28"/>
          <w:lang w:val="lv-LV" w:eastAsia="lv-LV"/>
        </w:rPr>
      </w:pPr>
      <w:bookmarkStart w:id="0" w:name="OLE_LINK1"/>
      <w:bookmarkStart w:id="1" w:name="OLE_LINK2"/>
      <w:r w:rsidRPr="001E69DE">
        <w:rPr>
          <w:b/>
          <w:sz w:val="28"/>
          <w:szCs w:val="28"/>
          <w:lang w:val="lv-LV" w:eastAsia="lv-LV"/>
        </w:rPr>
        <w:t xml:space="preserve">Informatīvais ziņojums „Nodokļu ieņēmumus </w:t>
      </w:r>
      <w:r>
        <w:rPr>
          <w:b/>
          <w:sz w:val="28"/>
          <w:szCs w:val="28"/>
          <w:lang w:val="lv-LV" w:eastAsia="lv-LV"/>
        </w:rPr>
        <w:t>2014.-2016.gadam</w:t>
      </w:r>
      <w:r w:rsidRPr="001E69DE">
        <w:rPr>
          <w:b/>
          <w:sz w:val="28"/>
          <w:szCs w:val="28"/>
          <w:lang w:val="lv-LV" w:eastAsia="lv-LV"/>
        </w:rPr>
        <w:t xml:space="preserve"> ietekmējošie </w:t>
      </w:r>
      <w:r>
        <w:rPr>
          <w:b/>
          <w:sz w:val="28"/>
          <w:szCs w:val="28"/>
          <w:lang w:val="lv-LV" w:eastAsia="lv-LV"/>
        </w:rPr>
        <w:t xml:space="preserve">nodokļu </w:t>
      </w:r>
      <w:r w:rsidRPr="001E69DE">
        <w:rPr>
          <w:b/>
          <w:sz w:val="28"/>
          <w:szCs w:val="28"/>
          <w:lang w:val="lv-LV" w:eastAsia="lv-LV"/>
        </w:rPr>
        <w:t>pol</w:t>
      </w:r>
      <w:r>
        <w:rPr>
          <w:b/>
          <w:sz w:val="28"/>
          <w:szCs w:val="28"/>
          <w:lang w:val="lv-LV" w:eastAsia="lv-LV"/>
        </w:rPr>
        <w:t>itikas pasākumi</w:t>
      </w:r>
      <w:r w:rsidRPr="001E69DE">
        <w:rPr>
          <w:b/>
          <w:sz w:val="28"/>
          <w:szCs w:val="28"/>
          <w:lang w:val="lv-LV" w:eastAsia="lv-LV"/>
        </w:rPr>
        <w:t>”</w:t>
      </w:r>
      <w:bookmarkEnd w:id="0"/>
      <w:bookmarkEnd w:id="1"/>
    </w:p>
    <w:p w:rsidR="00F56A2B" w:rsidRPr="00B15026" w:rsidRDefault="00F56A2B" w:rsidP="00F56A2B">
      <w:pPr>
        <w:spacing w:before="120" w:after="120"/>
        <w:jc w:val="center"/>
        <w:rPr>
          <w:lang w:val="lv-LV"/>
        </w:rPr>
      </w:pPr>
      <w:r w:rsidRPr="00B15026">
        <w:rPr>
          <w:lang w:val="lv-LV"/>
        </w:rPr>
        <w:t>__________________________________________________________________________</w:t>
      </w:r>
    </w:p>
    <w:p w:rsidR="00F56A2B" w:rsidRPr="00B15026" w:rsidRDefault="00F56A2B" w:rsidP="00F56A2B">
      <w:pPr>
        <w:spacing w:before="120" w:after="120"/>
        <w:jc w:val="center"/>
        <w:rPr>
          <w:lang w:val="lv-LV"/>
        </w:rPr>
      </w:pPr>
      <w:r w:rsidRPr="00B15026">
        <w:rPr>
          <w:lang w:val="lv-LV"/>
        </w:rPr>
        <w:t>(…)</w:t>
      </w:r>
    </w:p>
    <w:p w:rsidR="00F56A2B" w:rsidRPr="00A0257C" w:rsidRDefault="00F56A2B" w:rsidP="00F56A2B">
      <w:pPr>
        <w:tabs>
          <w:tab w:val="left" w:pos="1134"/>
        </w:tabs>
        <w:jc w:val="both"/>
        <w:rPr>
          <w:b/>
          <w:szCs w:val="28"/>
          <w:lang w:val="lv-LV"/>
        </w:rPr>
      </w:pPr>
    </w:p>
    <w:p w:rsidR="00F56A2B" w:rsidRPr="001E69DE" w:rsidRDefault="00F56A2B" w:rsidP="00F56A2B">
      <w:pPr>
        <w:tabs>
          <w:tab w:val="left" w:pos="709"/>
        </w:tabs>
        <w:jc w:val="both"/>
        <w:rPr>
          <w:sz w:val="28"/>
          <w:szCs w:val="28"/>
          <w:lang w:val="lv-LV"/>
        </w:rPr>
      </w:pPr>
      <w:r w:rsidRPr="001E69DE">
        <w:rPr>
          <w:sz w:val="28"/>
          <w:szCs w:val="28"/>
          <w:lang w:val="lv-LV"/>
        </w:rPr>
        <w:tab/>
        <w:t>1. Pieņemt zināšanai finanšu ministra iesniegto informatīvo ziņojumu.</w:t>
      </w:r>
    </w:p>
    <w:p w:rsidR="00F56A2B" w:rsidRPr="00931F50" w:rsidRDefault="00F56A2B" w:rsidP="00F56A2B">
      <w:pPr>
        <w:tabs>
          <w:tab w:val="left" w:pos="1134"/>
        </w:tabs>
        <w:jc w:val="both"/>
        <w:rPr>
          <w:b/>
          <w:sz w:val="28"/>
          <w:szCs w:val="28"/>
          <w:lang w:val="lv-LV"/>
        </w:rPr>
      </w:pPr>
    </w:p>
    <w:p w:rsidR="00127594" w:rsidRDefault="00F56A2B" w:rsidP="00127594">
      <w:pPr>
        <w:jc w:val="both"/>
        <w:rPr>
          <w:sz w:val="28"/>
          <w:szCs w:val="28"/>
          <w:lang w:val="lv-LV"/>
        </w:rPr>
      </w:pPr>
      <w:r w:rsidRPr="00F90487">
        <w:rPr>
          <w:sz w:val="28"/>
          <w:szCs w:val="28"/>
          <w:lang w:val="lv-LV"/>
        </w:rPr>
        <w:tab/>
      </w:r>
      <w:r w:rsidR="00127594" w:rsidRPr="00F90487">
        <w:rPr>
          <w:sz w:val="28"/>
          <w:szCs w:val="28"/>
          <w:lang w:val="lv-LV"/>
        </w:rPr>
        <w:t xml:space="preserve">2. Lai nodrošinātu Ministru kabineta 2013.gada 30.jūlija sēdē apstiprinātā vispārējās valdības budžeta deficīta mērķa 2014.-2016.gadam īstenošanu (nodokļu ieņēmumu bāzes nodrošināšana):  </w:t>
      </w:r>
    </w:p>
    <w:p w:rsidR="00A20E73" w:rsidRPr="00A20E73" w:rsidRDefault="00A20E73" w:rsidP="00A20E73">
      <w:pPr>
        <w:ind w:firstLine="709"/>
        <w:jc w:val="both"/>
        <w:rPr>
          <w:sz w:val="28"/>
          <w:szCs w:val="28"/>
          <w:lang w:val="lv-LV"/>
        </w:rPr>
      </w:pPr>
      <w:r w:rsidRPr="00A20E73">
        <w:rPr>
          <w:sz w:val="28"/>
          <w:szCs w:val="28"/>
          <w:lang w:val="lv-LV"/>
        </w:rPr>
        <w:t>2.1. Vides aizsardzības un reģionālās attīstības ministrijai sagatavot un vides aizsardzības un reģionālās attīstības ministram iesniegt Ministru kabinetā 2014.gada budžeta likumprojektu paketē nepieciešamos grozījumus Dabas resursu nodokļa likumā, paredzot nodokļa paaugstinājumu informatīvajā ziņojumā uzskaitītajām dabas resursu nodokļa objektu grupām un nodokļa uzlikšanu</w:t>
      </w:r>
      <w:r w:rsidRPr="00A20E73">
        <w:rPr>
          <w:bCs/>
          <w:sz w:val="28"/>
          <w:szCs w:val="28"/>
        </w:rPr>
        <w:t xml:space="preserve"> </w:t>
      </w:r>
      <w:proofErr w:type="spellStart"/>
      <w:r w:rsidRPr="00A20E73">
        <w:rPr>
          <w:bCs/>
          <w:sz w:val="28"/>
          <w:szCs w:val="28"/>
        </w:rPr>
        <w:t>ūdens</w:t>
      </w:r>
      <w:proofErr w:type="spellEnd"/>
      <w:r w:rsidRPr="00A20E73">
        <w:rPr>
          <w:bCs/>
          <w:sz w:val="28"/>
          <w:szCs w:val="28"/>
        </w:rPr>
        <w:t xml:space="preserve"> </w:t>
      </w:r>
      <w:proofErr w:type="spellStart"/>
      <w:r w:rsidRPr="00A20E73">
        <w:rPr>
          <w:bCs/>
          <w:sz w:val="28"/>
          <w:szCs w:val="28"/>
        </w:rPr>
        <w:t>resursu</w:t>
      </w:r>
      <w:proofErr w:type="spellEnd"/>
      <w:r w:rsidRPr="00A20E73">
        <w:rPr>
          <w:bCs/>
          <w:sz w:val="28"/>
          <w:szCs w:val="28"/>
        </w:rPr>
        <w:t xml:space="preserve"> </w:t>
      </w:r>
      <w:proofErr w:type="spellStart"/>
      <w:r w:rsidRPr="00A20E73">
        <w:rPr>
          <w:bCs/>
          <w:sz w:val="28"/>
          <w:szCs w:val="28"/>
        </w:rPr>
        <w:t>izmantošana</w:t>
      </w:r>
      <w:r>
        <w:rPr>
          <w:bCs/>
          <w:sz w:val="28"/>
          <w:szCs w:val="28"/>
        </w:rPr>
        <w:t>i</w:t>
      </w:r>
      <w:proofErr w:type="spellEnd"/>
      <w:r w:rsidRPr="00A20E73">
        <w:rPr>
          <w:bCs/>
          <w:sz w:val="28"/>
          <w:szCs w:val="28"/>
        </w:rPr>
        <w:t xml:space="preserve"> </w:t>
      </w:r>
      <w:proofErr w:type="spellStart"/>
      <w:r w:rsidRPr="00A20E73">
        <w:rPr>
          <w:bCs/>
          <w:sz w:val="28"/>
          <w:szCs w:val="28"/>
        </w:rPr>
        <w:t>elektroenerģijas</w:t>
      </w:r>
      <w:proofErr w:type="spellEnd"/>
      <w:r w:rsidRPr="00A20E73">
        <w:rPr>
          <w:bCs/>
          <w:sz w:val="28"/>
          <w:szCs w:val="28"/>
        </w:rPr>
        <w:t xml:space="preserve"> </w:t>
      </w:r>
      <w:proofErr w:type="spellStart"/>
      <w:r w:rsidRPr="00A20E73">
        <w:rPr>
          <w:bCs/>
          <w:sz w:val="28"/>
          <w:szCs w:val="28"/>
        </w:rPr>
        <w:t>ražošanai</w:t>
      </w:r>
      <w:proofErr w:type="spellEnd"/>
      <w:r w:rsidRPr="00A20E73">
        <w:rPr>
          <w:bCs/>
          <w:sz w:val="28"/>
          <w:szCs w:val="28"/>
        </w:rPr>
        <w:t xml:space="preserve"> </w:t>
      </w:r>
      <w:proofErr w:type="spellStart"/>
      <w:r w:rsidRPr="00A20E73">
        <w:rPr>
          <w:bCs/>
          <w:sz w:val="28"/>
          <w:szCs w:val="28"/>
        </w:rPr>
        <w:t>hidroelektrostacijās</w:t>
      </w:r>
      <w:proofErr w:type="spellEnd"/>
      <w:r w:rsidRPr="00A20E73">
        <w:rPr>
          <w:bCs/>
          <w:sz w:val="28"/>
          <w:szCs w:val="28"/>
        </w:rPr>
        <w:t xml:space="preserve">, </w:t>
      </w:r>
      <w:proofErr w:type="spellStart"/>
      <w:r w:rsidRPr="00A20E73">
        <w:rPr>
          <w:sz w:val="28"/>
          <w:szCs w:val="28"/>
        </w:rPr>
        <w:t>kuru</w:t>
      </w:r>
      <w:proofErr w:type="spellEnd"/>
      <w:r w:rsidRPr="00A20E73">
        <w:rPr>
          <w:sz w:val="28"/>
          <w:szCs w:val="28"/>
        </w:rPr>
        <w:t xml:space="preserve"> </w:t>
      </w:r>
      <w:proofErr w:type="spellStart"/>
      <w:r w:rsidRPr="00A20E73">
        <w:rPr>
          <w:sz w:val="28"/>
          <w:szCs w:val="28"/>
        </w:rPr>
        <w:t>hidromezgla</w:t>
      </w:r>
      <w:proofErr w:type="spellEnd"/>
      <w:r w:rsidRPr="00A20E73">
        <w:rPr>
          <w:sz w:val="28"/>
          <w:szCs w:val="28"/>
        </w:rPr>
        <w:t xml:space="preserve"> </w:t>
      </w:r>
      <w:proofErr w:type="spellStart"/>
      <w:r w:rsidRPr="00A20E73">
        <w:rPr>
          <w:sz w:val="28"/>
          <w:szCs w:val="28"/>
        </w:rPr>
        <w:t>kopējā</w:t>
      </w:r>
      <w:proofErr w:type="spellEnd"/>
      <w:r w:rsidRPr="00A20E73">
        <w:rPr>
          <w:sz w:val="28"/>
          <w:szCs w:val="28"/>
        </w:rPr>
        <w:t xml:space="preserve"> </w:t>
      </w:r>
      <w:proofErr w:type="spellStart"/>
      <w:r w:rsidRPr="00A20E73">
        <w:rPr>
          <w:sz w:val="28"/>
          <w:szCs w:val="28"/>
        </w:rPr>
        <w:t>uzstādītā</w:t>
      </w:r>
      <w:proofErr w:type="spellEnd"/>
      <w:r w:rsidRPr="00A20E73">
        <w:rPr>
          <w:sz w:val="28"/>
          <w:szCs w:val="28"/>
        </w:rPr>
        <w:t xml:space="preserve"> </w:t>
      </w:r>
      <w:proofErr w:type="spellStart"/>
      <w:r w:rsidRPr="00A20E73">
        <w:rPr>
          <w:sz w:val="28"/>
          <w:szCs w:val="28"/>
        </w:rPr>
        <w:t>jauda</w:t>
      </w:r>
      <w:proofErr w:type="spellEnd"/>
      <w:r w:rsidRPr="00A20E73">
        <w:rPr>
          <w:sz w:val="28"/>
          <w:szCs w:val="28"/>
        </w:rPr>
        <w:t xml:space="preserve"> </w:t>
      </w:r>
      <w:proofErr w:type="spellStart"/>
      <w:r w:rsidRPr="00A20E73">
        <w:rPr>
          <w:sz w:val="28"/>
          <w:szCs w:val="28"/>
        </w:rPr>
        <w:t>ir</w:t>
      </w:r>
      <w:proofErr w:type="spellEnd"/>
      <w:r w:rsidRPr="00A20E73">
        <w:rPr>
          <w:sz w:val="28"/>
          <w:szCs w:val="28"/>
        </w:rPr>
        <w:t xml:space="preserve"> </w:t>
      </w:r>
      <w:proofErr w:type="spellStart"/>
      <w:r w:rsidRPr="00A20E73">
        <w:rPr>
          <w:sz w:val="28"/>
          <w:szCs w:val="28"/>
        </w:rPr>
        <w:t>mazāka</w:t>
      </w:r>
      <w:proofErr w:type="spellEnd"/>
      <w:r w:rsidRPr="00A20E73">
        <w:rPr>
          <w:sz w:val="28"/>
          <w:szCs w:val="28"/>
        </w:rPr>
        <w:t xml:space="preserve"> par </w:t>
      </w:r>
      <w:proofErr w:type="spellStart"/>
      <w:r w:rsidRPr="00A20E73">
        <w:rPr>
          <w:sz w:val="28"/>
          <w:szCs w:val="28"/>
        </w:rPr>
        <w:t>diviem</w:t>
      </w:r>
      <w:proofErr w:type="spellEnd"/>
      <w:r w:rsidRPr="00A20E73">
        <w:rPr>
          <w:sz w:val="28"/>
          <w:szCs w:val="28"/>
        </w:rPr>
        <w:t xml:space="preserve"> </w:t>
      </w:r>
      <w:proofErr w:type="spellStart"/>
      <w:r w:rsidRPr="00A20E73">
        <w:rPr>
          <w:sz w:val="28"/>
          <w:szCs w:val="28"/>
        </w:rPr>
        <w:t>megavatiem</w:t>
      </w:r>
      <w:proofErr w:type="spellEnd"/>
      <w:r>
        <w:rPr>
          <w:sz w:val="28"/>
          <w:szCs w:val="28"/>
        </w:rPr>
        <w:t xml:space="preserve">, un </w:t>
      </w:r>
      <w:proofErr w:type="spellStart"/>
      <w:r>
        <w:rPr>
          <w:color w:val="000000"/>
          <w:sz w:val="28"/>
          <w:szCs w:val="28"/>
          <w:lang w:eastAsia="lv-LV"/>
        </w:rPr>
        <w:t>r</w:t>
      </w:r>
      <w:r w:rsidRPr="00A20E73">
        <w:rPr>
          <w:color w:val="000000"/>
          <w:sz w:val="28"/>
          <w:szCs w:val="28"/>
          <w:lang w:eastAsia="lv-LV"/>
        </w:rPr>
        <w:t>eklāmas</w:t>
      </w:r>
      <w:proofErr w:type="spellEnd"/>
      <w:r w:rsidRPr="00A20E73">
        <w:rPr>
          <w:color w:val="000000"/>
          <w:sz w:val="28"/>
          <w:szCs w:val="28"/>
          <w:lang w:eastAsia="lv-LV"/>
        </w:rPr>
        <w:t xml:space="preserve"> </w:t>
      </w:r>
      <w:proofErr w:type="spellStart"/>
      <w:r w:rsidRPr="00A20E73">
        <w:rPr>
          <w:color w:val="000000"/>
          <w:sz w:val="28"/>
          <w:szCs w:val="28"/>
          <w:lang w:eastAsia="lv-LV"/>
        </w:rPr>
        <w:t>izdevumi</w:t>
      </w:r>
      <w:r>
        <w:rPr>
          <w:color w:val="000000"/>
          <w:sz w:val="28"/>
          <w:szCs w:val="28"/>
          <w:lang w:eastAsia="lv-LV"/>
        </w:rPr>
        <w:t>em</w:t>
      </w:r>
      <w:proofErr w:type="spellEnd"/>
      <w:r>
        <w:rPr>
          <w:color w:val="000000"/>
          <w:sz w:val="28"/>
          <w:szCs w:val="28"/>
          <w:lang w:eastAsia="lv-LV"/>
        </w:rPr>
        <w:t>,</w:t>
      </w:r>
      <w:r w:rsidRPr="00A20E73">
        <w:rPr>
          <w:color w:val="000000"/>
          <w:sz w:val="28"/>
          <w:szCs w:val="28"/>
          <w:lang w:eastAsia="lv-LV"/>
        </w:rPr>
        <w:t xml:space="preserve"> </w:t>
      </w:r>
      <w:proofErr w:type="spellStart"/>
      <w:r w:rsidRPr="00A20E73">
        <w:rPr>
          <w:color w:val="000000"/>
          <w:sz w:val="28"/>
          <w:szCs w:val="28"/>
          <w:lang w:eastAsia="lv-LV"/>
        </w:rPr>
        <w:t>materiāli</w:t>
      </w:r>
      <w:r>
        <w:rPr>
          <w:color w:val="000000"/>
          <w:sz w:val="28"/>
          <w:szCs w:val="28"/>
          <w:lang w:eastAsia="lv-LV"/>
        </w:rPr>
        <w:t>em</w:t>
      </w:r>
      <w:proofErr w:type="spellEnd"/>
      <w:r>
        <w:rPr>
          <w:color w:val="000000"/>
          <w:sz w:val="28"/>
          <w:szCs w:val="28"/>
          <w:lang w:eastAsia="lv-LV"/>
        </w:rPr>
        <w:t xml:space="preserve">, </w:t>
      </w:r>
      <w:proofErr w:type="spellStart"/>
      <w:r>
        <w:rPr>
          <w:color w:val="000000"/>
          <w:sz w:val="28"/>
          <w:szCs w:val="28"/>
          <w:lang w:eastAsia="lv-LV"/>
        </w:rPr>
        <w:t>uguņošanas</w:t>
      </w:r>
      <w:proofErr w:type="spellEnd"/>
      <w:r>
        <w:rPr>
          <w:color w:val="000000"/>
          <w:sz w:val="28"/>
          <w:szCs w:val="28"/>
          <w:lang w:eastAsia="lv-LV"/>
        </w:rPr>
        <w:t xml:space="preserve"> </w:t>
      </w:r>
      <w:proofErr w:type="spellStart"/>
      <w:r>
        <w:rPr>
          <w:color w:val="000000"/>
          <w:sz w:val="28"/>
          <w:szCs w:val="28"/>
          <w:lang w:eastAsia="lv-LV"/>
        </w:rPr>
        <w:t>ierīcēm</w:t>
      </w:r>
      <w:proofErr w:type="spellEnd"/>
      <w:r>
        <w:rPr>
          <w:color w:val="000000"/>
          <w:sz w:val="28"/>
          <w:szCs w:val="28"/>
          <w:lang w:eastAsia="lv-LV"/>
        </w:rPr>
        <w:t>.</w:t>
      </w:r>
    </w:p>
    <w:p w:rsidR="00127594" w:rsidRDefault="00127594" w:rsidP="00127594">
      <w:pPr>
        <w:ind w:firstLine="720"/>
        <w:jc w:val="both"/>
        <w:rPr>
          <w:color w:val="000000" w:themeColor="text1"/>
          <w:sz w:val="28"/>
          <w:szCs w:val="28"/>
          <w:lang w:val="lv-LV"/>
        </w:rPr>
      </w:pPr>
      <w:r w:rsidRPr="00A20E73">
        <w:rPr>
          <w:color w:val="000000" w:themeColor="text1"/>
          <w:sz w:val="28"/>
          <w:szCs w:val="28"/>
          <w:lang w:val="lv-LV"/>
        </w:rPr>
        <w:t>2.1. Satiksmes ministrijai sagatavot un satiksmes ministram iesniegt</w:t>
      </w:r>
      <w:r w:rsidRPr="00127594">
        <w:rPr>
          <w:color w:val="000000" w:themeColor="text1"/>
          <w:sz w:val="28"/>
          <w:szCs w:val="28"/>
          <w:lang w:val="lv-LV"/>
        </w:rPr>
        <w:t xml:space="preserve"> izskatīšanai Ministru kabinetā 2014.gada budžeta likumprojektu paketē nepieciešamos grozījumus „Autoceļu lietošanas nodevas likumā”  un likumā „Par autoceļiem”,</w:t>
      </w:r>
      <w:r w:rsidRPr="00127594">
        <w:rPr>
          <w:color w:val="000000" w:themeColor="text1"/>
          <w:lang w:val="lv-LV"/>
        </w:rPr>
        <w:t xml:space="preserve"> </w:t>
      </w:r>
      <w:r w:rsidRPr="00127594">
        <w:rPr>
          <w:color w:val="000000" w:themeColor="text1"/>
          <w:sz w:val="28"/>
          <w:szCs w:val="28"/>
          <w:lang w:val="lv-LV"/>
        </w:rPr>
        <w:t>paredzot ieviest autoceļu lietošanas nodevu par valsts galveno autoceļu lietošanu no 2014.gada 1.jūlija transportlīdzekļiem un to sastāviem, kuru pilna masa ir lielāka par 3 500 kilogramiem un kuri paredzēti vai tiek izmantoti kravu autopārvadājumiem.</w:t>
      </w:r>
    </w:p>
    <w:p w:rsidR="00F56B2A" w:rsidRPr="00931F50" w:rsidRDefault="00F56B2A" w:rsidP="00F56B2A">
      <w:pPr>
        <w:pStyle w:val="tv2131"/>
        <w:spacing w:line="240" w:lineRule="auto"/>
        <w:ind w:firstLine="709"/>
        <w:jc w:val="both"/>
        <w:rPr>
          <w:rStyle w:val="spelle"/>
          <w:color w:val="auto"/>
          <w:sz w:val="28"/>
          <w:szCs w:val="28"/>
        </w:rPr>
      </w:pPr>
      <w:r>
        <w:rPr>
          <w:rStyle w:val="spelle"/>
          <w:color w:val="auto"/>
          <w:sz w:val="28"/>
          <w:szCs w:val="28"/>
        </w:rPr>
        <w:t>2</w:t>
      </w:r>
      <w:r w:rsidRPr="00F56B2A">
        <w:rPr>
          <w:rStyle w:val="spelle"/>
          <w:color w:val="auto"/>
          <w:sz w:val="28"/>
          <w:szCs w:val="28"/>
        </w:rPr>
        <w:t>.</w:t>
      </w:r>
      <w:r>
        <w:rPr>
          <w:rStyle w:val="spelle"/>
          <w:color w:val="auto"/>
          <w:sz w:val="28"/>
          <w:szCs w:val="28"/>
        </w:rPr>
        <w:t>2</w:t>
      </w:r>
      <w:r w:rsidRPr="00F56B2A">
        <w:rPr>
          <w:rStyle w:val="spelle"/>
          <w:color w:val="auto"/>
          <w:sz w:val="28"/>
          <w:szCs w:val="28"/>
        </w:rPr>
        <w:t xml:space="preserve">. </w:t>
      </w:r>
      <w:proofErr w:type="spellStart"/>
      <w:r w:rsidRPr="00F56B2A">
        <w:rPr>
          <w:rStyle w:val="spelle"/>
          <w:color w:val="auto"/>
          <w:sz w:val="28"/>
          <w:szCs w:val="28"/>
        </w:rPr>
        <w:t>Iekšlietu</w:t>
      </w:r>
      <w:proofErr w:type="spellEnd"/>
      <w:r w:rsidRPr="00F56B2A">
        <w:rPr>
          <w:rStyle w:val="spelle"/>
          <w:color w:val="auto"/>
          <w:sz w:val="28"/>
          <w:szCs w:val="28"/>
        </w:rPr>
        <w:t xml:space="preserve"> ministrijai </w:t>
      </w:r>
      <w:r w:rsidRPr="00F56B2A">
        <w:rPr>
          <w:rStyle w:val="spelle"/>
          <w:color w:val="auto"/>
          <w:sz w:val="28"/>
        </w:rPr>
        <w:t xml:space="preserve">sagatavot un </w:t>
      </w:r>
      <w:proofErr w:type="spellStart"/>
      <w:r w:rsidRPr="00F56B2A">
        <w:rPr>
          <w:rStyle w:val="spelle"/>
          <w:color w:val="auto"/>
          <w:sz w:val="28"/>
        </w:rPr>
        <w:t>iekšlietu</w:t>
      </w:r>
      <w:proofErr w:type="spellEnd"/>
      <w:r w:rsidRPr="00F56B2A">
        <w:rPr>
          <w:rStyle w:val="spelle"/>
          <w:color w:val="auto"/>
          <w:sz w:val="28"/>
        </w:rPr>
        <w:t xml:space="preserve"> ministram iesniegt izskatīšanai Ministru kabinetā 2014.gada budžeta likumprojektu paketē </w:t>
      </w:r>
      <w:r w:rsidRPr="00F56B2A">
        <w:rPr>
          <w:rStyle w:val="spelle"/>
          <w:color w:val="auto"/>
          <w:sz w:val="28"/>
        </w:rPr>
        <w:lastRenderedPageBreak/>
        <w:t>nepieciešamos grozījumus Ministru kabineta 2010.gada 21.jūnija noteikumos Nr.571 „Noteikumi par valsts nodevu par vīzas, uzturēšanās atļaujas vai Eiropas Kopienas pastāvīgā iedzīvotāja statusa Latvijas Republikā pieprasīšanai nepieciešamo dokumentu izskatīšanu un ar to saistītajiem pakalpojumiem”, paredzot palielināt valsts nodevas par uzturēšanās atļaujas un Eiropas Kopienas pastāvīgā iedzīvotāja statusa Latvijas Republikā pieprasīšanai nepieciešamo dokumentu izskatīšanu un ar to saistītajiem pakalpojumiem atbilstoši informatīvajā ziņojumā norādītajām likmēm.</w:t>
      </w:r>
      <w:r>
        <w:rPr>
          <w:rStyle w:val="spelle"/>
          <w:color w:val="auto"/>
          <w:sz w:val="28"/>
        </w:rPr>
        <w:t xml:space="preserve"> </w:t>
      </w:r>
    </w:p>
    <w:p w:rsidR="00F56B2A" w:rsidRPr="00127594" w:rsidRDefault="00F56B2A" w:rsidP="00127594">
      <w:pPr>
        <w:ind w:firstLine="720"/>
        <w:jc w:val="both"/>
        <w:rPr>
          <w:color w:val="000000" w:themeColor="text1"/>
          <w:sz w:val="28"/>
          <w:szCs w:val="28"/>
          <w:lang w:val="lv-LV"/>
        </w:rPr>
      </w:pPr>
    </w:p>
    <w:p w:rsidR="00F56A2B" w:rsidRPr="00127594" w:rsidRDefault="00F56A2B" w:rsidP="00127594">
      <w:pPr>
        <w:jc w:val="both"/>
        <w:rPr>
          <w:rStyle w:val="spelle"/>
          <w:color w:val="000000" w:themeColor="text1"/>
          <w:sz w:val="28"/>
          <w:szCs w:val="28"/>
        </w:rPr>
      </w:pPr>
    </w:p>
    <w:p w:rsidR="00F56A2B" w:rsidRPr="00D57424" w:rsidRDefault="00F56A2B" w:rsidP="00F56A2B">
      <w:pPr>
        <w:tabs>
          <w:tab w:val="left" w:pos="1134"/>
        </w:tabs>
        <w:ind w:firstLine="709"/>
        <w:jc w:val="both"/>
        <w:rPr>
          <w:sz w:val="28"/>
          <w:szCs w:val="28"/>
          <w:lang w:val="lv-LV"/>
        </w:rPr>
      </w:pPr>
      <w:r w:rsidRPr="00D57424">
        <w:rPr>
          <w:sz w:val="28"/>
          <w:szCs w:val="28"/>
          <w:lang w:val="lv-LV"/>
        </w:rPr>
        <w:t xml:space="preserve"> </w:t>
      </w:r>
    </w:p>
    <w:tbl>
      <w:tblPr>
        <w:tblW w:w="0" w:type="auto"/>
        <w:tblLook w:val="04A0" w:firstRow="1" w:lastRow="0" w:firstColumn="1" w:lastColumn="0" w:noHBand="0" w:noVBand="1"/>
      </w:tblPr>
      <w:tblGrid>
        <w:gridCol w:w="4526"/>
        <w:gridCol w:w="4545"/>
      </w:tblGrid>
      <w:tr w:rsidR="00F56A2B" w:rsidRPr="00931F50" w:rsidTr="000608E3">
        <w:tc>
          <w:tcPr>
            <w:tcW w:w="4643" w:type="dxa"/>
          </w:tcPr>
          <w:p w:rsidR="00F56A2B" w:rsidRPr="00931F50" w:rsidRDefault="00F56A2B" w:rsidP="000608E3">
            <w:pPr>
              <w:jc w:val="both"/>
              <w:rPr>
                <w:sz w:val="28"/>
                <w:szCs w:val="28"/>
                <w:lang w:val="lv-LV"/>
              </w:rPr>
            </w:pPr>
          </w:p>
          <w:p w:rsidR="00F56A2B" w:rsidRPr="00931F50" w:rsidRDefault="00F56A2B" w:rsidP="000608E3">
            <w:pPr>
              <w:jc w:val="both"/>
              <w:rPr>
                <w:sz w:val="28"/>
                <w:szCs w:val="28"/>
                <w:lang w:val="lv-LV"/>
              </w:rPr>
            </w:pPr>
          </w:p>
          <w:p w:rsidR="00F56A2B" w:rsidRPr="00931F50" w:rsidRDefault="00F56A2B" w:rsidP="000608E3">
            <w:pPr>
              <w:jc w:val="both"/>
              <w:rPr>
                <w:sz w:val="28"/>
                <w:szCs w:val="28"/>
                <w:lang w:val="lv-LV"/>
              </w:rPr>
            </w:pPr>
            <w:r w:rsidRPr="00931F50">
              <w:rPr>
                <w:sz w:val="28"/>
                <w:szCs w:val="28"/>
                <w:lang w:val="lv-LV"/>
              </w:rPr>
              <w:t>Ministru prezidents</w:t>
            </w:r>
          </w:p>
          <w:p w:rsidR="00F56A2B" w:rsidRPr="00931F50" w:rsidRDefault="00F56A2B" w:rsidP="000608E3">
            <w:pPr>
              <w:jc w:val="both"/>
              <w:rPr>
                <w:sz w:val="28"/>
                <w:szCs w:val="28"/>
                <w:lang w:val="lv-LV"/>
              </w:rPr>
            </w:pPr>
          </w:p>
        </w:tc>
        <w:tc>
          <w:tcPr>
            <w:tcW w:w="4644" w:type="dxa"/>
          </w:tcPr>
          <w:p w:rsidR="00F56A2B" w:rsidRPr="00931F50" w:rsidRDefault="00F56A2B" w:rsidP="000608E3">
            <w:pPr>
              <w:jc w:val="right"/>
              <w:rPr>
                <w:sz w:val="28"/>
                <w:szCs w:val="28"/>
                <w:lang w:val="lv-LV"/>
              </w:rPr>
            </w:pPr>
          </w:p>
          <w:p w:rsidR="00F56A2B" w:rsidRPr="00931F50" w:rsidRDefault="00F56A2B" w:rsidP="000608E3">
            <w:pPr>
              <w:jc w:val="right"/>
              <w:rPr>
                <w:sz w:val="28"/>
                <w:szCs w:val="28"/>
                <w:lang w:val="lv-LV"/>
              </w:rPr>
            </w:pPr>
          </w:p>
          <w:p w:rsidR="00F56A2B" w:rsidRPr="00931F50" w:rsidRDefault="00F56A2B" w:rsidP="000608E3">
            <w:pPr>
              <w:jc w:val="right"/>
              <w:rPr>
                <w:sz w:val="28"/>
                <w:szCs w:val="28"/>
                <w:lang w:val="lv-LV"/>
              </w:rPr>
            </w:pPr>
            <w:proofErr w:type="spellStart"/>
            <w:r w:rsidRPr="00931F50">
              <w:rPr>
                <w:sz w:val="28"/>
                <w:szCs w:val="28"/>
                <w:lang w:val="lv-LV"/>
              </w:rPr>
              <w:t>V.Dombrovskis</w:t>
            </w:r>
            <w:proofErr w:type="spellEnd"/>
          </w:p>
        </w:tc>
      </w:tr>
      <w:tr w:rsidR="00F56A2B" w:rsidRPr="00931F50" w:rsidTr="000608E3">
        <w:tc>
          <w:tcPr>
            <w:tcW w:w="4643" w:type="dxa"/>
          </w:tcPr>
          <w:p w:rsidR="00F56A2B" w:rsidRDefault="00F56A2B" w:rsidP="000608E3">
            <w:pPr>
              <w:jc w:val="both"/>
              <w:rPr>
                <w:sz w:val="28"/>
                <w:szCs w:val="28"/>
                <w:lang w:val="lv-LV"/>
              </w:rPr>
            </w:pPr>
          </w:p>
          <w:p w:rsidR="00F56A2B" w:rsidRPr="00931F50" w:rsidRDefault="00F56A2B" w:rsidP="000608E3">
            <w:pPr>
              <w:jc w:val="both"/>
              <w:rPr>
                <w:sz w:val="28"/>
                <w:szCs w:val="28"/>
                <w:lang w:val="lv-LV"/>
              </w:rPr>
            </w:pPr>
            <w:r w:rsidRPr="00931F50">
              <w:rPr>
                <w:sz w:val="28"/>
                <w:szCs w:val="28"/>
                <w:lang w:val="lv-LV"/>
              </w:rPr>
              <w:t>Valsts kancelejas direktore</w:t>
            </w:r>
          </w:p>
        </w:tc>
        <w:tc>
          <w:tcPr>
            <w:tcW w:w="4644" w:type="dxa"/>
          </w:tcPr>
          <w:p w:rsidR="00F56A2B" w:rsidRDefault="00F56A2B" w:rsidP="000608E3">
            <w:pPr>
              <w:jc w:val="right"/>
              <w:rPr>
                <w:sz w:val="28"/>
                <w:szCs w:val="28"/>
                <w:lang w:val="lv-LV"/>
              </w:rPr>
            </w:pPr>
          </w:p>
          <w:p w:rsidR="00F56A2B" w:rsidRPr="00931F50" w:rsidRDefault="00F56A2B" w:rsidP="000608E3">
            <w:pPr>
              <w:jc w:val="right"/>
              <w:rPr>
                <w:sz w:val="28"/>
                <w:szCs w:val="28"/>
                <w:lang w:val="lv-LV"/>
              </w:rPr>
            </w:pPr>
            <w:proofErr w:type="spellStart"/>
            <w:r w:rsidRPr="00931F50">
              <w:rPr>
                <w:sz w:val="28"/>
                <w:szCs w:val="28"/>
                <w:lang w:val="lv-LV"/>
              </w:rPr>
              <w:t>E.Dreimane</w:t>
            </w:r>
            <w:proofErr w:type="spellEnd"/>
          </w:p>
        </w:tc>
      </w:tr>
      <w:tr w:rsidR="00F56A2B" w:rsidRPr="00931F50" w:rsidTr="000608E3">
        <w:tc>
          <w:tcPr>
            <w:tcW w:w="4643" w:type="dxa"/>
          </w:tcPr>
          <w:p w:rsidR="00F56A2B" w:rsidRPr="00931F50" w:rsidRDefault="00F56A2B" w:rsidP="000608E3">
            <w:pPr>
              <w:jc w:val="both"/>
              <w:rPr>
                <w:sz w:val="28"/>
                <w:szCs w:val="28"/>
                <w:lang w:val="lv-LV"/>
              </w:rPr>
            </w:pPr>
          </w:p>
          <w:p w:rsidR="00F56A2B" w:rsidRDefault="00F56A2B" w:rsidP="000608E3">
            <w:pPr>
              <w:jc w:val="both"/>
              <w:rPr>
                <w:sz w:val="28"/>
                <w:szCs w:val="28"/>
                <w:lang w:val="lv-LV"/>
              </w:rPr>
            </w:pPr>
          </w:p>
          <w:p w:rsidR="00F56A2B" w:rsidRPr="00931F50" w:rsidRDefault="00F56A2B" w:rsidP="000608E3">
            <w:pPr>
              <w:jc w:val="both"/>
              <w:rPr>
                <w:sz w:val="28"/>
                <w:szCs w:val="28"/>
                <w:lang w:val="lv-LV"/>
              </w:rPr>
            </w:pPr>
            <w:r w:rsidRPr="00931F50">
              <w:rPr>
                <w:sz w:val="28"/>
                <w:szCs w:val="28"/>
                <w:lang w:val="lv-LV"/>
              </w:rPr>
              <w:t>Iesniedzējs:</w:t>
            </w:r>
          </w:p>
        </w:tc>
        <w:tc>
          <w:tcPr>
            <w:tcW w:w="4644" w:type="dxa"/>
          </w:tcPr>
          <w:p w:rsidR="00F56A2B" w:rsidRPr="00931F50" w:rsidRDefault="00F56A2B" w:rsidP="000608E3">
            <w:pPr>
              <w:jc w:val="right"/>
              <w:rPr>
                <w:sz w:val="28"/>
                <w:szCs w:val="28"/>
                <w:lang w:val="lv-LV"/>
              </w:rPr>
            </w:pPr>
          </w:p>
        </w:tc>
      </w:tr>
      <w:tr w:rsidR="00F56A2B" w:rsidRPr="00931F50" w:rsidTr="000608E3">
        <w:tc>
          <w:tcPr>
            <w:tcW w:w="4643" w:type="dxa"/>
          </w:tcPr>
          <w:p w:rsidR="00F56A2B" w:rsidRPr="00931F50" w:rsidRDefault="00F56A2B" w:rsidP="000608E3">
            <w:pPr>
              <w:spacing w:before="120"/>
              <w:jc w:val="both"/>
              <w:rPr>
                <w:sz w:val="28"/>
                <w:szCs w:val="28"/>
                <w:lang w:val="lv-LV"/>
              </w:rPr>
            </w:pPr>
            <w:r w:rsidRPr="00931F50">
              <w:rPr>
                <w:sz w:val="28"/>
                <w:szCs w:val="28"/>
                <w:lang w:val="lv-LV"/>
              </w:rPr>
              <w:t>Finanšu ministrs</w:t>
            </w:r>
          </w:p>
        </w:tc>
        <w:tc>
          <w:tcPr>
            <w:tcW w:w="4644" w:type="dxa"/>
          </w:tcPr>
          <w:p w:rsidR="00F56A2B" w:rsidRPr="00931F50" w:rsidRDefault="00F56A2B" w:rsidP="000608E3">
            <w:pPr>
              <w:jc w:val="right"/>
              <w:rPr>
                <w:sz w:val="28"/>
                <w:szCs w:val="28"/>
                <w:lang w:val="lv-LV"/>
              </w:rPr>
            </w:pPr>
            <w:proofErr w:type="spellStart"/>
            <w:r w:rsidRPr="00931F50">
              <w:rPr>
                <w:sz w:val="28"/>
                <w:szCs w:val="28"/>
                <w:lang w:val="lv-LV"/>
              </w:rPr>
              <w:t>A.Vilks</w:t>
            </w:r>
            <w:proofErr w:type="spellEnd"/>
          </w:p>
          <w:p w:rsidR="00F56A2B" w:rsidRPr="00931F50" w:rsidRDefault="00F56A2B" w:rsidP="000608E3">
            <w:pPr>
              <w:spacing w:after="120"/>
              <w:jc w:val="right"/>
              <w:rPr>
                <w:sz w:val="28"/>
                <w:szCs w:val="28"/>
                <w:lang w:val="lv-LV"/>
              </w:rPr>
            </w:pPr>
          </w:p>
        </w:tc>
      </w:tr>
    </w:tbl>
    <w:p w:rsidR="00F56A2B" w:rsidRDefault="00F56A2B" w:rsidP="00F56A2B">
      <w:pPr>
        <w:rPr>
          <w:lang w:val="lv-LV"/>
        </w:rPr>
      </w:pPr>
    </w:p>
    <w:p w:rsidR="00F56A2B" w:rsidRDefault="00F56A2B" w:rsidP="00F56A2B">
      <w:pPr>
        <w:rPr>
          <w:lang w:val="lv-LV"/>
        </w:rPr>
      </w:pPr>
    </w:p>
    <w:p w:rsidR="00F56A2B" w:rsidRDefault="00F56A2B" w:rsidP="00F56A2B">
      <w:pPr>
        <w:rPr>
          <w:lang w:val="lv-LV"/>
        </w:rPr>
      </w:pPr>
    </w:p>
    <w:p w:rsidR="00A20E73" w:rsidRDefault="00A20E73" w:rsidP="00F56A2B">
      <w:pPr>
        <w:rPr>
          <w:lang w:val="lv-LV"/>
        </w:rPr>
      </w:pPr>
    </w:p>
    <w:p w:rsidR="00A20E73" w:rsidRDefault="00A20E73" w:rsidP="00F56A2B">
      <w:pPr>
        <w:rPr>
          <w:lang w:val="lv-LV"/>
        </w:rPr>
      </w:pPr>
    </w:p>
    <w:p w:rsidR="00A20E73" w:rsidRDefault="00A20E73" w:rsidP="00F56A2B">
      <w:pPr>
        <w:rPr>
          <w:lang w:val="lv-LV"/>
        </w:rPr>
      </w:pPr>
    </w:p>
    <w:p w:rsidR="00A20E73" w:rsidRDefault="00A20E73" w:rsidP="00F56A2B">
      <w:pPr>
        <w:rPr>
          <w:lang w:val="lv-LV"/>
        </w:rPr>
      </w:pPr>
    </w:p>
    <w:p w:rsidR="00A20E73" w:rsidRDefault="00A20E73" w:rsidP="00F56A2B">
      <w:pPr>
        <w:rPr>
          <w:lang w:val="lv-LV"/>
        </w:rPr>
      </w:pPr>
    </w:p>
    <w:p w:rsidR="00A20E73" w:rsidRDefault="00A20E73" w:rsidP="00F56A2B">
      <w:pPr>
        <w:rPr>
          <w:lang w:val="lv-LV"/>
        </w:rPr>
      </w:pPr>
      <w:bookmarkStart w:id="2" w:name="_GoBack"/>
      <w:bookmarkEnd w:id="2"/>
    </w:p>
    <w:p w:rsidR="00A20E73" w:rsidRDefault="00A20E73" w:rsidP="00F56A2B">
      <w:pPr>
        <w:rPr>
          <w:lang w:val="lv-LV"/>
        </w:rPr>
      </w:pPr>
    </w:p>
    <w:p w:rsidR="00F56A2B" w:rsidRDefault="00F56A2B" w:rsidP="00F56A2B">
      <w:pPr>
        <w:rPr>
          <w:lang w:val="lv-LV"/>
        </w:rPr>
      </w:pPr>
    </w:p>
    <w:p w:rsidR="00F56A2B" w:rsidRPr="0087593B" w:rsidRDefault="00F56A2B" w:rsidP="00F56A2B">
      <w:pPr>
        <w:rPr>
          <w:sz w:val="22"/>
          <w:szCs w:val="22"/>
          <w:lang w:val="lv-LV"/>
        </w:rPr>
      </w:pPr>
      <w:r w:rsidRPr="0087593B">
        <w:rPr>
          <w:sz w:val="22"/>
          <w:szCs w:val="22"/>
          <w:lang w:val="lv-LV"/>
        </w:rPr>
        <w:fldChar w:fldCharType="begin"/>
      </w:r>
      <w:r w:rsidRPr="0087593B">
        <w:rPr>
          <w:sz w:val="22"/>
          <w:szCs w:val="22"/>
          <w:lang w:val="lv-LV"/>
        </w:rPr>
        <w:instrText xml:space="preserve"> DATE  \@ "dd.MM.yyyy H:mm"  \* MERGEFORMAT </w:instrText>
      </w:r>
      <w:r w:rsidRPr="0087593B">
        <w:rPr>
          <w:sz w:val="22"/>
          <w:szCs w:val="22"/>
          <w:lang w:val="lv-LV"/>
        </w:rPr>
        <w:fldChar w:fldCharType="separate"/>
      </w:r>
      <w:r w:rsidR="0013046B">
        <w:rPr>
          <w:noProof/>
          <w:sz w:val="22"/>
          <w:szCs w:val="22"/>
          <w:lang w:val="lv-LV"/>
        </w:rPr>
        <w:t>20.08.2013 11:04</w:t>
      </w:r>
      <w:r w:rsidRPr="0087593B">
        <w:rPr>
          <w:sz w:val="22"/>
          <w:szCs w:val="22"/>
          <w:lang w:val="lv-LV"/>
        </w:rPr>
        <w:fldChar w:fldCharType="end"/>
      </w:r>
    </w:p>
    <w:p w:rsidR="00A20E73" w:rsidRPr="0087593B" w:rsidRDefault="00501DEE" w:rsidP="00F56A2B">
      <w:pPr>
        <w:rPr>
          <w:sz w:val="22"/>
          <w:szCs w:val="22"/>
          <w:lang w:val="lv-LV"/>
        </w:rPr>
      </w:pPr>
      <w:r w:rsidRPr="0087593B">
        <w:rPr>
          <w:sz w:val="22"/>
          <w:szCs w:val="22"/>
          <w:lang w:val="lv-LV"/>
        </w:rPr>
        <w:t>268</w:t>
      </w:r>
    </w:p>
    <w:p w:rsidR="00F56A2B" w:rsidRPr="0087593B" w:rsidRDefault="001D6AB8" w:rsidP="00F56A2B">
      <w:pPr>
        <w:rPr>
          <w:sz w:val="22"/>
          <w:szCs w:val="22"/>
          <w:lang w:val="lv-LV"/>
        </w:rPr>
      </w:pPr>
      <w:proofErr w:type="spellStart"/>
      <w:r w:rsidRPr="0087593B">
        <w:rPr>
          <w:sz w:val="22"/>
          <w:szCs w:val="22"/>
          <w:lang w:val="lv-LV"/>
        </w:rPr>
        <w:t>M.Čakste</w:t>
      </w:r>
      <w:proofErr w:type="spellEnd"/>
    </w:p>
    <w:p w:rsidR="00F56A2B" w:rsidRPr="0087593B" w:rsidRDefault="001D6AB8" w:rsidP="00F56A2B">
      <w:pPr>
        <w:rPr>
          <w:sz w:val="22"/>
          <w:szCs w:val="22"/>
        </w:rPr>
      </w:pPr>
      <w:r w:rsidRPr="0087593B">
        <w:rPr>
          <w:sz w:val="22"/>
          <w:szCs w:val="22"/>
          <w:lang w:val="lv-LV"/>
        </w:rPr>
        <w:t>67095645, Mara.Cakste</w:t>
      </w:r>
      <w:r w:rsidR="00F56A2B" w:rsidRPr="0087593B">
        <w:rPr>
          <w:sz w:val="22"/>
          <w:szCs w:val="22"/>
          <w:lang w:val="lv-LV"/>
        </w:rPr>
        <w:t>@fm.gov.lv</w:t>
      </w:r>
    </w:p>
    <w:p w:rsidR="00864A01" w:rsidRPr="0087593B" w:rsidRDefault="00864A01">
      <w:pPr>
        <w:rPr>
          <w:sz w:val="22"/>
          <w:szCs w:val="22"/>
        </w:rPr>
      </w:pPr>
    </w:p>
    <w:sectPr w:rsidR="00864A01" w:rsidRPr="0087593B" w:rsidSect="00C94428">
      <w:headerReference w:type="even" r:id="rId7"/>
      <w:headerReference w:type="default" r:id="rId8"/>
      <w:footerReference w:type="default" r:id="rId9"/>
      <w:footerReference w:type="first" r:id="rId10"/>
      <w:pgSz w:w="11906" w:h="16838"/>
      <w:pgMar w:top="1843" w:right="1134" w:bottom="1702" w:left="1701"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D1D" w:rsidRDefault="00A66D1D" w:rsidP="00C60DBE">
      <w:r>
        <w:separator/>
      </w:r>
    </w:p>
  </w:endnote>
  <w:endnote w:type="continuationSeparator" w:id="0">
    <w:p w:rsidR="00A66D1D" w:rsidRDefault="00A66D1D" w:rsidP="00C6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49C" w:rsidRDefault="0044549C" w:rsidP="0044549C">
    <w:pPr>
      <w:pStyle w:val="Footer"/>
    </w:pPr>
    <w:r>
      <w:t xml:space="preserve">FMProt_140813_nod_pasak; </w:t>
    </w:r>
    <w:proofErr w:type="spellStart"/>
    <w:r>
      <w:t>Informatīvais</w:t>
    </w:r>
    <w:proofErr w:type="spellEnd"/>
    <w:r>
      <w:t xml:space="preserve"> </w:t>
    </w:r>
    <w:proofErr w:type="spellStart"/>
    <w:r>
      <w:t>ziņojums</w:t>
    </w:r>
    <w:proofErr w:type="spellEnd"/>
    <w:r>
      <w:t xml:space="preserve"> “</w:t>
    </w:r>
    <w:proofErr w:type="spellStart"/>
    <w:r>
      <w:t>Nodokļu</w:t>
    </w:r>
    <w:proofErr w:type="spellEnd"/>
    <w:r>
      <w:t xml:space="preserve"> </w:t>
    </w:r>
    <w:proofErr w:type="spellStart"/>
    <w:r>
      <w:t>ieņēmumus</w:t>
    </w:r>
    <w:proofErr w:type="spellEnd"/>
    <w:r>
      <w:t xml:space="preserve"> 2014.-2016.gadam </w:t>
    </w:r>
    <w:proofErr w:type="spellStart"/>
    <w:r>
      <w:t>ietekmējošie</w:t>
    </w:r>
    <w:proofErr w:type="spellEnd"/>
    <w:r>
      <w:t xml:space="preserve"> </w:t>
    </w:r>
    <w:proofErr w:type="spellStart"/>
    <w:r>
      <w:t>nodokļu</w:t>
    </w:r>
    <w:proofErr w:type="spellEnd"/>
    <w:r>
      <w:t xml:space="preserve"> </w:t>
    </w:r>
    <w:proofErr w:type="spellStart"/>
    <w:r>
      <w:t>pasākumi</w:t>
    </w:r>
    <w:proofErr w:type="spellEnd"/>
    <w:r>
      <w:t>"</w:t>
    </w:r>
  </w:p>
  <w:p w:rsidR="0044549C" w:rsidRPr="0044549C" w:rsidRDefault="0044549C" w:rsidP="00445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49C" w:rsidRDefault="0044549C">
    <w:pPr>
      <w:pStyle w:val="Footer"/>
    </w:pPr>
    <w:r>
      <w:t xml:space="preserve">FMProt_140813_nod_pasak; </w:t>
    </w:r>
    <w:proofErr w:type="spellStart"/>
    <w:r>
      <w:t>Informatīvais</w:t>
    </w:r>
    <w:proofErr w:type="spellEnd"/>
    <w:r>
      <w:t xml:space="preserve"> </w:t>
    </w:r>
    <w:proofErr w:type="spellStart"/>
    <w:r>
      <w:t>ziņojums</w:t>
    </w:r>
    <w:proofErr w:type="spellEnd"/>
    <w:r>
      <w:t xml:space="preserve"> “</w:t>
    </w:r>
    <w:proofErr w:type="spellStart"/>
    <w:r>
      <w:t>Nodokļu</w:t>
    </w:r>
    <w:proofErr w:type="spellEnd"/>
    <w:r>
      <w:t xml:space="preserve"> </w:t>
    </w:r>
    <w:proofErr w:type="spellStart"/>
    <w:r>
      <w:t>ieņēmumus</w:t>
    </w:r>
    <w:proofErr w:type="spellEnd"/>
    <w:r>
      <w:t xml:space="preserve"> 2014.-2016.gadam </w:t>
    </w:r>
    <w:proofErr w:type="spellStart"/>
    <w:r>
      <w:t>ietekmējošie</w:t>
    </w:r>
    <w:proofErr w:type="spellEnd"/>
    <w:r>
      <w:t xml:space="preserve"> </w:t>
    </w:r>
    <w:proofErr w:type="spellStart"/>
    <w:r>
      <w:t>nodokļu</w:t>
    </w:r>
    <w:proofErr w:type="spellEnd"/>
    <w:r>
      <w:t xml:space="preserve"> </w:t>
    </w:r>
    <w:proofErr w:type="spellStart"/>
    <w:r>
      <w:t>pasākumi</w:t>
    </w:r>
    <w:proofErr w:type="spellEnd"/>
    <w:r>
      <w:t>"</w:t>
    </w:r>
  </w:p>
  <w:p w:rsidR="00C94428" w:rsidRPr="000142D0" w:rsidRDefault="00A66D1D" w:rsidP="00014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D1D" w:rsidRDefault="00A66D1D" w:rsidP="00C60DBE">
      <w:r>
        <w:separator/>
      </w:r>
    </w:p>
  </w:footnote>
  <w:footnote w:type="continuationSeparator" w:id="0">
    <w:p w:rsidR="00A66D1D" w:rsidRDefault="00A66D1D" w:rsidP="00C60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BFC" w:rsidRDefault="001D6A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5BFC" w:rsidRDefault="00A66D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BFC" w:rsidRDefault="00A66D1D">
    <w:pPr>
      <w:pStyle w:val="Header"/>
      <w:framePr w:wrap="around" w:vAnchor="text" w:hAnchor="margin" w:xAlign="center" w:y="1"/>
      <w:jc w:val="center"/>
      <w:rPr>
        <w:rStyle w:val="PageNumber"/>
      </w:rPr>
    </w:pPr>
  </w:p>
  <w:p w:rsidR="004D5BFC" w:rsidRDefault="001D6AB8">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3046B">
      <w:rPr>
        <w:rStyle w:val="PageNumber"/>
        <w:noProof/>
      </w:rPr>
      <w:t>2</w:t>
    </w:r>
    <w:r>
      <w:rPr>
        <w:rStyle w:val="PageNumber"/>
      </w:rPr>
      <w:fldChar w:fldCharType="end"/>
    </w:r>
  </w:p>
  <w:p w:rsidR="004D5BFC" w:rsidRDefault="00A66D1D">
    <w:pPr>
      <w:pStyle w:val="Header"/>
      <w:framePr w:wrap="around" w:vAnchor="text" w:hAnchor="margin" w:xAlign="center" w:y="1"/>
      <w:rPr>
        <w:rStyle w:val="PageNumber"/>
      </w:rPr>
    </w:pPr>
  </w:p>
  <w:p w:rsidR="004D5BFC" w:rsidRDefault="001D6AB8">
    <w:pPr>
      <w:pStyle w:val="Header"/>
      <w:jc w:val="center"/>
    </w:pP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F518AD"/>
    <w:multiLevelType w:val="multilevel"/>
    <w:tmpl w:val="B7142A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2B"/>
    <w:rsid w:val="000142D0"/>
    <w:rsid w:val="00127594"/>
    <w:rsid w:val="0013046B"/>
    <w:rsid w:val="001D6AB8"/>
    <w:rsid w:val="002865DC"/>
    <w:rsid w:val="0044549C"/>
    <w:rsid w:val="00501DEE"/>
    <w:rsid w:val="007F5BBE"/>
    <w:rsid w:val="00864A01"/>
    <w:rsid w:val="0087593B"/>
    <w:rsid w:val="009F2147"/>
    <w:rsid w:val="00A20E73"/>
    <w:rsid w:val="00A66D1D"/>
    <w:rsid w:val="00C60DBE"/>
    <w:rsid w:val="00F56A2B"/>
    <w:rsid w:val="00F56B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AFF6F7-5B1F-4328-AB51-71D72E9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A2B"/>
    <w:rPr>
      <w:rFonts w:eastAsia="Times New Roman" w:cs="Times New Roman"/>
      <w:szCs w:val="24"/>
      <w:lang w:val="en-GB"/>
    </w:rPr>
  </w:style>
  <w:style w:type="paragraph" w:styleId="Heading3">
    <w:name w:val="heading 3"/>
    <w:basedOn w:val="Normal"/>
    <w:next w:val="Normal"/>
    <w:link w:val="Heading3Char"/>
    <w:qFormat/>
    <w:rsid w:val="00F56A2B"/>
    <w:pPr>
      <w:keepNext/>
      <w:tabs>
        <w:tab w:val="right" w:pos="9072"/>
      </w:tabs>
      <w:spacing w:before="600"/>
      <w:outlineLvl w:val="2"/>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56A2B"/>
    <w:rPr>
      <w:rFonts w:eastAsia="Times New Roman" w:cs="Times New Roman"/>
      <w:sz w:val="28"/>
      <w:szCs w:val="20"/>
    </w:rPr>
  </w:style>
  <w:style w:type="paragraph" w:styleId="BodyText">
    <w:name w:val="Body Text"/>
    <w:basedOn w:val="Normal"/>
    <w:link w:val="BodyTextChar"/>
    <w:rsid w:val="00F56A2B"/>
    <w:pPr>
      <w:jc w:val="both"/>
    </w:pPr>
    <w:rPr>
      <w:sz w:val="28"/>
      <w:szCs w:val="28"/>
      <w:lang w:val="lv-LV"/>
    </w:rPr>
  </w:style>
  <w:style w:type="character" w:customStyle="1" w:styleId="BodyTextChar">
    <w:name w:val="Body Text Char"/>
    <w:basedOn w:val="DefaultParagraphFont"/>
    <w:link w:val="BodyText"/>
    <w:rsid w:val="00F56A2B"/>
    <w:rPr>
      <w:rFonts w:eastAsia="Times New Roman" w:cs="Times New Roman"/>
      <w:sz w:val="28"/>
      <w:szCs w:val="28"/>
    </w:rPr>
  </w:style>
  <w:style w:type="paragraph" w:styleId="Header">
    <w:name w:val="header"/>
    <w:basedOn w:val="Normal"/>
    <w:link w:val="HeaderChar"/>
    <w:rsid w:val="00F56A2B"/>
    <w:pPr>
      <w:tabs>
        <w:tab w:val="center" w:pos="4153"/>
        <w:tab w:val="right" w:pos="8306"/>
      </w:tabs>
    </w:pPr>
  </w:style>
  <w:style w:type="character" w:customStyle="1" w:styleId="HeaderChar">
    <w:name w:val="Header Char"/>
    <w:basedOn w:val="DefaultParagraphFont"/>
    <w:link w:val="Header"/>
    <w:rsid w:val="00F56A2B"/>
    <w:rPr>
      <w:rFonts w:eastAsia="Times New Roman" w:cs="Times New Roman"/>
      <w:szCs w:val="24"/>
      <w:lang w:val="en-GB"/>
    </w:rPr>
  </w:style>
  <w:style w:type="paragraph" w:styleId="Footer">
    <w:name w:val="footer"/>
    <w:basedOn w:val="Normal"/>
    <w:link w:val="FooterChar"/>
    <w:uiPriority w:val="99"/>
    <w:rsid w:val="00F56A2B"/>
    <w:pPr>
      <w:tabs>
        <w:tab w:val="center" w:pos="4153"/>
        <w:tab w:val="right" w:pos="8306"/>
      </w:tabs>
    </w:pPr>
  </w:style>
  <w:style w:type="character" w:customStyle="1" w:styleId="FooterChar">
    <w:name w:val="Footer Char"/>
    <w:basedOn w:val="DefaultParagraphFont"/>
    <w:link w:val="Footer"/>
    <w:uiPriority w:val="99"/>
    <w:rsid w:val="00F56A2B"/>
    <w:rPr>
      <w:rFonts w:eastAsia="Times New Roman" w:cs="Times New Roman"/>
      <w:szCs w:val="24"/>
      <w:lang w:val="en-GB"/>
    </w:rPr>
  </w:style>
  <w:style w:type="character" w:styleId="PageNumber">
    <w:name w:val="page number"/>
    <w:basedOn w:val="DefaultParagraphFont"/>
    <w:rsid w:val="00F56A2B"/>
  </w:style>
  <w:style w:type="character" w:customStyle="1" w:styleId="spelle">
    <w:name w:val="spelle"/>
    <w:basedOn w:val="DefaultParagraphFont"/>
    <w:uiPriority w:val="99"/>
    <w:rsid w:val="00F56A2B"/>
  </w:style>
  <w:style w:type="paragraph" w:styleId="ListParagraph">
    <w:name w:val="List Paragraph"/>
    <w:basedOn w:val="Normal"/>
    <w:uiPriority w:val="34"/>
    <w:qFormat/>
    <w:rsid w:val="00F56A2B"/>
    <w:pPr>
      <w:ind w:left="720"/>
      <w:contextualSpacing/>
    </w:pPr>
    <w:rPr>
      <w:sz w:val="28"/>
      <w:lang w:val="lv-LV" w:eastAsia="lv-LV"/>
    </w:rPr>
  </w:style>
  <w:style w:type="paragraph" w:customStyle="1" w:styleId="tv2131">
    <w:name w:val="tv2131"/>
    <w:basedOn w:val="Normal"/>
    <w:uiPriority w:val="99"/>
    <w:rsid w:val="00F56A2B"/>
    <w:pPr>
      <w:spacing w:line="360" w:lineRule="auto"/>
      <w:ind w:firstLine="300"/>
    </w:pPr>
    <w:rPr>
      <w:rFonts w:eastAsiaTheme="minorHAnsi"/>
      <w:color w:val="414142"/>
      <w:sz w:val="20"/>
      <w:szCs w:val="20"/>
      <w:lang w:val="lv-LV" w:eastAsia="lv-LV"/>
    </w:rPr>
  </w:style>
  <w:style w:type="paragraph" w:styleId="BalloonText">
    <w:name w:val="Balloon Text"/>
    <w:basedOn w:val="Normal"/>
    <w:link w:val="BalloonTextChar"/>
    <w:uiPriority w:val="99"/>
    <w:semiHidden/>
    <w:unhideWhenUsed/>
    <w:rsid w:val="004454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49C"/>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1649</Words>
  <Characters>941</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Nodokļu ieņēmumus 2014.-2016.gadam ietekmējošie nodokļu politikas pasākumi</dc:title>
  <dc:subject>MK sēdes protokollēmuma projekts</dc:subject>
  <dc:creator>Čakste Māra</dc:creator>
  <cp:keywords/>
  <dc:description>67095645, Mara.Cakste@fm.gov.lv</dc:description>
  <cp:lastModifiedBy>Sprūģe Veronika</cp:lastModifiedBy>
  <cp:revision>11</cp:revision>
  <cp:lastPrinted>2013-08-16T12:59:00Z</cp:lastPrinted>
  <dcterms:created xsi:type="dcterms:W3CDTF">2013-08-14T08:56:00Z</dcterms:created>
  <dcterms:modified xsi:type="dcterms:W3CDTF">2013-08-20T08:05:00Z</dcterms:modified>
</cp:coreProperties>
</file>