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F0" w:rsidRPr="00AA1CDC" w:rsidRDefault="002808F0" w:rsidP="002808F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Pr="00AA1CDC">
        <w:rPr>
          <w:sz w:val="28"/>
          <w:szCs w:val="28"/>
          <w:lang w:val="lv-LV"/>
        </w:rPr>
        <w:t xml:space="preserve">.pielikums LR </w:t>
      </w:r>
      <w:r>
        <w:rPr>
          <w:sz w:val="28"/>
          <w:szCs w:val="28"/>
          <w:lang w:val="lv-LV"/>
        </w:rPr>
        <w:t>ministru prezidenta</w:t>
      </w:r>
    </w:p>
    <w:p w:rsidR="002808F0" w:rsidRPr="00AA1CDC" w:rsidRDefault="002808F0" w:rsidP="002808F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__________ vēstulei </w:t>
      </w:r>
      <w:proofErr w:type="spellStart"/>
      <w:r>
        <w:rPr>
          <w:sz w:val="28"/>
          <w:szCs w:val="28"/>
          <w:lang w:val="lv-LV"/>
        </w:rPr>
        <w:t>Nr</w:t>
      </w:r>
      <w:proofErr w:type="spellEnd"/>
      <w:r>
        <w:rPr>
          <w:sz w:val="28"/>
          <w:szCs w:val="28"/>
          <w:lang w:val="lv-LV"/>
        </w:rPr>
        <w:t>. __________</w:t>
      </w:r>
    </w:p>
    <w:p w:rsidR="002808F0" w:rsidRDefault="002808F0" w:rsidP="002808F0">
      <w:pPr>
        <w:pStyle w:val="Title"/>
        <w:spacing w:before="240" w:line="288" w:lineRule="auto"/>
        <w:jc w:val="right"/>
        <w:rPr>
          <w:sz w:val="32"/>
        </w:rPr>
      </w:pPr>
    </w:p>
    <w:p w:rsidR="00AC3C1B" w:rsidRDefault="00AC3C1B">
      <w:pPr>
        <w:pStyle w:val="Title"/>
        <w:spacing w:before="240" w:line="288" w:lineRule="auto"/>
        <w:rPr>
          <w:sz w:val="32"/>
        </w:rPr>
      </w:pPr>
      <w:r>
        <w:rPr>
          <w:sz w:val="32"/>
        </w:rPr>
        <w:t>Finansēšanas aprēķina valsts budžeta un parāda saistību izpildes nodrošināšanai 201</w:t>
      </w:r>
      <w:r w:rsidR="00510904">
        <w:rPr>
          <w:sz w:val="32"/>
        </w:rPr>
        <w:t>1</w:t>
      </w:r>
      <w:r>
        <w:rPr>
          <w:sz w:val="32"/>
        </w:rPr>
        <w:t>.-201</w:t>
      </w:r>
      <w:r w:rsidR="00510904">
        <w:rPr>
          <w:sz w:val="32"/>
        </w:rPr>
        <w:t>2</w:t>
      </w:r>
      <w:r>
        <w:rPr>
          <w:sz w:val="32"/>
        </w:rPr>
        <w:t>.gadā pieņēmumi</w:t>
      </w:r>
    </w:p>
    <w:p w:rsidR="00AC3C1B" w:rsidRDefault="00AC3C1B">
      <w:pPr>
        <w:spacing w:before="120" w:after="120"/>
        <w:jc w:val="center"/>
        <w:rPr>
          <w:b/>
          <w:bCs/>
          <w:color w:val="FF0000"/>
          <w:sz w:val="28"/>
          <w:lang w:val="lv-LV"/>
        </w:rPr>
      </w:pPr>
      <w:r>
        <w:rPr>
          <w:b/>
          <w:bCs/>
          <w:color w:val="FF0000"/>
          <w:sz w:val="28"/>
          <w:lang w:val="lv-LV"/>
        </w:rPr>
        <w:t>(</w:t>
      </w:r>
      <w:r w:rsidR="00510904">
        <w:rPr>
          <w:b/>
          <w:bCs/>
          <w:color w:val="FF0000"/>
          <w:sz w:val="28"/>
          <w:lang w:val="lv-LV"/>
        </w:rPr>
        <w:t>0</w:t>
      </w:r>
      <w:r w:rsidR="002D6051">
        <w:rPr>
          <w:b/>
          <w:bCs/>
          <w:color w:val="FF0000"/>
          <w:sz w:val="28"/>
          <w:lang w:val="lv-LV"/>
        </w:rPr>
        <w:t>2</w:t>
      </w:r>
      <w:r w:rsidR="00510904">
        <w:rPr>
          <w:b/>
          <w:bCs/>
          <w:color w:val="FF0000"/>
          <w:sz w:val="28"/>
          <w:lang w:val="lv-LV"/>
        </w:rPr>
        <w:t>.06.2011</w:t>
      </w:r>
      <w:r>
        <w:rPr>
          <w:b/>
          <w:bCs/>
          <w:color w:val="FF0000"/>
          <w:sz w:val="28"/>
          <w:lang w:val="lv-LV"/>
        </w:rPr>
        <w:t>.)</w:t>
      </w:r>
    </w:p>
    <w:p w:rsidR="002362FC" w:rsidRPr="00A06139" w:rsidRDefault="002362FC" w:rsidP="004161EA">
      <w:pPr>
        <w:jc w:val="both"/>
        <w:rPr>
          <w:sz w:val="28"/>
          <w:szCs w:val="28"/>
          <w:lang w:val="lv-LV"/>
        </w:rPr>
      </w:pPr>
    </w:p>
    <w:p w:rsidR="00AC3C1B" w:rsidRPr="00A06139" w:rsidRDefault="00911952" w:rsidP="009F062D">
      <w:pPr>
        <w:numPr>
          <w:ilvl w:val="0"/>
          <w:numId w:val="2"/>
        </w:numPr>
        <w:ind w:left="357" w:hanging="357"/>
        <w:jc w:val="both"/>
        <w:rPr>
          <w:sz w:val="28"/>
          <w:szCs w:val="28"/>
          <w:lang w:val="lv-LV"/>
        </w:rPr>
      </w:pPr>
      <w:r w:rsidRPr="00A06139">
        <w:rPr>
          <w:sz w:val="28"/>
          <w:szCs w:val="28"/>
          <w:lang w:val="lv-LV"/>
        </w:rPr>
        <w:t>v</w:t>
      </w:r>
      <w:r w:rsidR="00AC3C1B" w:rsidRPr="00A06139">
        <w:rPr>
          <w:sz w:val="28"/>
          <w:szCs w:val="28"/>
          <w:lang w:val="lv-LV"/>
        </w:rPr>
        <w:t>alsts budžeta finansiālās bilances prognoze 201</w:t>
      </w:r>
      <w:r w:rsidR="00510904">
        <w:rPr>
          <w:sz w:val="28"/>
          <w:szCs w:val="28"/>
          <w:lang w:val="lv-LV"/>
        </w:rPr>
        <w:t>1</w:t>
      </w:r>
      <w:r w:rsidR="00AC3C1B" w:rsidRPr="00A06139">
        <w:rPr>
          <w:sz w:val="28"/>
          <w:szCs w:val="28"/>
          <w:lang w:val="lv-LV"/>
        </w:rPr>
        <w:t>.-201</w:t>
      </w:r>
      <w:r w:rsidR="00510904">
        <w:rPr>
          <w:sz w:val="28"/>
          <w:szCs w:val="28"/>
          <w:lang w:val="lv-LV"/>
        </w:rPr>
        <w:t>2</w:t>
      </w:r>
      <w:r w:rsidR="00AC3C1B" w:rsidRPr="00A06139">
        <w:rPr>
          <w:sz w:val="28"/>
          <w:szCs w:val="28"/>
          <w:lang w:val="lv-LV"/>
        </w:rPr>
        <w:t>.gadam:</w:t>
      </w:r>
    </w:p>
    <w:p w:rsidR="0059127D" w:rsidRPr="00A06139" w:rsidRDefault="0059127D" w:rsidP="004C5622">
      <w:pPr>
        <w:ind w:firstLine="360"/>
        <w:jc w:val="both"/>
        <w:rPr>
          <w:sz w:val="28"/>
          <w:szCs w:val="28"/>
          <w:lang w:val="lv-LV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</w:tblGrid>
      <w:tr w:rsidR="000B0739" w:rsidRPr="00A06139" w:rsidTr="00EA64D2">
        <w:trPr>
          <w:trHeight w:val="50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39" w:rsidRPr="00B116C2" w:rsidRDefault="000B073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0B0739" w:rsidRPr="00B116C2" w:rsidRDefault="000B0739" w:rsidP="005109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201</w:t>
            </w:r>
            <w:r w:rsidR="00510904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1</w:t>
            </w:r>
            <w:r w:rsidR="00EA64D2"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*</w:t>
            </w:r>
          </w:p>
        </w:tc>
        <w:tc>
          <w:tcPr>
            <w:tcW w:w="16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39" w:rsidRPr="00B116C2" w:rsidRDefault="000B0739" w:rsidP="00C0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201</w:t>
            </w:r>
            <w:r w:rsidR="00510904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</w:t>
            </w:r>
            <w:r w:rsidR="00AB3008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**</w:t>
            </w:r>
          </w:p>
        </w:tc>
      </w:tr>
      <w:tr w:rsidR="000B0739" w:rsidRPr="00A06139" w:rsidTr="000B0739">
        <w:trPr>
          <w:trHeight w:val="44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B0739" w:rsidRPr="00B116C2" w:rsidRDefault="000B0739" w:rsidP="000B0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color w:val="000000"/>
                <w:sz w:val="26"/>
                <w:szCs w:val="26"/>
                <w:lang w:val="lv-LV" w:eastAsia="lv-LV"/>
              </w:rPr>
              <w:t xml:space="preserve">IKP, </w:t>
            </w:r>
            <w:proofErr w:type="spellStart"/>
            <w:r w:rsidRPr="00B116C2">
              <w:rPr>
                <w:color w:val="000000"/>
                <w:sz w:val="26"/>
                <w:szCs w:val="26"/>
                <w:lang w:val="lv-LV" w:eastAsia="lv-LV"/>
              </w:rPr>
              <w:t>tūkst</w:t>
            </w:r>
            <w:proofErr w:type="spellEnd"/>
            <w:r w:rsidRPr="00B116C2">
              <w:rPr>
                <w:color w:val="000000"/>
                <w:sz w:val="26"/>
                <w:szCs w:val="26"/>
                <w:lang w:val="lv-LV" w:eastAsia="lv-LV"/>
              </w:rPr>
              <w:t>. latu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  <w:vAlign w:val="center"/>
          </w:tcPr>
          <w:p w:rsidR="000B0739" w:rsidRPr="00B116C2" w:rsidRDefault="00C0654F" w:rsidP="000B0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C0654F">
              <w:rPr>
                <w:color w:val="000000"/>
                <w:sz w:val="26"/>
                <w:szCs w:val="26"/>
                <w:lang w:val="lv-LV" w:eastAsia="lv-LV"/>
              </w:rPr>
              <w:t>13</w:t>
            </w:r>
            <w:r>
              <w:rPr>
                <w:color w:val="000000"/>
                <w:sz w:val="26"/>
                <w:szCs w:val="26"/>
                <w:lang w:val="lv-LV" w:eastAsia="lv-LV"/>
              </w:rPr>
              <w:t> </w:t>
            </w:r>
            <w:r w:rsidRPr="00C0654F">
              <w:rPr>
                <w:color w:val="000000"/>
                <w:sz w:val="26"/>
                <w:szCs w:val="26"/>
                <w:lang w:val="lv-LV" w:eastAsia="lv-LV"/>
              </w:rPr>
              <w:t>415</w:t>
            </w:r>
            <w:r>
              <w:rPr>
                <w:color w:val="000000"/>
                <w:sz w:val="26"/>
                <w:szCs w:val="26"/>
                <w:lang w:val="lv-LV" w:eastAsia="lv-LV"/>
              </w:rPr>
              <w:t xml:space="preserve"> </w:t>
            </w:r>
            <w:r w:rsidRPr="00C0654F">
              <w:rPr>
                <w:color w:val="000000"/>
                <w:sz w:val="26"/>
                <w:szCs w:val="26"/>
                <w:lang w:val="lv-LV" w:eastAsia="lv-LV"/>
              </w:rPr>
              <w:t>900</w:t>
            </w:r>
          </w:p>
        </w:tc>
        <w:tc>
          <w:tcPr>
            <w:tcW w:w="1620" w:type="dxa"/>
            <w:tcBorders>
              <w:top w:val="single" w:sz="6" w:space="0" w:color="auto"/>
              <w:left w:val="dotted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B0739" w:rsidRPr="00B116C2" w:rsidRDefault="00C0654F" w:rsidP="000B0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C0654F">
              <w:rPr>
                <w:color w:val="000000"/>
                <w:sz w:val="26"/>
                <w:szCs w:val="26"/>
                <w:lang w:val="lv-LV" w:eastAsia="lv-LV"/>
              </w:rPr>
              <w:t>14</w:t>
            </w:r>
            <w:r>
              <w:rPr>
                <w:color w:val="000000"/>
                <w:sz w:val="26"/>
                <w:szCs w:val="26"/>
                <w:lang w:val="lv-LV" w:eastAsia="lv-LV"/>
              </w:rPr>
              <w:t> </w:t>
            </w:r>
            <w:r w:rsidRPr="00C0654F">
              <w:rPr>
                <w:color w:val="000000"/>
                <w:sz w:val="26"/>
                <w:szCs w:val="26"/>
                <w:lang w:val="lv-LV" w:eastAsia="lv-LV"/>
              </w:rPr>
              <w:t>129</w:t>
            </w:r>
            <w:r>
              <w:rPr>
                <w:color w:val="000000"/>
                <w:sz w:val="26"/>
                <w:szCs w:val="26"/>
                <w:lang w:val="lv-LV" w:eastAsia="lv-LV"/>
              </w:rPr>
              <w:t xml:space="preserve"> </w:t>
            </w:r>
            <w:r w:rsidRPr="00C0654F">
              <w:rPr>
                <w:color w:val="000000"/>
                <w:sz w:val="26"/>
                <w:szCs w:val="26"/>
                <w:lang w:val="lv-LV" w:eastAsia="lv-LV"/>
              </w:rPr>
              <w:t>811</w:t>
            </w:r>
          </w:p>
        </w:tc>
      </w:tr>
      <w:tr w:rsidR="000B0739" w:rsidRPr="00A06139" w:rsidTr="000B0739">
        <w:trPr>
          <w:trHeight w:val="446"/>
        </w:trPr>
        <w:tc>
          <w:tcPr>
            <w:tcW w:w="45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39" w:rsidRPr="00B116C2" w:rsidRDefault="000B0739" w:rsidP="000B0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color w:val="000000"/>
                <w:sz w:val="26"/>
                <w:szCs w:val="26"/>
                <w:lang w:val="lv-LV" w:eastAsia="lv-LV"/>
              </w:rPr>
              <w:t>IKP izaugsmes temps (</w:t>
            </w:r>
            <w:proofErr w:type="spellStart"/>
            <w:r w:rsidRPr="00B116C2">
              <w:rPr>
                <w:color w:val="000000"/>
                <w:sz w:val="26"/>
                <w:szCs w:val="26"/>
                <w:lang w:val="lv-LV" w:eastAsia="lv-LV"/>
              </w:rPr>
              <w:t>salīdz.cenās</w:t>
            </w:r>
            <w:proofErr w:type="spellEnd"/>
            <w:r w:rsidRPr="00B116C2">
              <w:rPr>
                <w:color w:val="000000"/>
                <w:sz w:val="26"/>
                <w:szCs w:val="26"/>
                <w:lang w:val="lv-LV" w:eastAsia="lv-LV"/>
              </w:rPr>
              <w:t>,</w:t>
            </w:r>
            <w:r w:rsidR="006C44D4" w:rsidRPr="00B116C2">
              <w:rPr>
                <w:color w:val="000000"/>
                <w:sz w:val="26"/>
                <w:szCs w:val="26"/>
                <w:lang w:val="lv-LV" w:eastAsia="lv-LV"/>
              </w:rPr>
              <w:t> </w:t>
            </w:r>
            <w:r w:rsidRPr="00B116C2">
              <w:rPr>
                <w:color w:val="000000"/>
                <w:sz w:val="26"/>
                <w:szCs w:val="26"/>
                <w:lang w:val="lv-LV" w:eastAsia="lv-LV"/>
              </w:rPr>
              <w:t>%)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0B0739" w:rsidRPr="00B116C2" w:rsidRDefault="00C0654F" w:rsidP="000B0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>
              <w:rPr>
                <w:color w:val="000000"/>
                <w:sz w:val="26"/>
                <w:szCs w:val="26"/>
                <w:lang w:val="lv-LV" w:eastAsia="lv-LV"/>
              </w:rPr>
              <w:t>3,3</w:t>
            </w:r>
            <w:r w:rsidR="000B0739" w:rsidRPr="00B116C2">
              <w:rPr>
                <w:color w:val="000000"/>
                <w:sz w:val="26"/>
                <w:szCs w:val="26"/>
                <w:lang w:val="lv-LV" w:eastAsia="lv-LV"/>
              </w:rPr>
              <w:t>%</w:t>
            </w:r>
          </w:p>
        </w:tc>
        <w:tc>
          <w:tcPr>
            <w:tcW w:w="1620" w:type="dxa"/>
            <w:tcBorders>
              <w:top w:val="single" w:sz="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39" w:rsidRPr="00B116C2" w:rsidRDefault="00C0654F" w:rsidP="000B0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>
              <w:rPr>
                <w:color w:val="000000"/>
                <w:sz w:val="26"/>
                <w:szCs w:val="26"/>
                <w:lang w:val="lv-LV" w:eastAsia="lv-LV"/>
              </w:rPr>
              <w:t>4,0</w:t>
            </w:r>
            <w:r w:rsidR="000B0739" w:rsidRPr="00B116C2">
              <w:rPr>
                <w:color w:val="000000"/>
                <w:sz w:val="26"/>
                <w:szCs w:val="26"/>
                <w:lang w:val="lv-LV" w:eastAsia="lv-LV"/>
              </w:rPr>
              <w:t>%</w:t>
            </w:r>
          </w:p>
        </w:tc>
      </w:tr>
      <w:tr w:rsidR="000B0739" w:rsidRPr="00A06139" w:rsidTr="000B0739">
        <w:trPr>
          <w:trHeight w:val="44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B0739" w:rsidRPr="00B116C2" w:rsidRDefault="000B0739" w:rsidP="000B0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 xml:space="preserve">Valsts budžeta bilance, </w:t>
            </w:r>
            <w:proofErr w:type="spellStart"/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tūkst.latu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  <w:vAlign w:val="center"/>
          </w:tcPr>
          <w:p w:rsidR="000B0739" w:rsidRPr="00A17B2D" w:rsidRDefault="000B0739" w:rsidP="00A17B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A17B2D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-</w:t>
            </w:r>
            <w:r w:rsidR="00A17B2D" w:rsidRPr="00A17B2D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493 609</w:t>
            </w:r>
          </w:p>
        </w:tc>
        <w:tc>
          <w:tcPr>
            <w:tcW w:w="1620" w:type="dxa"/>
            <w:tcBorders>
              <w:top w:val="single" w:sz="6" w:space="0" w:color="auto"/>
              <w:left w:val="dotted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B0739" w:rsidRPr="00B116C2" w:rsidRDefault="000B0739" w:rsidP="00C0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-</w:t>
            </w:r>
            <w:r w:rsidR="00C0654F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353</w:t>
            </w: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 xml:space="preserve"> </w:t>
            </w:r>
            <w:r w:rsidR="00C0654F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245</w:t>
            </w:r>
          </w:p>
        </w:tc>
      </w:tr>
      <w:tr w:rsidR="000B0739" w:rsidRPr="00A06139" w:rsidTr="000B0739">
        <w:trPr>
          <w:trHeight w:val="446"/>
        </w:trPr>
        <w:tc>
          <w:tcPr>
            <w:tcW w:w="45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39" w:rsidRPr="00B116C2" w:rsidRDefault="000B0739" w:rsidP="000B0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Valsts budžeta bilance, % no IKP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0B0739" w:rsidRPr="00A17B2D" w:rsidRDefault="000B0739" w:rsidP="00A17B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A17B2D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-</w:t>
            </w:r>
            <w:r w:rsidR="00A17B2D" w:rsidRPr="00A17B2D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3,7</w:t>
            </w:r>
            <w:r w:rsidRPr="00A17B2D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%</w:t>
            </w:r>
          </w:p>
        </w:tc>
        <w:tc>
          <w:tcPr>
            <w:tcW w:w="1620" w:type="dxa"/>
            <w:tcBorders>
              <w:top w:val="single" w:sz="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39" w:rsidRPr="00B116C2" w:rsidRDefault="000B0739" w:rsidP="00C0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-</w:t>
            </w:r>
            <w:r w:rsidR="00C0654F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</w:t>
            </w:r>
            <w:r w:rsidR="00B279CD"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,5</w:t>
            </w: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%</w:t>
            </w:r>
          </w:p>
        </w:tc>
      </w:tr>
    </w:tbl>
    <w:p w:rsidR="004161EA" w:rsidRPr="00E577BD" w:rsidRDefault="004161EA" w:rsidP="00552252">
      <w:pPr>
        <w:jc w:val="both"/>
        <w:rPr>
          <w:i/>
          <w:sz w:val="28"/>
          <w:szCs w:val="28"/>
          <w:lang w:val="lv-LV"/>
        </w:rPr>
      </w:pPr>
    </w:p>
    <w:p w:rsidR="00552252" w:rsidRDefault="004161EA" w:rsidP="002362FC">
      <w:pPr>
        <w:spacing w:line="264" w:lineRule="auto"/>
        <w:jc w:val="both"/>
        <w:rPr>
          <w:i/>
          <w:lang w:val="lv-LV"/>
        </w:rPr>
      </w:pPr>
      <w:r w:rsidRPr="00E577BD">
        <w:rPr>
          <w:i/>
          <w:sz w:val="28"/>
          <w:szCs w:val="28"/>
          <w:lang w:val="lv-LV"/>
        </w:rPr>
        <w:t xml:space="preserve">  </w:t>
      </w:r>
      <w:r w:rsidR="00552252" w:rsidRPr="00335B58">
        <w:rPr>
          <w:i/>
          <w:lang w:val="lv-LV"/>
        </w:rPr>
        <w:t xml:space="preserve">* </w:t>
      </w:r>
      <w:r w:rsidR="00C0654F" w:rsidRPr="00335B58">
        <w:rPr>
          <w:i/>
          <w:lang w:val="lv-LV"/>
        </w:rPr>
        <w:t xml:space="preserve">plāns saskaņā ar </w:t>
      </w:r>
      <w:r w:rsidR="00A17B2D" w:rsidRPr="00335B58">
        <w:rPr>
          <w:i/>
          <w:lang w:val="lv-LV"/>
        </w:rPr>
        <w:t>likumu „Grozījumi likumā</w:t>
      </w:r>
      <w:r w:rsidR="00C0654F" w:rsidRPr="00335B58">
        <w:rPr>
          <w:i/>
          <w:lang w:val="lv-LV"/>
        </w:rPr>
        <w:t xml:space="preserve"> „Par valsts budžetu 2011.gadam”</w:t>
      </w:r>
      <w:r w:rsidR="00A17B2D" w:rsidRPr="00335B58">
        <w:rPr>
          <w:i/>
          <w:lang w:val="lv-LV"/>
        </w:rPr>
        <w:t>”</w:t>
      </w:r>
    </w:p>
    <w:p w:rsidR="00AB3008" w:rsidRPr="00AB556F" w:rsidRDefault="00AB3008" w:rsidP="002362FC">
      <w:pPr>
        <w:spacing w:line="264" w:lineRule="auto"/>
        <w:jc w:val="both"/>
        <w:rPr>
          <w:i/>
          <w:lang w:val="lv-LV"/>
        </w:rPr>
      </w:pPr>
      <w:r>
        <w:rPr>
          <w:i/>
          <w:lang w:val="lv-LV"/>
        </w:rPr>
        <w:t xml:space="preserve">** </w:t>
      </w:r>
      <w:r w:rsidRPr="00AB3008">
        <w:rPr>
          <w:i/>
          <w:lang w:val="lv-LV"/>
        </w:rPr>
        <w:t>i</w:t>
      </w:r>
      <w:r w:rsidR="002D6051">
        <w:rPr>
          <w:i/>
          <w:lang w:val="lv-LV"/>
        </w:rPr>
        <w:t>ndikatīvs novērtējums, prognoze</w:t>
      </w:r>
      <w:r w:rsidRPr="00AB3008">
        <w:rPr>
          <w:i/>
          <w:lang w:val="lv-LV"/>
        </w:rPr>
        <w:t xml:space="preserve"> tiks</w:t>
      </w:r>
      <w:r w:rsidR="002D6051">
        <w:rPr>
          <w:i/>
          <w:lang w:val="lv-LV"/>
        </w:rPr>
        <w:t xml:space="preserve"> precizēta</w:t>
      </w:r>
      <w:r w:rsidRPr="00AB3008">
        <w:rPr>
          <w:i/>
          <w:lang w:val="lv-LV"/>
        </w:rPr>
        <w:t xml:space="preserve"> likuma “Par valsts budžetu 201</w:t>
      </w:r>
      <w:r>
        <w:rPr>
          <w:i/>
          <w:lang w:val="lv-LV"/>
        </w:rPr>
        <w:t>2</w:t>
      </w:r>
      <w:r w:rsidRPr="00AB3008">
        <w:rPr>
          <w:i/>
          <w:lang w:val="lv-LV"/>
        </w:rPr>
        <w:t>.gadam” izstrādes procesā</w:t>
      </w:r>
    </w:p>
    <w:p w:rsidR="00F13731" w:rsidRPr="00A06139" w:rsidRDefault="00F13731" w:rsidP="00F13731">
      <w:pPr>
        <w:ind w:left="360"/>
        <w:jc w:val="both"/>
        <w:rPr>
          <w:i/>
          <w:sz w:val="28"/>
          <w:szCs w:val="28"/>
          <w:lang w:val="lv-LV"/>
        </w:rPr>
      </w:pPr>
    </w:p>
    <w:p w:rsidR="00AC3C1B" w:rsidRPr="00A06139" w:rsidRDefault="00AC3C1B">
      <w:pPr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A06139">
        <w:rPr>
          <w:sz w:val="28"/>
          <w:szCs w:val="28"/>
          <w:lang w:val="lv-LV"/>
        </w:rPr>
        <w:t>finansējamo valsts budžeta tīro aizdevumu novērtējums 201</w:t>
      </w:r>
      <w:r w:rsidR="00510904">
        <w:rPr>
          <w:sz w:val="28"/>
          <w:szCs w:val="28"/>
          <w:lang w:val="lv-LV"/>
        </w:rPr>
        <w:t>1</w:t>
      </w:r>
      <w:r w:rsidRPr="00A06139">
        <w:rPr>
          <w:sz w:val="28"/>
          <w:szCs w:val="28"/>
          <w:lang w:val="lv-LV"/>
        </w:rPr>
        <w:t>.-201</w:t>
      </w:r>
      <w:r w:rsidR="00510904">
        <w:rPr>
          <w:sz w:val="28"/>
          <w:szCs w:val="28"/>
          <w:lang w:val="lv-LV"/>
        </w:rPr>
        <w:t>2</w:t>
      </w:r>
      <w:r w:rsidRPr="00A06139">
        <w:rPr>
          <w:sz w:val="28"/>
          <w:szCs w:val="28"/>
          <w:lang w:val="lv-LV"/>
        </w:rPr>
        <w:t>.gadam:</w:t>
      </w:r>
    </w:p>
    <w:p w:rsidR="003C2F75" w:rsidRPr="00A06139" w:rsidRDefault="003C2F75" w:rsidP="00591FC3">
      <w:pPr>
        <w:ind w:firstLine="360"/>
        <w:jc w:val="both"/>
        <w:rPr>
          <w:sz w:val="28"/>
          <w:szCs w:val="28"/>
          <w:lang w:val="lv-LV"/>
        </w:rPr>
      </w:pPr>
    </w:p>
    <w:tbl>
      <w:tblPr>
        <w:tblpPr w:leftFromText="180" w:rightFromText="180" w:vertAnchor="text" w:horzAnchor="margin" w:tblpXSpec="center" w:tblpY="-29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1560"/>
        <w:gridCol w:w="1590"/>
      </w:tblGrid>
      <w:tr w:rsidR="00591FC3" w:rsidRPr="00A06139" w:rsidTr="003F158A">
        <w:trPr>
          <w:trHeight w:val="526"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C3" w:rsidRPr="00B116C2" w:rsidRDefault="007A6F1B" w:rsidP="007A6F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proofErr w:type="spellStart"/>
            <w:r w:rsidRPr="00B116C2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tūkst</w:t>
            </w:r>
            <w:proofErr w:type="spellEnd"/>
            <w:r w:rsidRPr="00B116C2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. latu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591FC3" w:rsidRPr="00B116C2" w:rsidRDefault="00591FC3" w:rsidP="005109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201</w:t>
            </w:r>
            <w:r w:rsidR="00510904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1</w:t>
            </w: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 xml:space="preserve"> </w:t>
            </w:r>
            <w:r w:rsidR="00EA64D2"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*</w:t>
            </w:r>
            <w:r w:rsidR="0056055C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*</w:t>
            </w:r>
            <w:r w:rsidR="00AB3008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*</w:t>
            </w:r>
          </w:p>
        </w:tc>
        <w:tc>
          <w:tcPr>
            <w:tcW w:w="15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FC3" w:rsidRDefault="00591FC3" w:rsidP="003F15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201</w:t>
            </w:r>
            <w:r w:rsidR="00510904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</w:t>
            </w:r>
          </w:p>
          <w:p w:rsidR="003F158A" w:rsidRPr="00B116C2" w:rsidRDefault="003F158A" w:rsidP="003F15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(indikatīvi)</w:t>
            </w:r>
          </w:p>
        </w:tc>
      </w:tr>
      <w:tr w:rsidR="00591FC3" w:rsidRPr="00A06139" w:rsidTr="003F158A">
        <w:trPr>
          <w:trHeight w:val="519"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FC3" w:rsidRPr="00B116C2" w:rsidRDefault="00591FC3" w:rsidP="00A26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color w:val="000000"/>
                <w:sz w:val="26"/>
                <w:szCs w:val="26"/>
                <w:lang w:val="lv-LV" w:eastAsia="lv-LV"/>
              </w:rPr>
              <w:t>Finansējamie tīrie aizdevumi (aizdevumi "mīnus" atmaksas)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591FC3" w:rsidRPr="00B116C2" w:rsidRDefault="003F158A" w:rsidP="003F1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>
              <w:rPr>
                <w:color w:val="000000"/>
                <w:sz w:val="26"/>
                <w:szCs w:val="26"/>
                <w:lang w:val="lv-LV" w:eastAsia="lv-LV"/>
              </w:rPr>
              <w:t>138</w:t>
            </w:r>
            <w:r w:rsidR="00014855" w:rsidRPr="00B116C2">
              <w:rPr>
                <w:color w:val="000000"/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color w:val="000000"/>
                <w:sz w:val="26"/>
                <w:szCs w:val="26"/>
                <w:lang w:val="lv-LV" w:eastAsia="lv-LV"/>
              </w:rPr>
              <w:t>551</w:t>
            </w:r>
          </w:p>
        </w:tc>
        <w:tc>
          <w:tcPr>
            <w:tcW w:w="15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FC3" w:rsidRPr="00B116C2" w:rsidRDefault="00591FC3" w:rsidP="003F15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color w:val="000000"/>
                <w:sz w:val="26"/>
                <w:szCs w:val="26"/>
                <w:lang w:val="lv-LV" w:eastAsia="lv-LV"/>
              </w:rPr>
              <w:t>1</w:t>
            </w:r>
            <w:r w:rsidR="003F158A">
              <w:rPr>
                <w:color w:val="000000"/>
                <w:sz w:val="26"/>
                <w:szCs w:val="26"/>
                <w:lang w:val="lv-LV" w:eastAsia="lv-LV"/>
              </w:rPr>
              <w:t>00</w:t>
            </w:r>
            <w:r w:rsidRPr="00B116C2">
              <w:rPr>
                <w:color w:val="000000"/>
                <w:sz w:val="26"/>
                <w:szCs w:val="26"/>
                <w:lang w:val="lv-LV" w:eastAsia="lv-LV"/>
              </w:rPr>
              <w:t xml:space="preserve"> 000</w:t>
            </w:r>
          </w:p>
        </w:tc>
      </w:tr>
    </w:tbl>
    <w:p w:rsidR="00552252" w:rsidRPr="00AB556F" w:rsidRDefault="00552252" w:rsidP="002362FC">
      <w:pPr>
        <w:spacing w:line="264" w:lineRule="auto"/>
        <w:jc w:val="both"/>
        <w:rPr>
          <w:i/>
          <w:lang w:val="lv-LV"/>
        </w:rPr>
      </w:pPr>
      <w:r w:rsidRPr="00AB556F">
        <w:rPr>
          <w:i/>
          <w:lang w:val="lv-LV"/>
        </w:rPr>
        <w:t xml:space="preserve">   *</w:t>
      </w:r>
      <w:r w:rsidR="0056055C">
        <w:rPr>
          <w:i/>
          <w:lang w:val="lv-LV"/>
        </w:rPr>
        <w:t>*</w:t>
      </w:r>
      <w:r w:rsidR="00AB3008">
        <w:rPr>
          <w:i/>
          <w:lang w:val="lv-LV"/>
        </w:rPr>
        <w:t>*</w:t>
      </w:r>
      <w:r w:rsidRPr="00AB556F">
        <w:rPr>
          <w:i/>
          <w:lang w:val="lv-LV"/>
        </w:rPr>
        <w:t xml:space="preserve"> 201</w:t>
      </w:r>
      <w:r w:rsidR="003F158A">
        <w:rPr>
          <w:i/>
          <w:lang w:val="lv-LV"/>
        </w:rPr>
        <w:t>1</w:t>
      </w:r>
      <w:r w:rsidRPr="00AB556F">
        <w:rPr>
          <w:i/>
          <w:lang w:val="lv-LV"/>
        </w:rPr>
        <w:t>.gad</w:t>
      </w:r>
      <w:r w:rsidR="00F04579" w:rsidRPr="00AB556F">
        <w:rPr>
          <w:i/>
          <w:lang w:val="lv-LV"/>
        </w:rPr>
        <w:t>a</w:t>
      </w:r>
      <w:r w:rsidRPr="00AB556F">
        <w:rPr>
          <w:i/>
          <w:lang w:val="lv-LV"/>
        </w:rPr>
        <w:t xml:space="preserve"> sagaidāmā izpilde</w:t>
      </w:r>
      <w:r w:rsidR="00D73346">
        <w:rPr>
          <w:i/>
          <w:lang w:val="lv-LV"/>
        </w:rPr>
        <w:t xml:space="preserve"> (Valsts kases prognoze)</w:t>
      </w:r>
    </w:p>
    <w:p w:rsidR="00552252" w:rsidRPr="00A06139" w:rsidRDefault="00552252" w:rsidP="00552252">
      <w:pPr>
        <w:jc w:val="both"/>
        <w:rPr>
          <w:sz w:val="28"/>
          <w:szCs w:val="28"/>
          <w:lang w:val="lv-LV"/>
        </w:rPr>
      </w:pPr>
    </w:p>
    <w:p w:rsidR="00312E3E" w:rsidRPr="00A06139" w:rsidRDefault="00AC3C1B" w:rsidP="006F4D10">
      <w:pPr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A06139">
        <w:rPr>
          <w:sz w:val="28"/>
          <w:szCs w:val="28"/>
          <w:lang w:val="lv-LV"/>
        </w:rPr>
        <w:t xml:space="preserve">līdz </w:t>
      </w:r>
      <w:r w:rsidR="003F158A">
        <w:rPr>
          <w:sz w:val="28"/>
          <w:szCs w:val="28"/>
          <w:lang w:val="lv-LV"/>
        </w:rPr>
        <w:t>0</w:t>
      </w:r>
      <w:r w:rsidR="004A2C63">
        <w:rPr>
          <w:sz w:val="28"/>
          <w:szCs w:val="28"/>
          <w:lang w:val="lv-LV"/>
        </w:rPr>
        <w:t>1</w:t>
      </w:r>
      <w:r w:rsidR="00BF680A" w:rsidRPr="00A06139">
        <w:rPr>
          <w:sz w:val="28"/>
          <w:szCs w:val="28"/>
          <w:lang w:val="lv-LV"/>
        </w:rPr>
        <w:t>.</w:t>
      </w:r>
      <w:r w:rsidR="003F158A">
        <w:rPr>
          <w:sz w:val="28"/>
          <w:szCs w:val="28"/>
          <w:lang w:val="lv-LV"/>
        </w:rPr>
        <w:t>06</w:t>
      </w:r>
      <w:r w:rsidRPr="00A06139">
        <w:rPr>
          <w:sz w:val="28"/>
          <w:szCs w:val="28"/>
          <w:lang w:val="lv-LV"/>
        </w:rPr>
        <w:t>.201</w:t>
      </w:r>
      <w:r w:rsidR="003F158A">
        <w:rPr>
          <w:sz w:val="28"/>
          <w:szCs w:val="28"/>
          <w:lang w:val="lv-LV"/>
        </w:rPr>
        <w:t>1</w:t>
      </w:r>
      <w:r w:rsidRPr="00A06139">
        <w:rPr>
          <w:sz w:val="28"/>
          <w:szCs w:val="28"/>
          <w:lang w:val="lv-LV"/>
        </w:rPr>
        <w:t>. uzņemto un prognozēto valsts parāda 201</w:t>
      </w:r>
      <w:r w:rsidR="00510904">
        <w:rPr>
          <w:sz w:val="28"/>
          <w:szCs w:val="28"/>
          <w:lang w:val="lv-LV"/>
        </w:rPr>
        <w:t>1</w:t>
      </w:r>
      <w:r w:rsidRPr="00A06139">
        <w:rPr>
          <w:sz w:val="28"/>
          <w:szCs w:val="28"/>
          <w:lang w:val="lv-LV"/>
        </w:rPr>
        <w:t>.-201</w:t>
      </w:r>
      <w:r w:rsidR="00510904">
        <w:rPr>
          <w:sz w:val="28"/>
          <w:szCs w:val="28"/>
          <w:lang w:val="lv-LV"/>
        </w:rPr>
        <w:t>2</w:t>
      </w:r>
      <w:r w:rsidRPr="00A06139">
        <w:rPr>
          <w:sz w:val="28"/>
          <w:szCs w:val="28"/>
          <w:lang w:val="lv-LV"/>
        </w:rPr>
        <w:t>.gadā atmaksājamo saistību apjoms:</w:t>
      </w:r>
    </w:p>
    <w:p w:rsidR="004161EA" w:rsidRPr="00A06139" w:rsidRDefault="004161EA" w:rsidP="004161EA">
      <w:pPr>
        <w:jc w:val="both"/>
        <w:rPr>
          <w:sz w:val="28"/>
          <w:szCs w:val="28"/>
          <w:lang w:val="lv-LV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6019"/>
        <w:gridCol w:w="1559"/>
        <w:gridCol w:w="1422"/>
      </w:tblGrid>
      <w:tr w:rsidR="003C2F75" w:rsidRPr="00A06139" w:rsidTr="00637063">
        <w:trPr>
          <w:trHeight w:val="434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75" w:rsidRPr="00B116C2" w:rsidRDefault="003C2F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</w:pPr>
            <w:proofErr w:type="spellStart"/>
            <w:r w:rsidRPr="00B116C2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tūkst</w:t>
            </w:r>
            <w:proofErr w:type="spellEnd"/>
            <w:r w:rsidRPr="00B116C2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. latu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3C2F75" w:rsidRPr="00B116C2" w:rsidRDefault="003C2F75" w:rsidP="005109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201</w:t>
            </w:r>
            <w:r w:rsidR="00510904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F75" w:rsidRPr="00B116C2" w:rsidRDefault="003C2F75" w:rsidP="005109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201</w:t>
            </w:r>
            <w:r w:rsidR="00510904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</w:t>
            </w:r>
          </w:p>
        </w:tc>
      </w:tr>
      <w:tr w:rsidR="003C2F75" w:rsidRPr="00A06139" w:rsidTr="00637063">
        <w:trPr>
          <w:trHeight w:val="622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2F75" w:rsidRPr="00B116C2" w:rsidRDefault="003C2F75" w:rsidP="004A2C6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 xml:space="preserve">   - faktiskā iekšējā parāda dzēšana</w:t>
            </w:r>
            <w:r w:rsidRPr="00B116C2">
              <w:rPr>
                <w:color w:val="000000"/>
                <w:sz w:val="26"/>
                <w:szCs w:val="26"/>
                <w:lang w:val="lv-LV" w:eastAsia="lv-LV"/>
              </w:rPr>
              <w:t xml:space="preserve"> (līdz </w:t>
            </w:r>
            <w:r w:rsidR="003F158A">
              <w:rPr>
                <w:color w:val="000000"/>
                <w:sz w:val="26"/>
                <w:szCs w:val="26"/>
                <w:lang w:val="lv-LV" w:eastAsia="lv-LV"/>
              </w:rPr>
              <w:t>0</w:t>
            </w:r>
            <w:r w:rsidR="004A2C63">
              <w:rPr>
                <w:color w:val="000000"/>
                <w:sz w:val="26"/>
                <w:szCs w:val="26"/>
                <w:lang w:val="lv-LV" w:eastAsia="lv-LV"/>
              </w:rPr>
              <w:t>1</w:t>
            </w:r>
            <w:r w:rsidR="003F158A">
              <w:rPr>
                <w:color w:val="000000"/>
                <w:sz w:val="26"/>
                <w:szCs w:val="26"/>
                <w:lang w:val="lv-LV" w:eastAsia="lv-LV"/>
              </w:rPr>
              <w:t>.06.2011</w:t>
            </w:r>
            <w:r w:rsidRPr="00B116C2">
              <w:rPr>
                <w:color w:val="000000"/>
                <w:sz w:val="26"/>
                <w:szCs w:val="26"/>
                <w:lang w:val="lv-LV" w:eastAsia="lv-LV"/>
              </w:rPr>
              <w:t>. uzņemtās saistības)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  <w:vAlign w:val="center"/>
          </w:tcPr>
          <w:p w:rsidR="003C2F75" w:rsidRPr="00A17B2D" w:rsidRDefault="00A17B2D" w:rsidP="004817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A17B2D">
              <w:rPr>
                <w:color w:val="000000"/>
                <w:sz w:val="26"/>
                <w:szCs w:val="26"/>
                <w:lang w:val="lv-LV" w:eastAsia="lv-LV"/>
              </w:rPr>
              <w:t>435 447</w:t>
            </w:r>
          </w:p>
        </w:tc>
        <w:tc>
          <w:tcPr>
            <w:tcW w:w="1422" w:type="dxa"/>
            <w:tcBorders>
              <w:top w:val="single" w:sz="6" w:space="0" w:color="auto"/>
              <w:left w:val="dotted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C2F75" w:rsidRPr="00A17B2D" w:rsidRDefault="00A17B2D" w:rsidP="004817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A17B2D">
              <w:rPr>
                <w:color w:val="000000"/>
                <w:sz w:val="26"/>
                <w:szCs w:val="26"/>
                <w:lang w:val="lv-LV" w:eastAsia="lv-LV"/>
              </w:rPr>
              <w:t>182 647</w:t>
            </w:r>
          </w:p>
        </w:tc>
      </w:tr>
      <w:tr w:rsidR="003C2F75" w:rsidRPr="00A06139" w:rsidTr="00637063">
        <w:trPr>
          <w:trHeight w:val="622"/>
        </w:trPr>
        <w:tc>
          <w:tcPr>
            <w:tcW w:w="60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2F75" w:rsidRPr="00B116C2" w:rsidRDefault="003C2F75" w:rsidP="003F15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 xml:space="preserve">   - prognozētā iekšējā parāda dzēšana </w:t>
            </w:r>
            <w:r w:rsidRPr="00B116C2">
              <w:rPr>
                <w:color w:val="000000"/>
                <w:sz w:val="26"/>
                <w:szCs w:val="26"/>
                <w:lang w:val="lv-LV" w:eastAsia="lv-LV"/>
              </w:rPr>
              <w:t>(</w:t>
            </w:r>
            <w:r w:rsidR="00D81C0D" w:rsidRPr="00B116C2">
              <w:rPr>
                <w:color w:val="000000"/>
                <w:sz w:val="26"/>
                <w:szCs w:val="26"/>
                <w:lang w:val="lv-LV" w:eastAsia="lv-LV"/>
              </w:rPr>
              <w:t>201</w:t>
            </w:r>
            <w:r w:rsidR="003F158A">
              <w:rPr>
                <w:color w:val="000000"/>
                <w:sz w:val="26"/>
                <w:szCs w:val="26"/>
                <w:lang w:val="lv-LV" w:eastAsia="lv-LV"/>
              </w:rPr>
              <w:t>1</w:t>
            </w:r>
            <w:r w:rsidR="00D81C0D" w:rsidRPr="00B116C2">
              <w:rPr>
                <w:color w:val="000000"/>
                <w:sz w:val="26"/>
                <w:szCs w:val="26"/>
                <w:lang w:val="lv-LV" w:eastAsia="lv-LV"/>
              </w:rPr>
              <w:t>.-201</w:t>
            </w:r>
            <w:r w:rsidR="003F158A">
              <w:rPr>
                <w:color w:val="000000"/>
                <w:sz w:val="26"/>
                <w:szCs w:val="26"/>
                <w:lang w:val="lv-LV" w:eastAsia="lv-LV"/>
              </w:rPr>
              <w:t>2</w:t>
            </w:r>
            <w:r w:rsidR="00D81C0D" w:rsidRPr="00B116C2">
              <w:rPr>
                <w:color w:val="000000"/>
                <w:sz w:val="26"/>
                <w:szCs w:val="26"/>
                <w:lang w:val="lv-LV" w:eastAsia="lv-LV"/>
              </w:rPr>
              <w:t>.gadā plānoto īstermiņa parādzīmju dzēšana</w:t>
            </w:r>
            <w:r w:rsidRPr="00B116C2">
              <w:rPr>
                <w:color w:val="000000"/>
                <w:sz w:val="26"/>
                <w:szCs w:val="26"/>
                <w:lang w:val="lv-LV" w:eastAsia="lv-LV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  <w:vAlign w:val="center"/>
          </w:tcPr>
          <w:p w:rsidR="003C2F75" w:rsidRPr="000A0C85" w:rsidRDefault="00637063" w:rsidP="000A0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0A0C85">
              <w:rPr>
                <w:color w:val="000000"/>
                <w:sz w:val="26"/>
                <w:szCs w:val="26"/>
                <w:lang w:val="lv-LV" w:eastAsia="lv-LV"/>
              </w:rPr>
              <w:t>1</w:t>
            </w:r>
            <w:r w:rsidR="000A0C85" w:rsidRPr="000A0C85">
              <w:rPr>
                <w:color w:val="000000"/>
                <w:sz w:val="26"/>
                <w:szCs w:val="26"/>
                <w:lang w:val="lv-LV" w:eastAsia="lv-LV"/>
              </w:rPr>
              <w:t>5</w:t>
            </w:r>
            <w:r w:rsidRPr="000A0C85">
              <w:rPr>
                <w:color w:val="000000"/>
                <w:sz w:val="26"/>
                <w:szCs w:val="26"/>
                <w:lang w:val="lv-LV" w:eastAsia="lv-LV"/>
              </w:rPr>
              <w:t xml:space="preserve"> 000</w:t>
            </w:r>
          </w:p>
        </w:tc>
        <w:tc>
          <w:tcPr>
            <w:tcW w:w="1422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C2F75" w:rsidRPr="000A0C85" w:rsidRDefault="00A17B2D" w:rsidP="004817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0A0C85">
              <w:rPr>
                <w:color w:val="000000"/>
                <w:sz w:val="26"/>
                <w:szCs w:val="26"/>
                <w:lang w:val="lv-LV" w:eastAsia="lv-LV"/>
              </w:rPr>
              <w:t>291 000</w:t>
            </w:r>
          </w:p>
        </w:tc>
      </w:tr>
      <w:tr w:rsidR="003C2F75" w:rsidRPr="00A06139" w:rsidTr="00637063">
        <w:trPr>
          <w:trHeight w:val="622"/>
        </w:trPr>
        <w:tc>
          <w:tcPr>
            <w:tcW w:w="60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75" w:rsidRPr="00B116C2" w:rsidRDefault="003C2F75" w:rsidP="004A2C6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 xml:space="preserve">   - faktiskā ārējā parāda dzēšana </w:t>
            </w:r>
            <w:r w:rsidRPr="00B116C2">
              <w:rPr>
                <w:color w:val="000000"/>
                <w:sz w:val="26"/>
                <w:szCs w:val="26"/>
                <w:lang w:val="lv-LV" w:eastAsia="lv-LV"/>
              </w:rPr>
              <w:t xml:space="preserve">(līdz </w:t>
            </w:r>
            <w:r w:rsidR="00252790">
              <w:rPr>
                <w:color w:val="000000"/>
                <w:sz w:val="26"/>
                <w:szCs w:val="26"/>
                <w:lang w:val="lv-LV" w:eastAsia="lv-LV"/>
              </w:rPr>
              <w:t>0</w:t>
            </w:r>
            <w:r w:rsidR="004A2C63">
              <w:rPr>
                <w:color w:val="000000"/>
                <w:sz w:val="26"/>
                <w:szCs w:val="26"/>
                <w:lang w:val="lv-LV" w:eastAsia="lv-LV"/>
              </w:rPr>
              <w:t>1</w:t>
            </w:r>
            <w:r w:rsidR="00252790">
              <w:rPr>
                <w:color w:val="000000"/>
                <w:sz w:val="26"/>
                <w:szCs w:val="26"/>
                <w:lang w:val="lv-LV" w:eastAsia="lv-LV"/>
              </w:rPr>
              <w:t>.06.2011</w:t>
            </w:r>
            <w:r w:rsidR="00252790" w:rsidRPr="00B116C2">
              <w:rPr>
                <w:color w:val="000000"/>
                <w:sz w:val="26"/>
                <w:szCs w:val="26"/>
                <w:lang w:val="lv-LV" w:eastAsia="lv-LV"/>
              </w:rPr>
              <w:t xml:space="preserve">. </w:t>
            </w:r>
            <w:r w:rsidRPr="00B116C2">
              <w:rPr>
                <w:color w:val="000000"/>
                <w:sz w:val="26"/>
                <w:szCs w:val="26"/>
                <w:lang w:val="lv-LV" w:eastAsia="lv-LV"/>
              </w:rPr>
              <w:t>uzņemtās saistības)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91AF5" w:rsidRPr="00A17B2D" w:rsidRDefault="00D91AF5" w:rsidP="00A17B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A17B2D">
              <w:rPr>
                <w:color w:val="000000"/>
                <w:sz w:val="26"/>
                <w:szCs w:val="26"/>
                <w:lang w:val="lv-LV" w:eastAsia="lv-LV"/>
              </w:rPr>
              <w:t>11 5</w:t>
            </w:r>
            <w:r w:rsidR="00A17B2D" w:rsidRPr="00A17B2D">
              <w:rPr>
                <w:color w:val="000000"/>
                <w:sz w:val="26"/>
                <w:szCs w:val="26"/>
                <w:lang w:val="lv-LV" w:eastAsia="lv-LV"/>
              </w:rPr>
              <w:t>74</w:t>
            </w:r>
          </w:p>
        </w:tc>
        <w:tc>
          <w:tcPr>
            <w:tcW w:w="1422" w:type="dxa"/>
            <w:tcBorders>
              <w:top w:val="single" w:sz="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F75" w:rsidRPr="00A17B2D" w:rsidRDefault="00A17B2D" w:rsidP="004817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A17B2D">
              <w:rPr>
                <w:color w:val="000000"/>
                <w:sz w:val="26"/>
                <w:szCs w:val="26"/>
                <w:lang w:val="lv-LV" w:eastAsia="lv-LV"/>
              </w:rPr>
              <w:t>239 513</w:t>
            </w:r>
          </w:p>
        </w:tc>
      </w:tr>
      <w:tr w:rsidR="003C2F75" w:rsidRPr="00A06139" w:rsidTr="00637063">
        <w:trPr>
          <w:trHeight w:val="322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F75" w:rsidRPr="00B116C2" w:rsidRDefault="003C2F75" w:rsidP="004817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KOPĀ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3C2F75" w:rsidRPr="00A17B2D" w:rsidRDefault="00A17B2D" w:rsidP="000A0C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A17B2D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4</w:t>
            </w:r>
            <w:r w:rsidR="000A0C85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62</w:t>
            </w:r>
            <w:r w:rsidRPr="00A17B2D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 xml:space="preserve"> 021</w:t>
            </w:r>
          </w:p>
        </w:tc>
        <w:tc>
          <w:tcPr>
            <w:tcW w:w="142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F75" w:rsidRPr="00A17B2D" w:rsidRDefault="00A17B2D" w:rsidP="004817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A17B2D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713 160</w:t>
            </w:r>
          </w:p>
        </w:tc>
      </w:tr>
    </w:tbl>
    <w:p w:rsidR="0046431E" w:rsidRDefault="0046431E" w:rsidP="0046431E">
      <w:pPr>
        <w:jc w:val="both"/>
        <w:rPr>
          <w:sz w:val="28"/>
          <w:szCs w:val="28"/>
          <w:lang w:val="lv-LV"/>
        </w:rPr>
      </w:pPr>
    </w:p>
    <w:p w:rsidR="00B45383" w:rsidRPr="00A06139" w:rsidRDefault="009F4BE3" w:rsidP="006F4D10">
      <w:pPr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A06139">
        <w:rPr>
          <w:sz w:val="28"/>
          <w:szCs w:val="28"/>
          <w:lang w:val="lv-LV"/>
        </w:rPr>
        <w:lastRenderedPageBreak/>
        <w:t xml:space="preserve">finansēšanas </w:t>
      </w:r>
      <w:r w:rsidR="00B45383" w:rsidRPr="00A06139">
        <w:rPr>
          <w:sz w:val="28"/>
          <w:szCs w:val="28"/>
          <w:lang w:val="lv-LV"/>
        </w:rPr>
        <w:t>pasākumi 201</w:t>
      </w:r>
      <w:r w:rsidR="00510904">
        <w:rPr>
          <w:sz w:val="28"/>
          <w:szCs w:val="28"/>
          <w:lang w:val="lv-LV"/>
        </w:rPr>
        <w:t>1</w:t>
      </w:r>
      <w:r w:rsidR="00B45383" w:rsidRPr="00A06139">
        <w:rPr>
          <w:sz w:val="28"/>
          <w:szCs w:val="28"/>
          <w:lang w:val="lv-LV"/>
        </w:rPr>
        <w:t>.</w:t>
      </w:r>
      <w:r w:rsidR="00FE64A4" w:rsidRPr="00A06139">
        <w:rPr>
          <w:sz w:val="28"/>
          <w:szCs w:val="28"/>
          <w:lang w:val="lv-LV"/>
        </w:rPr>
        <w:t>-</w:t>
      </w:r>
      <w:r w:rsidR="00B45383" w:rsidRPr="00A06139">
        <w:rPr>
          <w:sz w:val="28"/>
          <w:szCs w:val="28"/>
          <w:lang w:val="lv-LV"/>
        </w:rPr>
        <w:t>201</w:t>
      </w:r>
      <w:r w:rsidR="00510904">
        <w:rPr>
          <w:sz w:val="28"/>
          <w:szCs w:val="28"/>
          <w:lang w:val="lv-LV"/>
        </w:rPr>
        <w:t>2</w:t>
      </w:r>
      <w:r w:rsidR="00B45383" w:rsidRPr="00A06139">
        <w:rPr>
          <w:sz w:val="28"/>
          <w:szCs w:val="28"/>
          <w:lang w:val="lv-LV"/>
        </w:rPr>
        <w:t>.gadā:</w:t>
      </w:r>
    </w:p>
    <w:p w:rsidR="006F4D10" w:rsidRPr="00A06139" w:rsidRDefault="006F4D10" w:rsidP="006F4D10">
      <w:pPr>
        <w:jc w:val="both"/>
        <w:rPr>
          <w:sz w:val="28"/>
          <w:szCs w:val="28"/>
          <w:lang w:val="lv-LV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6120"/>
        <w:gridCol w:w="1440"/>
        <w:gridCol w:w="1440"/>
      </w:tblGrid>
      <w:tr w:rsidR="00390C43" w:rsidRPr="00A06139" w:rsidTr="00B116C2">
        <w:trPr>
          <w:trHeight w:val="43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3" w:rsidRPr="00B116C2" w:rsidRDefault="00390C4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</w:pPr>
            <w:proofErr w:type="spellStart"/>
            <w:r w:rsidRPr="00B116C2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tūkst</w:t>
            </w:r>
            <w:proofErr w:type="spellEnd"/>
            <w:r w:rsidRPr="00B116C2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. latu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390C43" w:rsidRPr="00B116C2" w:rsidRDefault="00390C43" w:rsidP="006370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201</w:t>
            </w:r>
            <w:r w:rsidR="00637063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43" w:rsidRPr="00B116C2" w:rsidRDefault="00390C43" w:rsidP="006370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201</w:t>
            </w:r>
            <w:r w:rsidR="00637063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</w:t>
            </w:r>
          </w:p>
        </w:tc>
      </w:tr>
      <w:tr w:rsidR="00390C43" w:rsidRPr="00A06139" w:rsidTr="00B116C2">
        <w:trPr>
          <w:trHeight w:val="34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0C43" w:rsidRPr="00B116C2" w:rsidRDefault="00806F18" w:rsidP="00B62AD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color w:val="000000"/>
                <w:sz w:val="26"/>
                <w:szCs w:val="26"/>
                <w:lang w:val="lv-LV" w:eastAsia="lv-LV"/>
              </w:rPr>
              <w:t>Valsts i</w:t>
            </w:r>
            <w:r w:rsidR="00390C43" w:rsidRPr="00B116C2">
              <w:rPr>
                <w:color w:val="000000"/>
                <w:sz w:val="26"/>
                <w:szCs w:val="26"/>
                <w:lang w:val="lv-LV" w:eastAsia="lv-LV"/>
              </w:rPr>
              <w:t>ekšējā aizņēmuma vērtspapīru emisija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  <w:vAlign w:val="center"/>
          </w:tcPr>
          <w:p w:rsidR="00390C43" w:rsidRPr="000A0C85" w:rsidRDefault="00A17B2D" w:rsidP="000A0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0A0C85">
              <w:rPr>
                <w:color w:val="000000"/>
                <w:sz w:val="26"/>
                <w:szCs w:val="26"/>
                <w:lang w:val="lv-LV" w:eastAsia="lv-LV"/>
              </w:rPr>
              <w:t>5</w:t>
            </w:r>
            <w:r w:rsidR="000A0C85" w:rsidRPr="000A0C85">
              <w:rPr>
                <w:color w:val="000000"/>
                <w:sz w:val="26"/>
                <w:szCs w:val="26"/>
                <w:lang w:val="lv-LV" w:eastAsia="lv-LV"/>
              </w:rPr>
              <w:t>50</w:t>
            </w:r>
            <w:r w:rsidRPr="000A0C85">
              <w:rPr>
                <w:color w:val="000000"/>
                <w:sz w:val="26"/>
                <w:szCs w:val="26"/>
                <w:lang w:val="lv-LV" w:eastAsia="lv-LV"/>
              </w:rPr>
              <w:t xml:space="preserve"> 310</w:t>
            </w:r>
          </w:p>
        </w:tc>
        <w:tc>
          <w:tcPr>
            <w:tcW w:w="1440" w:type="dxa"/>
            <w:tcBorders>
              <w:top w:val="single" w:sz="6" w:space="0" w:color="auto"/>
              <w:left w:val="dotted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0C43" w:rsidRPr="000A0C85" w:rsidRDefault="00A17B2D" w:rsidP="006D40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0A0C85">
              <w:rPr>
                <w:color w:val="000000"/>
                <w:sz w:val="26"/>
                <w:szCs w:val="26"/>
                <w:lang w:val="lv-LV" w:eastAsia="lv-LV"/>
              </w:rPr>
              <w:t>573 647</w:t>
            </w:r>
          </w:p>
        </w:tc>
      </w:tr>
      <w:tr w:rsidR="00390C43" w:rsidRPr="00A06139" w:rsidTr="00B116C2">
        <w:trPr>
          <w:trHeight w:val="360"/>
        </w:trPr>
        <w:tc>
          <w:tcPr>
            <w:tcW w:w="6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0C43" w:rsidRPr="00B116C2" w:rsidRDefault="00390C43" w:rsidP="00B62AD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color w:val="000000"/>
                <w:sz w:val="26"/>
                <w:szCs w:val="26"/>
                <w:lang w:val="lv-LV" w:eastAsia="lv-LV"/>
              </w:rPr>
              <w:t>Starptautiskā aizņēmuma programma *</w:t>
            </w:r>
            <w:r w:rsidR="00D81C0D" w:rsidRPr="00B116C2">
              <w:rPr>
                <w:color w:val="000000"/>
                <w:sz w:val="26"/>
                <w:szCs w:val="26"/>
                <w:lang w:val="lv-LV" w:eastAsia="lv-LV"/>
              </w:rPr>
              <w:t>**</w:t>
            </w:r>
            <w:r w:rsidR="00AB3008">
              <w:rPr>
                <w:color w:val="000000"/>
                <w:sz w:val="26"/>
                <w:szCs w:val="26"/>
                <w:lang w:val="lv-LV" w:eastAsia="lv-LV"/>
              </w:rPr>
              <w:t>*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  <w:vAlign w:val="center"/>
          </w:tcPr>
          <w:p w:rsidR="00390C43" w:rsidRPr="00A17B2D" w:rsidRDefault="004F23DD" w:rsidP="006D40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A17B2D">
              <w:rPr>
                <w:color w:val="000000"/>
                <w:sz w:val="26"/>
                <w:szCs w:val="26"/>
                <w:lang w:val="lv-LV" w:eastAsia="lv-LV"/>
              </w:rPr>
              <w:t>70 280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0C43" w:rsidRPr="00A17B2D" w:rsidRDefault="00390C43" w:rsidP="006D40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</w:p>
        </w:tc>
      </w:tr>
      <w:tr w:rsidR="00390C43" w:rsidRPr="00A06139" w:rsidTr="00B116C2">
        <w:trPr>
          <w:trHeight w:val="440"/>
        </w:trPr>
        <w:tc>
          <w:tcPr>
            <w:tcW w:w="61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43" w:rsidRPr="00B116C2" w:rsidRDefault="00390C43" w:rsidP="00B62AD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color w:val="000000"/>
                <w:sz w:val="26"/>
                <w:szCs w:val="26"/>
                <w:lang w:val="lv-LV" w:eastAsia="lv-LV"/>
              </w:rPr>
              <w:t>Iespējamie aizņēmumi starptautiskajos finanšu tirgos</w:t>
            </w:r>
            <w:r w:rsidR="00590AB7" w:rsidRPr="00B116C2">
              <w:rPr>
                <w:color w:val="000000"/>
                <w:sz w:val="26"/>
                <w:szCs w:val="26"/>
                <w:lang w:val="lv-LV" w:eastAsia="lv-LV"/>
              </w:rPr>
              <w:t xml:space="preserve"> (indikatīvi)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390C43" w:rsidRPr="00A17B2D" w:rsidRDefault="004F23DD" w:rsidP="00A17B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A17B2D">
              <w:rPr>
                <w:color w:val="000000"/>
                <w:sz w:val="26"/>
                <w:szCs w:val="26"/>
                <w:lang w:val="lv-LV" w:eastAsia="lv-LV"/>
              </w:rPr>
              <w:t xml:space="preserve">250 </w:t>
            </w:r>
            <w:r w:rsidR="00A17B2D" w:rsidRPr="00A17B2D">
              <w:rPr>
                <w:color w:val="000000"/>
                <w:sz w:val="26"/>
                <w:szCs w:val="26"/>
                <w:lang w:val="lv-LV" w:eastAsia="lv-LV"/>
              </w:rPr>
              <w:t>000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43" w:rsidRPr="00A17B2D" w:rsidRDefault="00A17B2D" w:rsidP="006D40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A17B2D">
              <w:rPr>
                <w:color w:val="000000"/>
                <w:sz w:val="26"/>
                <w:szCs w:val="26"/>
                <w:lang w:val="lv-LV" w:eastAsia="lv-LV"/>
              </w:rPr>
              <w:t>500</w:t>
            </w:r>
            <w:r w:rsidR="004F23DD" w:rsidRPr="00A17B2D">
              <w:rPr>
                <w:color w:val="000000"/>
                <w:sz w:val="26"/>
                <w:szCs w:val="26"/>
                <w:lang w:val="lv-LV" w:eastAsia="lv-LV"/>
              </w:rPr>
              <w:t xml:space="preserve"> 000</w:t>
            </w:r>
          </w:p>
        </w:tc>
      </w:tr>
      <w:tr w:rsidR="00390C43" w:rsidRPr="00A06139" w:rsidTr="00B116C2">
        <w:trPr>
          <w:trHeight w:val="3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43" w:rsidRPr="00B116C2" w:rsidRDefault="00390C43" w:rsidP="006D40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KOPĀ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390C43" w:rsidRPr="00B116C2" w:rsidRDefault="00A17B2D" w:rsidP="000A0C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8</w:t>
            </w:r>
            <w:r w:rsidR="000A0C85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70</w:t>
            </w:r>
            <w:r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 xml:space="preserve"> 591</w:t>
            </w:r>
          </w:p>
        </w:tc>
        <w:tc>
          <w:tcPr>
            <w:tcW w:w="144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43" w:rsidRPr="00B116C2" w:rsidRDefault="00390C43" w:rsidP="00A17B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 xml:space="preserve">1 </w:t>
            </w:r>
            <w:r w:rsidR="00F7389F"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0</w:t>
            </w:r>
            <w:r w:rsidR="00A17B2D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73</w:t>
            </w:r>
            <w:r w:rsidRPr="00B116C2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 xml:space="preserve"> </w:t>
            </w:r>
            <w:r w:rsidR="00A17B2D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647</w:t>
            </w:r>
          </w:p>
        </w:tc>
      </w:tr>
    </w:tbl>
    <w:p w:rsidR="001E4A3F" w:rsidRPr="00E577BD" w:rsidRDefault="001E4A3F" w:rsidP="00FE64A4">
      <w:pPr>
        <w:jc w:val="both"/>
        <w:rPr>
          <w:i/>
          <w:lang w:val="lv-LV"/>
        </w:rPr>
      </w:pPr>
    </w:p>
    <w:p w:rsidR="00B45383" w:rsidRPr="00AB556F" w:rsidRDefault="00FE64A4" w:rsidP="00FE64A4">
      <w:pPr>
        <w:jc w:val="both"/>
        <w:rPr>
          <w:i/>
          <w:lang w:val="lv-LV"/>
        </w:rPr>
      </w:pPr>
      <w:r w:rsidRPr="00AB556F">
        <w:rPr>
          <w:i/>
          <w:lang w:val="lv-LV"/>
        </w:rPr>
        <w:t>*</w:t>
      </w:r>
      <w:r w:rsidR="00EA64D2" w:rsidRPr="00AB556F">
        <w:rPr>
          <w:i/>
          <w:lang w:val="lv-LV"/>
        </w:rPr>
        <w:t>**</w:t>
      </w:r>
      <w:r w:rsidR="00AB3008">
        <w:rPr>
          <w:i/>
          <w:lang w:val="lv-LV"/>
        </w:rPr>
        <w:t>*</w:t>
      </w:r>
      <w:r w:rsidRPr="00AB556F">
        <w:rPr>
          <w:i/>
          <w:lang w:val="lv-LV"/>
        </w:rPr>
        <w:t xml:space="preserve"> </w:t>
      </w:r>
      <w:r w:rsidR="005B551C" w:rsidRPr="00AB556F">
        <w:rPr>
          <w:i/>
          <w:lang w:val="lv-LV"/>
        </w:rPr>
        <w:t xml:space="preserve">turpmāk starptautiskā aizņēmuma programmas ietvaros pieejamie aizdevumi, izņemot </w:t>
      </w:r>
      <w:r w:rsidR="00B45383" w:rsidRPr="00AB556F">
        <w:rPr>
          <w:i/>
          <w:lang w:val="lv-LV"/>
        </w:rPr>
        <w:t xml:space="preserve">Pasaules Bankas </w:t>
      </w:r>
      <w:r w:rsidR="005B551C" w:rsidRPr="00AB556F">
        <w:rPr>
          <w:i/>
          <w:lang w:val="lv-LV"/>
        </w:rPr>
        <w:t xml:space="preserve">aizdevumu </w:t>
      </w:r>
      <w:r w:rsidR="00001279" w:rsidRPr="00AB556F">
        <w:rPr>
          <w:i/>
          <w:lang w:val="lv-LV"/>
        </w:rPr>
        <w:t>1</w:t>
      </w:r>
      <w:r w:rsidR="00591FC3" w:rsidRPr="00AB556F">
        <w:rPr>
          <w:i/>
          <w:lang w:val="lv-LV"/>
        </w:rPr>
        <w:t xml:space="preserve">00 </w:t>
      </w:r>
      <w:proofErr w:type="spellStart"/>
      <w:r w:rsidR="00591FC3" w:rsidRPr="00AB556F">
        <w:rPr>
          <w:i/>
          <w:lang w:val="lv-LV"/>
        </w:rPr>
        <w:t>milj.EUR</w:t>
      </w:r>
      <w:proofErr w:type="spellEnd"/>
      <w:r w:rsidR="00591FC3" w:rsidRPr="00AB556F">
        <w:rPr>
          <w:i/>
          <w:lang w:val="lv-LV"/>
        </w:rPr>
        <w:t xml:space="preserve"> apmērā</w:t>
      </w:r>
      <w:r w:rsidR="005B551C" w:rsidRPr="00AB556F">
        <w:rPr>
          <w:i/>
          <w:lang w:val="lv-LV"/>
        </w:rPr>
        <w:t>, tiek aizstāti ar aizņemšanās iespēju</w:t>
      </w:r>
    </w:p>
    <w:p w:rsidR="001E4A3F" w:rsidRPr="00A06139" w:rsidRDefault="001E4A3F" w:rsidP="00CD55DA">
      <w:pPr>
        <w:spacing w:line="312" w:lineRule="auto"/>
        <w:jc w:val="both"/>
        <w:rPr>
          <w:sz w:val="28"/>
          <w:szCs w:val="28"/>
          <w:lang w:val="lv-LV"/>
        </w:rPr>
      </w:pPr>
    </w:p>
    <w:p w:rsidR="00312E3E" w:rsidRPr="00830BBE" w:rsidRDefault="008E6E68" w:rsidP="00830BBE">
      <w:pPr>
        <w:numPr>
          <w:ilvl w:val="0"/>
          <w:numId w:val="2"/>
        </w:numPr>
        <w:spacing w:after="120"/>
        <w:ind w:left="357" w:hanging="357"/>
        <w:jc w:val="both"/>
        <w:rPr>
          <w:sz w:val="28"/>
          <w:szCs w:val="28"/>
          <w:lang w:val="lv-LV"/>
        </w:rPr>
      </w:pPr>
      <w:r w:rsidRPr="00830BBE">
        <w:rPr>
          <w:sz w:val="28"/>
          <w:szCs w:val="28"/>
          <w:lang w:val="lv-LV"/>
        </w:rPr>
        <w:t xml:space="preserve">Saskaņā ar noslēgtām vienošanām </w:t>
      </w:r>
      <w:r w:rsidR="006F31A7" w:rsidRPr="00830BBE">
        <w:rPr>
          <w:sz w:val="28"/>
          <w:szCs w:val="28"/>
          <w:lang w:val="lv-LV"/>
        </w:rPr>
        <w:t>starptautiskā aizņēmuma p</w:t>
      </w:r>
      <w:r w:rsidRPr="00830BBE">
        <w:rPr>
          <w:sz w:val="28"/>
          <w:szCs w:val="28"/>
          <w:lang w:val="lv-LV"/>
        </w:rPr>
        <w:t>rogramma</w:t>
      </w:r>
      <w:r w:rsidR="00F0085A" w:rsidRPr="00830BBE">
        <w:rPr>
          <w:sz w:val="28"/>
          <w:szCs w:val="28"/>
          <w:lang w:val="lv-LV"/>
        </w:rPr>
        <w:t>s finansējums</w:t>
      </w:r>
      <w:r w:rsidRPr="00830BBE">
        <w:rPr>
          <w:sz w:val="28"/>
          <w:szCs w:val="28"/>
          <w:lang w:val="lv-LV"/>
        </w:rPr>
        <w:t xml:space="preserve"> paredzēt</w:t>
      </w:r>
      <w:r w:rsidR="00F0085A" w:rsidRPr="00830BBE">
        <w:rPr>
          <w:sz w:val="28"/>
          <w:szCs w:val="28"/>
          <w:lang w:val="lv-LV"/>
        </w:rPr>
        <w:t>s</w:t>
      </w:r>
      <w:r w:rsidRPr="00830BBE">
        <w:rPr>
          <w:sz w:val="28"/>
          <w:szCs w:val="28"/>
          <w:lang w:val="lv-LV"/>
        </w:rPr>
        <w:t xml:space="preserve"> valsts budžeta saistību finansēšanai (</w:t>
      </w:r>
      <w:proofErr w:type="spellStart"/>
      <w:r w:rsidRPr="00830BBE">
        <w:rPr>
          <w:sz w:val="28"/>
          <w:szCs w:val="28"/>
          <w:lang w:val="lv-LV"/>
        </w:rPr>
        <w:t>t.sk</w:t>
      </w:r>
      <w:proofErr w:type="spellEnd"/>
      <w:r w:rsidRPr="00830BBE">
        <w:rPr>
          <w:sz w:val="28"/>
          <w:szCs w:val="28"/>
          <w:lang w:val="lv-LV"/>
        </w:rPr>
        <w:t>. valsts budžeta deficīta un aizdevumu finansēšanai, valsts parāda pārfinansēšanai) un finanšu sektora stabilitātes nodrošināšanai.</w:t>
      </w:r>
      <w:r w:rsidR="00312E3E" w:rsidRPr="00830BBE">
        <w:rPr>
          <w:sz w:val="28"/>
          <w:szCs w:val="28"/>
          <w:lang w:val="lv-LV"/>
        </w:rPr>
        <w:t xml:space="preserve"> </w:t>
      </w:r>
      <w:r w:rsidR="00830BBE" w:rsidRPr="00830BBE">
        <w:rPr>
          <w:sz w:val="28"/>
          <w:szCs w:val="28"/>
          <w:lang w:val="lv-LV"/>
        </w:rPr>
        <w:t>S</w:t>
      </w:r>
      <w:r w:rsidR="00312E3E" w:rsidRPr="00830BBE">
        <w:rPr>
          <w:sz w:val="28"/>
          <w:szCs w:val="28"/>
          <w:lang w:val="lv-LV"/>
        </w:rPr>
        <w:t>aņemto aizdevumu resursu atlikum</w:t>
      </w:r>
      <w:r w:rsidR="00830BBE" w:rsidRPr="00830BBE">
        <w:rPr>
          <w:sz w:val="28"/>
          <w:szCs w:val="28"/>
          <w:lang w:val="lv-LV"/>
        </w:rPr>
        <w:t>i</w:t>
      </w:r>
      <w:r w:rsidR="00312E3E" w:rsidRPr="00830BBE">
        <w:rPr>
          <w:sz w:val="28"/>
          <w:szCs w:val="28"/>
          <w:lang w:val="lv-LV"/>
        </w:rPr>
        <w:t xml:space="preserve"> </w:t>
      </w:r>
      <w:r w:rsidR="00830BBE">
        <w:rPr>
          <w:sz w:val="28"/>
          <w:szCs w:val="28"/>
          <w:lang w:val="lv-LV"/>
        </w:rPr>
        <w:t xml:space="preserve">atrodas </w:t>
      </w:r>
      <w:r w:rsidR="00312E3E" w:rsidRPr="00830BBE">
        <w:rPr>
          <w:sz w:val="28"/>
          <w:szCs w:val="28"/>
          <w:lang w:val="lv-LV"/>
        </w:rPr>
        <w:t>Valsts kases kontos Latvijas Bankā</w:t>
      </w:r>
      <w:r w:rsidR="00830BBE">
        <w:rPr>
          <w:sz w:val="28"/>
          <w:szCs w:val="28"/>
          <w:lang w:val="lv-LV"/>
        </w:rPr>
        <w:t xml:space="preserve"> un</w:t>
      </w:r>
      <w:r w:rsidR="00312E3E" w:rsidRPr="00830BBE">
        <w:rPr>
          <w:sz w:val="28"/>
          <w:szCs w:val="28"/>
          <w:lang w:val="lv-LV"/>
        </w:rPr>
        <w:t xml:space="preserve"> </w:t>
      </w:r>
      <w:r w:rsidR="00830BBE" w:rsidRPr="00830BBE">
        <w:rPr>
          <w:sz w:val="28"/>
          <w:szCs w:val="28"/>
          <w:lang w:val="lv-LV"/>
        </w:rPr>
        <w:t>tiek izvietoti</w:t>
      </w:r>
      <w:r w:rsidR="00312E3E" w:rsidRPr="00830BBE">
        <w:rPr>
          <w:sz w:val="28"/>
          <w:szCs w:val="28"/>
          <w:lang w:val="lv-LV"/>
        </w:rPr>
        <w:t xml:space="preserve"> termiņnoguldījumos Latvijas Bankā, nodrošinot </w:t>
      </w:r>
      <w:r w:rsidR="00830BBE" w:rsidRPr="00830BBE">
        <w:rPr>
          <w:sz w:val="28"/>
          <w:szCs w:val="28"/>
          <w:lang w:val="lv-LV"/>
        </w:rPr>
        <w:t>šo</w:t>
      </w:r>
      <w:r w:rsidR="00312E3E" w:rsidRPr="00830BBE">
        <w:rPr>
          <w:sz w:val="28"/>
          <w:szCs w:val="28"/>
          <w:lang w:val="lv-LV"/>
        </w:rPr>
        <w:t xml:space="preserve"> resurs</w:t>
      </w:r>
      <w:r w:rsidR="00830BBE" w:rsidRPr="00830BBE">
        <w:rPr>
          <w:sz w:val="28"/>
          <w:szCs w:val="28"/>
          <w:lang w:val="lv-LV"/>
        </w:rPr>
        <w:t>u</w:t>
      </w:r>
      <w:r w:rsidR="00312E3E" w:rsidRPr="00830BBE">
        <w:rPr>
          <w:sz w:val="28"/>
          <w:szCs w:val="28"/>
          <w:lang w:val="lv-LV"/>
        </w:rPr>
        <w:t xml:space="preserve"> </w:t>
      </w:r>
      <w:r w:rsidR="00830BBE" w:rsidRPr="00830BBE">
        <w:rPr>
          <w:sz w:val="28"/>
          <w:szCs w:val="28"/>
          <w:lang w:val="lv-LV"/>
        </w:rPr>
        <w:t xml:space="preserve">pieejamību </w:t>
      </w:r>
      <w:r w:rsidR="00DE66CB" w:rsidRPr="00830BBE">
        <w:rPr>
          <w:sz w:val="28"/>
          <w:szCs w:val="28"/>
          <w:lang w:val="lv-LV"/>
        </w:rPr>
        <w:t>starptautiskā aizņēmuma programmas</w:t>
      </w:r>
      <w:r w:rsidR="00312E3E" w:rsidRPr="00830BBE">
        <w:rPr>
          <w:sz w:val="28"/>
          <w:szCs w:val="28"/>
          <w:lang w:val="lv-LV"/>
        </w:rPr>
        <w:t xml:space="preserve"> galveno mērķu, kas vērsti uz valsts makroekonomiskās un finanšu stabilitātes nodrošināšanu, sasniegšanai.</w:t>
      </w:r>
    </w:p>
    <w:p w:rsidR="00D9667C" w:rsidRDefault="00D9667C" w:rsidP="00B116C2">
      <w:pPr>
        <w:numPr>
          <w:ilvl w:val="0"/>
          <w:numId w:val="2"/>
        </w:numPr>
        <w:ind w:left="357" w:hanging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Ceturtās pārskata misijas ietvaros panākta vienošanās par finanšu sektora  </w:t>
      </w:r>
      <w:r w:rsidRPr="00577070">
        <w:rPr>
          <w:sz w:val="28"/>
          <w:szCs w:val="28"/>
          <w:lang w:val="lv-LV"/>
        </w:rPr>
        <w:t>stabilizācijas pasākumiem rezervēto resursu</w:t>
      </w:r>
      <w:r>
        <w:rPr>
          <w:sz w:val="28"/>
          <w:szCs w:val="28"/>
          <w:lang w:val="lv-LV"/>
        </w:rPr>
        <w:t xml:space="preserve"> </w:t>
      </w:r>
      <w:r w:rsidR="00D74A40" w:rsidRPr="00577070">
        <w:rPr>
          <w:sz w:val="28"/>
          <w:szCs w:val="28"/>
          <w:lang w:val="lv-LV"/>
        </w:rPr>
        <w:t xml:space="preserve">~456 </w:t>
      </w:r>
      <w:proofErr w:type="spellStart"/>
      <w:r w:rsidR="00D74A40" w:rsidRPr="00577070">
        <w:rPr>
          <w:sz w:val="28"/>
          <w:szCs w:val="28"/>
          <w:lang w:val="lv-LV"/>
        </w:rPr>
        <w:t>milj.latu</w:t>
      </w:r>
      <w:proofErr w:type="spellEnd"/>
      <w:r w:rsidR="00D74A40" w:rsidRPr="00577070">
        <w:rPr>
          <w:sz w:val="28"/>
          <w:szCs w:val="28"/>
          <w:lang w:val="lv-LV"/>
        </w:rPr>
        <w:t xml:space="preserve"> apmērā</w:t>
      </w:r>
      <w:r w:rsidR="00D74A40">
        <w:rPr>
          <w:sz w:val="28"/>
          <w:szCs w:val="28"/>
          <w:lang w:val="lv-LV"/>
        </w:rPr>
        <w:t xml:space="preserve"> pakāpenisku novirzīšanu</w:t>
      </w:r>
      <w:r w:rsidR="00D74A40" w:rsidRPr="00D74A40">
        <w:rPr>
          <w:sz w:val="28"/>
          <w:szCs w:val="28"/>
          <w:lang w:val="lv-LV"/>
        </w:rPr>
        <w:t xml:space="preserve"> </w:t>
      </w:r>
      <w:r w:rsidR="00D74A40">
        <w:rPr>
          <w:sz w:val="28"/>
          <w:szCs w:val="28"/>
          <w:lang w:val="lv-LV"/>
        </w:rPr>
        <w:t xml:space="preserve">valsts budžeta saistību finansēšanai, pamatojoties uz </w:t>
      </w:r>
      <w:r w:rsidR="00D74A40" w:rsidRPr="00577070">
        <w:rPr>
          <w:sz w:val="28"/>
          <w:szCs w:val="28"/>
          <w:lang w:val="lv-LV"/>
        </w:rPr>
        <w:t>progresu finanšu sistēmas stabilizācijā</w:t>
      </w:r>
      <w:r w:rsidR="00D74A40">
        <w:rPr>
          <w:sz w:val="28"/>
          <w:szCs w:val="28"/>
          <w:lang w:val="lv-LV"/>
        </w:rPr>
        <w:t xml:space="preserve"> – </w:t>
      </w:r>
      <w:r w:rsidR="00D74A40" w:rsidRPr="00577070">
        <w:rPr>
          <w:sz w:val="28"/>
          <w:szCs w:val="28"/>
          <w:lang w:val="lv-LV"/>
        </w:rPr>
        <w:t>būtiskāko</w:t>
      </w:r>
      <w:r w:rsidR="00D74A40">
        <w:rPr>
          <w:sz w:val="28"/>
          <w:szCs w:val="28"/>
          <w:lang w:val="lv-LV"/>
        </w:rPr>
        <w:t xml:space="preserve"> </w:t>
      </w:r>
      <w:r w:rsidR="00D74A40" w:rsidRPr="00577070">
        <w:rPr>
          <w:sz w:val="28"/>
          <w:szCs w:val="28"/>
          <w:lang w:val="lv-LV"/>
        </w:rPr>
        <w:t>lēmumu pieņemšanu Parex banka</w:t>
      </w:r>
      <w:r w:rsidR="00D74A40">
        <w:rPr>
          <w:sz w:val="28"/>
          <w:szCs w:val="28"/>
          <w:lang w:val="lv-LV"/>
        </w:rPr>
        <w:t>s</w:t>
      </w:r>
      <w:r w:rsidR="00D74A40" w:rsidRPr="00577070">
        <w:rPr>
          <w:sz w:val="28"/>
          <w:szCs w:val="28"/>
          <w:lang w:val="lv-LV"/>
        </w:rPr>
        <w:t xml:space="preserve"> restrukturizācijas plāna izpildē, Citadeles bankas pārdošanas stratēģijas pieņemšanā un realizācijā un Latvijas Hipotēku un zemes bankas pārve</w:t>
      </w:r>
      <w:r w:rsidR="004A2C63">
        <w:rPr>
          <w:sz w:val="28"/>
          <w:szCs w:val="28"/>
          <w:lang w:val="lv-LV"/>
        </w:rPr>
        <w:t xml:space="preserve">ides plāna </w:t>
      </w:r>
      <w:r w:rsidR="005A3C2D">
        <w:rPr>
          <w:sz w:val="28"/>
          <w:szCs w:val="28"/>
          <w:lang w:val="lv-LV"/>
        </w:rPr>
        <w:t>iesniegšanu Eiropas Komisijā</w:t>
      </w:r>
      <w:r w:rsidR="00BC76CE">
        <w:rPr>
          <w:sz w:val="28"/>
          <w:szCs w:val="28"/>
          <w:lang w:val="lv-LV"/>
        </w:rPr>
        <w:t xml:space="preserve">, Latvijas Hipotēku un zemes bankas </w:t>
      </w:r>
      <w:proofErr w:type="spellStart"/>
      <w:r w:rsidR="00BC76CE">
        <w:rPr>
          <w:sz w:val="28"/>
          <w:szCs w:val="28"/>
          <w:lang w:val="lv-LV"/>
        </w:rPr>
        <w:t>komercdaļas</w:t>
      </w:r>
      <w:proofErr w:type="spellEnd"/>
      <w:r w:rsidR="00BC76CE">
        <w:rPr>
          <w:sz w:val="28"/>
          <w:szCs w:val="28"/>
          <w:lang w:val="lv-LV"/>
        </w:rPr>
        <w:t xml:space="preserve"> pārdošanas stratēģijas iesniegšanu Eiropas Komisijā</w:t>
      </w:r>
      <w:r w:rsidR="005A3C2D">
        <w:rPr>
          <w:sz w:val="28"/>
          <w:szCs w:val="28"/>
          <w:lang w:val="lv-LV"/>
        </w:rPr>
        <w:t xml:space="preserve"> </w:t>
      </w:r>
      <w:r w:rsidR="004A2C63">
        <w:rPr>
          <w:sz w:val="28"/>
          <w:szCs w:val="28"/>
          <w:lang w:val="lv-LV"/>
        </w:rPr>
        <w:t xml:space="preserve">un </w:t>
      </w:r>
      <w:r w:rsidR="00BC76CE">
        <w:rPr>
          <w:sz w:val="28"/>
          <w:szCs w:val="28"/>
          <w:lang w:val="lv-LV"/>
        </w:rPr>
        <w:t xml:space="preserve">progresu to </w:t>
      </w:r>
      <w:r w:rsidR="005A3C2D">
        <w:rPr>
          <w:sz w:val="28"/>
          <w:szCs w:val="28"/>
          <w:lang w:val="lv-LV"/>
        </w:rPr>
        <w:t>izpildē</w:t>
      </w:r>
      <w:r w:rsidR="004A2C63">
        <w:rPr>
          <w:sz w:val="28"/>
          <w:szCs w:val="28"/>
          <w:lang w:val="lv-LV"/>
        </w:rPr>
        <w:t>.</w:t>
      </w:r>
    </w:p>
    <w:p w:rsidR="00527A38" w:rsidRDefault="00527A38" w:rsidP="00527A38">
      <w:pPr>
        <w:rPr>
          <w:sz w:val="28"/>
          <w:szCs w:val="28"/>
          <w:lang w:val="lv-LV"/>
        </w:rPr>
      </w:pPr>
    </w:p>
    <w:p w:rsidR="00196D52" w:rsidRPr="00A06139" w:rsidRDefault="00196D52" w:rsidP="00527A38">
      <w:pPr>
        <w:rPr>
          <w:sz w:val="28"/>
          <w:szCs w:val="28"/>
          <w:lang w:val="lv-LV"/>
        </w:rPr>
      </w:pPr>
    </w:p>
    <w:p w:rsidR="00527A38" w:rsidRPr="00A06139" w:rsidRDefault="00A06139" w:rsidP="00527A38">
      <w:pPr>
        <w:rPr>
          <w:sz w:val="28"/>
          <w:szCs w:val="28"/>
          <w:lang w:val="lv-LV"/>
        </w:rPr>
      </w:pPr>
      <w:r w:rsidRPr="00A06139">
        <w:rPr>
          <w:sz w:val="28"/>
          <w:szCs w:val="28"/>
          <w:lang w:val="lv-LV"/>
        </w:rPr>
        <w:t>Iesniedzējs:</w:t>
      </w:r>
    </w:p>
    <w:p w:rsidR="004A2C63" w:rsidRPr="004A2C63" w:rsidRDefault="006F06E4" w:rsidP="00A06139">
      <w:pPr>
        <w:tabs>
          <w:tab w:val="left" w:pos="79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ministra vietā -</w:t>
      </w:r>
      <w:r w:rsidR="004A2C63" w:rsidRPr="004A2C63">
        <w:rPr>
          <w:sz w:val="28"/>
          <w:szCs w:val="28"/>
          <w:lang w:val="lv-LV"/>
        </w:rPr>
        <w:t xml:space="preserve"> </w:t>
      </w:r>
    </w:p>
    <w:p w:rsidR="00A06139" w:rsidRPr="00A06139" w:rsidRDefault="004A2C63" w:rsidP="00A06139">
      <w:pPr>
        <w:tabs>
          <w:tab w:val="left" w:pos="7920"/>
        </w:tabs>
        <w:rPr>
          <w:sz w:val="28"/>
          <w:szCs w:val="28"/>
          <w:lang w:val="lv-LV"/>
        </w:rPr>
      </w:pPr>
      <w:r w:rsidRPr="004A2C63">
        <w:rPr>
          <w:sz w:val="28"/>
          <w:szCs w:val="28"/>
          <w:lang w:val="lv-LV"/>
        </w:rPr>
        <w:t>ekonomikas ministrs</w:t>
      </w:r>
      <w:r w:rsidR="00A06139" w:rsidRPr="004A2C63">
        <w:rPr>
          <w:sz w:val="28"/>
          <w:szCs w:val="28"/>
          <w:lang w:val="lv-LV"/>
        </w:rPr>
        <w:tab/>
        <w:t>A.</w:t>
      </w:r>
      <w:r w:rsidRPr="004A2C63">
        <w:rPr>
          <w:sz w:val="28"/>
          <w:szCs w:val="28"/>
          <w:lang w:val="lv-LV"/>
        </w:rPr>
        <w:t>Kampars</w:t>
      </w:r>
    </w:p>
    <w:p w:rsidR="00B116C2" w:rsidRDefault="00B116C2" w:rsidP="00527A38">
      <w:pPr>
        <w:rPr>
          <w:lang w:val="lv-LV"/>
        </w:rPr>
      </w:pPr>
    </w:p>
    <w:p w:rsidR="00B116C2" w:rsidRDefault="00B116C2" w:rsidP="00527A38">
      <w:pPr>
        <w:rPr>
          <w:lang w:val="lv-LV"/>
        </w:rPr>
      </w:pPr>
    </w:p>
    <w:p w:rsidR="0067652C" w:rsidRDefault="0067652C" w:rsidP="00527A38">
      <w:pPr>
        <w:rPr>
          <w:lang w:val="lv-LV"/>
        </w:rPr>
      </w:pPr>
    </w:p>
    <w:p w:rsidR="00AF078B" w:rsidRPr="00EB47C9" w:rsidRDefault="00AF078B" w:rsidP="00AF078B">
      <w:pPr>
        <w:rPr>
          <w:rFonts w:eastAsia="Calibri"/>
          <w:sz w:val="20"/>
          <w:szCs w:val="20"/>
          <w:lang w:val="lv-LV" w:eastAsia="lv-LV"/>
        </w:rPr>
      </w:pPr>
      <w:r w:rsidRPr="00EB47C9">
        <w:rPr>
          <w:rFonts w:eastAsia="Calibri"/>
          <w:sz w:val="20"/>
          <w:szCs w:val="20"/>
          <w:lang w:val="lv-LV" w:eastAsia="lv-LV"/>
        </w:rPr>
        <w:t>Marija Sekane</w:t>
      </w:r>
    </w:p>
    <w:p w:rsidR="00AF078B" w:rsidRPr="00EB47C9" w:rsidRDefault="00AF078B" w:rsidP="00AF078B">
      <w:pPr>
        <w:rPr>
          <w:rFonts w:eastAsia="Calibri"/>
          <w:sz w:val="20"/>
          <w:szCs w:val="20"/>
          <w:lang w:val="lv-LV" w:eastAsia="lv-LV"/>
        </w:rPr>
      </w:pPr>
      <w:r w:rsidRPr="00EB47C9">
        <w:rPr>
          <w:rFonts w:eastAsia="Calibri"/>
          <w:sz w:val="20"/>
          <w:szCs w:val="20"/>
          <w:lang w:val="lv-LV" w:eastAsia="lv-LV"/>
        </w:rPr>
        <w:t>Valsts kases</w:t>
      </w:r>
    </w:p>
    <w:p w:rsidR="00AF078B" w:rsidRPr="00EB47C9" w:rsidRDefault="00AF078B" w:rsidP="00AF078B">
      <w:pPr>
        <w:rPr>
          <w:rFonts w:eastAsia="Calibri"/>
          <w:sz w:val="20"/>
          <w:szCs w:val="20"/>
          <w:lang w:val="lv-LV" w:eastAsia="lv-LV"/>
        </w:rPr>
      </w:pPr>
      <w:r w:rsidRPr="00EB47C9">
        <w:rPr>
          <w:rFonts w:eastAsia="Calibri"/>
          <w:sz w:val="20"/>
          <w:szCs w:val="20"/>
          <w:lang w:val="lv-LV" w:eastAsia="lv-LV"/>
        </w:rPr>
        <w:t>Prognozēšanas un finanšu plānošanas departamenta direktores vietniece</w:t>
      </w:r>
    </w:p>
    <w:p w:rsidR="00AF078B" w:rsidRPr="00EB47C9" w:rsidRDefault="00AF078B" w:rsidP="00AF078B">
      <w:pPr>
        <w:rPr>
          <w:rFonts w:eastAsia="Calibri"/>
          <w:sz w:val="20"/>
          <w:szCs w:val="20"/>
          <w:lang w:val="lv-LV" w:eastAsia="lv-LV"/>
        </w:rPr>
      </w:pPr>
      <w:proofErr w:type="spellStart"/>
      <w:r w:rsidRPr="00EB47C9">
        <w:rPr>
          <w:rFonts w:eastAsia="Calibri"/>
          <w:sz w:val="20"/>
          <w:szCs w:val="20"/>
          <w:lang w:val="lv-LV" w:eastAsia="lv-LV"/>
        </w:rPr>
        <w:t>tālr</w:t>
      </w:r>
      <w:proofErr w:type="spellEnd"/>
      <w:r w:rsidRPr="00EB47C9">
        <w:rPr>
          <w:rFonts w:eastAsia="Calibri"/>
          <w:sz w:val="20"/>
          <w:szCs w:val="20"/>
          <w:lang w:val="lv-LV" w:eastAsia="lv-LV"/>
        </w:rPr>
        <w:t>.: 67094386</w:t>
      </w:r>
    </w:p>
    <w:p w:rsidR="00AF078B" w:rsidRPr="00EB47C9" w:rsidRDefault="00AF078B" w:rsidP="00AF078B">
      <w:pPr>
        <w:rPr>
          <w:rFonts w:eastAsia="Calibri"/>
          <w:sz w:val="20"/>
          <w:szCs w:val="20"/>
          <w:lang w:val="lv-LV" w:eastAsia="lv-LV"/>
        </w:rPr>
      </w:pPr>
      <w:r w:rsidRPr="00EB47C9">
        <w:rPr>
          <w:rFonts w:eastAsia="Calibri"/>
          <w:sz w:val="20"/>
          <w:szCs w:val="20"/>
          <w:lang w:val="lv-LV" w:eastAsia="lv-LV"/>
        </w:rPr>
        <w:t>fakss: 67094220</w:t>
      </w:r>
    </w:p>
    <w:p w:rsidR="00AF078B" w:rsidRPr="00EB47C9" w:rsidRDefault="00AF078B" w:rsidP="00AF078B">
      <w:pPr>
        <w:rPr>
          <w:rFonts w:eastAsia="Calibri"/>
          <w:sz w:val="20"/>
          <w:szCs w:val="20"/>
          <w:lang w:val="lv-LV" w:eastAsia="lv-LV"/>
        </w:rPr>
      </w:pPr>
      <w:r w:rsidRPr="00EB47C9">
        <w:rPr>
          <w:rFonts w:eastAsia="Calibri"/>
          <w:sz w:val="20"/>
          <w:szCs w:val="20"/>
          <w:lang w:val="lv-LV" w:eastAsia="lv-LV"/>
        </w:rPr>
        <w:t xml:space="preserve">e-pasts: </w:t>
      </w:r>
      <w:hyperlink r:id="rId8" w:history="1">
        <w:r w:rsidRPr="00EB47C9">
          <w:rPr>
            <w:rStyle w:val="Hyperlink"/>
            <w:rFonts w:eastAsia="Calibri"/>
            <w:sz w:val="20"/>
            <w:szCs w:val="20"/>
            <w:lang w:val="lv-LV" w:eastAsia="lv-LV"/>
          </w:rPr>
          <w:t>Marija.Sekane@kase.gov.lv</w:t>
        </w:r>
      </w:hyperlink>
    </w:p>
    <w:p w:rsidR="00613AA4" w:rsidRDefault="00613AA4" w:rsidP="00527A38">
      <w:pPr>
        <w:rPr>
          <w:sz w:val="20"/>
          <w:szCs w:val="20"/>
        </w:rPr>
      </w:pPr>
      <w:r>
        <w:rPr>
          <w:sz w:val="20"/>
          <w:szCs w:val="20"/>
        </w:rPr>
        <w:t>02.06.2011 13:31</w:t>
      </w:r>
      <w:bookmarkStart w:id="0" w:name="_GoBack"/>
      <w:bookmarkEnd w:id="0"/>
    </w:p>
    <w:p w:rsidR="00AC3C1B" w:rsidRPr="00EB47C9" w:rsidRDefault="00527A38" w:rsidP="00527A38">
      <w:pPr>
        <w:rPr>
          <w:sz w:val="20"/>
          <w:szCs w:val="20"/>
        </w:rPr>
      </w:pPr>
      <w:r w:rsidRPr="00EB47C9">
        <w:rPr>
          <w:sz w:val="20"/>
          <w:szCs w:val="20"/>
        </w:rPr>
        <w:fldChar w:fldCharType="begin"/>
      </w:r>
      <w:r w:rsidRPr="00EB47C9">
        <w:rPr>
          <w:sz w:val="20"/>
          <w:szCs w:val="20"/>
        </w:rPr>
        <w:instrText xml:space="preserve"> NUMWORDS   \* MERGEFORMAT </w:instrText>
      </w:r>
      <w:r w:rsidRPr="00EB47C9">
        <w:rPr>
          <w:sz w:val="20"/>
          <w:szCs w:val="20"/>
        </w:rPr>
        <w:fldChar w:fldCharType="separate"/>
      </w:r>
      <w:r w:rsidR="00A12F10">
        <w:rPr>
          <w:noProof/>
          <w:sz w:val="20"/>
          <w:szCs w:val="20"/>
        </w:rPr>
        <w:t>398</w:t>
      </w:r>
      <w:r w:rsidRPr="00EB47C9">
        <w:rPr>
          <w:sz w:val="20"/>
          <w:szCs w:val="20"/>
        </w:rPr>
        <w:fldChar w:fldCharType="end"/>
      </w:r>
    </w:p>
    <w:sectPr w:rsidR="00AC3C1B" w:rsidRPr="00EB47C9" w:rsidSect="00B62B9D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677" w:right="926" w:bottom="1258" w:left="144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74" w:rsidRDefault="006D7E74">
      <w:r>
        <w:separator/>
      </w:r>
    </w:p>
  </w:endnote>
  <w:endnote w:type="continuationSeparator" w:id="0">
    <w:p w:rsidR="006D7E74" w:rsidRDefault="006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85" w:rsidRDefault="000A0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C85" w:rsidRDefault="000A0C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85" w:rsidRPr="003F3F1F" w:rsidRDefault="000A0C85">
    <w:pPr>
      <w:pStyle w:val="Footer"/>
      <w:ind w:right="360"/>
      <w:rPr>
        <w:sz w:val="22"/>
        <w:szCs w:val="22"/>
        <w:lang w:val="lv-LV"/>
      </w:rPr>
    </w:pPr>
    <w:r w:rsidRPr="003F3F1F">
      <w:rPr>
        <w:sz w:val="22"/>
        <w:szCs w:val="22"/>
      </w:rPr>
      <w:fldChar w:fldCharType="begin"/>
    </w:r>
    <w:r w:rsidRPr="003F3F1F">
      <w:rPr>
        <w:sz w:val="22"/>
        <w:szCs w:val="22"/>
      </w:rPr>
      <w:instrText xml:space="preserve"> FILENAME </w:instrText>
    </w:r>
    <w:r w:rsidRPr="003F3F1F">
      <w:rPr>
        <w:sz w:val="22"/>
        <w:szCs w:val="22"/>
      </w:rPr>
      <w:fldChar w:fldCharType="separate"/>
    </w:r>
    <w:r w:rsidR="00613AA4">
      <w:rPr>
        <w:noProof/>
        <w:sz w:val="22"/>
        <w:szCs w:val="22"/>
      </w:rPr>
      <w:t>FMVestprp2_020611_PRECIZETS.docx</w:t>
    </w:r>
    <w:r w:rsidRPr="003F3F1F">
      <w:rPr>
        <w:sz w:val="22"/>
        <w:szCs w:val="22"/>
      </w:rPr>
      <w:fldChar w:fldCharType="end"/>
    </w:r>
    <w:r w:rsidRPr="003F3F1F">
      <w:rPr>
        <w:sz w:val="22"/>
        <w:szCs w:val="22"/>
      </w:rPr>
      <w:t xml:space="preserve">; </w:t>
    </w:r>
    <w:r w:rsidRPr="003F3F1F">
      <w:rPr>
        <w:sz w:val="22"/>
        <w:szCs w:val="22"/>
        <w:lang w:val="lv-LV"/>
      </w:rPr>
      <w:t>Finansēšanas aprēķina valsts budžeta un parāda saistību izpildes nodrošināšanai 201</w:t>
    </w:r>
    <w:r>
      <w:rPr>
        <w:sz w:val="22"/>
        <w:szCs w:val="22"/>
        <w:lang w:val="lv-LV"/>
      </w:rPr>
      <w:t>1</w:t>
    </w:r>
    <w:r w:rsidRPr="003F3F1F">
      <w:rPr>
        <w:sz w:val="22"/>
        <w:szCs w:val="22"/>
        <w:lang w:val="lv-LV"/>
      </w:rPr>
      <w:t>.-201</w:t>
    </w:r>
    <w:r>
      <w:rPr>
        <w:sz w:val="22"/>
        <w:szCs w:val="22"/>
        <w:lang w:val="lv-LV"/>
      </w:rPr>
      <w:t>2</w:t>
    </w:r>
    <w:r w:rsidRPr="003F3F1F">
      <w:rPr>
        <w:sz w:val="22"/>
        <w:szCs w:val="22"/>
        <w:lang w:val="lv-LV"/>
      </w:rPr>
      <w:t>.gadā pieņēmumi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85" w:rsidRPr="00747B25" w:rsidRDefault="000A0C85" w:rsidP="00747B25">
    <w:pPr>
      <w:pStyle w:val="Footer"/>
      <w:ind w:right="360"/>
      <w:rPr>
        <w:sz w:val="22"/>
        <w:szCs w:val="22"/>
        <w:lang w:val="lv-LV"/>
      </w:rPr>
    </w:pPr>
    <w:r w:rsidRPr="00747B25">
      <w:rPr>
        <w:sz w:val="22"/>
        <w:szCs w:val="22"/>
      </w:rPr>
      <w:fldChar w:fldCharType="begin"/>
    </w:r>
    <w:r w:rsidRPr="00747B25">
      <w:rPr>
        <w:sz w:val="22"/>
        <w:szCs w:val="22"/>
      </w:rPr>
      <w:instrText xml:space="preserve"> FILENAME </w:instrText>
    </w:r>
    <w:r w:rsidRPr="00747B25">
      <w:rPr>
        <w:sz w:val="22"/>
        <w:szCs w:val="22"/>
      </w:rPr>
      <w:fldChar w:fldCharType="separate"/>
    </w:r>
    <w:r w:rsidR="00613AA4">
      <w:rPr>
        <w:noProof/>
        <w:sz w:val="22"/>
        <w:szCs w:val="22"/>
      </w:rPr>
      <w:t>FMVestprp2_020611_PRECIZETS.docx</w:t>
    </w:r>
    <w:r w:rsidRPr="00747B25">
      <w:rPr>
        <w:sz w:val="22"/>
        <w:szCs w:val="22"/>
      </w:rPr>
      <w:fldChar w:fldCharType="end"/>
    </w:r>
    <w:r w:rsidRPr="00747B25">
      <w:rPr>
        <w:sz w:val="22"/>
        <w:szCs w:val="22"/>
      </w:rPr>
      <w:t xml:space="preserve">; </w:t>
    </w:r>
    <w:r w:rsidRPr="00747B25">
      <w:rPr>
        <w:sz w:val="22"/>
        <w:szCs w:val="22"/>
        <w:lang w:val="lv-LV"/>
      </w:rPr>
      <w:t>Finansēšanas aprēķina valsts budžeta un parāda saistību izpildes nodrošināšanai 2011.-2012.gadā pieņēmumi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74" w:rsidRDefault="006D7E74">
      <w:r>
        <w:separator/>
      </w:r>
    </w:p>
  </w:footnote>
  <w:footnote w:type="continuationSeparator" w:id="0">
    <w:p w:rsidR="006D7E74" w:rsidRDefault="006D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2815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0C85" w:rsidRDefault="000A0C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C85" w:rsidRDefault="000A0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408"/>
    <w:multiLevelType w:val="hybridMultilevel"/>
    <w:tmpl w:val="3B8A72C8"/>
    <w:lvl w:ilvl="0" w:tplc="5BE0F5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547D1"/>
    <w:multiLevelType w:val="hybridMultilevel"/>
    <w:tmpl w:val="CE869944"/>
    <w:lvl w:ilvl="0" w:tplc="5BE0F5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47F4F"/>
    <w:multiLevelType w:val="hybridMultilevel"/>
    <w:tmpl w:val="79845798"/>
    <w:lvl w:ilvl="0" w:tplc="EF065C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62E10"/>
    <w:multiLevelType w:val="hybridMultilevel"/>
    <w:tmpl w:val="3B8A72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116410"/>
    <w:multiLevelType w:val="hybridMultilevel"/>
    <w:tmpl w:val="F3BC2A4A"/>
    <w:lvl w:ilvl="0" w:tplc="5BE0F5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68"/>
    <w:rsid w:val="00001279"/>
    <w:rsid w:val="00006D11"/>
    <w:rsid w:val="00014855"/>
    <w:rsid w:val="00076A69"/>
    <w:rsid w:val="00080CD9"/>
    <w:rsid w:val="0008151B"/>
    <w:rsid w:val="000866BF"/>
    <w:rsid w:val="000923DE"/>
    <w:rsid w:val="000A0C85"/>
    <w:rsid w:val="000B0739"/>
    <w:rsid w:val="000D5748"/>
    <w:rsid w:val="000D71A8"/>
    <w:rsid w:val="000D71B4"/>
    <w:rsid w:val="000E1BA4"/>
    <w:rsid w:val="0011247B"/>
    <w:rsid w:val="0011363F"/>
    <w:rsid w:val="0015790D"/>
    <w:rsid w:val="001865F2"/>
    <w:rsid w:val="00196D52"/>
    <w:rsid w:val="001E2A6A"/>
    <w:rsid w:val="001E3E71"/>
    <w:rsid w:val="001E4A21"/>
    <w:rsid w:val="001E4A3F"/>
    <w:rsid w:val="001F0CF3"/>
    <w:rsid w:val="001F3B0F"/>
    <w:rsid w:val="001F65C7"/>
    <w:rsid w:val="00212C59"/>
    <w:rsid w:val="00220F01"/>
    <w:rsid w:val="002362FC"/>
    <w:rsid w:val="002374F6"/>
    <w:rsid w:val="002503AC"/>
    <w:rsid w:val="00252790"/>
    <w:rsid w:val="002808F0"/>
    <w:rsid w:val="002A3E90"/>
    <w:rsid w:val="002A47FD"/>
    <w:rsid w:val="002B135B"/>
    <w:rsid w:val="002B317D"/>
    <w:rsid w:val="002C0D60"/>
    <w:rsid w:val="002D6051"/>
    <w:rsid w:val="003034AF"/>
    <w:rsid w:val="00312E3E"/>
    <w:rsid w:val="00321FDB"/>
    <w:rsid w:val="00323E8E"/>
    <w:rsid w:val="00335B58"/>
    <w:rsid w:val="003502A6"/>
    <w:rsid w:val="00374270"/>
    <w:rsid w:val="00390C43"/>
    <w:rsid w:val="00393818"/>
    <w:rsid w:val="003C2F75"/>
    <w:rsid w:val="003D12F7"/>
    <w:rsid w:val="003D6C43"/>
    <w:rsid w:val="003F158A"/>
    <w:rsid w:val="003F1C1F"/>
    <w:rsid w:val="003F3F1F"/>
    <w:rsid w:val="004161EA"/>
    <w:rsid w:val="0043086B"/>
    <w:rsid w:val="00457D2B"/>
    <w:rsid w:val="0046431E"/>
    <w:rsid w:val="00481717"/>
    <w:rsid w:val="00481B3B"/>
    <w:rsid w:val="004A2C63"/>
    <w:rsid w:val="004A6FAA"/>
    <w:rsid w:val="004C5622"/>
    <w:rsid w:val="004E519D"/>
    <w:rsid w:val="004F23DD"/>
    <w:rsid w:val="004F7132"/>
    <w:rsid w:val="00510904"/>
    <w:rsid w:val="00516CAC"/>
    <w:rsid w:val="0052396B"/>
    <w:rsid w:val="00527A38"/>
    <w:rsid w:val="00552252"/>
    <w:rsid w:val="0056055C"/>
    <w:rsid w:val="00577070"/>
    <w:rsid w:val="00590AB7"/>
    <w:rsid w:val="0059127D"/>
    <w:rsid w:val="00591FC3"/>
    <w:rsid w:val="005A3C2D"/>
    <w:rsid w:val="005B551C"/>
    <w:rsid w:val="005E33D3"/>
    <w:rsid w:val="00612661"/>
    <w:rsid w:val="006127E8"/>
    <w:rsid w:val="00613AA4"/>
    <w:rsid w:val="00632EAF"/>
    <w:rsid w:val="006345D9"/>
    <w:rsid w:val="00637063"/>
    <w:rsid w:val="00652CAC"/>
    <w:rsid w:val="006634E8"/>
    <w:rsid w:val="00666317"/>
    <w:rsid w:val="0067652C"/>
    <w:rsid w:val="00693AC6"/>
    <w:rsid w:val="006B06D3"/>
    <w:rsid w:val="006B6F7E"/>
    <w:rsid w:val="006C44D4"/>
    <w:rsid w:val="006D4071"/>
    <w:rsid w:val="006D7E74"/>
    <w:rsid w:val="006F06E4"/>
    <w:rsid w:val="006F31A7"/>
    <w:rsid w:val="006F4D10"/>
    <w:rsid w:val="006F4E39"/>
    <w:rsid w:val="00710682"/>
    <w:rsid w:val="00715550"/>
    <w:rsid w:val="0074253F"/>
    <w:rsid w:val="00747B25"/>
    <w:rsid w:val="0075202B"/>
    <w:rsid w:val="0075387D"/>
    <w:rsid w:val="00761EC1"/>
    <w:rsid w:val="007A6F1B"/>
    <w:rsid w:val="007D585E"/>
    <w:rsid w:val="007D5973"/>
    <w:rsid w:val="00806F18"/>
    <w:rsid w:val="00816543"/>
    <w:rsid w:val="008248BD"/>
    <w:rsid w:val="008275A4"/>
    <w:rsid w:val="00830BBE"/>
    <w:rsid w:val="00831E0E"/>
    <w:rsid w:val="00843E7E"/>
    <w:rsid w:val="008552E7"/>
    <w:rsid w:val="0087246F"/>
    <w:rsid w:val="008E6E68"/>
    <w:rsid w:val="0090675B"/>
    <w:rsid w:val="00911952"/>
    <w:rsid w:val="00954616"/>
    <w:rsid w:val="00954F41"/>
    <w:rsid w:val="00956E6B"/>
    <w:rsid w:val="0098563D"/>
    <w:rsid w:val="009A6E48"/>
    <w:rsid w:val="009E22FF"/>
    <w:rsid w:val="009F062D"/>
    <w:rsid w:val="009F4BE3"/>
    <w:rsid w:val="00A02F2D"/>
    <w:rsid w:val="00A06139"/>
    <w:rsid w:val="00A12F10"/>
    <w:rsid w:val="00A14ABC"/>
    <w:rsid w:val="00A17B2D"/>
    <w:rsid w:val="00A25651"/>
    <w:rsid w:val="00A26212"/>
    <w:rsid w:val="00A51FE2"/>
    <w:rsid w:val="00A628FB"/>
    <w:rsid w:val="00AB3008"/>
    <w:rsid w:val="00AB556F"/>
    <w:rsid w:val="00AC0460"/>
    <w:rsid w:val="00AC3C1B"/>
    <w:rsid w:val="00AE3B39"/>
    <w:rsid w:val="00AE3DF5"/>
    <w:rsid w:val="00AF078B"/>
    <w:rsid w:val="00B1014F"/>
    <w:rsid w:val="00B116C2"/>
    <w:rsid w:val="00B25F7F"/>
    <w:rsid w:val="00B279CD"/>
    <w:rsid w:val="00B3449D"/>
    <w:rsid w:val="00B45383"/>
    <w:rsid w:val="00B540CE"/>
    <w:rsid w:val="00B5743F"/>
    <w:rsid w:val="00B62AD6"/>
    <w:rsid w:val="00B62B9D"/>
    <w:rsid w:val="00B96B69"/>
    <w:rsid w:val="00BA41B5"/>
    <w:rsid w:val="00BA4D75"/>
    <w:rsid w:val="00BC7664"/>
    <w:rsid w:val="00BC76CE"/>
    <w:rsid w:val="00BF680A"/>
    <w:rsid w:val="00C0654F"/>
    <w:rsid w:val="00C47B84"/>
    <w:rsid w:val="00C627FC"/>
    <w:rsid w:val="00CA310F"/>
    <w:rsid w:val="00CD55DA"/>
    <w:rsid w:val="00CD6B04"/>
    <w:rsid w:val="00D16212"/>
    <w:rsid w:val="00D23513"/>
    <w:rsid w:val="00D41A63"/>
    <w:rsid w:val="00D42D07"/>
    <w:rsid w:val="00D66EB3"/>
    <w:rsid w:val="00D73346"/>
    <w:rsid w:val="00D74A40"/>
    <w:rsid w:val="00D81C0D"/>
    <w:rsid w:val="00D91AF5"/>
    <w:rsid w:val="00D9667C"/>
    <w:rsid w:val="00DB5450"/>
    <w:rsid w:val="00DC7D37"/>
    <w:rsid w:val="00DE66CB"/>
    <w:rsid w:val="00DF5A8C"/>
    <w:rsid w:val="00DF614A"/>
    <w:rsid w:val="00DF769D"/>
    <w:rsid w:val="00E11A7F"/>
    <w:rsid w:val="00E14A42"/>
    <w:rsid w:val="00E1555E"/>
    <w:rsid w:val="00E36357"/>
    <w:rsid w:val="00E51DA6"/>
    <w:rsid w:val="00E577BD"/>
    <w:rsid w:val="00EA64D2"/>
    <w:rsid w:val="00EB47C9"/>
    <w:rsid w:val="00EF40C3"/>
    <w:rsid w:val="00F0085A"/>
    <w:rsid w:val="00F04579"/>
    <w:rsid w:val="00F1000F"/>
    <w:rsid w:val="00F10AE4"/>
    <w:rsid w:val="00F13731"/>
    <w:rsid w:val="00F4377C"/>
    <w:rsid w:val="00F524AE"/>
    <w:rsid w:val="00F670B3"/>
    <w:rsid w:val="00F7389F"/>
    <w:rsid w:val="00F9000F"/>
    <w:rsid w:val="00FB45CD"/>
    <w:rsid w:val="00FB7759"/>
    <w:rsid w:val="00FC5A99"/>
    <w:rsid w:val="00FD7322"/>
    <w:rsid w:val="00FE46FE"/>
    <w:rsid w:val="00FE64A4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v-LV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lang w:val="lv-LV"/>
    </w:rPr>
  </w:style>
  <w:style w:type="paragraph" w:styleId="BodyTextIndent">
    <w:name w:val="Body Text Indent"/>
    <w:basedOn w:val="Normal"/>
    <w:pPr>
      <w:ind w:left="360"/>
      <w:jc w:val="both"/>
    </w:pPr>
    <w:rPr>
      <w:lang w:val="lv-LV"/>
    </w:rPr>
  </w:style>
  <w:style w:type="paragraph" w:styleId="BodyTextIndent2">
    <w:name w:val="Body Text Indent 2"/>
    <w:basedOn w:val="Normal"/>
    <w:pPr>
      <w:ind w:left="1440"/>
      <w:jc w:val="both"/>
    </w:pPr>
    <w:rPr>
      <w:lang w:val="lv-LV"/>
    </w:rPr>
  </w:style>
  <w:style w:type="paragraph" w:styleId="BodyTextIndent3">
    <w:name w:val="Body Text Indent 3"/>
    <w:basedOn w:val="Normal"/>
    <w:pPr>
      <w:spacing w:before="120"/>
      <w:ind w:left="357"/>
      <w:jc w:val="both"/>
    </w:pPr>
    <w:rPr>
      <w:i/>
      <w:iCs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lang w:val="lv-LV"/>
    </w:rPr>
  </w:style>
  <w:style w:type="paragraph" w:styleId="BodyText3">
    <w:name w:val="Body Text 3"/>
    <w:basedOn w:val="Normal"/>
    <w:pPr>
      <w:jc w:val="both"/>
    </w:pPr>
    <w:rPr>
      <w:i/>
      <w:iCs/>
    </w:rPr>
  </w:style>
  <w:style w:type="paragraph" w:styleId="BalloonText">
    <w:name w:val="Balloon Text"/>
    <w:basedOn w:val="Normal"/>
    <w:semiHidden/>
    <w:rsid w:val="008E6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7A38"/>
    <w:rPr>
      <w:color w:val="0000FF"/>
      <w:u w:val="single"/>
    </w:rPr>
  </w:style>
  <w:style w:type="paragraph" w:customStyle="1" w:styleId="naisf">
    <w:name w:val="naisf"/>
    <w:basedOn w:val="Normal"/>
    <w:rsid w:val="00527A38"/>
    <w:pPr>
      <w:spacing w:before="82" w:after="82"/>
      <w:ind w:firstLineChars="200" w:firstLine="409"/>
    </w:pPr>
    <w:rPr>
      <w:rFonts w:eastAsia="Calibri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B62B9D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47B25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77070"/>
    <w:pPr>
      <w:pBdr>
        <w:left w:val="single" w:sz="6" w:space="8" w:color="EEEEEE"/>
      </w:pBdr>
      <w:spacing w:before="75" w:after="225" w:line="360" w:lineRule="auto"/>
      <w:ind w:right="150"/>
      <w:jc w:val="both"/>
    </w:pPr>
    <w:rPr>
      <w:rFonts w:ascii="Trebuchet MS" w:hAnsi="Trebuchet MS"/>
      <w:color w:val="333333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v-LV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lang w:val="lv-LV"/>
    </w:rPr>
  </w:style>
  <w:style w:type="paragraph" w:styleId="BodyTextIndent">
    <w:name w:val="Body Text Indent"/>
    <w:basedOn w:val="Normal"/>
    <w:pPr>
      <w:ind w:left="360"/>
      <w:jc w:val="both"/>
    </w:pPr>
    <w:rPr>
      <w:lang w:val="lv-LV"/>
    </w:rPr>
  </w:style>
  <w:style w:type="paragraph" w:styleId="BodyTextIndent2">
    <w:name w:val="Body Text Indent 2"/>
    <w:basedOn w:val="Normal"/>
    <w:pPr>
      <w:ind w:left="1440"/>
      <w:jc w:val="both"/>
    </w:pPr>
    <w:rPr>
      <w:lang w:val="lv-LV"/>
    </w:rPr>
  </w:style>
  <w:style w:type="paragraph" w:styleId="BodyTextIndent3">
    <w:name w:val="Body Text Indent 3"/>
    <w:basedOn w:val="Normal"/>
    <w:pPr>
      <w:spacing w:before="120"/>
      <w:ind w:left="357"/>
      <w:jc w:val="both"/>
    </w:pPr>
    <w:rPr>
      <w:i/>
      <w:iCs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lang w:val="lv-LV"/>
    </w:rPr>
  </w:style>
  <w:style w:type="paragraph" w:styleId="BodyText3">
    <w:name w:val="Body Text 3"/>
    <w:basedOn w:val="Normal"/>
    <w:pPr>
      <w:jc w:val="both"/>
    </w:pPr>
    <w:rPr>
      <w:i/>
      <w:iCs/>
    </w:rPr>
  </w:style>
  <w:style w:type="paragraph" w:styleId="BalloonText">
    <w:name w:val="Balloon Text"/>
    <w:basedOn w:val="Normal"/>
    <w:semiHidden/>
    <w:rsid w:val="008E6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7A38"/>
    <w:rPr>
      <w:color w:val="0000FF"/>
      <w:u w:val="single"/>
    </w:rPr>
  </w:style>
  <w:style w:type="paragraph" w:customStyle="1" w:styleId="naisf">
    <w:name w:val="naisf"/>
    <w:basedOn w:val="Normal"/>
    <w:rsid w:val="00527A38"/>
    <w:pPr>
      <w:spacing w:before="82" w:after="82"/>
      <w:ind w:firstLineChars="200" w:firstLine="409"/>
    </w:pPr>
    <w:rPr>
      <w:rFonts w:eastAsia="Calibri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B62B9D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47B25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77070"/>
    <w:pPr>
      <w:pBdr>
        <w:left w:val="single" w:sz="6" w:space="8" w:color="EEEEEE"/>
      </w:pBdr>
      <w:spacing w:before="75" w:after="225" w:line="360" w:lineRule="auto"/>
      <w:ind w:right="150"/>
      <w:jc w:val="both"/>
    </w:pPr>
    <w:rPr>
      <w:rFonts w:ascii="Trebuchet MS" w:hAnsi="Trebuchet MS"/>
      <w:color w:val="333333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Sekane@kase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Finansēšanas aprēķina valsts budžeta un parāda saistību izpildes nodrošināšanai 2011.-2012.gadā pieņēmumi</vt:lpstr>
    </vt:vector>
  </TitlesOfParts>
  <Company>Valsts kase</Company>
  <LinksUpToDate>false</LinksUpToDate>
  <CharactersWithSpaces>3292</CharactersWithSpaces>
  <SharedDoc>false</SharedDoc>
  <HLinks>
    <vt:vector size="6" baseType="variant"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mailto:Sanita.Liepina@kase.gov.lv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Finansēšanas aprēķina valsts budžeta un parāda saistību izpildes nodrošināšanai 2011.-2012.gadā pieņēmumi</dc:title>
  <dc:subject>Vēstules projekta 2.pielikums</dc:subject>
  <dc:creator>Prognozēšanas un finanšu plānošanas departamenta direktores vietniece Marija Sekane</dc:creator>
  <cp:keywords/>
  <dc:description>Marija.Sekane@kase.gov.lv
tālr.: 67094386</dc:description>
  <cp:lastModifiedBy>Marija Sekane</cp:lastModifiedBy>
  <cp:revision>3</cp:revision>
  <cp:lastPrinted>2011-06-03T08:20:00Z</cp:lastPrinted>
  <dcterms:created xsi:type="dcterms:W3CDTF">2011-06-03T07:30:00Z</dcterms:created>
  <dcterms:modified xsi:type="dcterms:W3CDTF">2011-06-03T08:26:00Z</dcterms:modified>
</cp:coreProperties>
</file>