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70" w:rsidRPr="002631CA" w:rsidRDefault="00661370" w:rsidP="00881223">
      <w:pPr>
        <w:jc w:val="center"/>
        <w:rPr>
          <w:b/>
          <w:sz w:val="28"/>
          <w:szCs w:val="28"/>
        </w:rPr>
      </w:pPr>
      <w:bookmarkStart w:id="0" w:name="_GoBack"/>
      <w:bookmarkEnd w:id="0"/>
      <w:r w:rsidRPr="002631CA">
        <w:rPr>
          <w:b/>
          <w:sz w:val="28"/>
          <w:szCs w:val="28"/>
        </w:rPr>
        <w:t>Informatīvais ziņojums</w:t>
      </w:r>
    </w:p>
    <w:p w:rsidR="0051656D" w:rsidRPr="002631CA" w:rsidRDefault="00661370" w:rsidP="00881223">
      <w:pPr>
        <w:jc w:val="center"/>
        <w:rPr>
          <w:b/>
          <w:sz w:val="28"/>
          <w:szCs w:val="28"/>
        </w:rPr>
      </w:pPr>
      <w:r w:rsidRPr="002631CA">
        <w:rPr>
          <w:b/>
          <w:sz w:val="28"/>
          <w:szCs w:val="28"/>
        </w:rPr>
        <w:t xml:space="preserve">par </w:t>
      </w:r>
      <w:r w:rsidR="006D77B6" w:rsidRPr="002631CA">
        <w:rPr>
          <w:b/>
          <w:sz w:val="28"/>
          <w:szCs w:val="28"/>
        </w:rPr>
        <w:t>ēnu ekonomikas apkarošanas pasākumu īstenošanā iesaistīto institūciju darbības rezultātiem 2012.gada sešos mēnešos un šo pasākumu ietekmi uz nodokļu iekasēšanu</w:t>
      </w:r>
    </w:p>
    <w:p w:rsidR="00661370" w:rsidRPr="002631CA" w:rsidRDefault="00661370" w:rsidP="00C30096">
      <w:pPr>
        <w:pStyle w:val="Footer"/>
        <w:jc w:val="center"/>
        <w:rPr>
          <w:b/>
          <w:sz w:val="28"/>
          <w:szCs w:val="28"/>
        </w:rPr>
      </w:pPr>
    </w:p>
    <w:p w:rsidR="00B24409" w:rsidRPr="002631CA" w:rsidRDefault="00B24409" w:rsidP="00881223">
      <w:pPr>
        <w:ind w:firstLine="720"/>
        <w:jc w:val="both"/>
        <w:rPr>
          <w:sz w:val="28"/>
          <w:szCs w:val="28"/>
        </w:rPr>
      </w:pPr>
      <w:r w:rsidRPr="002631CA">
        <w:rPr>
          <w:sz w:val="28"/>
          <w:szCs w:val="28"/>
        </w:rPr>
        <w:t>L</w:t>
      </w:r>
      <w:r w:rsidR="00042DCC" w:rsidRPr="002631CA">
        <w:rPr>
          <w:sz w:val="28"/>
          <w:szCs w:val="28"/>
        </w:rPr>
        <w:t xml:space="preserve">ikuma </w:t>
      </w:r>
      <w:r w:rsidR="00881223" w:rsidRPr="002631CA">
        <w:rPr>
          <w:sz w:val="28"/>
          <w:szCs w:val="28"/>
        </w:rPr>
        <w:t>“</w:t>
      </w:r>
      <w:r w:rsidR="00042DCC" w:rsidRPr="002631CA">
        <w:rPr>
          <w:sz w:val="28"/>
          <w:szCs w:val="28"/>
        </w:rPr>
        <w:t>Par valsts budžetu 201</w:t>
      </w:r>
      <w:r w:rsidRPr="002631CA">
        <w:rPr>
          <w:sz w:val="28"/>
          <w:szCs w:val="28"/>
        </w:rPr>
        <w:t>2</w:t>
      </w:r>
      <w:r w:rsidR="00042DCC" w:rsidRPr="002631CA">
        <w:rPr>
          <w:sz w:val="28"/>
          <w:szCs w:val="28"/>
        </w:rPr>
        <w:t>.gadam”</w:t>
      </w:r>
      <w:r w:rsidR="00453696" w:rsidRPr="002631CA">
        <w:rPr>
          <w:sz w:val="28"/>
          <w:szCs w:val="28"/>
        </w:rPr>
        <w:t xml:space="preserve"> 5</w:t>
      </w:r>
      <w:r w:rsidRPr="002631CA">
        <w:rPr>
          <w:sz w:val="28"/>
          <w:szCs w:val="28"/>
        </w:rPr>
        <w:t>6</w:t>
      </w:r>
      <w:r w:rsidR="00453696" w:rsidRPr="002631CA">
        <w:rPr>
          <w:sz w:val="28"/>
          <w:szCs w:val="28"/>
        </w:rPr>
        <w:t>.pant</w:t>
      </w:r>
      <w:r w:rsidRPr="002631CA">
        <w:rPr>
          <w:sz w:val="28"/>
          <w:szCs w:val="28"/>
        </w:rPr>
        <w:t>s paredz, ka, ja 2012.gada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tad Ministru kabinets pieņem lēmumu par ēnu ekonomikas apkarošanas pasākumu īstenošanā iesaistīto institūciju amatpersonu (darbinieku) motivēšanu un apropriācijas palielinājumam novirzāmo finansējuma apjomu, kas nepārsniedz 5 procentus no valsts budžetā plānoto nodokļu ieņēmumu pārpildes. Finanšu ministram ir tiesības palielināt apropriāciju izdevumiem, tajā skaitā novirzot atlīdzībai attiecīgajā budžeta programmā: Finanšu ministrijai (Valsts ieņēmumu dienestam) ne vairāk kā 80 procentus; Iekšlietu ministrijai (Valsts policijai, Valsts robežsardzei) ne vairāk kā 16 procentus; Labklājības ministrijai (Valsts darba inspekcijai) ne vairāk kā 2 procentus un Zemkopības ministrijai (Pārtikas un veterinārajam dienestam, Valsts meža dienestam, Valsts augu aizsardzības dienestam) ne vairāk kā 2 procentus no apropriācijas palielinājuma, ja Saeimas Budžeta un finanšu (nodokļu) komisija piecu dienu laikā no attiecīgās informācijas saņemšanas ir izskatījusi to un nav iebildusi pret apropriācijas palielinājumu.</w:t>
      </w:r>
    </w:p>
    <w:p w:rsidR="007B7FE3" w:rsidRPr="002631CA" w:rsidRDefault="007B7FE3" w:rsidP="00881223">
      <w:pPr>
        <w:ind w:firstLine="720"/>
        <w:jc w:val="both"/>
        <w:rPr>
          <w:sz w:val="28"/>
          <w:szCs w:val="28"/>
        </w:rPr>
      </w:pPr>
      <w:r w:rsidRPr="002631CA">
        <w:rPr>
          <w:sz w:val="28"/>
          <w:szCs w:val="28"/>
        </w:rPr>
        <w:t>Finanšu ministrija ir apkopojusi Valsts ieņēmumu dienesta, Valsts darba inspekcijas, Valsts policijas, Valsts robežsardzes</w:t>
      </w:r>
      <w:r w:rsidR="005E7FF8" w:rsidRPr="002631CA">
        <w:rPr>
          <w:sz w:val="28"/>
          <w:szCs w:val="28"/>
        </w:rPr>
        <w:t>, Pārtikas un veterinārā dienesta, Valsts meža dienesta un Valsts augu aizsardzības dienesta paveiktos pasākumus</w:t>
      </w:r>
      <w:r w:rsidRPr="002631CA">
        <w:rPr>
          <w:sz w:val="28"/>
          <w:szCs w:val="28"/>
        </w:rPr>
        <w:t xml:space="preserve"> </w:t>
      </w:r>
      <w:r w:rsidR="005E7FF8" w:rsidRPr="002631CA">
        <w:rPr>
          <w:sz w:val="28"/>
          <w:szCs w:val="28"/>
        </w:rPr>
        <w:t>ēnu ekonomikas apkarošanā un godīgas konkurences veicināšan</w:t>
      </w:r>
      <w:r w:rsidR="00B5777C" w:rsidRPr="002631CA">
        <w:rPr>
          <w:sz w:val="28"/>
          <w:szCs w:val="28"/>
        </w:rPr>
        <w:t>ā</w:t>
      </w:r>
      <w:r w:rsidR="005E7FF8" w:rsidRPr="002631CA">
        <w:rPr>
          <w:sz w:val="28"/>
          <w:szCs w:val="28"/>
        </w:rPr>
        <w:t xml:space="preserve"> </w:t>
      </w:r>
      <w:r w:rsidRPr="002631CA">
        <w:rPr>
          <w:sz w:val="28"/>
          <w:szCs w:val="28"/>
        </w:rPr>
        <w:t>2012.gada seš</w:t>
      </w:r>
      <w:r w:rsidR="005E7FF8" w:rsidRPr="002631CA">
        <w:rPr>
          <w:sz w:val="28"/>
          <w:szCs w:val="28"/>
        </w:rPr>
        <w:t>os</w:t>
      </w:r>
      <w:r w:rsidRPr="002631CA">
        <w:rPr>
          <w:sz w:val="28"/>
          <w:szCs w:val="28"/>
        </w:rPr>
        <w:t xml:space="preserve"> mēneš</w:t>
      </w:r>
      <w:r w:rsidR="005E7FF8" w:rsidRPr="002631CA">
        <w:rPr>
          <w:sz w:val="28"/>
          <w:szCs w:val="28"/>
        </w:rPr>
        <w:t>os</w:t>
      </w:r>
      <w:r w:rsidR="006D77B6" w:rsidRPr="002631CA">
        <w:rPr>
          <w:sz w:val="28"/>
          <w:szCs w:val="28"/>
        </w:rPr>
        <w:t>, kā arī</w:t>
      </w:r>
      <w:r w:rsidR="00A76D7F" w:rsidRPr="002631CA">
        <w:rPr>
          <w:sz w:val="28"/>
          <w:szCs w:val="28"/>
        </w:rPr>
        <w:t xml:space="preserve"> izvērtēju</w:t>
      </w:r>
      <w:r w:rsidR="006D77B6" w:rsidRPr="002631CA">
        <w:rPr>
          <w:sz w:val="28"/>
          <w:szCs w:val="28"/>
        </w:rPr>
        <w:t>si</w:t>
      </w:r>
      <w:r w:rsidR="00A76D7F" w:rsidRPr="002631CA">
        <w:rPr>
          <w:sz w:val="28"/>
          <w:szCs w:val="28"/>
        </w:rPr>
        <w:t xml:space="preserve"> </w:t>
      </w:r>
      <w:r w:rsidR="006D77B6" w:rsidRPr="002631CA">
        <w:rPr>
          <w:sz w:val="28"/>
          <w:szCs w:val="28"/>
        </w:rPr>
        <w:t>ietekmi uz</w:t>
      </w:r>
      <w:r w:rsidR="00A76D7F" w:rsidRPr="002631CA">
        <w:rPr>
          <w:sz w:val="28"/>
          <w:szCs w:val="28"/>
        </w:rPr>
        <w:t xml:space="preserve"> nodokļu ieņēmumiem</w:t>
      </w:r>
      <w:r w:rsidR="005E7FF8" w:rsidRPr="002631CA">
        <w:rPr>
          <w:sz w:val="28"/>
          <w:szCs w:val="28"/>
        </w:rPr>
        <w:t>.</w:t>
      </w:r>
      <w:r w:rsidRPr="002631CA">
        <w:rPr>
          <w:sz w:val="28"/>
          <w:szCs w:val="28"/>
        </w:rPr>
        <w:t xml:space="preserve"> </w:t>
      </w:r>
    </w:p>
    <w:p w:rsidR="006A325C" w:rsidRPr="002631CA" w:rsidRDefault="006A325C" w:rsidP="00881223">
      <w:pPr>
        <w:ind w:firstLine="720"/>
        <w:jc w:val="both"/>
        <w:rPr>
          <w:sz w:val="28"/>
          <w:szCs w:val="28"/>
        </w:rPr>
      </w:pPr>
    </w:p>
    <w:p w:rsidR="006A0979" w:rsidRPr="002631CA" w:rsidRDefault="006A0979" w:rsidP="006A0979">
      <w:pPr>
        <w:ind w:firstLine="720"/>
        <w:jc w:val="center"/>
        <w:rPr>
          <w:b/>
          <w:sz w:val="28"/>
          <w:szCs w:val="28"/>
        </w:rPr>
      </w:pPr>
      <w:r w:rsidRPr="002631CA">
        <w:rPr>
          <w:b/>
          <w:sz w:val="28"/>
          <w:szCs w:val="28"/>
        </w:rPr>
        <w:t>FINANŠU MINISTRIJA</w:t>
      </w:r>
    </w:p>
    <w:p w:rsidR="00042A1F" w:rsidRPr="002631CA" w:rsidRDefault="00042A1F" w:rsidP="00A76D7F">
      <w:pPr>
        <w:pStyle w:val="ListParagraph"/>
        <w:ind w:left="1080"/>
        <w:jc w:val="center"/>
        <w:rPr>
          <w:rFonts w:ascii="Times New Roman" w:hAnsi="Times New Roman"/>
          <w:b/>
          <w:sz w:val="28"/>
          <w:szCs w:val="28"/>
        </w:rPr>
      </w:pPr>
      <w:r w:rsidRPr="002631CA">
        <w:rPr>
          <w:rFonts w:ascii="Times New Roman" w:hAnsi="Times New Roman"/>
          <w:b/>
          <w:sz w:val="28"/>
          <w:szCs w:val="28"/>
        </w:rPr>
        <w:t>VALSTS IEŅĒMUMU DIENESTS</w:t>
      </w:r>
    </w:p>
    <w:p w:rsidR="006A325C" w:rsidRPr="002631CA" w:rsidRDefault="006A325C" w:rsidP="00881223">
      <w:pPr>
        <w:ind w:firstLine="720"/>
        <w:jc w:val="both"/>
        <w:rPr>
          <w:sz w:val="28"/>
          <w:szCs w:val="28"/>
        </w:rPr>
      </w:pPr>
    </w:p>
    <w:p w:rsidR="006A325C" w:rsidRPr="002631CA" w:rsidRDefault="006A325C" w:rsidP="006A325C">
      <w:pPr>
        <w:ind w:firstLine="720"/>
        <w:jc w:val="both"/>
        <w:rPr>
          <w:sz w:val="28"/>
          <w:szCs w:val="28"/>
        </w:rPr>
      </w:pPr>
      <w:r w:rsidRPr="002631CA">
        <w:rPr>
          <w:sz w:val="28"/>
          <w:szCs w:val="28"/>
        </w:rPr>
        <w:t>Valsts ieņēmumu dienests (turpmāk – VID)</w:t>
      </w:r>
      <w:r w:rsidR="00042A1F" w:rsidRPr="002631CA">
        <w:rPr>
          <w:sz w:val="28"/>
          <w:szCs w:val="28"/>
        </w:rPr>
        <w:t xml:space="preserve"> </w:t>
      </w:r>
      <w:r w:rsidRPr="002631CA">
        <w:rPr>
          <w:sz w:val="28"/>
          <w:szCs w:val="28"/>
        </w:rPr>
        <w:t xml:space="preserve">2012.gada sešos mēnešos </w:t>
      </w:r>
      <w:r w:rsidR="00042A1F" w:rsidRPr="002631CA">
        <w:rPr>
          <w:sz w:val="28"/>
          <w:szCs w:val="28"/>
        </w:rPr>
        <w:t xml:space="preserve">iekasējis 2 206,14 </w:t>
      </w:r>
      <w:proofErr w:type="spellStart"/>
      <w:r w:rsidR="00042A1F" w:rsidRPr="002631CA">
        <w:rPr>
          <w:sz w:val="28"/>
          <w:szCs w:val="28"/>
        </w:rPr>
        <w:t>milj</w:t>
      </w:r>
      <w:proofErr w:type="spellEnd"/>
      <w:r w:rsidR="00042A1F" w:rsidRPr="002631CA">
        <w:rPr>
          <w:sz w:val="28"/>
          <w:szCs w:val="28"/>
        </w:rPr>
        <w:t>. latu</w:t>
      </w:r>
      <w:r w:rsidRPr="002631CA">
        <w:rPr>
          <w:sz w:val="28"/>
          <w:szCs w:val="28"/>
        </w:rPr>
        <w:t xml:space="preserve">: </w:t>
      </w:r>
    </w:p>
    <w:p w:rsidR="006A325C" w:rsidRPr="002631CA" w:rsidRDefault="006A325C" w:rsidP="006A325C">
      <w:pPr>
        <w:ind w:firstLine="720"/>
        <w:jc w:val="both"/>
        <w:rPr>
          <w:sz w:val="28"/>
          <w:szCs w:val="28"/>
        </w:rPr>
      </w:pPr>
      <w:r w:rsidRPr="002631CA">
        <w:rPr>
          <w:sz w:val="28"/>
          <w:szCs w:val="28"/>
        </w:rPr>
        <w:t xml:space="preserve">- pārsniedzot plānotos ieņēmumus par 7,3 % jeb 149,69 </w:t>
      </w:r>
      <w:proofErr w:type="spellStart"/>
      <w:r w:rsidRPr="002631CA">
        <w:rPr>
          <w:sz w:val="28"/>
          <w:szCs w:val="28"/>
        </w:rPr>
        <w:t>milj</w:t>
      </w:r>
      <w:proofErr w:type="spellEnd"/>
      <w:r w:rsidRPr="002631CA">
        <w:rPr>
          <w:sz w:val="28"/>
          <w:szCs w:val="28"/>
        </w:rPr>
        <w:t>. latu;</w:t>
      </w:r>
    </w:p>
    <w:p w:rsidR="006A325C" w:rsidRPr="002631CA" w:rsidRDefault="006A325C" w:rsidP="006A325C">
      <w:pPr>
        <w:ind w:firstLine="720"/>
        <w:jc w:val="both"/>
        <w:rPr>
          <w:sz w:val="28"/>
          <w:szCs w:val="28"/>
        </w:rPr>
      </w:pPr>
      <w:r w:rsidRPr="002631CA">
        <w:rPr>
          <w:sz w:val="28"/>
          <w:szCs w:val="28"/>
        </w:rPr>
        <w:t xml:space="preserve">- pārsniedzot 2011.gada sešu mēnešu ieņēmumus par 13,2 % jeb 256,61 </w:t>
      </w:r>
      <w:proofErr w:type="spellStart"/>
      <w:r w:rsidRPr="002631CA">
        <w:rPr>
          <w:sz w:val="28"/>
          <w:szCs w:val="28"/>
        </w:rPr>
        <w:t>milj</w:t>
      </w:r>
      <w:proofErr w:type="spellEnd"/>
      <w:r w:rsidRPr="002631CA">
        <w:rPr>
          <w:sz w:val="28"/>
          <w:szCs w:val="28"/>
        </w:rPr>
        <w:t>. latu.</w:t>
      </w:r>
    </w:p>
    <w:p w:rsidR="006A325C" w:rsidRPr="002631CA" w:rsidRDefault="009F4AE5" w:rsidP="005523BE">
      <w:pPr>
        <w:jc w:val="center"/>
        <w:rPr>
          <w:sz w:val="28"/>
          <w:szCs w:val="28"/>
        </w:rPr>
      </w:pPr>
      <w:r w:rsidRPr="002631CA">
        <w:rPr>
          <w:b/>
          <w:noProof/>
          <w:sz w:val="28"/>
          <w:szCs w:val="28"/>
        </w:rPr>
        <w:lastRenderedPageBreak/>
        <w:drawing>
          <wp:inline distT="0" distB="0" distL="0" distR="0" wp14:anchorId="720E76B8" wp14:editId="2FED6D73">
            <wp:extent cx="3838744" cy="21652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6830" cy="2169791"/>
                    </a:xfrm>
                    <a:prstGeom prst="rect">
                      <a:avLst/>
                    </a:prstGeom>
                    <a:noFill/>
                  </pic:spPr>
                </pic:pic>
              </a:graphicData>
            </a:graphic>
          </wp:inline>
        </w:drawing>
      </w:r>
    </w:p>
    <w:p w:rsidR="006A325C" w:rsidRPr="002631CA" w:rsidRDefault="006A325C" w:rsidP="006A325C">
      <w:pPr>
        <w:ind w:firstLine="720"/>
        <w:jc w:val="both"/>
        <w:rPr>
          <w:sz w:val="28"/>
          <w:szCs w:val="28"/>
        </w:rPr>
      </w:pPr>
    </w:p>
    <w:p w:rsidR="006A325C" w:rsidRPr="002631CA" w:rsidRDefault="006A325C" w:rsidP="006A325C">
      <w:pPr>
        <w:ind w:firstLine="720"/>
        <w:jc w:val="both"/>
        <w:rPr>
          <w:sz w:val="28"/>
          <w:szCs w:val="28"/>
        </w:rPr>
      </w:pPr>
      <w:r w:rsidRPr="002631CA">
        <w:rPr>
          <w:sz w:val="28"/>
          <w:szCs w:val="28"/>
        </w:rPr>
        <w:t>1.attēls. VID administrētie budžeta ieņēmumi 2010.– 2012.gada 1.pusgadā.</w:t>
      </w:r>
    </w:p>
    <w:p w:rsidR="006A325C" w:rsidRPr="002631CA" w:rsidRDefault="006A325C" w:rsidP="006A325C">
      <w:pPr>
        <w:ind w:firstLine="720"/>
        <w:jc w:val="both"/>
        <w:rPr>
          <w:sz w:val="28"/>
          <w:szCs w:val="28"/>
        </w:rPr>
      </w:pPr>
    </w:p>
    <w:p w:rsidR="006A325C" w:rsidRPr="002631CA" w:rsidRDefault="006A325C" w:rsidP="006A325C">
      <w:pPr>
        <w:ind w:firstLine="720"/>
        <w:jc w:val="both"/>
        <w:rPr>
          <w:sz w:val="28"/>
          <w:szCs w:val="28"/>
        </w:rPr>
      </w:pPr>
      <w:r w:rsidRPr="002631CA">
        <w:rPr>
          <w:sz w:val="28"/>
          <w:szCs w:val="28"/>
        </w:rPr>
        <w:t xml:space="preserve">VID administrēto budžeta ieņēmumu rādītājus ir ietekmējusi gan VID administrējošo darbību rezultātu uzlabošana, gan ekonomiskās situācijas stabilizēšanās, gan izmaiņas saistošajos normatīvajos aktos. </w:t>
      </w:r>
      <w:r w:rsidR="00B67641" w:rsidRPr="002631CA">
        <w:rPr>
          <w:sz w:val="28"/>
          <w:szCs w:val="28"/>
        </w:rPr>
        <w:t>Būtiska nozīme nodokļu iekasēšanas uzlabošanā un re</w:t>
      </w:r>
      <w:r w:rsidR="002A2A87" w:rsidRPr="002631CA">
        <w:rPr>
          <w:sz w:val="28"/>
          <w:szCs w:val="28"/>
        </w:rPr>
        <w:t>zultatīvo rādītāju paaugstināšanā</w:t>
      </w:r>
      <w:r w:rsidR="00B67641" w:rsidRPr="002631CA">
        <w:rPr>
          <w:sz w:val="28"/>
          <w:szCs w:val="28"/>
        </w:rPr>
        <w:t xml:space="preserve"> prioritārajās darbības jomās ir arī VID darbinieku motivācijai – piemaksām un prēmijām </w:t>
      </w:r>
      <w:r w:rsidR="002A2A87" w:rsidRPr="002631CA">
        <w:rPr>
          <w:sz w:val="28"/>
          <w:szCs w:val="28"/>
        </w:rPr>
        <w:t xml:space="preserve">par </w:t>
      </w:r>
      <w:r w:rsidR="00B67641" w:rsidRPr="002631CA">
        <w:rPr>
          <w:sz w:val="28"/>
          <w:szCs w:val="28"/>
        </w:rPr>
        <w:t xml:space="preserve">ieguldījumu un sekmīgu darbu ēnu ekonomikas mazināšanā un godīgas konkurences veicināšanā. </w:t>
      </w:r>
      <w:r w:rsidRPr="002631CA">
        <w:rPr>
          <w:sz w:val="28"/>
          <w:szCs w:val="28"/>
        </w:rPr>
        <w:t xml:space="preserve">Tiek prognozēts, ka kopējā VID administrēto valsts budžeta ieņēmumu plāna izpilde 2012.gadam tiks nodrošināta  105 % apmērā, virs plāna iekasējot 213 </w:t>
      </w:r>
      <w:proofErr w:type="spellStart"/>
      <w:r w:rsidRPr="002631CA">
        <w:rPr>
          <w:sz w:val="28"/>
          <w:szCs w:val="28"/>
        </w:rPr>
        <w:t>milj</w:t>
      </w:r>
      <w:proofErr w:type="spellEnd"/>
      <w:r w:rsidRPr="002631CA">
        <w:rPr>
          <w:sz w:val="28"/>
          <w:szCs w:val="28"/>
        </w:rPr>
        <w:t xml:space="preserve">. latu. </w:t>
      </w:r>
    </w:p>
    <w:p w:rsidR="006A325C" w:rsidRPr="002631CA" w:rsidRDefault="006A325C" w:rsidP="006A325C">
      <w:pPr>
        <w:ind w:firstLine="720"/>
        <w:jc w:val="both"/>
        <w:rPr>
          <w:sz w:val="28"/>
          <w:szCs w:val="28"/>
        </w:rPr>
      </w:pPr>
      <w:r w:rsidRPr="002631CA">
        <w:rPr>
          <w:sz w:val="28"/>
          <w:szCs w:val="28"/>
        </w:rPr>
        <w:t xml:space="preserve">Lai nodrošinātu likumā noteikto VID administrēto ieņēmumu plāna izpildi un VID darbības un attīstības stratēģiju 2011.–2013.gadam, īpaši pievēršot uzmanību ēnu ekonomikas apkarošanai un godīgas konkurences veicināšanai, tika apstiprinātas darbības prioritātes 2012.gadam: </w:t>
      </w:r>
    </w:p>
    <w:p w:rsidR="006A325C" w:rsidRPr="002631CA" w:rsidRDefault="006A325C" w:rsidP="006A325C">
      <w:pPr>
        <w:ind w:firstLine="720"/>
        <w:jc w:val="both"/>
        <w:rPr>
          <w:sz w:val="28"/>
          <w:szCs w:val="28"/>
        </w:rPr>
      </w:pPr>
      <w:r w:rsidRPr="002631CA">
        <w:rPr>
          <w:sz w:val="28"/>
          <w:szCs w:val="28"/>
        </w:rPr>
        <w:t>1)</w:t>
      </w:r>
      <w:r w:rsidRPr="002631CA">
        <w:rPr>
          <w:sz w:val="28"/>
          <w:szCs w:val="28"/>
        </w:rPr>
        <w:tab/>
      </w:r>
      <w:r w:rsidR="00B5777C" w:rsidRPr="002631CA">
        <w:rPr>
          <w:sz w:val="28"/>
          <w:szCs w:val="28"/>
        </w:rPr>
        <w:t>p</w:t>
      </w:r>
      <w:r w:rsidRPr="002631CA">
        <w:rPr>
          <w:sz w:val="28"/>
          <w:szCs w:val="28"/>
        </w:rPr>
        <w:t xml:space="preserve">ievienotās vērtības </w:t>
      </w:r>
      <w:r w:rsidR="00B5777C" w:rsidRPr="002631CA">
        <w:rPr>
          <w:sz w:val="28"/>
          <w:szCs w:val="28"/>
        </w:rPr>
        <w:t xml:space="preserve">nodokļa </w:t>
      </w:r>
      <w:r w:rsidRPr="002631CA">
        <w:rPr>
          <w:sz w:val="28"/>
          <w:szCs w:val="28"/>
        </w:rPr>
        <w:t>ieņēmumu zudumu novēršana, ar nelegālo nodarbinātību saistīto nodokļu saistību izpildes pārkāpumu un algu izmaksas aploksnēs mazināšana, kā arī nereģistrētas saimnieciskās darbības ierobežošana, īstenojot uzraudzības pasākumu programmu.</w:t>
      </w:r>
    </w:p>
    <w:p w:rsidR="006A325C" w:rsidRPr="002631CA" w:rsidRDefault="006A325C" w:rsidP="006A325C">
      <w:pPr>
        <w:ind w:firstLine="720"/>
        <w:jc w:val="both"/>
        <w:rPr>
          <w:sz w:val="28"/>
          <w:szCs w:val="28"/>
        </w:rPr>
      </w:pPr>
      <w:r w:rsidRPr="002631CA">
        <w:rPr>
          <w:sz w:val="28"/>
          <w:szCs w:val="28"/>
        </w:rPr>
        <w:t>2)</w:t>
      </w:r>
      <w:r w:rsidRPr="002631CA">
        <w:rPr>
          <w:sz w:val="28"/>
          <w:szCs w:val="28"/>
        </w:rPr>
        <w:tab/>
      </w:r>
      <w:r w:rsidR="00B5777C" w:rsidRPr="002631CA">
        <w:rPr>
          <w:sz w:val="28"/>
          <w:szCs w:val="28"/>
        </w:rPr>
        <w:t>k</w:t>
      </w:r>
      <w:r w:rsidRPr="002631CA">
        <w:rPr>
          <w:sz w:val="28"/>
          <w:szCs w:val="28"/>
        </w:rPr>
        <w:t>ontroles kapacitātes stiprināšana, lai nodrošinātu pārbaužu skaita pieaugumu juridiskajām personām.</w:t>
      </w:r>
    </w:p>
    <w:p w:rsidR="006A325C" w:rsidRPr="002631CA" w:rsidRDefault="006A325C" w:rsidP="006A325C">
      <w:pPr>
        <w:ind w:firstLine="720"/>
        <w:jc w:val="both"/>
        <w:rPr>
          <w:sz w:val="28"/>
          <w:szCs w:val="28"/>
        </w:rPr>
      </w:pPr>
      <w:r w:rsidRPr="002631CA">
        <w:rPr>
          <w:sz w:val="28"/>
          <w:szCs w:val="28"/>
        </w:rPr>
        <w:t>3)</w:t>
      </w:r>
      <w:r w:rsidRPr="002631CA">
        <w:rPr>
          <w:sz w:val="28"/>
          <w:szCs w:val="28"/>
        </w:rPr>
        <w:tab/>
      </w:r>
      <w:r w:rsidR="00B5777C" w:rsidRPr="002631CA">
        <w:rPr>
          <w:sz w:val="28"/>
          <w:szCs w:val="28"/>
        </w:rPr>
        <w:t>o</w:t>
      </w:r>
      <w:r w:rsidRPr="002631CA">
        <w:rPr>
          <w:sz w:val="28"/>
          <w:szCs w:val="28"/>
        </w:rPr>
        <w:t>rganizētās noziedzības un korupcijas apkarošana valsts ieņēmumu jomā.</w:t>
      </w:r>
    </w:p>
    <w:p w:rsidR="006A325C" w:rsidRPr="002631CA" w:rsidRDefault="006A325C" w:rsidP="006A325C">
      <w:pPr>
        <w:ind w:firstLine="720"/>
        <w:jc w:val="both"/>
        <w:rPr>
          <w:sz w:val="28"/>
          <w:szCs w:val="28"/>
        </w:rPr>
      </w:pPr>
      <w:r w:rsidRPr="002631CA">
        <w:rPr>
          <w:sz w:val="28"/>
          <w:szCs w:val="28"/>
        </w:rPr>
        <w:t>4)</w:t>
      </w:r>
      <w:r w:rsidRPr="002631CA">
        <w:rPr>
          <w:sz w:val="28"/>
          <w:szCs w:val="28"/>
        </w:rPr>
        <w:tab/>
      </w:r>
      <w:r w:rsidR="00B5777C" w:rsidRPr="002631CA">
        <w:rPr>
          <w:sz w:val="28"/>
          <w:szCs w:val="28"/>
        </w:rPr>
        <w:t>m</w:t>
      </w:r>
      <w:r w:rsidRPr="002631CA">
        <w:rPr>
          <w:sz w:val="28"/>
          <w:szCs w:val="28"/>
        </w:rPr>
        <w:t>uitas kontroles pasākumu īstenošana prioritārajās jomās − akcīzes preču kontrabandas ierobežošana, narkotisko un psihotropo vielu kontrabandas apkarošana un organizētās noziedzības grupējumu apkarošana.</w:t>
      </w:r>
    </w:p>
    <w:p w:rsidR="006A325C" w:rsidRPr="002631CA" w:rsidRDefault="006A325C" w:rsidP="006A325C">
      <w:pPr>
        <w:ind w:firstLine="720"/>
        <w:jc w:val="both"/>
        <w:rPr>
          <w:sz w:val="28"/>
          <w:szCs w:val="28"/>
        </w:rPr>
      </w:pPr>
    </w:p>
    <w:p w:rsidR="006A325C" w:rsidRPr="002631CA" w:rsidRDefault="006A325C" w:rsidP="007B7FE3">
      <w:pPr>
        <w:pStyle w:val="ListParagraph"/>
        <w:numPr>
          <w:ilvl w:val="0"/>
          <w:numId w:val="12"/>
        </w:numPr>
        <w:ind w:left="0" w:firstLine="0"/>
        <w:jc w:val="center"/>
        <w:rPr>
          <w:rFonts w:ascii="Times New Roman" w:hAnsi="Times New Roman"/>
          <w:b/>
          <w:sz w:val="28"/>
          <w:szCs w:val="28"/>
        </w:rPr>
      </w:pPr>
      <w:r w:rsidRPr="002631CA">
        <w:rPr>
          <w:rFonts w:ascii="Times New Roman" w:hAnsi="Times New Roman"/>
          <w:b/>
          <w:sz w:val="28"/>
          <w:szCs w:val="28"/>
        </w:rPr>
        <w:t>Darbības rezultāti pirmās prioritātes – „Pievienotās vērtības</w:t>
      </w:r>
      <w:r w:rsidR="00B5777C" w:rsidRPr="002631CA">
        <w:rPr>
          <w:rFonts w:ascii="Times New Roman" w:hAnsi="Times New Roman"/>
          <w:b/>
          <w:sz w:val="28"/>
          <w:szCs w:val="28"/>
        </w:rPr>
        <w:t xml:space="preserve"> nodokļa</w:t>
      </w:r>
      <w:r w:rsidRPr="002631CA">
        <w:rPr>
          <w:rFonts w:ascii="Times New Roman" w:hAnsi="Times New Roman"/>
          <w:b/>
          <w:sz w:val="28"/>
          <w:szCs w:val="28"/>
        </w:rPr>
        <w:t xml:space="preserve"> ieņēmumu zudumu novēršana, ar nelegālo nodarbinātību saistīto nodokļu saistību izpildes pārkāpumu un algu izmaksas aploksnēs mazināšana, kā </w:t>
      </w:r>
      <w:r w:rsidRPr="002631CA">
        <w:rPr>
          <w:rFonts w:ascii="Times New Roman" w:hAnsi="Times New Roman"/>
          <w:b/>
          <w:sz w:val="28"/>
          <w:szCs w:val="28"/>
        </w:rPr>
        <w:lastRenderedPageBreak/>
        <w:t>arī nereģistrētas saimnieciskās darbības ierobežošana, īstenojot uzraudzības pasākumu programmu” – īstenošanā.</w:t>
      </w:r>
    </w:p>
    <w:p w:rsidR="006A325C" w:rsidRPr="002631CA" w:rsidRDefault="006A325C" w:rsidP="007B7FE3">
      <w:pPr>
        <w:jc w:val="center"/>
        <w:rPr>
          <w:sz w:val="28"/>
          <w:szCs w:val="28"/>
        </w:rPr>
      </w:pPr>
    </w:p>
    <w:p w:rsidR="006A325C" w:rsidRPr="002631CA" w:rsidRDefault="006A325C" w:rsidP="006A325C">
      <w:pPr>
        <w:ind w:firstLine="720"/>
        <w:jc w:val="both"/>
        <w:rPr>
          <w:sz w:val="28"/>
          <w:szCs w:val="28"/>
        </w:rPr>
      </w:pPr>
      <w:r w:rsidRPr="002631CA">
        <w:rPr>
          <w:sz w:val="28"/>
          <w:szCs w:val="28"/>
        </w:rPr>
        <w:t>Ja deklarēto pievienotās vērtības nodokļa (turpmāk – PVN), uzņēmumu ienākuma nodokļa (turpmāk – UIN), iedzīvotāju ienākuma nodokļa (turpmāk – IIN) un valsts sociālās apdrošināšanas obligāto iemaksu (turpmāk – VSAOI) pārmaksu atmaksu ticamības novērtējumu rezultātā tiek konstatēts, ka atmaksa pieprasīta nepamatoti, tiek pieņemts lēmums neatmaksāt konkrētā nodokļa atmaksu, tādējādi novēršot nodokļu ieņēmumu zudumus.</w:t>
      </w:r>
    </w:p>
    <w:p w:rsidR="006A325C" w:rsidRPr="002631CA" w:rsidRDefault="006A325C" w:rsidP="006A325C">
      <w:pPr>
        <w:ind w:firstLine="720"/>
        <w:jc w:val="both"/>
        <w:rPr>
          <w:sz w:val="28"/>
          <w:szCs w:val="28"/>
        </w:rPr>
      </w:pPr>
      <w:r w:rsidRPr="002631CA">
        <w:rPr>
          <w:sz w:val="28"/>
          <w:szCs w:val="28"/>
        </w:rPr>
        <w:t xml:space="preserve">2012.gada sešos mēnešos kopā atteikta nepamatoti pieprasītu PVN, UIN, IIN un VSAOI pārmaksu atmaksa 9 130,6 </w:t>
      </w:r>
      <w:proofErr w:type="spellStart"/>
      <w:r w:rsidRPr="002631CA">
        <w:rPr>
          <w:sz w:val="28"/>
          <w:szCs w:val="28"/>
        </w:rPr>
        <w:t>tūkst</w:t>
      </w:r>
      <w:proofErr w:type="spellEnd"/>
      <w:r w:rsidRPr="002631CA">
        <w:rPr>
          <w:sz w:val="28"/>
          <w:szCs w:val="28"/>
        </w:rPr>
        <w:t>.</w:t>
      </w:r>
      <w:r w:rsidR="005523BE" w:rsidRPr="002631CA">
        <w:rPr>
          <w:sz w:val="28"/>
          <w:szCs w:val="28"/>
        </w:rPr>
        <w:t xml:space="preserve"> </w:t>
      </w:r>
      <w:r w:rsidRPr="002631CA">
        <w:rPr>
          <w:sz w:val="28"/>
          <w:szCs w:val="28"/>
        </w:rPr>
        <w:t xml:space="preserve">latu apmērā. </w:t>
      </w:r>
    </w:p>
    <w:p w:rsidR="006A325C" w:rsidRPr="002631CA" w:rsidRDefault="006A325C" w:rsidP="006A325C">
      <w:pPr>
        <w:ind w:firstLine="720"/>
        <w:jc w:val="both"/>
        <w:rPr>
          <w:sz w:val="28"/>
          <w:szCs w:val="28"/>
        </w:rPr>
      </w:pPr>
      <w:r w:rsidRPr="002631CA">
        <w:rPr>
          <w:sz w:val="28"/>
          <w:szCs w:val="28"/>
        </w:rPr>
        <w:t>Ieviešot Starptautiskā Valūtas fonda ieteikumus, preventīvā uzraudzības darba uzlabošanai nereģistrētās uzņēmējdarbības un aplokšņu algu apkarošanā, VID darbība tika īstenota saimnieciskās darbības reģistrācijas nodrošināšanas projektu grupas un projekta grupas cīņā pret algu izmaksām aploksnēs  ietvaros.</w:t>
      </w:r>
    </w:p>
    <w:p w:rsidR="006A325C" w:rsidRPr="002631CA" w:rsidRDefault="006A325C" w:rsidP="006A325C">
      <w:pPr>
        <w:ind w:firstLine="720"/>
        <w:jc w:val="both"/>
        <w:rPr>
          <w:sz w:val="28"/>
          <w:szCs w:val="28"/>
        </w:rPr>
      </w:pPr>
      <w:r w:rsidRPr="002631CA">
        <w:rPr>
          <w:sz w:val="28"/>
          <w:szCs w:val="28"/>
        </w:rPr>
        <w:t xml:space="preserve">Veikto pasākumu rezultātā fiziskās personas ir reģistrējušās kā nodokļu maksātāji, iesniegušas nodokļu deklarācijas un deklarējušas ienākumus no saimnieciskās darbības. Nodokļu maksātāji − juridiskās personas – ir legalizējuši darba ņēmējus, palielinājuši saviem darbiniekiem darba samaksu. </w:t>
      </w:r>
    </w:p>
    <w:p w:rsidR="006A325C" w:rsidRPr="002631CA" w:rsidRDefault="006A325C" w:rsidP="006A325C">
      <w:pPr>
        <w:ind w:firstLine="720"/>
        <w:jc w:val="both"/>
        <w:rPr>
          <w:sz w:val="28"/>
          <w:szCs w:val="28"/>
        </w:rPr>
      </w:pPr>
      <w:r w:rsidRPr="002631CA">
        <w:rPr>
          <w:sz w:val="28"/>
          <w:szCs w:val="28"/>
        </w:rPr>
        <w:t>2012.gada sešos mēnešos:</w:t>
      </w:r>
    </w:p>
    <w:p w:rsidR="006A325C" w:rsidRPr="002631CA" w:rsidRDefault="006A325C" w:rsidP="006A325C">
      <w:pPr>
        <w:ind w:firstLine="720"/>
        <w:jc w:val="both"/>
        <w:rPr>
          <w:sz w:val="28"/>
          <w:szCs w:val="28"/>
        </w:rPr>
      </w:pPr>
      <w:r w:rsidRPr="002631CA">
        <w:rPr>
          <w:sz w:val="28"/>
          <w:szCs w:val="28"/>
        </w:rPr>
        <w:t>−</w:t>
      </w:r>
      <w:r w:rsidRPr="002631CA">
        <w:rPr>
          <w:sz w:val="28"/>
          <w:szCs w:val="28"/>
        </w:rPr>
        <w:tab/>
        <w:t xml:space="preserve">legalizēti 2058 darba ņēmēji, kā rezultātā palielinātas VSAOI budžetā 239,69 </w:t>
      </w:r>
      <w:proofErr w:type="spellStart"/>
      <w:r w:rsidRPr="002631CA">
        <w:rPr>
          <w:sz w:val="28"/>
          <w:szCs w:val="28"/>
        </w:rPr>
        <w:t>tūkst</w:t>
      </w:r>
      <w:proofErr w:type="spellEnd"/>
      <w:r w:rsidRPr="002631CA">
        <w:rPr>
          <w:sz w:val="28"/>
          <w:szCs w:val="28"/>
        </w:rPr>
        <w:t xml:space="preserve">. latu apmērā un palielināts IIN 119,85 </w:t>
      </w:r>
      <w:proofErr w:type="spellStart"/>
      <w:r w:rsidRPr="002631CA">
        <w:rPr>
          <w:sz w:val="28"/>
          <w:szCs w:val="28"/>
        </w:rPr>
        <w:t>tūkst</w:t>
      </w:r>
      <w:proofErr w:type="spellEnd"/>
      <w:r w:rsidRPr="002631CA">
        <w:rPr>
          <w:sz w:val="28"/>
          <w:szCs w:val="28"/>
        </w:rPr>
        <w:t>. latu apmērā;</w:t>
      </w:r>
    </w:p>
    <w:p w:rsidR="006A325C" w:rsidRPr="002631CA" w:rsidRDefault="006A325C" w:rsidP="006A325C">
      <w:pPr>
        <w:ind w:firstLine="720"/>
        <w:jc w:val="both"/>
        <w:rPr>
          <w:sz w:val="28"/>
          <w:szCs w:val="28"/>
        </w:rPr>
      </w:pPr>
      <w:r w:rsidRPr="002631CA">
        <w:rPr>
          <w:sz w:val="28"/>
          <w:szCs w:val="28"/>
        </w:rPr>
        <w:t>−</w:t>
      </w:r>
      <w:r w:rsidRPr="002631CA">
        <w:rPr>
          <w:sz w:val="28"/>
          <w:szCs w:val="28"/>
        </w:rPr>
        <w:tab/>
        <w:t xml:space="preserve">nodokļu maksātāji darba ņēmējiem palielinājuši darba samaksu, kā rezultātā palielināts IIN 8,83 </w:t>
      </w:r>
      <w:proofErr w:type="spellStart"/>
      <w:r w:rsidRPr="002631CA">
        <w:rPr>
          <w:sz w:val="28"/>
          <w:szCs w:val="28"/>
        </w:rPr>
        <w:t>tūkst</w:t>
      </w:r>
      <w:proofErr w:type="spellEnd"/>
      <w:r w:rsidRPr="002631CA">
        <w:rPr>
          <w:sz w:val="28"/>
          <w:szCs w:val="28"/>
        </w:rPr>
        <w:t xml:space="preserve">. latu apmērā. </w:t>
      </w:r>
    </w:p>
    <w:p w:rsidR="006A325C" w:rsidRPr="002631CA" w:rsidRDefault="006A325C" w:rsidP="006A325C">
      <w:pPr>
        <w:ind w:firstLine="720"/>
        <w:jc w:val="both"/>
        <w:rPr>
          <w:sz w:val="28"/>
          <w:szCs w:val="28"/>
        </w:rPr>
      </w:pPr>
    </w:p>
    <w:p w:rsidR="006A325C" w:rsidRPr="002631CA" w:rsidRDefault="006A325C" w:rsidP="006A325C">
      <w:pPr>
        <w:ind w:firstLine="720"/>
        <w:jc w:val="both"/>
        <w:rPr>
          <w:sz w:val="28"/>
          <w:szCs w:val="28"/>
        </w:rPr>
      </w:pPr>
      <w:r w:rsidRPr="002631CA">
        <w:rPr>
          <w:sz w:val="28"/>
          <w:szCs w:val="28"/>
        </w:rPr>
        <w:t xml:space="preserve">Cīņai pret nelegālo nodarbinātību un algu izmaksām aploksnēs VID veicis virkni kontroles pasākumu, kuru rezultātā sasniegts gan preventīvs efekts, gan represīva ietekme uz nodokļu maksātāju izturēšanos pret nodokļu saistību izpildi. </w:t>
      </w:r>
    </w:p>
    <w:p w:rsidR="006A325C" w:rsidRPr="002631CA" w:rsidRDefault="006A325C" w:rsidP="006A325C">
      <w:pPr>
        <w:ind w:firstLine="720"/>
        <w:jc w:val="both"/>
        <w:rPr>
          <w:sz w:val="28"/>
          <w:szCs w:val="28"/>
        </w:rPr>
      </w:pPr>
    </w:p>
    <w:p w:rsidR="006A325C" w:rsidRPr="002631CA" w:rsidRDefault="006A325C" w:rsidP="00AC57C1">
      <w:pPr>
        <w:ind w:firstLine="720"/>
        <w:jc w:val="right"/>
        <w:rPr>
          <w:sz w:val="28"/>
          <w:szCs w:val="28"/>
        </w:rPr>
      </w:pPr>
      <w:r w:rsidRPr="002631CA">
        <w:rPr>
          <w:sz w:val="28"/>
          <w:szCs w:val="28"/>
        </w:rPr>
        <w:t>1.tabula</w:t>
      </w:r>
    </w:p>
    <w:p w:rsidR="00D0790A" w:rsidRPr="002631CA" w:rsidRDefault="00D0790A" w:rsidP="00AC57C1">
      <w:pPr>
        <w:ind w:firstLine="720"/>
        <w:jc w:val="right"/>
        <w:rPr>
          <w:sz w:val="28"/>
          <w:szCs w:val="28"/>
        </w:rPr>
      </w:pPr>
    </w:p>
    <w:p w:rsidR="006A325C" w:rsidRPr="002631CA" w:rsidRDefault="006A325C" w:rsidP="00AC57C1">
      <w:pPr>
        <w:jc w:val="both"/>
        <w:rPr>
          <w:sz w:val="28"/>
          <w:szCs w:val="28"/>
        </w:rPr>
      </w:pPr>
      <w:r w:rsidRPr="002631CA">
        <w:rPr>
          <w:sz w:val="28"/>
          <w:szCs w:val="28"/>
        </w:rPr>
        <w:t>Kontroles pasākumu rezultāti cīņai pret nelegālo nodarbinātību un algu izmaksām aploksnēs</w:t>
      </w:r>
    </w:p>
    <w:p w:rsidR="00AC57C1" w:rsidRPr="002631CA" w:rsidRDefault="00AC57C1" w:rsidP="006A325C">
      <w:pPr>
        <w:ind w:firstLine="720"/>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2126"/>
        <w:gridCol w:w="2268"/>
      </w:tblGrid>
      <w:tr w:rsidR="00D0790A" w:rsidRPr="00514404" w:rsidTr="005E7A81">
        <w:tc>
          <w:tcPr>
            <w:tcW w:w="817" w:type="dxa"/>
            <w:shd w:val="clear" w:color="auto" w:fill="auto"/>
          </w:tcPr>
          <w:p w:rsidR="00AC57C1" w:rsidRPr="00514404" w:rsidRDefault="00AC57C1" w:rsidP="00311FC2">
            <w:pPr>
              <w:tabs>
                <w:tab w:val="center" w:pos="4153"/>
                <w:tab w:val="right" w:pos="8306"/>
              </w:tabs>
              <w:jc w:val="center"/>
            </w:pPr>
            <w:proofErr w:type="spellStart"/>
            <w:r w:rsidRPr="00514404">
              <w:t>Nr.p.k</w:t>
            </w:r>
            <w:proofErr w:type="spellEnd"/>
            <w:r w:rsidRPr="00514404">
              <w:t>.</w:t>
            </w:r>
          </w:p>
        </w:tc>
        <w:tc>
          <w:tcPr>
            <w:tcW w:w="3969" w:type="dxa"/>
            <w:shd w:val="clear" w:color="auto" w:fill="auto"/>
            <w:vAlign w:val="center"/>
          </w:tcPr>
          <w:p w:rsidR="00AC57C1" w:rsidRPr="00514404" w:rsidRDefault="00AC57C1" w:rsidP="00311FC2">
            <w:pPr>
              <w:tabs>
                <w:tab w:val="center" w:pos="4153"/>
                <w:tab w:val="right" w:pos="8306"/>
              </w:tabs>
              <w:jc w:val="center"/>
            </w:pPr>
            <w:r w:rsidRPr="00514404">
              <w:t>Rādītāji</w:t>
            </w:r>
          </w:p>
        </w:tc>
        <w:tc>
          <w:tcPr>
            <w:tcW w:w="2126" w:type="dxa"/>
            <w:shd w:val="clear" w:color="auto" w:fill="auto"/>
            <w:vAlign w:val="center"/>
          </w:tcPr>
          <w:p w:rsidR="00AC57C1" w:rsidRPr="00514404" w:rsidRDefault="00AC57C1" w:rsidP="00D0790A">
            <w:pPr>
              <w:tabs>
                <w:tab w:val="center" w:pos="4153"/>
                <w:tab w:val="right" w:pos="8306"/>
              </w:tabs>
              <w:jc w:val="center"/>
            </w:pPr>
            <w:r w:rsidRPr="00514404">
              <w:t>2012.g.</w:t>
            </w:r>
            <w:r w:rsidR="00D0790A" w:rsidRPr="00514404">
              <w:t xml:space="preserve"> 6</w:t>
            </w:r>
            <w:r w:rsidRPr="00514404">
              <w:t xml:space="preserve"> mēnešos</w:t>
            </w:r>
          </w:p>
        </w:tc>
        <w:tc>
          <w:tcPr>
            <w:tcW w:w="2268" w:type="dxa"/>
            <w:shd w:val="clear" w:color="auto" w:fill="auto"/>
            <w:vAlign w:val="center"/>
          </w:tcPr>
          <w:p w:rsidR="00AC57C1" w:rsidRPr="00514404" w:rsidRDefault="00AC57C1" w:rsidP="00D0790A">
            <w:pPr>
              <w:tabs>
                <w:tab w:val="center" w:pos="4153"/>
                <w:tab w:val="right" w:pos="8306"/>
              </w:tabs>
              <w:jc w:val="center"/>
            </w:pPr>
            <w:r w:rsidRPr="00514404">
              <w:t>Izmaiņas salīdzinājumā ar 2011.g.</w:t>
            </w:r>
            <w:r w:rsidR="00D0790A" w:rsidRPr="00514404">
              <w:t xml:space="preserve"> 6</w:t>
            </w:r>
            <w:r w:rsidRPr="00514404">
              <w:t xml:space="preserve"> mēnešiem (+,-)</w:t>
            </w:r>
          </w:p>
        </w:tc>
      </w:tr>
      <w:tr w:rsidR="00D0790A" w:rsidRPr="00514404" w:rsidTr="005E7A81">
        <w:tc>
          <w:tcPr>
            <w:tcW w:w="9180" w:type="dxa"/>
            <w:gridSpan w:val="4"/>
            <w:shd w:val="clear" w:color="auto" w:fill="auto"/>
          </w:tcPr>
          <w:p w:rsidR="00AC57C1" w:rsidRPr="00514404" w:rsidRDefault="00AC57C1" w:rsidP="00311FC2">
            <w:pPr>
              <w:tabs>
                <w:tab w:val="center" w:pos="4153"/>
                <w:tab w:val="right" w:pos="8306"/>
              </w:tabs>
              <w:jc w:val="center"/>
            </w:pPr>
            <w:r w:rsidRPr="00514404">
              <w:t>Tematiskās pārbaudes</w:t>
            </w:r>
          </w:p>
        </w:tc>
      </w:tr>
      <w:tr w:rsidR="00D0790A" w:rsidRPr="00514404" w:rsidTr="005E7A81">
        <w:tc>
          <w:tcPr>
            <w:tcW w:w="817" w:type="dxa"/>
            <w:shd w:val="clear" w:color="auto" w:fill="auto"/>
          </w:tcPr>
          <w:p w:rsidR="00AC57C1" w:rsidRPr="00514404" w:rsidRDefault="004276EB" w:rsidP="00311FC2">
            <w:pPr>
              <w:tabs>
                <w:tab w:val="center" w:pos="4153"/>
                <w:tab w:val="right" w:pos="8306"/>
              </w:tabs>
            </w:pPr>
            <w:r>
              <w:t>1</w:t>
            </w:r>
            <w:r w:rsidR="00AC57C1" w:rsidRPr="00514404">
              <w:t>.</w:t>
            </w:r>
          </w:p>
        </w:tc>
        <w:tc>
          <w:tcPr>
            <w:tcW w:w="3969" w:type="dxa"/>
            <w:shd w:val="clear" w:color="auto" w:fill="auto"/>
          </w:tcPr>
          <w:p w:rsidR="00AC57C1" w:rsidRPr="00514404" w:rsidRDefault="00AC57C1" w:rsidP="00B5777C">
            <w:pPr>
              <w:tabs>
                <w:tab w:val="center" w:pos="4153"/>
                <w:tab w:val="right" w:pos="8306"/>
              </w:tabs>
            </w:pPr>
            <w:r w:rsidRPr="00514404">
              <w:t xml:space="preserve">Darba devēju tematiskajās pārbaudēs piemērots naudas sods, </w:t>
            </w:r>
            <w:proofErr w:type="spellStart"/>
            <w:r w:rsidRPr="00514404">
              <w:t>tūkst</w:t>
            </w:r>
            <w:proofErr w:type="spellEnd"/>
            <w:r w:rsidRPr="00514404">
              <w:t xml:space="preserve">. </w:t>
            </w:r>
            <w:r w:rsidR="00B5777C" w:rsidRPr="00514404">
              <w:t>lati</w:t>
            </w:r>
          </w:p>
        </w:tc>
        <w:tc>
          <w:tcPr>
            <w:tcW w:w="2126" w:type="dxa"/>
            <w:shd w:val="clear" w:color="auto" w:fill="auto"/>
          </w:tcPr>
          <w:p w:rsidR="00AC57C1" w:rsidRPr="00514404" w:rsidRDefault="00AC57C1" w:rsidP="00311FC2">
            <w:pPr>
              <w:tabs>
                <w:tab w:val="center" w:pos="4153"/>
                <w:tab w:val="right" w:pos="8306"/>
              </w:tabs>
              <w:jc w:val="center"/>
            </w:pPr>
            <w:r w:rsidRPr="00514404">
              <w:t>37,4</w:t>
            </w:r>
          </w:p>
        </w:tc>
        <w:tc>
          <w:tcPr>
            <w:tcW w:w="2268" w:type="dxa"/>
            <w:shd w:val="clear" w:color="auto" w:fill="auto"/>
          </w:tcPr>
          <w:p w:rsidR="00AC57C1" w:rsidRPr="00514404" w:rsidRDefault="00AC57C1" w:rsidP="00311FC2">
            <w:pPr>
              <w:tabs>
                <w:tab w:val="center" w:pos="4153"/>
                <w:tab w:val="right" w:pos="8306"/>
              </w:tabs>
              <w:jc w:val="center"/>
            </w:pPr>
            <w:r w:rsidRPr="00514404">
              <w:t>+19,2</w:t>
            </w:r>
          </w:p>
        </w:tc>
      </w:tr>
      <w:tr w:rsidR="00D0790A" w:rsidRPr="00514404" w:rsidTr="005E7A81">
        <w:tc>
          <w:tcPr>
            <w:tcW w:w="817" w:type="dxa"/>
            <w:shd w:val="clear" w:color="auto" w:fill="auto"/>
          </w:tcPr>
          <w:p w:rsidR="00AC57C1" w:rsidRPr="00514404" w:rsidRDefault="004276EB" w:rsidP="00311FC2">
            <w:pPr>
              <w:tabs>
                <w:tab w:val="center" w:pos="4153"/>
                <w:tab w:val="right" w:pos="8306"/>
              </w:tabs>
            </w:pPr>
            <w:r>
              <w:t>2</w:t>
            </w:r>
            <w:r w:rsidR="00AC57C1" w:rsidRPr="00514404">
              <w:t>.</w:t>
            </w:r>
          </w:p>
        </w:tc>
        <w:tc>
          <w:tcPr>
            <w:tcW w:w="3969" w:type="dxa"/>
            <w:shd w:val="clear" w:color="auto" w:fill="auto"/>
          </w:tcPr>
          <w:p w:rsidR="00AC57C1" w:rsidRPr="00514404" w:rsidRDefault="00AC57C1" w:rsidP="00B5777C">
            <w:pPr>
              <w:tabs>
                <w:tab w:val="center" w:pos="4153"/>
                <w:tab w:val="right" w:pos="8306"/>
              </w:tabs>
            </w:pPr>
            <w:r w:rsidRPr="00514404">
              <w:t xml:space="preserve">Tematisko pārbaužu rezultātā nodokļu maksātāji paši aprēķinājuši iemaksai </w:t>
            </w:r>
            <w:r w:rsidRPr="00514404">
              <w:lastRenderedPageBreak/>
              <w:t xml:space="preserve">budžetā VSAOI, </w:t>
            </w:r>
            <w:proofErr w:type="spellStart"/>
            <w:r w:rsidRPr="00514404">
              <w:t>tūkst</w:t>
            </w:r>
            <w:proofErr w:type="spellEnd"/>
            <w:r w:rsidRPr="00514404">
              <w:t xml:space="preserve">. </w:t>
            </w:r>
            <w:r w:rsidR="00B5777C" w:rsidRPr="00514404">
              <w:t>lati</w:t>
            </w:r>
          </w:p>
        </w:tc>
        <w:tc>
          <w:tcPr>
            <w:tcW w:w="2126" w:type="dxa"/>
            <w:shd w:val="clear" w:color="auto" w:fill="auto"/>
          </w:tcPr>
          <w:p w:rsidR="00AC57C1" w:rsidRPr="00514404" w:rsidRDefault="00AC57C1" w:rsidP="00311FC2">
            <w:pPr>
              <w:tabs>
                <w:tab w:val="center" w:pos="4153"/>
                <w:tab w:val="right" w:pos="8306"/>
              </w:tabs>
              <w:jc w:val="center"/>
            </w:pPr>
            <w:r w:rsidRPr="00514404">
              <w:lastRenderedPageBreak/>
              <w:t>221,8</w:t>
            </w:r>
          </w:p>
        </w:tc>
        <w:tc>
          <w:tcPr>
            <w:tcW w:w="2268" w:type="dxa"/>
            <w:shd w:val="clear" w:color="auto" w:fill="auto"/>
          </w:tcPr>
          <w:p w:rsidR="00AC57C1" w:rsidRPr="00514404" w:rsidRDefault="00AC57C1" w:rsidP="00311FC2">
            <w:pPr>
              <w:tabs>
                <w:tab w:val="center" w:pos="4153"/>
                <w:tab w:val="right" w:pos="8306"/>
              </w:tabs>
              <w:jc w:val="center"/>
            </w:pPr>
            <w:r w:rsidRPr="00514404">
              <w:t>+93,7</w:t>
            </w:r>
          </w:p>
        </w:tc>
      </w:tr>
      <w:tr w:rsidR="00D0790A" w:rsidRPr="00514404" w:rsidTr="005E7A81">
        <w:tc>
          <w:tcPr>
            <w:tcW w:w="9180" w:type="dxa"/>
            <w:gridSpan w:val="4"/>
            <w:shd w:val="clear" w:color="auto" w:fill="auto"/>
          </w:tcPr>
          <w:p w:rsidR="00AC57C1" w:rsidRPr="00514404" w:rsidRDefault="00AC57C1" w:rsidP="00311FC2">
            <w:pPr>
              <w:tabs>
                <w:tab w:val="center" w:pos="4153"/>
                <w:tab w:val="right" w:pos="8306"/>
              </w:tabs>
              <w:jc w:val="center"/>
            </w:pPr>
            <w:r w:rsidRPr="00514404">
              <w:lastRenderedPageBreak/>
              <w:t>Nodokļu auditi</w:t>
            </w:r>
          </w:p>
        </w:tc>
      </w:tr>
      <w:tr w:rsidR="00D0790A" w:rsidRPr="00514404" w:rsidTr="005E7A81">
        <w:tc>
          <w:tcPr>
            <w:tcW w:w="6912" w:type="dxa"/>
            <w:gridSpan w:val="3"/>
            <w:shd w:val="clear" w:color="auto" w:fill="auto"/>
          </w:tcPr>
          <w:p w:rsidR="00AC57C1" w:rsidRPr="00514404" w:rsidRDefault="00AC57C1" w:rsidP="00311FC2">
            <w:pPr>
              <w:tabs>
                <w:tab w:val="center" w:pos="4153"/>
                <w:tab w:val="right" w:pos="8306"/>
              </w:tabs>
            </w:pPr>
            <w:r w:rsidRPr="00514404">
              <w:t>Nodokļu auditi juridiskajām  personām saistībā ar algu izmaksām aploksnēs</w:t>
            </w:r>
          </w:p>
        </w:tc>
        <w:tc>
          <w:tcPr>
            <w:tcW w:w="2268" w:type="dxa"/>
            <w:shd w:val="clear" w:color="auto" w:fill="auto"/>
          </w:tcPr>
          <w:p w:rsidR="00AC57C1" w:rsidRPr="00514404" w:rsidRDefault="00AC57C1" w:rsidP="00311FC2">
            <w:pPr>
              <w:tabs>
                <w:tab w:val="center" w:pos="4153"/>
                <w:tab w:val="right" w:pos="8306"/>
              </w:tabs>
              <w:jc w:val="center"/>
            </w:pPr>
          </w:p>
        </w:tc>
      </w:tr>
      <w:tr w:rsidR="00D0790A" w:rsidRPr="00514404" w:rsidTr="005E7A81">
        <w:tc>
          <w:tcPr>
            <w:tcW w:w="817" w:type="dxa"/>
            <w:shd w:val="clear" w:color="auto" w:fill="auto"/>
          </w:tcPr>
          <w:p w:rsidR="00AC57C1" w:rsidRPr="00514404" w:rsidRDefault="004276EB" w:rsidP="00311FC2">
            <w:pPr>
              <w:tabs>
                <w:tab w:val="center" w:pos="4153"/>
                <w:tab w:val="right" w:pos="8306"/>
              </w:tabs>
            </w:pPr>
            <w:r>
              <w:t>3</w:t>
            </w:r>
            <w:r w:rsidR="00AC57C1" w:rsidRPr="00514404">
              <w:t>.</w:t>
            </w:r>
          </w:p>
        </w:tc>
        <w:tc>
          <w:tcPr>
            <w:tcW w:w="3969" w:type="dxa"/>
            <w:shd w:val="clear" w:color="auto" w:fill="auto"/>
          </w:tcPr>
          <w:p w:rsidR="00AC57C1" w:rsidRPr="00514404" w:rsidRDefault="00AC57C1" w:rsidP="00311FC2">
            <w:pPr>
              <w:tabs>
                <w:tab w:val="center" w:pos="4153"/>
                <w:tab w:val="right" w:pos="8306"/>
              </w:tabs>
              <w:ind w:left="34"/>
            </w:pPr>
            <w:r w:rsidRPr="00514404">
              <w:t>Veikti nodokļu auditi juridiskajām personām,  skaits</w:t>
            </w:r>
          </w:p>
        </w:tc>
        <w:tc>
          <w:tcPr>
            <w:tcW w:w="2126" w:type="dxa"/>
            <w:shd w:val="clear" w:color="auto" w:fill="auto"/>
          </w:tcPr>
          <w:p w:rsidR="00AC57C1" w:rsidRPr="00514404" w:rsidRDefault="00AC57C1" w:rsidP="00311FC2">
            <w:pPr>
              <w:tabs>
                <w:tab w:val="center" w:pos="4153"/>
                <w:tab w:val="right" w:pos="8306"/>
              </w:tabs>
              <w:jc w:val="center"/>
            </w:pPr>
            <w:r w:rsidRPr="00514404">
              <w:t>70</w:t>
            </w:r>
          </w:p>
        </w:tc>
        <w:tc>
          <w:tcPr>
            <w:tcW w:w="2268" w:type="dxa"/>
            <w:shd w:val="clear" w:color="auto" w:fill="auto"/>
          </w:tcPr>
          <w:p w:rsidR="00AC57C1" w:rsidRPr="00514404" w:rsidRDefault="00AC57C1" w:rsidP="00311FC2">
            <w:pPr>
              <w:tabs>
                <w:tab w:val="center" w:pos="4153"/>
                <w:tab w:val="right" w:pos="8306"/>
              </w:tabs>
              <w:jc w:val="center"/>
            </w:pPr>
            <w:r w:rsidRPr="00514404">
              <w:t>+23</w:t>
            </w:r>
          </w:p>
        </w:tc>
      </w:tr>
      <w:tr w:rsidR="00D0790A" w:rsidRPr="00514404" w:rsidTr="005E7A81">
        <w:tc>
          <w:tcPr>
            <w:tcW w:w="817" w:type="dxa"/>
            <w:shd w:val="clear" w:color="auto" w:fill="auto"/>
          </w:tcPr>
          <w:p w:rsidR="00AC57C1" w:rsidRPr="00514404" w:rsidRDefault="004276EB" w:rsidP="00311FC2">
            <w:pPr>
              <w:tabs>
                <w:tab w:val="center" w:pos="4153"/>
                <w:tab w:val="right" w:pos="8306"/>
              </w:tabs>
            </w:pPr>
            <w:r>
              <w:t>4</w:t>
            </w:r>
            <w:r w:rsidR="00AC57C1" w:rsidRPr="00514404">
              <w:t>.</w:t>
            </w:r>
          </w:p>
        </w:tc>
        <w:tc>
          <w:tcPr>
            <w:tcW w:w="3969" w:type="dxa"/>
            <w:shd w:val="clear" w:color="auto" w:fill="auto"/>
          </w:tcPr>
          <w:p w:rsidR="00AC57C1" w:rsidRPr="00514404" w:rsidRDefault="00AC57C1" w:rsidP="00B5777C">
            <w:pPr>
              <w:tabs>
                <w:tab w:val="center" w:pos="4153"/>
                <w:tab w:val="right" w:pos="8306"/>
              </w:tabs>
            </w:pPr>
            <w:r w:rsidRPr="00514404">
              <w:t xml:space="preserve">Nodokļu auditu rezultātā papildus aprēķināts IIN un soda nauda, </w:t>
            </w:r>
            <w:proofErr w:type="spellStart"/>
            <w:r w:rsidRPr="00514404">
              <w:t>tūkst</w:t>
            </w:r>
            <w:proofErr w:type="spellEnd"/>
            <w:r w:rsidRPr="00514404">
              <w:t xml:space="preserve">. </w:t>
            </w:r>
            <w:r w:rsidR="00B5777C" w:rsidRPr="00514404">
              <w:t>lati</w:t>
            </w:r>
          </w:p>
        </w:tc>
        <w:tc>
          <w:tcPr>
            <w:tcW w:w="2126" w:type="dxa"/>
            <w:shd w:val="clear" w:color="auto" w:fill="auto"/>
          </w:tcPr>
          <w:p w:rsidR="00AC57C1" w:rsidRPr="00514404" w:rsidRDefault="00AC57C1" w:rsidP="00311FC2">
            <w:pPr>
              <w:tabs>
                <w:tab w:val="center" w:pos="4153"/>
                <w:tab w:val="right" w:pos="8306"/>
              </w:tabs>
              <w:jc w:val="center"/>
            </w:pPr>
            <w:r w:rsidRPr="00514404">
              <w:t>454,8</w:t>
            </w:r>
          </w:p>
        </w:tc>
        <w:tc>
          <w:tcPr>
            <w:tcW w:w="2268" w:type="dxa"/>
            <w:shd w:val="clear" w:color="auto" w:fill="auto"/>
          </w:tcPr>
          <w:p w:rsidR="00AC57C1" w:rsidRPr="00514404" w:rsidRDefault="00AC57C1" w:rsidP="00311FC2">
            <w:pPr>
              <w:tabs>
                <w:tab w:val="center" w:pos="4153"/>
                <w:tab w:val="right" w:pos="8306"/>
              </w:tabs>
              <w:jc w:val="center"/>
            </w:pPr>
            <w:r w:rsidRPr="00514404">
              <w:t>+442,3</w:t>
            </w:r>
          </w:p>
        </w:tc>
      </w:tr>
      <w:tr w:rsidR="00D0790A" w:rsidRPr="00514404" w:rsidTr="005E7A81">
        <w:tc>
          <w:tcPr>
            <w:tcW w:w="817" w:type="dxa"/>
            <w:shd w:val="clear" w:color="auto" w:fill="auto"/>
          </w:tcPr>
          <w:p w:rsidR="00AC57C1" w:rsidRPr="00514404" w:rsidRDefault="004276EB" w:rsidP="00311FC2">
            <w:pPr>
              <w:tabs>
                <w:tab w:val="center" w:pos="4153"/>
                <w:tab w:val="right" w:pos="8306"/>
              </w:tabs>
            </w:pPr>
            <w:r>
              <w:t>5</w:t>
            </w:r>
            <w:r w:rsidR="00AC57C1" w:rsidRPr="00514404">
              <w:t>.</w:t>
            </w:r>
          </w:p>
        </w:tc>
        <w:tc>
          <w:tcPr>
            <w:tcW w:w="3969" w:type="dxa"/>
            <w:shd w:val="clear" w:color="auto" w:fill="auto"/>
          </w:tcPr>
          <w:p w:rsidR="00AC57C1" w:rsidRPr="00514404" w:rsidRDefault="00AC57C1" w:rsidP="00B5777C">
            <w:pPr>
              <w:tabs>
                <w:tab w:val="center" w:pos="4153"/>
                <w:tab w:val="right" w:pos="8306"/>
              </w:tabs>
            </w:pPr>
            <w:r w:rsidRPr="00514404">
              <w:t>Nodokļu auditu rezultātā papildus aprēķināt</w:t>
            </w:r>
            <w:r w:rsidR="00B5777C" w:rsidRPr="00514404">
              <w:t>a</w:t>
            </w:r>
            <w:r w:rsidRPr="00514404">
              <w:t xml:space="preserve">s VSAOI un soda nauda, </w:t>
            </w:r>
            <w:proofErr w:type="spellStart"/>
            <w:r w:rsidRPr="00514404">
              <w:t>tūkst</w:t>
            </w:r>
            <w:proofErr w:type="spellEnd"/>
            <w:r w:rsidRPr="00514404">
              <w:t xml:space="preserve">. </w:t>
            </w:r>
            <w:r w:rsidR="00B5777C" w:rsidRPr="00514404">
              <w:t>lati</w:t>
            </w:r>
          </w:p>
        </w:tc>
        <w:tc>
          <w:tcPr>
            <w:tcW w:w="2126" w:type="dxa"/>
            <w:shd w:val="clear" w:color="auto" w:fill="auto"/>
          </w:tcPr>
          <w:p w:rsidR="00AC57C1" w:rsidRPr="00514404" w:rsidRDefault="00AC57C1" w:rsidP="00311FC2">
            <w:pPr>
              <w:tabs>
                <w:tab w:val="center" w:pos="4153"/>
                <w:tab w:val="right" w:pos="8306"/>
              </w:tabs>
              <w:jc w:val="center"/>
            </w:pPr>
            <w:r w:rsidRPr="00514404">
              <w:t>851,0</w:t>
            </w:r>
          </w:p>
        </w:tc>
        <w:tc>
          <w:tcPr>
            <w:tcW w:w="2268" w:type="dxa"/>
            <w:shd w:val="clear" w:color="auto" w:fill="auto"/>
          </w:tcPr>
          <w:p w:rsidR="00AC57C1" w:rsidRPr="00514404" w:rsidRDefault="00AC57C1" w:rsidP="00311FC2">
            <w:pPr>
              <w:tabs>
                <w:tab w:val="center" w:pos="4153"/>
                <w:tab w:val="right" w:pos="8306"/>
              </w:tabs>
              <w:jc w:val="center"/>
            </w:pPr>
            <w:r w:rsidRPr="00514404">
              <w:t>+621,8</w:t>
            </w:r>
          </w:p>
        </w:tc>
      </w:tr>
      <w:tr w:rsidR="00D0790A" w:rsidRPr="00514404" w:rsidTr="005E7A81">
        <w:tc>
          <w:tcPr>
            <w:tcW w:w="9180" w:type="dxa"/>
            <w:gridSpan w:val="4"/>
            <w:shd w:val="clear" w:color="auto" w:fill="auto"/>
          </w:tcPr>
          <w:p w:rsidR="00AC57C1" w:rsidRPr="00514404" w:rsidRDefault="00AC57C1" w:rsidP="00311FC2">
            <w:pPr>
              <w:tabs>
                <w:tab w:val="center" w:pos="4153"/>
                <w:tab w:val="right" w:pos="8306"/>
              </w:tabs>
            </w:pPr>
            <w:r w:rsidRPr="00514404">
              <w:t>Nodokļu auditi fiziskajām personām</w:t>
            </w:r>
          </w:p>
        </w:tc>
      </w:tr>
      <w:tr w:rsidR="00D0790A" w:rsidRPr="00514404" w:rsidTr="005E7A81">
        <w:tc>
          <w:tcPr>
            <w:tcW w:w="817" w:type="dxa"/>
            <w:shd w:val="clear" w:color="auto" w:fill="auto"/>
          </w:tcPr>
          <w:p w:rsidR="00AC57C1" w:rsidRPr="00514404" w:rsidRDefault="004276EB" w:rsidP="00311FC2">
            <w:pPr>
              <w:tabs>
                <w:tab w:val="center" w:pos="4153"/>
                <w:tab w:val="right" w:pos="8306"/>
              </w:tabs>
            </w:pPr>
            <w:r>
              <w:t>6</w:t>
            </w:r>
            <w:r w:rsidR="00AC57C1" w:rsidRPr="00514404">
              <w:t>.</w:t>
            </w:r>
          </w:p>
        </w:tc>
        <w:tc>
          <w:tcPr>
            <w:tcW w:w="3969" w:type="dxa"/>
            <w:shd w:val="clear" w:color="auto" w:fill="auto"/>
          </w:tcPr>
          <w:p w:rsidR="00AC57C1" w:rsidRPr="00514404" w:rsidRDefault="00AC57C1" w:rsidP="00311FC2">
            <w:pPr>
              <w:tabs>
                <w:tab w:val="center" w:pos="4153"/>
                <w:tab w:val="right" w:pos="8306"/>
              </w:tabs>
            </w:pPr>
            <w:r w:rsidRPr="00514404">
              <w:t>Veikti nodokļu auditi fiziskajām personām, skaits</w:t>
            </w:r>
          </w:p>
        </w:tc>
        <w:tc>
          <w:tcPr>
            <w:tcW w:w="2126" w:type="dxa"/>
            <w:shd w:val="clear" w:color="auto" w:fill="auto"/>
          </w:tcPr>
          <w:p w:rsidR="00AC57C1" w:rsidRPr="00514404" w:rsidRDefault="00AC57C1" w:rsidP="00311FC2">
            <w:pPr>
              <w:tabs>
                <w:tab w:val="center" w:pos="4153"/>
                <w:tab w:val="right" w:pos="8306"/>
              </w:tabs>
              <w:jc w:val="center"/>
            </w:pPr>
            <w:r w:rsidRPr="00514404">
              <w:t>614</w:t>
            </w:r>
          </w:p>
        </w:tc>
        <w:tc>
          <w:tcPr>
            <w:tcW w:w="2268" w:type="dxa"/>
            <w:shd w:val="clear" w:color="auto" w:fill="auto"/>
          </w:tcPr>
          <w:p w:rsidR="00AC57C1" w:rsidRPr="00514404" w:rsidRDefault="00AC57C1" w:rsidP="00311FC2">
            <w:pPr>
              <w:tabs>
                <w:tab w:val="center" w:pos="4153"/>
                <w:tab w:val="right" w:pos="8306"/>
              </w:tabs>
              <w:jc w:val="center"/>
            </w:pPr>
            <w:r w:rsidRPr="00514404">
              <w:t>+458</w:t>
            </w:r>
          </w:p>
        </w:tc>
      </w:tr>
      <w:tr w:rsidR="00AC57C1" w:rsidRPr="00514404" w:rsidTr="005E7A81">
        <w:tc>
          <w:tcPr>
            <w:tcW w:w="817" w:type="dxa"/>
            <w:shd w:val="clear" w:color="auto" w:fill="auto"/>
          </w:tcPr>
          <w:p w:rsidR="00AC57C1" w:rsidRPr="00514404" w:rsidRDefault="004276EB" w:rsidP="00311FC2">
            <w:pPr>
              <w:tabs>
                <w:tab w:val="center" w:pos="4153"/>
                <w:tab w:val="right" w:pos="8306"/>
              </w:tabs>
            </w:pPr>
            <w:r>
              <w:t>7</w:t>
            </w:r>
            <w:r w:rsidR="00AC57C1" w:rsidRPr="00514404">
              <w:t>.</w:t>
            </w:r>
          </w:p>
        </w:tc>
        <w:tc>
          <w:tcPr>
            <w:tcW w:w="3969" w:type="dxa"/>
            <w:shd w:val="clear" w:color="auto" w:fill="auto"/>
          </w:tcPr>
          <w:p w:rsidR="00AC57C1" w:rsidRPr="00514404" w:rsidRDefault="00AC57C1" w:rsidP="00B5777C">
            <w:pPr>
              <w:tabs>
                <w:tab w:val="center" w:pos="4153"/>
                <w:tab w:val="right" w:pos="8306"/>
              </w:tabs>
            </w:pPr>
            <w:r w:rsidRPr="00514404">
              <w:t xml:space="preserve">Nodokļu auditu rezultātā papildus aprēķināti nodokļi un soda nauda, </w:t>
            </w:r>
            <w:proofErr w:type="spellStart"/>
            <w:r w:rsidRPr="00514404">
              <w:t>tūkst</w:t>
            </w:r>
            <w:proofErr w:type="spellEnd"/>
            <w:r w:rsidRPr="00514404">
              <w:t>.</w:t>
            </w:r>
            <w:r w:rsidR="00B5777C" w:rsidRPr="00514404">
              <w:t xml:space="preserve"> lati</w:t>
            </w:r>
          </w:p>
        </w:tc>
        <w:tc>
          <w:tcPr>
            <w:tcW w:w="2126" w:type="dxa"/>
            <w:shd w:val="clear" w:color="auto" w:fill="auto"/>
          </w:tcPr>
          <w:p w:rsidR="00AC57C1" w:rsidRPr="00514404" w:rsidRDefault="00AC57C1" w:rsidP="00311FC2">
            <w:pPr>
              <w:tabs>
                <w:tab w:val="center" w:pos="4153"/>
                <w:tab w:val="right" w:pos="8306"/>
              </w:tabs>
              <w:jc w:val="center"/>
            </w:pPr>
            <w:r w:rsidRPr="00514404">
              <w:t>5 233,3</w:t>
            </w:r>
          </w:p>
        </w:tc>
        <w:tc>
          <w:tcPr>
            <w:tcW w:w="2268" w:type="dxa"/>
            <w:shd w:val="clear" w:color="auto" w:fill="auto"/>
          </w:tcPr>
          <w:p w:rsidR="00AC57C1" w:rsidRPr="00514404" w:rsidRDefault="00AC57C1" w:rsidP="00311FC2">
            <w:pPr>
              <w:tabs>
                <w:tab w:val="center" w:pos="4153"/>
                <w:tab w:val="right" w:pos="8306"/>
              </w:tabs>
              <w:jc w:val="center"/>
            </w:pPr>
            <w:r w:rsidRPr="00514404">
              <w:t>-15 383,6 *</w:t>
            </w:r>
          </w:p>
        </w:tc>
      </w:tr>
    </w:tbl>
    <w:p w:rsidR="006A325C" w:rsidRPr="002631CA" w:rsidRDefault="006A325C" w:rsidP="006A325C">
      <w:pPr>
        <w:ind w:firstLine="720"/>
        <w:jc w:val="both"/>
        <w:rPr>
          <w:sz w:val="28"/>
          <w:szCs w:val="28"/>
        </w:rPr>
      </w:pPr>
    </w:p>
    <w:p w:rsidR="006A325C" w:rsidRPr="002631CA" w:rsidRDefault="006A325C" w:rsidP="00AC57C1">
      <w:pPr>
        <w:jc w:val="both"/>
        <w:rPr>
          <w:i/>
          <w:sz w:val="20"/>
          <w:szCs w:val="20"/>
        </w:rPr>
      </w:pPr>
      <w:r w:rsidRPr="002631CA">
        <w:rPr>
          <w:i/>
          <w:sz w:val="20"/>
          <w:szCs w:val="20"/>
        </w:rPr>
        <w:t xml:space="preserve">*Samazinājumu ietekmējis tas, ka 2011.gadā vienai fiziskajai personai nodokļu auditā bija aprēķināts IIN un soda nauda </w:t>
      </w:r>
      <w:r w:rsidR="00B5777C" w:rsidRPr="002631CA">
        <w:rPr>
          <w:i/>
          <w:sz w:val="20"/>
          <w:szCs w:val="20"/>
        </w:rPr>
        <w:t xml:space="preserve">   </w:t>
      </w:r>
      <w:r w:rsidRPr="002631CA">
        <w:rPr>
          <w:i/>
          <w:sz w:val="20"/>
          <w:szCs w:val="20"/>
        </w:rPr>
        <w:t>12</w:t>
      </w:r>
      <w:r w:rsidR="005E7FF8" w:rsidRPr="002631CA">
        <w:rPr>
          <w:i/>
          <w:sz w:val="20"/>
          <w:szCs w:val="20"/>
        </w:rPr>
        <w:t xml:space="preserve"> </w:t>
      </w:r>
      <w:r w:rsidRPr="002631CA">
        <w:rPr>
          <w:i/>
          <w:sz w:val="20"/>
          <w:szCs w:val="20"/>
        </w:rPr>
        <w:t xml:space="preserve">725 </w:t>
      </w:r>
      <w:proofErr w:type="spellStart"/>
      <w:r w:rsidRPr="002631CA">
        <w:rPr>
          <w:i/>
          <w:sz w:val="20"/>
          <w:szCs w:val="20"/>
        </w:rPr>
        <w:t>tūkst</w:t>
      </w:r>
      <w:proofErr w:type="spellEnd"/>
      <w:r w:rsidRPr="002631CA">
        <w:rPr>
          <w:i/>
          <w:sz w:val="20"/>
          <w:szCs w:val="20"/>
        </w:rPr>
        <w:t xml:space="preserve">. </w:t>
      </w:r>
      <w:r w:rsidR="00B5777C" w:rsidRPr="002631CA">
        <w:rPr>
          <w:i/>
          <w:sz w:val="20"/>
          <w:szCs w:val="20"/>
        </w:rPr>
        <w:t>latu</w:t>
      </w:r>
    </w:p>
    <w:p w:rsidR="006A325C" w:rsidRPr="002631CA" w:rsidRDefault="006A325C" w:rsidP="006A325C">
      <w:pPr>
        <w:ind w:firstLine="720"/>
        <w:jc w:val="both"/>
        <w:rPr>
          <w:sz w:val="28"/>
          <w:szCs w:val="28"/>
        </w:rPr>
      </w:pPr>
    </w:p>
    <w:p w:rsidR="006A325C" w:rsidRPr="002631CA" w:rsidRDefault="006A325C" w:rsidP="006A325C">
      <w:pPr>
        <w:ind w:firstLine="720"/>
        <w:jc w:val="both"/>
        <w:rPr>
          <w:sz w:val="28"/>
          <w:szCs w:val="28"/>
        </w:rPr>
      </w:pPr>
      <w:r w:rsidRPr="002631CA">
        <w:rPr>
          <w:sz w:val="28"/>
          <w:szCs w:val="28"/>
        </w:rPr>
        <w:t>Kontroles pasākumu rezultātā cīņai pret nelegālo nodarbinātību un algu izmaksām aploksnēs kopā iemaksai budžetā papildus aprēķināt</w:t>
      </w:r>
      <w:r w:rsidR="00D0790A" w:rsidRPr="002631CA">
        <w:rPr>
          <w:sz w:val="28"/>
          <w:szCs w:val="28"/>
        </w:rPr>
        <w:t>i</w:t>
      </w:r>
      <w:r w:rsidRPr="002631CA">
        <w:rPr>
          <w:sz w:val="28"/>
          <w:szCs w:val="28"/>
        </w:rPr>
        <w:t xml:space="preserve"> 6 798,3 </w:t>
      </w:r>
      <w:proofErr w:type="spellStart"/>
      <w:r w:rsidRPr="002631CA">
        <w:rPr>
          <w:sz w:val="28"/>
          <w:szCs w:val="28"/>
        </w:rPr>
        <w:t>tūkst</w:t>
      </w:r>
      <w:proofErr w:type="spellEnd"/>
      <w:r w:rsidRPr="002631CA">
        <w:rPr>
          <w:sz w:val="28"/>
          <w:szCs w:val="28"/>
        </w:rPr>
        <w:t>. lati.</w:t>
      </w:r>
    </w:p>
    <w:p w:rsidR="006A325C" w:rsidRPr="002631CA" w:rsidRDefault="006A325C" w:rsidP="006A325C">
      <w:pPr>
        <w:ind w:firstLine="720"/>
        <w:jc w:val="both"/>
        <w:rPr>
          <w:sz w:val="28"/>
          <w:szCs w:val="28"/>
        </w:rPr>
      </w:pPr>
    </w:p>
    <w:p w:rsidR="006A325C" w:rsidRPr="002631CA" w:rsidRDefault="006A325C" w:rsidP="007B7FE3">
      <w:pPr>
        <w:pStyle w:val="ListParagraph"/>
        <w:numPr>
          <w:ilvl w:val="0"/>
          <w:numId w:val="12"/>
        </w:numPr>
        <w:ind w:left="0" w:firstLine="0"/>
        <w:jc w:val="center"/>
        <w:rPr>
          <w:rFonts w:ascii="Times New Roman" w:hAnsi="Times New Roman"/>
          <w:b/>
          <w:sz w:val="28"/>
          <w:szCs w:val="28"/>
        </w:rPr>
      </w:pPr>
      <w:r w:rsidRPr="002631CA">
        <w:rPr>
          <w:rFonts w:ascii="Times New Roman" w:hAnsi="Times New Roman"/>
          <w:b/>
          <w:sz w:val="28"/>
          <w:szCs w:val="28"/>
        </w:rPr>
        <w:t>Darbības rezultāti otrās prioritātes − kontroles kapacitātes stiprināšana, lai nodrošinātu pārbaužu skaita pieaugumu juridiskajām personām − īstenošanā</w:t>
      </w:r>
    </w:p>
    <w:p w:rsidR="006A325C" w:rsidRPr="002631CA" w:rsidRDefault="006A325C" w:rsidP="006A325C">
      <w:pPr>
        <w:ind w:firstLine="720"/>
        <w:jc w:val="both"/>
        <w:rPr>
          <w:sz w:val="28"/>
          <w:szCs w:val="28"/>
        </w:rPr>
      </w:pPr>
    </w:p>
    <w:p w:rsidR="006A325C" w:rsidRPr="002631CA" w:rsidRDefault="006A325C" w:rsidP="006A325C">
      <w:pPr>
        <w:ind w:firstLine="720"/>
        <w:jc w:val="both"/>
        <w:rPr>
          <w:sz w:val="28"/>
          <w:szCs w:val="28"/>
        </w:rPr>
      </w:pPr>
      <w:r w:rsidRPr="002631CA">
        <w:rPr>
          <w:sz w:val="28"/>
          <w:szCs w:val="28"/>
        </w:rPr>
        <w:t>Nodokļu kontroles pasākumu juridiskajām personām rezultāti 2012.gada sešos mēnešos ir šādi:</w:t>
      </w:r>
    </w:p>
    <w:p w:rsidR="006A325C" w:rsidRPr="002631CA" w:rsidRDefault="006A325C" w:rsidP="006A325C">
      <w:pPr>
        <w:ind w:firstLine="720"/>
        <w:jc w:val="both"/>
        <w:rPr>
          <w:sz w:val="28"/>
          <w:szCs w:val="28"/>
        </w:rPr>
      </w:pPr>
      <w:r w:rsidRPr="002631CA">
        <w:rPr>
          <w:sz w:val="28"/>
          <w:szCs w:val="28"/>
        </w:rPr>
        <w:t>−</w:t>
      </w:r>
      <w:r w:rsidRPr="002631CA">
        <w:rPr>
          <w:sz w:val="28"/>
          <w:szCs w:val="28"/>
        </w:rPr>
        <w:tab/>
        <w:t xml:space="preserve">veiktas 5131 tematiskās pārbaudes un apsekošanas, kuru rezultātā piemērots naudas sods 839,2 </w:t>
      </w:r>
      <w:proofErr w:type="spellStart"/>
      <w:r w:rsidRPr="002631CA">
        <w:rPr>
          <w:sz w:val="28"/>
          <w:szCs w:val="28"/>
        </w:rPr>
        <w:t>tūkst</w:t>
      </w:r>
      <w:proofErr w:type="spellEnd"/>
      <w:r w:rsidRPr="002631CA">
        <w:rPr>
          <w:sz w:val="28"/>
          <w:szCs w:val="28"/>
        </w:rPr>
        <w:t>. latu apmērā;</w:t>
      </w:r>
    </w:p>
    <w:p w:rsidR="006A325C" w:rsidRPr="002631CA" w:rsidRDefault="006A325C" w:rsidP="006A325C">
      <w:pPr>
        <w:ind w:firstLine="720"/>
        <w:jc w:val="both"/>
        <w:rPr>
          <w:sz w:val="28"/>
          <w:szCs w:val="28"/>
        </w:rPr>
      </w:pPr>
      <w:r w:rsidRPr="002631CA">
        <w:rPr>
          <w:sz w:val="28"/>
          <w:szCs w:val="28"/>
        </w:rPr>
        <w:t>−</w:t>
      </w:r>
      <w:r w:rsidRPr="002631CA">
        <w:rPr>
          <w:sz w:val="28"/>
          <w:szCs w:val="28"/>
        </w:rPr>
        <w:tab/>
        <w:t xml:space="preserve">tematisko pārbaužu rezultātā nodokļu maksātāji paši aprēķinājuši iemaksai budžetā 2 863,8 </w:t>
      </w:r>
      <w:proofErr w:type="spellStart"/>
      <w:r w:rsidRPr="002631CA">
        <w:rPr>
          <w:sz w:val="28"/>
          <w:szCs w:val="28"/>
        </w:rPr>
        <w:t>tūkst</w:t>
      </w:r>
      <w:proofErr w:type="spellEnd"/>
      <w:r w:rsidRPr="002631CA">
        <w:rPr>
          <w:sz w:val="28"/>
          <w:szCs w:val="28"/>
        </w:rPr>
        <w:t>. latu;</w:t>
      </w:r>
    </w:p>
    <w:p w:rsidR="00EA5B96" w:rsidRPr="002631CA" w:rsidRDefault="006A325C" w:rsidP="002A2A87">
      <w:pPr>
        <w:ind w:firstLine="720"/>
        <w:jc w:val="both"/>
        <w:rPr>
          <w:sz w:val="28"/>
          <w:szCs w:val="28"/>
        </w:rPr>
      </w:pPr>
      <w:r w:rsidRPr="002631CA">
        <w:rPr>
          <w:sz w:val="28"/>
          <w:szCs w:val="28"/>
        </w:rPr>
        <w:t>−</w:t>
      </w:r>
      <w:r w:rsidRPr="002631CA">
        <w:rPr>
          <w:sz w:val="28"/>
          <w:szCs w:val="28"/>
        </w:rPr>
        <w:tab/>
        <w:t xml:space="preserve">veikti 496 nodokļu auditi juridiskajām personām, kuru rezultātā papildus aprēķināti nodokļi un soda nauda 53 072,2 </w:t>
      </w:r>
      <w:proofErr w:type="spellStart"/>
      <w:r w:rsidRPr="002631CA">
        <w:rPr>
          <w:sz w:val="28"/>
          <w:szCs w:val="28"/>
        </w:rPr>
        <w:t>tūkst</w:t>
      </w:r>
      <w:proofErr w:type="spellEnd"/>
      <w:r w:rsidRPr="002631CA">
        <w:rPr>
          <w:sz w:val="28"/>
          <w:szCs w:val="28"/>
        </w:rPr>
        <w:t>. latu apmērā;</w:t>
      </w:r>
    </w:p>
    <w:p w:rsidR="002A2A87" w:rsidRPr="002631CA" w:rsidRDefault="002A2A87" w:rsidP="002A2A87">
      <w:pPr>
        <w:ind w:firstLine="720"/>
        <w:jc w:val="both"/>
        <w:rPr>
          <w:sz w:val="28"/>
          <w:szCs w:val="28"/>
        </w:rPr>
      </w:pPr>
      <w:r w:rsidRPr="002631CA">
        <w:rPr>
          <w:sz w:val="28"/>
          <w:szCs w:val="28"/>
        </w:rPr>
        <w:t>−</w:t>
      </w:r>
      <w:r w:rsidRPr="002631CA">
        <w:rPr>
          <w:sz w:val="28"/>
          <w:szCs w:val="28"/>
        </w:rPr>
        <w:tab/>
        <w:t>nodokļu kontroles pasākumu rezultātā no ar PVN apliekamo personu reģistra izslēgti 788 nodokļu maksātāji;</w:t>
      </w:r>
    </w:p>
    <w:p w:rsidR="006A325C" w:rsidRPr="002631CA" w:rsidRDefault="006A325C" w:rsidP="006A325C">
      <w:pPr>
        <w:ind w:firstLine="720"/>
        <w:jc w:val="both"/>
        <w:rPr>
          <w:sz w:val="28"/>
          <w:szCs w:val="28"/>
        </w:rPr>
      </w:pPr>
      <w:r w:rsidRPr="002631CA">
        <w:rPr>
          <w:sz w:val="28"/>
          <w:szCs w:val="28"/>
        </w:rPr>
        <w:t>−</w:t>
      </w:r>
      <w:r w:rsidRPr="002631CA">
        <w:rPr>
          <w:sz w:val="28"/>
          <w:szCs w:val="28"/>
        </w:rPr>
        <w:tab/>
      </w:r>
      <w:r w:rsidR="002C7107" w:rsidRPr="002631CA">
        <w:rPr>
          <w:sz w:val="28"/>
          <w:szCs w:val="28"/>
        </w:rPr>
        <w:t xml:space="preserve">saņemot </w:t>
      </w:r>
      <w:r w:rsidR="00855085" w:rsidRPr="002631CA">
        <w:rPr>
          <w:sz w:val="28"/>
          <w:szCs w:val="28"/>
        </w:rPr>
        <w:t xml:space="preserve">VID </w:t>
      </w:r>
      <w:r w:rsidR="002C7107" w:rsidRPr="002631CA">
        <w:rPr>
          <w:sz w:val="28"/>
          <w:szCs w:val="28"/>
        </w:rPr>
        <w:t xml:space="preserve">lēmumu par nodokļu audita veikšanu, </w:t>
      </w:r>
      <w:r w:rsidRPr="002631CA">
        <w:rPr>
          <w:sz w:val="28"/>
          <w:szCs w:val="28"/>
        </w:rPr>
        <w:t xml:space="preserve">līdz nodokļu auditu uzsākšanai nodokļu maksātāji paši veikuši precizējumus nodokļu deklarācijās 97,6 </w:t>
      </w:r>
      <w:proofErr w:type="spellStart"/>
      <w:r w:rsidRPr="002631CA">
        <w:rPr>
          <w:sz w:val="28"/>
          <w:szCs w:val="28"/>
        </w:rPr>
        <w:t>tūkst</w:t>
      </w:r>
      <w:proofErr w:type="spellEnd"/>
      <w:r w:rsidRPr="002631CA">
        <w:rPr>
          <w:sz w:val="28"/>
          <w:szCs w:val="28"/>
        </w:rPr>
        <w:t>. latu apmērā</w:t>
      </w:r>
      <w:r w:rsidR="002C7107" w:rsidRPr="002631CA">
        <w:rPr>
          <w:sz w:val="28"/>
          <w:szCs w:val="28"/>
        </w:rPr>
        <w:t xml:space="preserve">, tādejādi šiem nodokļu maksātājiem nodokļu audits netiek veikts – nodokļu audita efekts </w:t>
      </w:r>
      <w:r w:rsidR="00F47860" w:rsidRPr="002631CA">
        <w:rPr>
          <w:sz w:val="28"/>
          <w:szCs w:val="28"/>
        </w:rPr>
        <w:t xml:space="preserve">tiek </w:t>
      </w:r>
      <w:r w:rsidR="002A2A87" w:rsidRPr="002631CA">
        <w:rPr>
          <w:sz w:val="28"/>
          <w:szCs w:val="28"/>
        </w:rPr>
        <w:t xml:space="preserve">sasniegts </w:t>
      </w:r>
      <w:r w:rsidR="002C7107" w:rsidRPr="002631CA">
        <w:rPr>
          <w:sz w:val="28"/>
          <w:szCs w:val="28"/>
        </w:rPr>
        <w:t>bez VID resursu izlietošanas, kurus var novirzīt citu augsta riska nodokļu maksātāju auditam</w:t>
      </w:r>
      <w:r w:rsidRPr="002631CA">
        <w:rPr>
          <w:sz w:val="28"/>
          <w:szCs w:val="28"/>
        </w:rPr>
        <w:t>;</w:t>
      </w:r>
    </w:p>
    <w:p w:rsidR="006A325C" w:rsidRPr="002631CA" w:rsidRDefault="006A325C" w:rsidP="006A325C">
      <w:pPr>
        <w:ind w:firstLine="720"/>
        <w:jc w:val="both"/>
        <w:rPr>
          <w:sz w:val="28"/>
          <w:szCs w:val="28"/>
        </w:rPr>
      </w:pPr>
      <w:r w:rsidRPr="002631CA">
        <w:rPr>
          <w:sz w:val="28"/>
          <w:szCs w:val="28"/>
        </w:rPr>
        <w:lastRenderedPageBreak/>
        <w:t>−</w:t>
      </w:r>
      <w:r w:rsidRPr="002631CA">
        <w:rPr>
          <w:sz w:val="28"/>
          <w:szCs w:val="28"/>
        </w:rPr>
        <w:tab/>
        <w:t xml:space="preserve">veiktas 840 datu atbilstības pārbaudes, kuru rezultātā papildus aprēķināti maksājumi 2 032,53 </w:t>
      </w:r>
      <w:proofErr w:type="spellStart"/>
      <w:r w:rsidRPr="002631CA">
        <w:rPr>
          <w:sz w:val="28"/>
          <w:szCs w:val="28"/>
        </w:rPr>
        <w:t>tūkst</w:t>
      </w:r>
      <w:proofErr w:type="spellEnd"/>
      <w:r w:rsidRPr="002631CA">
        <w:rPr>
          <w:sz w:val="28"/>
          <w:szCs w:val="28"/>
        </w:rPr>
        <w:t>.</w:t>
      </w:r>
      <w:r w:rsidR="005E7A81" w:rsidRPr="002631CA">
        <w:rPr>
          <w:sz w:val="28"/>
          <w:szCs w:val="28"/>
        </w:rPr>
        <w:t xml:space="preserve"> </w:t>
      </w:r>
      <w:r w:rsidRPr="002631CA">
        <w:rPr>
          <w:sz w:val="28"/>
          <w:szCs w:val="28"/>
        </w:rPr>
        <w:t>latu;−</w:t>
      </w:r>
      <w:r w:rsidRPr="002631CA">
        <w:rPr>
          <w:sz w:val="28"/>
          <w:szCs w:val="28"/>
        </w:rPr>
        <w:tab/>
      </w:r>
      <w:r w:rsidR="00EA5B96" w:rsidRPr="002631CA">
        <w:rPr>
          <w:sz w:val="28"/>
          <w:szCs w:val="28"/>
        </w:rPr>
        <w:t xml:space="preserve">saņemot </w:t>
      </w:r>
      <w:r w:rsidR="00855085" w:rsidRPr="002631CA">
        <w:rPr>
          <w:sz w:val="28"/>
          <w:szCs w:val="28"/>
        </w:rPr>
        <w:t xml:space="preserve">VID </w:t>
      </w:r>
      <w:r w:rsidR="00EA5B96" w:rsidRPr="002631CA">
        <w:rPr>
          <w:sz w:val="28"/>
          <w:szCs w:val="28"/>
        </w:rPr>
        <w:t xml:space="preserve">paziņojumu par datu atbilstības pārbaudes uzsākšanu, </w:t>
      </w:r>
      <w:r w:rsidRPr="002631CA">
        <w:rPr>
          <w:sz w:val="28"/>
          <w:szCs w:val="28"/>
        </w:rPr>
        <w:t xml:space="preserve">nodokļu maksātāji paši labojuši vai precizējuši </w:t>
      </w:r>
      <w:r w:rsidR="00A76D7F" w:rsidRPr="002631CA">
        <w:rPr>
          <w:sz w:val="28"/>
          <w:szCs w:val="28"/>
        </w:rPr>
        <w:t xml:space="preserve">nodokļu deklarācijas </w:t>
      </w:r>
      <w:r w:rsidRPr="002631CA">
        <w:rPr>
          <w:sz w:val="28"/>
          <w:szCs w:val="28"/>
        </w:rPr>
        <w:t xml:space="preserve">538,52 </w:t>
      </w:r>
      <w:proofErr w:type="spellStart"/>
      <w:r w:rsidRPr="002631CA">
        <w:rPr>
          <w:sz w:val="28"/>
          <w:szCs w:val="28"/>
        </w:rPr>
        <w:t>tūkst</w:t>
      </w:r>
      <w:proofErr w:type="spellEnd"/>
      <w:r w:rsidRPr="002631CA">
        <w:rPr>
          <w:sz w:val="28"/>
          <w:szCs w:val="28"/>
        </w:rPr>
        <w:t>. latu apmērā.</w:t>
      </w:r>
    </w:p>
    <w:p w:rsidR="006A325C" w:rsidRPr="002631CA" w:rsidRDefault="006A325C" w:rsidP="006A325C">
      <w:pPr>
        <w:ind w:firstLine="720"/>
        <w:jc w:val="both"/>
        <w:rPr>
          <w:sz w:val="28"/>
          <w:szCs w:val="28"/>
        </w:rPr>
      </w:pPr>
    </w:p>
    <w:p w:rsidR="006A325C" w:rsidRPr="002631CA" w:rsidRDefault="006A325C" w:rsidP="007B7FE3">
      <w:pPr>
        <w:pStyle w:val="ListParagraph"/>
        <w:numPr>
          <w:ilvl w:val="0"/>
          <w:numId w:val="12"/>
        </w:numPr>
        <w:ind w:left="0" w:firstLine="0"/>
        <w:jc w:val="center"/>
        <w:rPr>
          <w:rFonts w:ascii="Times New Roman" w:hAnsi="Times New Roman"/>
          <w:b/>
          <w:sz w:val="28"/>
          <w:szCs w:val="28"/>
        </w:rPr>
      </w:pPr>
      <w:r w:rsidRPr="002631CA">
        <w:rPr>
          <w:rFonts w:ascii="Times New Roman" w:hAnsi="Times New Roman"/>
          <w:b/>
          <w:sz w:val="28"/>
          <w:szCs w:val="28"/>
        </w:rPr>
        <w:t>Darbības rezultāti trešās prioritātes - organizētās noziedzības un korupcijas apkarošana valsts ieņēmumu jomā – īstenošanā</w:t>
      </w:r>
    </w:p>
    <w:p w:rsidR="006A325C" w:rsidRPr="002631CA" w:rsidRDefault="006A325C" w:rsidP="006A325C">
      <w:pPr>
        <w:ind w:firstLine="720"/>
        <w:jc w:val="both"/>
        <w:rPr>
          <w:sz w:val="28"/>
          <w:szCs w:val="28"/>
        </w:rPr>
      </w:pPr>
    </w:p>
    <w:p w:rsidR="006A325C" w:rsidRPr="002631CA" w:rsidRDefault="006A325C" w:rsidP="006A325C">
      <w:pPr>
        <w:ind w:firstLine="720"/>
        <w:jc w:val="both"/>
        <w:rPr>
          <w:sz w:val="28"/>
          <w:szCs w:val="28"/>
        </w:rPr>
      </w:pPr>
      <w:r w:rsidRPr="002631CA">
        <w:rPr>
          <w:sz w:val="28"/>
          <w:szCs w:val="28"/>
        </w:rPr>
        <w:t xml:space="preserve">Organizētās noziedzības apkarošana ir būtiska ēnu ekonomikas īpatsvara mazināšanā. </w:t>
      </w:r>
    </w:p>
    <w:p w:rsidR="00AC57C1" w:rsidRPr="002631CA" w:rsidRDefault="00AC57C1" w:rsidP="006A325C">
      <w:pPr>
        <w:ind w:firstLine="720"/>
        <w:jc w:val="both"/>
        <w:rPr>
          <w:sz w:val="28"/>
          <w:szCs w:val="28"/>
        </w:rPr>
      </w:pPr>
    </w:p>
    <w:p w:rsidR="006A325C" w:rsidRPr="002631CA" w:rsidRDefault="00B5777C" w:rsidP="00AC57C1">
      <w:pPr>
        <w:ind w:firstLine="720"/>
        <w:jc w:val="right"/>
        <w:rPr>
          <w:sz w:val="28"/>
          <w:szCs w:val="28"/>
        </w:rPr>
      </w:pPr>
      <w:r w:rsidRPr="002631CA">
        <w:rPr>
          <w:sz w:val="28"/>
          <w:szCs w:val="28"/>
        </w:rPr>
        <w:t>2</w:t>
      </w:r>
      <w:r w:rsidR="006A325C" w:rsidRPr="002631CA">
        <w:rPr>
          <w:sz w:val="28"/>
          <w:szCs w:val="28"/>
        </w:rPr>
        <w:t>.tabula</w:t>
      </w:r>
    </w:p>
    <w:p w:rsidR="00D0790A" w:rsidRPr="002631CA" w:rsidRDefault="00D0790A" w:rsidP="00AC57C1">
      <w:pPr>
        <w:ind w:firstLine="720"/>
        <w:jc w:val="right"/>
        <w:rPr>
          <w:sz w:val="28"/>
          <w:szCs w:val="28"/>
        </w:rPr>
      </w:pPr>
    </w:p>
    <w:p w:rsidR="006A325C" w:rsidRPr="002631CA" w:rsidRDefault="006A325C" w:rsidP="00D0790A">
      <w:pPr>
        <w:jc w:val="center"/>
        <w:rPr>
          <w:sz w:val="28"/>
          <w:szCs w:val="28"/>
        </w:rPr>
      </w:pPr>
      <w:r w:rsidRPr="002631CA">
        <w:rPr>
          <w:sz w:val="28"/>
          <w:szCs w:val="28"/>
        </w:rPr>
        <w:t>Darbības rezultāti organizētās noziedzības apkarošanā valsts ieņēmumu jomā</w:t>
      </w:r>
    </w:p>
    <w:p w:rsidR="006A325C" w:rsidRPr="002631CA" w:rsidRDefault="006A325C" w:rsidP="006A325C">
      <w:pPr>
        <w:ind w:firstLine="720"/>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2126"/>
        <w:gridCol w:w="2268"/>
      </w:tblGrid>
      <w:tr w:rsidR="00D0790A" w:rsidRPr="00514404" w:rsidTr="00311FC2">
        <w:tc>
          <w:tcPr>
            <w:tcW w:w="817" w:type="dxa"/>
          </w:tcPr>
          <w:p w:rsidR="00AC57C1" w:rsidRPr="00514404" w:rsidRDefault="00AC57C1" w:rsidP="00311FC2">
            <w:pPr>
              <w:tabs>
                <w:tab w:val="center" w:pos="4153"/>
                <w:tab w:val="right" w:pos="8306"/>
              </w:tabs>
              <w:jc w:val="center"/>
            </w:pPr>
            <w:proofErr w:type="spellStart"/>
            <w:r w:rsidRPr="00514404">
              <w:t>Nr.p.k</w:t>
            </w:r>
            <w:proofErr w:type="spellEnd"/>
            <w:r w:rsidRPr="00514404">
              <w:t>.</w:t>
            </w:r>
          </w:p>
        </w:tc>
        <w:tc>
          <w:tcPr>
            <w:tcW w:w="3969" w:type="dxa"/>
            <w:shd w:val="clear" w:color="auto" w:fill="auto"/>
            <w:vAlign w:val="center"/>
          </w:tcPr>
          <w:p w:rsidR="00AC57C1" w:rsidRPr="00514404" w:rsidRDefault="00AC57C1" w:rsidP="00311FC2">
            <w:pPr>
              <w:tabs>
                <w:tab w:val="center" w:pos="4153"/>
                <w:tab w:val="right" w:pos="8306"/>
              </w:tabs>
              <w:jc w:val="center"/>
            </w:pPr>
            <w:r w:rsidRPr="00514404">
              <w:t>Rādītāji</w:t>
            </w:r>
          </w:p>
        </w:tc>
        <w:tc>
          <w:tcPr>
            <w:tcW w:w="2126" w:type="dxa"/>
            <w:shd w:val="clear" w:color="auto" w:fill="auto"/>
            <w:vAlign w:val="center"/>
          </w:tcPr>
          <w:p w:rsidR="00AC57C1" w:rsidRPr="00514404" w:rsidRDefault="00AC57C1" w:rsidP="00D0790A">
            <w:pPr>
              <w:tabs>
                <w:tab w:val="center" w:pos="4153"/>
                <w:tab w:val="right" w:pos="8306"/>
              </w:tabs>
              <w:jc w:val="center"/>
            </w:pPr>
            <w:r w:rsidRPr="00514404">
              <w:t>2012.g.</w:t>
            </w:r>
            <w:r w:rsidR="00D0790A" w:rsidRPr="00514404">
              <w:t xml:space="preserve"> 6</w:t>
            </w:r>
            <w:r w:rsidRPr="00514404">
              <w:t xml:space="preserve"> mēnešos</w:t>
            </w:r>
          </w:p>
        </w:tc>
        <w:tc>
          <w:tcPr>
            <w:tcW w:w="2268" w:type="dxa"/>
            <w:shd w:val="clear" w:color="auto" w:fill="auto"/>
            <w:vAlign w:val="center"/>
          </w:tcPr>
          <w:p w:rsidR="00AC57C1" w:rsidRPr="00514404" w:rsidRDefault="00AC57C1" w:rsidP="00D0790A">
            <w:pPr>
              <w:tabs>
                <w:tab w:val="center" w:pos="4153"/>
                <w:tab w:val="right" w:pos="8306"/>
              </w:tabs>
              <w:jc w:val="center"/>
            </w:pPr>
            <w:r w:rsidRPr="00514404">
              <w:t>Izmaiņas salīdzinājumā ar 2011.g.</w:t>
            </w:r>
            <w:r w:rsidR="00D0790A" w:rsidRPr="00514404">
              <w:t xml:space="preserve"> 6</w:t>
            </w:r>
            <w:r w:rsidRPr="00514404">
              <w:t xml:space="preserve"> mēnešiem (+,-)</w:t>
            </w:r>
          </w:p>
        </w:tc>
      </w:tr>
      <w:tr w:rsidR="00D0790A" w:rsidRPr="00514404" w:rsidTr="00311FC2">
        <w:tc>
          <w:tcPr>
            <w:tcW w:w="817" w:type="dxa"/>
            <w:shd w:val="clear" w:color="auto" w:fill="FFFFFF"/>
          </w:tcPr>
          <w:p w:rsidR="00AC57C1" w:rsidRPr="00514404" w:rsidRDefault="00AC57C1" w:rsidP="00311FC2">
            <w:pPr>
              <w:tabs>
                <w:tab w:val="center" w:pos="4153"/>
                <w:tab w:val="right" w:pos="8306"/>
              </w:tabs>
            </w:pPr>
            <w:r w:rsidRPr="00514404">
              <w:t>1.</w:t>
            </w:r>
          </w:p>
        </w:tc>
        <w:tc>
          <w:tcPr>
            <w:tcW w:w="3969" w:type="dxa"/>
            <w:shd w:val="clear" w:color="auto" w:fill="FFFFFF"/>
          </w:tcPr>
          <w:p w:rsidR="00AC57C1" w:rsidRPr="00514404" w:rsidRDefault="00AC57C1" w:rsidP="00311FC2">
            <w:pPr>
              <w:tabs>
                <w:tab w:val="center" w:pos="4153"/>
                <w:tab w:val="right" w:pos="8306"/>
              </w:tabs>
            </w:pPr>
            <w:r w:rsidRPr="00514404">
              <w:t>Uzsākti kriminālprocesi valsts ieņēmumu jomā, skaits</w:t>
            </w:r>
          </w:p>
        </w:tc>
        <w:tc>
          <w:tcPr>
            <w:tcW w:w="2126" w:type="dxa"/>
            <w:shd w:val="clear" w:color="auto" w:fill="FFFFFF"/>
          </w:tcPr>
          <w:p w:rsidR="00AC57C1" w:rsidRPr="00514404" w:rsidRDefault="00AC57C1" w:rsidP="00311FC2">
            <w:pPr>
              <w:tabs>
                <w:tab w:val="center" w:pos="4153"/>
                <w:tab w:val="right" w:pos="8306"/>
              </w:tabs>
              <w:jc w:val="center"/>
            </w:pPr>
            <w:r w:rsidRPr="00514404">
              <w:t>140</w:t>
            </w:r>
          </w:p>
        </w:tc>
        <w:tc>
          <w:tcPr>
            <w:tcW w:w="2268" w:type="dxa"/>
            <w:shd w:val="clear" w:color="auto" w:fill="FFFFFF"/>
          </w:tcPr>
          <w:p w:rsidR="00AC57C1" w:rsidRPr="00514404" w:rsidRDefault="00AC57C1" w:rsidP="00311FC2">
            <w:pPr>
              <w:tabs>
                <w:tab w:val="center" w:pos="4153"/>
                <w:tab w:val="right" w:pos="8306"/>
              </w:tabs>
              <w:jc w:val="center"/>
            </w:pPr>
            <w:r w:rsidRPr="00514404">
              <w:t>+27</w:t>
            </w:r>
          </w:p>
        </w:tc>
      </w:tr>
      <w:tr w:rsidR="00D0790A" w:rsidRPr="00514404" w:rsidTr="005E7A81">
        <w:tc>
          <w:tcPr>
            <w:tcW w:w="817" w:type="dxa"/>
            <w:shd w:val="clear" w:color="auto" w:fill="auto"/>
          </w:tcPr>
          <w:p w:rsidR="00AC57C1" w:rsidRPr="00514404" w:rsidRDefault="00AC57C1" w:rsidP="00311FC2">
            <w:pPr>
              <w:tabs>
                <w:tab w:val="center" w:pos="4153"/>
                <w:tab w:val="right" w:pos="8306"/>
              </w:tabs>
            </w:pPr>
            <w:r w:rsidRPr="00514404">
              <w:t>2.</w:t>
            </w:r>
          </w:p>
        </w:tc>
        <w:tc>
          <w:tcPr>
            <w:tcW w:w="3969" w:type="dxa"/>
            <w:shd w:val="clear" w:color="auto" w:fill="auto"/>
          </w:tcPr>
          <w:p w:rsidR="00AC57C1" w:rsidRPr="00514404" w:rsidRDefault="00AC57C1" w:rsidP="009A59E2">
            <w:pPr>
              <w:tabs>
                <w:tab w:val="center" w:pos="4153"/>
                <w:tab w:val="right" w:pos="8306"/>
              </w:tabs>
            </w:pPr>
            <w:r w:rsidRPr="00514404">
              <w:t xml:space="preserve">Uzsākto un saņemto kriminālprocesu ietvaros konstatēto valstij nodarīto zaudējumu apjoms, </w:t>
            </w:r>
            <w:proofErr w:type="spellStart"/>
            <w:r w:rsidRPr="00514404">
              <w:t>tūkst</w:t>
            </w:r>
            <w:proofErr w:type="spellEnd"/>
            <w:r w:rsidRPr="00514404">
              <w:t xml:space="preserve">. </w:t>
            </w:r>
            <w:r w:rsidR="009A59E2" w:rsidRPr="00514404">
              <w:t>lati</w:t>
            </w:r>
          </w:p>
        </w:tc>
        <w:tc>
          <w:tcPr>
            <w:tcW w:w="2126" w:type="dxa"/>
            <w:shd w:val="clear" w:color="auto" w:fill="auto"/>
          </w:tcPr>
          <w:p w:rsidR="00AC57C1" w:rsidRPr="00514404" w:rsidRDefault="00AC57C1" w:rsidP="00311FC2">
            <w:pPr>
              <w:tabs>
                <w:tab w:val="center" w:pos="4153"/>
                <w:tab w:val="right" w:pos="8306"/>
              </w:tabs>
              <w:jc w:val="center"/>
            </w:pPr>
            <w:r w:rsidRPr="00514404">
              <w:t>13 452,15</w:t>
            </w:r>
          </w:p>
        </w:tc>
        <w:tc>
          <w:tcPr>
            <w:tcW w:w="2268" w:type="dxa"/>
            <w:shd w:val="clear" w:color="auto" w:fill="auto"/>
          </w:tcPr>
          <w:p w:rsidR="00AC57C1" w:rsidRPr="00514404" w:rsidRDefault="00AC57C1" w:rsidP="00311FC2">
            <w:pPr>
              <w:tabs>
                <w:tab w:val="center" w:pos="4153"/>
                <w:tab w:val="right" w:pos="8306"/>
              </w:tabs>
              <w:jc w:val="center"/>
            </w:pPr>
            <w:r w:rsidRPr="00514404">
              <w:t>+486,40</w:t>
            </w:r>
          </w:p>
        </w:tc>
      </w:tr>
      <w:tr w:rsidR="00D0790A" w:rsidRPr="00514404" w:rsidTr="005E7A81">
        <w:tc>
          <w:tcPr>
            <w:tcW w:w="817" w:type="dxa"/>
            <w:shd w:val="clear" w:color="auto" w:fill="auto"/>
          </w:tcPr>
          <w:p w:rsidR="00AC57C1" w:rsidRPr="00514404" w:rsidRDefault="00AC57C1" w:rsidP="00311FC2">
            <w:pPr>
              <w:tabs>
                <w:tab w:val="center" w:pos="4153"/>
                <w:tab w:val="right" w:pos="8306"/>
              </w:tabs>
            </w:pPr>
            <w:r w:rsidRPr="00514404">
              <w:t>3.</w:t>
            </w:r>
          </w:p>
        </w:tc>
        <w:tc>
          <w:tcPr>
            <w:tcW w:w="3969" w:type="dxa"/>
            <w:shd w:val="clear" w:color="auto" w:fill="auto"/>
          </w:tcPr>
          <w:p w:rsidR="00AC57C1" w:rsidRPr="00514404" w:rsidRDefault="00AC57C1" w:rsidP="00311FC2">
            <w:pPr>
              <w:tabs>
                <w:tab w:val="center" w:pos="4153"/>
                <w:tab w:val="right" w:pos="8306"/>
              </w:tabs>
            </w:pPr>
            <w:r w:rsidRPr="00514404">
              <w:t>Kriminālvajāšanas uzsākšanai nosūtīti kriminālprocesi, skaits</w:t>
            </w:r>
          </w:p>
        </w:tc>
        <w:tc>
          <w:tcPr>
            <w:tcW w:w="2126" w:type="dxa"/>
            <w:shd w:val="clear" w:color="auto" w:fill="auto"/>
          </w:tcPr>
          <w:p w:rsidR="00AC57C1" w:rsidRPr="00514404" w:rsidRDefault="00AC57C1" w:rsidP="00311FC2">
            <w:pPr>
              <w:tabs>
                <w:tab w:val="center" w:pos="4153"/>
                <w:tab w:val="right" w:pos="8306"/>
              </w:tabs>
              <w:jc w:val="center"/>
            </w:pPr>
            <w:r w:rsidRPr="00514404">
              <w:t>87</w:t>
            </w:r>
          </w:p>
        </w:tc>
        <w:tc>
          <w:tcPr>
            <w:tcW w:w="2268" w:type="dxa"/>
            <w:shd w:val="clear" w:color="auto" w:fill="auto"/>
          </w:tcPr>
          <w:p w:rsidR="00AC57C1" w:rsidRPr="00514404" w:rsidRDefault="00AC57C1" w:rsidP="00311FC2">
            <w:pPr>
              <w:tabs>
                <w:tab w:val="center" w:pos="4153"/>
                <w:tab w:val="right" w:pos="8306"/>
              </w:tabs>
              <w:jc w:val="center"/>
            </w:pPr>
            <w:r w:rsidRPr="00514404">
              <w:t>+2</w:t>
            </w:r>
          </w:p>
        </w:tc>
      </w:tr>
      <w:tr w:rsidR="00D0790A" w:rsidRPr="00514404" w:rsidTr="005E7A81">
        <w:tc>
          <w:tcPr>
            <w:tcW w:w="817" w:type="dxa"/>
            <w:shd w:val="clear" w:color="auto" w:fill="auto"/>
          </w:tcPr>
          <w:p w:rsidR="00AC57C1" w:rsidRPr="00514404" w:rsidRDefault="00AC57C1" w:rsidP="00311FC2">
            <w:pPr>
              <w:tabs>
                <w:tab w:val="center" w:pos="4153"/>
                <w:tab w:val="right" w:pos="8306"/>
              </w:tabs>
            </w:pPr>
            <w:r w:rsidRPr="00514404">
              <w:t>4.</w:t>
            </w:r>
          </w:p>
        </w:tc>
        <w:tc>
          <w:tcPr>
            <w:tcW w:w="3969" w:type="dxa"/>
            <w:shd w:val="clear" w:color="auto" w:fill="auto"/>
          </w:tcPr>
          <w:p w:rsidR="00AC57C1" w:rsidRPr="00514404" w:rsidRDefault="00AC57C1" w:rsidP="009A59E2">
            <w:pPr>
              <w:tabs>
                <w:tab w:val="center" w:pos="4153"/>
                <w:tab w:val="right" w:pos="8306"/>
              </w:tabs>
            </w:pPr>
            <w:r w:rsidRPr="00514404">
              <w:t xml:space="preserve">Kriminālvajāšanas uzsākšanai nosūtītajos kriminālprocesos konstatēto valstij nodarīto zaudējumu apjoms, </w:t>
            </w:r>
            <w:proofErr w:type="spellStart"/>
            <w:r w:rsidRPr="00514404">
              <w:t>tūkst</w:t>
            </w:r>
            <w:proofErr w:type="spellEnd"/>
            <w:r w:rsidRPr="00514404">
              <w:t>.</w:t>
            </w:r>
            <w:r w:rsidR="008A728F" w:rsidRPr="00514404">
              <w:t xml:space="preserve"> </w:t>
            </w:r>
            <w:r w:rsidR="009A59E2" w:rsidRPr="00514404">
              <w:t>lati</w:t>
            </w:r>
          </w:p>
        </w:tc>
        <w:tc>
          <w:tcPr>
            <w:tcW w:w="2126" w:type="dxa"/>
            <w:shd w:val="clear" w:color="auto" w:fill="auto"/>
          </w:tcPr>
          <w:p w:rsidR="00AC57C1" w:rsidRPr="00514404" w:rsidRDefault="00AC57C1" w:rsidP="00311FC2">
            <w:pPr>
              <w:tabs>
                <w:tab w:val="center" w:pos="4153"/>
                <w:tab w:val="right" w:pos="8306"/>
              </w:tabs>
              <w:jc w:val="center"/>
            </w:pPr>
            <w:r w:rsidRPr="00514404">
              <w:t>6 759,55</w:t>
            </w:r>
          </w:p>
        </w:tc>
        <w:tc>
          <w:tcPr>
            <w:tcW w:w="2268" w:type="dxa"/>
            <w:shd w:val="clear" w:color="auto" w:fill="auto"/>
          </w:tcPr>
          <w:p w:rsidR="00AC57C1" w:rsidRPr="00514404" w:rsidRDefault="00AC57C1" w:rsidP="00311FC2">
            <w:pPr>
              <w:tabs>
                <w:tab w:val="center" w:pos="4153"/>
                <w:tab w:val="right" w:pos="8306"/>
              </w:tabs>
              <w:jc w:val="center"/>
            </w:pPr>
            <w:r w:rsidRPr="00514404">
              <w:t>-2 393,43</w:t>
            </w:r>
          </w:p>
        </w:tc>
      </w:tr>
      <w:tr w:rsidR="00D0790A" w:rsidRPr="00514404" w:rsidTr="00311FC2">
        <w:tc>
          <w:tcPr>
            <w:tcW w:w="817" w:type="dxa"/>
            <w:shd w:val="clear" w:color="auto" w:fill="FFFFFF"/>
          </w:tcPr>
          <w:p w:rsidR="00AC57C1" w:rsidRPr="00514404" w:rsidRDefault="00AC57C1" w:rsidP="00311FC2">
            <w:pPr>
              <w:tabs>
                <w:tab w:val="center" w:pos="4153"/>
                <w:tab w:val="right" w:pos="8306"/>
              </w:tabs>
            </w:pPr>
            <w:r w:rsidRPr="00514404">
              <w:t>5.</w:t>
            </w:r>
          </w:p>
        </w:tc>
        <w:tc>
          <w:tcPr>
            <w:tcW w:w="3969" w:type="dxa"/>
            <w:shd w:val="clear" w:color="auto" w:fill="FFFFFF"/>
          </w:tcPr>
          <w:p w:rsidR="00AC57C1" w:rsidRPr="00514404" w:rsidRDefault="00AC57C1" w:rsidP="009A59E2">
            <w:pPr>
              <w:tabs>
                <w:tab w:val="center" w:pos="4153"/>
                <w:tab w:val="right" w:pos="8306"/>
              </w:tabs>
            </w:pPr>
            <w:r w:rsidRPr="00514404">
              <w:t>Patiesā labuma guvēju, kas izmanto organizēto noziedzīgo grupējumu izveidotās “naudas atmazgāšanas” shēmas, labot</w:t>
            </w:r>
            <w:r w:rsidR="009A59E2" w:rsidRPr="00514404">
              <w:t>o</w:t>
            </w:r>
            <w:r w:rsidRPr="00514404">
              <w:t xml:space="preserve"> PVN deklarācij</w:t>
            </w:r>
            <w:r w:rsidR="009A59E2" w:rsidRPr="00514404">
              <w:t>u rezultātā veiktās</w:t>
            </w:r>
            <w:r w:rsidRPr="00514404">
              <w:t xml:space="preserve"> iemaks</w:t>
            </w:r>
            <w:r w:rsidR="009A59E2" w:rsidRPr="00514404">
              <w:t>as</w:t>
            </w:r>
            <w:r w:rsidRPr="00514404">
              <w:t xml:space="preserve"> valsts budžetā, </w:t>
            </w:r>
            <w:proofErr w:type="spellStart"/>
            <w:r w:rsidRPr="00514404">
              <w:t>tūkst</w:t>
            </w:r>
            <w:proofErr w:type="spellEnd"/>
            <w:r w:rsidRPr="00514404">
              <w:t>.</w:t>
            </w:r>
            <w:r w:rsidR="008A728F" w:rsidRPr="00514404">
              <w:t xml:space="preserve"> </w:t>
            </w:r>
            <w:r w:rsidR="009A59E2" w:rsidRPr="00514404">
              <w:t>lati</w:t>
            </w:r>
          </w:p>
        </w:tc>
        <w:tc>
          <w:tcPr>
            <w:tcW w:w="2126" w:type="dxa"/>
            <w:shd w:val="clear" w:color="auto" w:fill="FFFFFF"/>
          </w:tcPr>
          <w:p w:rsidR="00AC57C1" w:rsidRPr="00514404" w:rsidRDefault="00AC57C1" w:rsidP="00311FC2">
            <w:pPr>
              <w:tabs>
                <w:tab w:val="center" w:pos="4153"/>
                <w:tab w:val="right" w:pos="8306"/>
              </w:tabs>
              <w:jc w:val="center"/>
            </w:pPr>
            <w:r w:rsidRPr="00514404">
              <w:t>267,65</w:t>
            </w:r>
          </w:p>
        </w:tc>
        <w:tc>
          <w:tcPr>
            <w:tcW w:w="2268" w:type="dxa"/>
            <w:shd w:val="clear" w:color="auto" w:fill="FFFFFF"/>
          </w:tcPr>
          <w:p w:rsidR="00AC57C1" w:rsidRPr="00514404" w:rsidRDefault="00AC57C1" w:rsidP="00311FC2">
            <w:pPr>
              <w:tabs>
                <w:tab w:val="center" w:pos="4153"/>
                <w:tab w:val="right" w:pos="8306"/>
              </w:tabs>
              <w:jc w:val="center"/>
            </w:pPr>
            <w:r w:rsidRPr="00514404">
              <w:t>+106,13</w:t>
            </w:r>
          </w:p>
        </w:tc>
      </w:tr>
    </w:tbl>
    <w:p w:rsidR="006A325C" w:rsidRPr="002631CA" w:rsidRDefault="006A325C" w:rsidP="006A325C">
      <w:pPr>
        <w:ind w:firstLine="720"/>
        <w:jc w:val="both"/>
        <w:rPr>
          <w:sz w:val="28"/>
          <w:szCs w:val="28"/>
        </w:rPr>
      </w:pPr>
    </w:p>
    <w:p w:rsidR="006A325C" w:rsidRPr="002631CA" w:rsidRDefault="006A325C" w:rsidP="006A325C">
      <w:pPr>
        <w:ind w:firstLine="720"/>
        <w:jc w:val="both"/>
        <w:rPr>
          <w:sz w:val="28"/>
          <w:szCs w:val="28"/>
        </w:rPr>
      </w:pPr>
      <w:r w:rsidRPr="002631CA">
        <w:rPr>
          <w:sz w:val="28"/>
          <w:szCs w:val="28"/>
        </w:rPr>
        <w:t>2012.gada sešos mēnešos atklāta un pārtraukta 7 organizētu noziedzīgu grupējumu darbība valsts ieņēmumu jomā.</w:t>
      </w:r>
    </w:p>
    <w:p w:rsidR="006A325C" w:rsidRPr="002631CA" w:rsidRDefault="006A325C" w:rsidP="006A325C">
      <w:pPr>
        <w:ind w:firstLine="720"/>
        <w:jc w:val="both"/>
        <w:rPr>
          <w:sz w:val="28"/>
          <w:szCs w:val="28"/>
        </w:rPr>
      </w:pPr>
    </w:p>
    <w:p w:rsidR="006A325C" w:rsidRPr="002631CA" w:rsidRDefault="006A325C" w:rsidP="007B7FE3">
      <w:pPr>
        <w:pStyle w:val="ListParagraph"/>
        <w:numPr>
          <w:ilvl w:val="0"/>
          <w:numId w:val="12"/>
        </w:numPr>
        <w:ind w:left="0" w:firstLine="0"/>
        <w:jc w:val="center"/>
        <w:rPr>
          <w:rFonts w:ascii="Times New Roman" w:hAnsi="Times New Roman"/>
          <w:b/>
          <w:sz w:val="28"/>
          <w:szCs w:val="28"/>
        </w:rPr>
      </w:pPr>
      <w:r w:rsidRPr="002631CA">
        <w:rPr>
          <w:rFonts w:ascii="Times New Roman" w:hAnsi="Times New Roman"/>
          <w:b/>
          <w:sz w:val="28"/>
          <w:szCs w:val="28"/>
        </w:rPr>
        <w:t>Darbības rezultāti ceturtās prioritātes − muitas kontroles pasākumu īstenošana prioritārajās jomās −  akcīzes preču kontrabandas ierobežošana, narkotisko un psihotropo vielu kontrabandas apkarošana un organizētās noziedzības grupējumu apkarošana – īstenošanā</w:t>
      </w:r>
    </w:p>
    <w:p w:rsidR="006A325C" w:rsidRPr="002631CA" w:rsidRDefault="006A325C" w:rsidP="006A325C">
      <w:pPr>
        <w:ind w:firstLine="720"/>
        <w:jc w:val="both"/>
        <w:rPr>
          <w:sz w:val="28"/>
          <w:szCs w:val="28"/>
        </w:rPr>
      </w:pPr>
    </w:p>
    <w:p w:rsidR="006A325C" w:rsidRPr="002631CA" w:rsidRDefault="006A325C" w:rsidP="006A325C">
      <w:pPr>
        <w:ind w:firstLine="720"/>
        <w:jc w:val="both"/>
        <w:rPr>
          <w:sz w:val="28"/>
          <w:szCs w:val="28"/>
        </w:rPr>
      </w:pPr>
      <w:r w:rsidRPr="002631CA">
        <w:rPr>
          <w:sz w:val="28"/>
          <w:szCs w:val="28"/>
        </w:rPr>
        <w:lastRenderedPageBreak/>
        <w:t>Legālā akcīzes preču tirgus rādītāju palielinājums 2012.gada piecos mēnešos salīdzinājumā ar 2011.gada attiecīgo periodu liecina par veiksmīgu VID uzraudzības un administrēšanas darbu:</w:t>
      </w:r>
    </w:p>
    <w:p w:rsidR="006A325C" w:rsidRPr="002631CA" w:rsidRDefault="00715125" w:rsidP="006A325C">
      <w:pPr>
        <w:ind w:firstLine="720"/>
        <w:jc w:val="both"/>
        <w:rPr>
          <w:sz w:val="28"/>
          <w:szCs w:val="28"/>
        </w:rPr>
      </w:pPr>
      <w:r w:rsidRPr="002631CA">
        <w:rPr>
          <w:sz w:val="28"/>
          <w:szCs w:val="28"/>
        </w:rPr>
        <w:t>−</w:t>
      </w:r>
      <w:r w:rsidR="006A325C" w:rsidRPr="002631CA">
        <w:rPr>
          <w:sz w:val="28"/>
          <w:szCs w:val="28"/>
        </w:rPr>
        <w:tab/>
        <w:t>legālo naftas produktu (degvielas) aprites rādītāji ir par 3 % augstāki kā iepriekšējā gadā;</w:t>
      </w:r>
    </w:p>
    <w:p w:rsidR="006A325C" w:rsidRPr="002631CA" w:rsidRDefault="00715125" w:rsidP="006A325C">
      <w:pPr>
        <w:ind w:firstLine="720"/>
        <w:jc w:val="both"/>
        <w:rPr>
          <w:sz w:val="28"/>
          <w:szCs w:val="28"/>
        </w:rPr>
      </w:pPr>
      <w:r w:rsidRPr="002631CA">
        <w:rPr>
          <w:sz w:val="28"/>
          <w:szCs w:val="28"/>
        </w:rPr>
        <w:t>−</w:t>
      </w:r>
      <w:r w:rsidR="006A325C" w:rsidRPr="002631CA">
        <w:rPr>
          <w:sz w:val="28"/>
          <w:szCs w:val="28"/>
        </w:rPr>
        <w:tab/>
        <w:t xml:space="preserve">legālo alkoholisko dzērienu patēriņam nodotais daudzums ir par 6 % lielāks nekā pērn; </w:t>
      </w:r>
    </w:p>
    <w:p w:rsidR="006A325C" w:rsidRPr="002631CA" w:rsidRDefault="00715125" w:rsidP="006A325C">
      <w:pPr>
        <w:ind w:firstLine="720"/>
        <w:jc w:val="both"/>
        <w:rPr>
          <w:sz w:val="28"/>
          <w:szCs w:val="28"/>
        </w:rPr>
      </w:pPr>
      <w:r w:rsidRPr="002631CA">
        <w:rPr>
          <w:sz w:val="28"/>
          <w:szCs w:val="28"/>
        </w:rPr>
        <w:t>−</w:t>
      </w:r>
      <w:r w:rsidR="006A325C" w:rsidRPr="002631CA">
        <w:rPr>
          <w:sz w:val="28"/>
          <w:szCs w:val="28"/>
        </w:rPr>
        <w:tab/>
        <w:t xml:space="preserve">savukārt īslaicīgais legālo cigarešu realizācijas apjomu kritums </w:t>
      </w:r>
      <w:r w:rsidR="002631CA">
        <w:rPr>
          <w:sz w:val="28"/>
          <w:szCs w:val="28"/>
        </w:rPr>
        <w:t xml:space="preserve">     </w:t>
      </w:r>
      <w:r w:rsidR="006A325C" w:rsidRPr="002631CA">
        <w:rPr>
          <w:sz w:val="28"/>
          <w:szCs w:val="28"/>
        </w:rPr>
        <w:t>(-5%) salīdzinājumā ar iepriekšējo gadu vēl neliecina par legālā tirgus samazinājumu, jo tabakas nozare kopš šī gada sākuma par trešdaļu ir samazinājusi uzkrājumus vairumtirdzniecībā.</w:t>
      </w:r>
    </w:p>
    <w:p w:rsidR="006A325C" w:rsidRPr="002631CA" w:rsidRDefault="006A325C" w:rsidP="006A325C">
      <w:pPr>
        <w:ind w:firstLine="720"/>
        <w:jc w:val="both"/>
        <w:rPr>
          <w:sz w:val="28"/>
          <w:szCs w:val="28"/>
        </w:rPr>
      </w:pPr>
      <w:r w:rsidRPr="002631CA">
        <w:rPr>
          <w:sz w:val="28"/>
          <w:szCs w:val="28"/>
        </w:rPr>
        <w:t>Akcīzes preču aprites kontroles nodrošināšanai 2012.gada sešos mēnešos:</w:t>
      </w:r>
    </w:p>
    <w:p w:rsidR="006A325C" w:rsidRPr="002631CA" w:rsidRDefault="006A325C" w:rsidP="006A325C">
      <w:pPr>
        <w:ind w:firstLine="720"/>
        <w:jc w:val="both"/>
        <w:rPr>
          <w:sz w:val="28"/>
          <w:szCs w:val="28"/>
        </w:rPr>
      </w:pPr>
      <w:r w:rsidRPr="002631CA">
        <w:rPr>
          <w:sz w:val="28"/>
          <w:szCs w:val="28"/>
        </w:rPr>
        <w:t>−</w:t>
      </w:r>
      <w:r w:rsidRPr="002631CA">
        <w:rPr>
          <w:sz w:val="28"/>
          <w:szCs w:val="28"/>
        </w:rPr>
        <w:tab/>
        <w:t>veikta 941 akcīzes preču uzraudzības pārbaude, kas ir par 189 pārbaudēm vairāk nekā 2011.gada sešos mēnešos;</w:t>
      </w:r>
    </w:p>
    <w:p w:rsidR="006A325C" w:rsidRPr="002631CA" w:rsidRDefault="006A325C" w:rsidP="006A325C">
      <w:pPr>
        <w:ind w:firstLine="720"/>
        <w:jc w:val="both"/>
        <w:rPr>
          <w:sz w:val="28"/>
          <w:szCs w:val="28"/>
        </w:rPr>
      </w:pPr>
      <w:r w:rsidRPr="002631CA">
        <w:rPr>
          <w:sz w:val="28"/>
          <w:szCs w:val="28"/>
        </w:rPr>
        <w:t>−</w:t>
      </w:r>
      <w:r w:rsidRPr="002631CA">
        <w:rPr>
          <w:sz w:val="28"/>
          <w:szCs w:val="28"/>
        </w:rPr>
        <w:tab/>
        <w:t>anulētas 666 licences par normatīvo aktu pārkāpumiem – par 368 licencēm vairāk nekā 2011.gada sešos mēnešos;</w:t>
      </w:r>
    </w:p>
    <w:p w:rsidR="006A325C" w:rsidRPr="002631CA" w:rsidRDefault="006A325C" w:rsidP="006A325C">
      <w:pPr>
        <w:ind w:firstLine="720"/>
        <w:jc w:val="both"/>
        <w:rPr>
          <w:sz w:val="28"/>
          <w:szCs w:val="28"/>
        </w:rPr>
      </w:pPr>
      <w:r w:rsidRPr="002631CA">
        <w:rPr>
          <w:sz w:val="28"/>
          <w:szCs w:val="28"/>
        </w:rPr>
        <w:t>−</w:t>
      </w:r>
      <w:r w:rsidRPr="002631CA">
        <w:rPr>
          <w:sz w:val="28"/>
          <w:szCs w:val="28"/>
        </w:rPr>
        <w:tab/>
        <w:t xml:space="preserve">par konstatētajiem pārkāpumiem piemērots naudas sods 116,47 </w:t>
      </w:r>
      <w:proofErr w:type="spellStart"/>
      <w:r w:rsidRPr="002631CA">
        <w:rPr>
          <w:sz w:val="28"/>
          <w:szCs w:val="28"/>
        </w:rPr>
        <w:t>tūkst</w:t>
      </w:r>
      <w:proofErr w:type="spellEnd"/>
      <w:r w:rsidRPr="002631CA">
        <w:rPr>
          <w:sz w:val="28"/>
          <w:szCs w:val="28"/>
        </w:rPr>
        <w:t>.</w:t>
      </w:r>
      <w:r w:rsidR="005E7A81" w:rsidRPr="002631CA">
        <w:rPr>
          <w:sz w:val="28"/>
          <w:szCs w:val="28"/>
        </w:rPr>
        <w:t xml:space="preserve"> </w:t>
      </w:r>
      <w:r w:rsidRPr="002631CA">
        <w:rPr>
          <w:sz w:val="28"/>
          <w:szCs w:val="28"/>
        </w:rPr>
        <w:t>latu apmērā.</w:t>
      </w:r>
    </w:p>
    <w:p w:rsidR="006A325C" w:rsidRPr="002631CA" w:rsidRDefault="006A325C" w:rsidP="006A325C">
      <w:pPr>
        <w:ind w:firstLine="720"/>
        <w:jc w:val="both"/>
        <w:rPr>
          <w:sz w:val="28"/>
          <w:szCs w:val="28"/>
        </w:rPr>
      </w:pPr>
      <w:r w:rsidRPr="002631CA">
        <w:rPr>
          <w:sz w:val="28"/>
          <w:szCs w:val="28"/>
        </w:rPr>
        <w:t>Lai novērstu kontrabandas preču ievešanu valstī, pastiprināti tiek veikti akcīzes preču nelikumīgas pārvietošanas un muitas noteikumu pārkāpumu kontroles pasākumi.</w:t>
      </w:r>
    </w:p>
    <w:p w:rsidR="006A325C" w:rsidRPr="002631CA" w:rsidRDefault="006A325C" w:rsidP="006A325C">
      <w:pPr>
        <w:ind w:firstLine="720"/>
        <w:jc w:val="both"/>
        <w:rPr>
          <w:sz w:val="28"/>
          <w:szCs w:val="28"/>
        </w:rPr>
      </w:pPr>
      <w:r w:rsidRPr="002631CA">
        <w:rPr>
          <w:sz w:val="28"/>
          <w:szCs w:val="28"/>
        </w:rPr>
        <w:t xml:space="preserve">2012.gada sešos mēnešos veikta 13361 muitas fiziskā pārbaude un piemērots naudas sods par muitas noteikumu pārkāpumiem 72,36 </w:t>
      </w:r>
      <w:proofErr w:type="spellStart"/>
      <w:r w:rsidRPr="002631CA">
        <w:rPr>
          <w:sz w:val="28"/>
          <w:szCs w:val="28"/>
        </w:rPr>
        <w:t>tūkst</w:t>
      </w:r>
      <w:proofErr w:type="spellEnd"/>
      <w:r w:rsidRPr="002631CA">
        <w:rPr>
          <w:sz w:val="28"/>
          <w:szCs w:val="28"/>
        </w:rPr>
        <w:t>. latu apmērā.</w:t>
      </w:r>
    </w:p>
    <w:p w:rsidR="006A325C" w:rsidRPr="002631CA" w:rsidRDefault="006A325C" w:rsidP="006A325C">
      <w:pPr>
        <w:ind w:firstLine="720"/>
        <w:jc w:val="both"/>
        <w:rPr>
          <w:sz w:val="28"/>
          <w:szCs w:val="28"/>
        </w:rPr>
      </w:pPr>
      <w:r w:rsidRPr="002631CA">
        <w:rPr>
          <w:sz w:val="28"/>
          <w:szCs w:val="28"/>
        </w:rPr>
        <w:t xml:space="preserve">2012.gada sešos mēnešos uzsākti 102 kriminālprocesi muitas jomā un kriminālvajāšanas uzsākšanai nosūtīti 53 kriminālprocesi. Atklāto likumpārkāpumu rezultātā novērsts kaitējums 6 033 </w:t>
      </w:r>
      <w:proofErr w:type="spellStart"/>
      <w:r w:rsidRPr="002631CA">
        <w:rPr>
          <w:sz w:val="28"/>
          <w:szCs w:val="28"/>
        </w:rPr>
        <w:t>tūkst</w:t>
      </w:r>
      <w:proofErr w:type="spellEnd"/>
      <w:r w:rsidRPr="002631CA">
        <w:rPr>
          <w:sz w:val="28"/>
          <w:szCs w:val="28"/>
        </w:rPr>
        <w:t>.</w:t>
      </w:r>
      <w:r w:rsidR="00AC57C1" w:rsidRPr="002631CA">
        <w:rPr>
          <w:sz w:val="28"/>
          <w:szCs w:val="28"/>
        </w:rPr>
        <w:t xml:space="preserve"> </w:t>
      </w:r>
      <w:r w:rsidRPr="002631CA">
        <w:rPr>
          <w:sz w:val="28"/>
          <w:szCs w:val="28"/>
        </w:rPr>
        <w:t xml:space="preserve">latu apmērā, kas ir par 1 397,9 </w:t>
      </w:r>
      <w:proofErr w:type="spellStart"/>
      <w:r w:rsidRPr="002631CA">
        <w:rPr>
          <w:sz w:val="28"/>
          <w:szCs w:val="28"/>
        </w:rPr>
        <w:t>tūkst</w:t>
      </w:r>
      <w:proofErr w:type="spellEnd"/>
      <w:r w:rsidRPr="002631CA">
        <w:rPr>
          <w:sz w:val="28"/>
          <w:szCs w:val="28"/>
        </w:rPr>
        <w:t>. latiem vairāk nekā iepriekšējā gada sešos mēnešos.</w:t>
      </w:r>
    </w:p>
    <w:p w:rsidR="006A325C" w:rsidRPr="002631CA" w:rsidRDefault="006A325C" w:rsidP="006A325C">
      <w:pPr>
        <w:ind w:firstLine="720"/>
        <w:jc w:val="both"/>
        <w:rPr>
          <w:sz w:val="28"/>
          <w:szCs w:val="28"/>
        </w:rPr>
      </w:pPr>
      <w:r w:rsidRPr="002631CA">
        <w:rPr>
          <w:sz w:val="28"/>
          <w:szCs w:val="28"/>
        </w:rPr>
        <w:t xml:space="preserve">Akcīzes preču aprites un pārvietošanas kontroles pasākumu rezultātā 2012.gada sešos mēnešos izņemtas akcīzes preces: </w:t>
      </w:r>
    </w:p>
    <w:p w:rsidR="006A325C" w:rsidRPr="002631CA" w:rsidRDefault="006A325C" w:rsidP="006A325C">
      <w:pPr>
        <w:ind w:firstLine="720"/>
        <w:jc w:val="both"/>
        <w:rPr>
          <w:sz w:val="28"/>
          <w:szCs w:val="28"/>
        </w:rPr>
      </w:pPr>
      <w:r w:rsidRPr="002631CA">
        <w:rPr>
          <w:sz w:val="28"/>
          <w:szCs w:val="28"/>
        </w:rPr>
        <w:t>−</w:t>
      </w:r>
      <w:r w:rsidRPr="002631CA">
        <w:rPr>
          <w:sz w:val="28"/>
          <w:szCs w:val="28"/>
        </w:rPr>
        <w:tab/>
        <w:t xml:space="preserve">60 823 526 </w:t>
      </w:r>
      <w:proofErr w:type="spellStart"/>
      <w:r w:rsidRPr="002631CA">
        <w:rPr>
          <w:sz w:val="28"/>
          <w:szCs w:val="28"/>
        </w:rPr>
        <w:t>gab</w:t>
      </w:r>
      <w:proofErr w:type="spellEnd"/>
      <w:r w:rsidRPr="002631CA">
        <w:rPr>
          <w:sz w:val="28"/>
          <w:szCs w:val="28"/>
        </w:rPr>
        <w:t xml:space="preserve">. cigaretes, kas ir par 21 057 690 </w:t>
      </w:r>
      <w:proofErr w:type="spellStart"/>
      <w:r w:rsidRPr="002631CA">
        <w:rPr>
          <w:sz w:val="28"/>
          <w:szCs w:val="28"/>
        </w:rPr>
        <w:t>gab</w:t>
      </w:r>
      <w:proofErr w:type="spellEnd"/>
      <w:r w:rsidRPr="002631CA">
        <w:rPr>
          <w:sz w:val="28"/>
          <w:szCs w:val="28"/>
        </w:rPr>
        <w:t xml:space="preserve">. vairāk nekā 2011.gada sešos mēnešos; </w:t>
      </w:r>
    </w:p>
    <w:p w:rsidR="006A325C" w:rsidRPr="002631CA" w:rsidRDefault="006A325C" w:rsidP="006A325C">
      <w:pPr>
        <w:ind w:firstLine="720"/>
        <w:jc w:val="both"/>
        <w:rPr>
          <w:sz w:val="28"/>
          <w:szCs w:val="28"/>
        </w:rPr>
      </w:pPr>
      <w:r w:rsidRPr="002631CA">
        <w:rPr>
          <w:sz w:val="28"/>
          <w:szCs w:val="28"/>
        </w:rPr>
        <w:t>−</w:t>
      </w:r>
      <w:r w:rsidRPr="002631CA">
        <w:rPr>
          <w:sz w:val="28"/>
          <w:szCs w:val="28"/>
        </w:rPr>
        <w:tab/>
        <w:t>49 499 litri degvielas – par 17 133 litriem vairāk nekā 2011.gada sešos mēnešos;</w:t>
      </w:r>
    </w:p>
    <w:p w:rsidR="006A325C" w:rsidRPr="002631CA" w:rsidRDefault="006A325C" w:rsidP="006A325C">
      <w:pPr>
        <w:ind w:firstLine="720"/>
        <w:jc w:val="both"/>
        <w:rPr>
          <w:sz w:val="28"/>
          <w:szCs w:val="28"/>
        </w:rPr>
      </w:pPr>
      <w:r w:rsidRPr="002631CA">
        <w:rPr>
          <w:sz w:val="28"/>
          <w:szCs w:val="28"/>
        </w:rPr>
        <w:t>−</w:t>
      </w:r>
      <w:r w:rsidRPr="002631CA">
        <w:rPr>
          <w:sz w:val="28"/>
          <w:szCs w:val="28"/>
        </w:rPr>
        <w:tab/>
        <w:t>501 litrs alkohola.</w:t>
      </w:r>
    </w:p>
    <w:p w:rsidR="006A325C" w:rsidRPr="002631CA" w:rsidRDefault="006A325C" w:rsidP="006A325C">
      <w:pPr>
        <w:ind w:firstLine="720"/>
        <w:jc w:val="both"/>
        <w:rPr>
          <w:sz w:val="28"/>
          <w:szCs w:val="28"/>
        </w:rPr>
      </w:pPr>
      <w:r w:rsidRPr="002631CA">
        <w:rPr>
          <w:sz w:val="28"/>
          <w:szCs w:val="28"/>
        </w:rPr>
        <w:t xml:space="preserve">2012.gada </w:t>
      </w:r>
      <w:r w:rsidR="005E7A81" w:rsidRPr="002631CA">
        <w:rPr>
          <w:sz w:val="28"/>
          <w:szCs w:val="28"/>
        </w:rPr>
        <w:t xml:space="preserve">pirmajos </w:t>
      </w:r>
      <w:r w:rsidRPr="002631CA">
        <w:rPr>
          <w:sz w:val="28"/>
          <w:szCs w:val="28"/>
        </w:rPr>
        <w:t>sešos mēnešos  izņemt</w:t>
      </w:r>
      <w:r w:rsidR="00B5777C" w:rsidRPr="002631CA">
        <w:rPr>
          <w:sz w:val="28"/>
          <w:szCs w:val="28"/>
        </w:rPr>
        <w:t>i</w:t>
      </w:r>
      <w:r w:rsidRPr="002631CA">
        <w:rPr>
          <w:sz w:val="28"/>
          <w:szCs w:val="28"/>
        </w:rPr>
        <w:t xml:space="preserve"> 3 059,22 grami narkotiskās un psihotrop</w:t>
      </w:r>
      <w:r w:rsidR="00B5777C" w:rsidRPr="002631CA">
        <w:rPr>
          <w:sz w:val="28"/>
          <w:szCs w:val="28"/>
        </w:rPr>
        <w:t>o</w:t>
      </w:r>
      <w:r w:rsidRPr="002631CA">
        <w:rPr>
          <w:sz w:val="28"/>
          <w:szCs w:val="28"/>
        </w:rPr>
        <w:t xml:space="preserve"> viel</w:t>
      </w:r>
      <w:r w:rsidR="00B5777C" w:rsidRPr="002631CA">
        <w:rPr>
          <w:sz w:val="28"/>
          <w:szCs w:val="28"/>
        </w:rPr>
        <w:t>u</w:t>
      </w:r>
      <w:r w:rsidRPr="002631CA">
        <w:rPr>
          <w:sz w:val="28"/>
          <w:szCs w:val="28"/>
        </w:rPr>
        <w:t xml:space="preserve">, kas ir mazāk nekā 2011.gada </w:t>
      </w:r>
      <w:r w:rsidR="005E7A81" w:rsidRPr="002631CA">
        <w:rPr>
          <w:sz w:val="28"/>
          <w:szCs w:val="28"/>
        </w:rPr>
        <w:t xml:space="preserve">pirmajos </w:t>
      </w:r>
      <w:r w:rsidRPr="002631CA">
        <w:rPr>
          <w:sz w:val="28"/>
          <w:szCs w:val="28"/>
        </w:rPr>
        <w:t>sešos mēnešos. Samazinājums skaidrojams sakarā ar atklāto narkotiku un psihotropo vielu pārvadājumu skaita samazināšanos, izmantojot pasta sūtījumus, kas liecina par muitas struktūrvienību veiksmīga darba rezultātiem iepriekšējos gados.</w:t>
      </w:r>
    </w:p>
    <w:p w:rsidR="0051656D" w:rsidRDefault="0051656D" w:rsidP="0051656D">
      <w:pPr>
        <w:ind w:left="360"/>
        <w:jc w:val="center"/>
        <w:rPr>
          <w:b/>
          <w:bCs/>
          <w:sz w:val="28"/>
          <w:szCs w:val="28"/>
        </w:rPr>
      </w:pPr>
    </w:p>
    <w:p w:rsidR="004276EB" w:rsidRDefault="004276EB" w:rsidP="0051656D">
      <w:pPr>
        <w:ind w:left="360"/>
        <w:jc w:val="center"/>
        <w:rPr>
          <w:b/>
          <w:bCs/>
          <w:sz w:val="28"/>
          <w:szCs w:val="28"/>
        </w:rPr>
      </w:pPr>
    </w:p>
    <w:p w:rsidR="004276EB" w:rsidRPr="002631CA" w:rsidRDefault="004276EB" w:rsidP="0051656D">
      <w:pPr>
        <w:ind w:left="360"/>
        <w:jc w:val="center"/>
        <w:rPr>
          <w:b/>
          <w:bCs/>
          <w:sz w:val="28"/>
          <w:szCs w:val="28"/>
        </w:rPr>
      </w:pPr>
    </w:p>
    <w:p w:rsidR="006A0979" w:rsidRPr="002631CA" w:rsidRDefault="006A0979" w:rsidP="007B7FE3">
      <w:pPr>
        <w:jc w:val="center"/>
        <w:rPr>
          <w:b/>
          <w:bCs/>
          <w:sz w:val="28"/>
          <w:szCs w:val="28"/>
        </w:rPr>
      </w:pPr>
      <w:r w:rsidRPr="002631CA">
        <w:rPr>
          <w:b/>
          <w:bCs/>
          <w:sz w:val="28"/>
          <w:szCs w:val="28"/>
        </w:rPr>
        <w:lastRenderedPageBreak/>
        <w:t>IEKŠLIETU MINISTRIJA</w:t>
      </w:r>
    </w:p>
    <w:p w:rsidR="00042A1F" w:rsidRPr="002631CA" w:rsidRDefault="00042A1F" w:rsidP="007B7FE3">
      <w:pPr>
        <w:pStyle w:val="ListParagraph"/>
        <w:tabs>
          <w:tab w:val="left" w:pos="-4536"/>
        </w:tabs>
        <w:ind w:left="0"/>
        <w:jc w:val="center"/>
        <w:rPr>
          <w:rFonts w:ascii="Times New Roman" w:hAnsi="Times New Roman"/>
          <w:b/>
          <w:sz w:val="28"/>
          <w:szCs w:val="28"/>
        </w:rPr>
      </w:pPr>
      <w:r w:rsidRPr="002631CA">
        <w:rPr>
          <w:rFonts w:ascii="Times New Roman" w:hAnsi="Times New Roman"/>
          <w:b/>
          <w:sz w:val="28"/>
          <w:szCs w:val="28"/>
        </w:rPr>
        <w:t>VALSTS POLICIJA</w:t>
      </w:r>
    </w:p>
    <w:p w:rsidR="00DF2D71" w:rsidRPr="002631CA" w:rsidRDefault="00DF2D71" w:rsidP="007B7FE3">
      <w:pPr>
        <w:pStyle w:val="ListParagraph"/>
        <w:tabs>
          <w:tab w:val="left" w:pos="-4536"/>
        </w:tabs>
        <w:ind w:left="0"/>
        <w:jc w:val="center"/>
        <w:rPr>
          <w:rFonts w:ascii="Times New Roman" w:hAnsi="Times New Roman"/>
          <w:b/>
          <w:sz w:val="28"/>
          <w:szCs w:val="28"/>
        </w:rPr>
      </w:pPr>
    </w:p>
    <w:p w:rsidR="00871AEB" w:rsidRPr="002631CA" w:rsidRDefault="00871AEB" w:rsidP="005D02FC">
      <w:pPr>
        <w:ind w:firstLine="709"/>
        <w:jc w:val="both"/>
        <w:rPr>
          <w:sz w:val="28"/>
          <w:szCs w:val="28"/>
        </w:rPr>
      </w:pPr>
      <w:r w:rsidRPr="002631CA">
        <w:rPr>
          <w:sz w:val="28"/>
          <w:szCs w:val="28"/>
        </w:rPr>
        <w:t>2012.gada 6 mēnešos Valsts policija</w:t>
      </w:r>
      <w:r w:rsidR="00D0790A" w:rsidRPr="002631CA">
        <w:rPr>
          <w:sz w:val="28"/>
          <w:szCs w:val="28"/>
        </w:rPr>
        <w:t>,</w:t>
      </w:r>
      <w:r w:rsidRPr="002631CA">
        <w:rPr>
          <w:sz w:val="28"/>
          <w:szCs w:val="28"/>
        </w:rPr>
        <w:t xml:space="preserve"> veicot atbilstoši savai kompetencei esošas darbības, izņēmusi 56939,54</w:t>
      </w:r>
      <w:r w:rsidR="005D02FC" w:rsidRPr="002631CA">
        <w:rPr>
          <w:sz w:val="28"/>
          <w:szCs w:val="28"/>
        </w:rPr>
        <w:t xml:space="preserve"> litrus alkoholiskā dzēriena</w:t>
      </w:r>
      <w:r w:rsidRPr="002631CA">
        <w:rPr>
          <w:sz w:val="28"/>
          <w:szCs w:val="28"/>
        </w:rPr>
        <w:t>, kas ir par 27727,76</w:t>
      </w:r>
      <w:r w:rsidR="005D02FC" w:rsidRPr="002631CA">
        <w:rPr>
          <w:sz w:val="28"/>
          <w:szCs w:val="28"/>
        </w:rPr>
        <w:t xml:space="preserve"> litriem</w:t>
      </w:r>
      <w:r w:rsidRPr="002631CA">
        <w:rPr>
          <w:sz w:val="28"/>
          <w:szCs w:val="28"/>
        </w:rPr>
        <w:t xml:space="preserve"> vairāk nekā 2011.gada 6 mēnešos. </w:t>
      </w:r>
      <w:proofErr w:type="spellStart"/>
      <w:r w:rsidR="005D02FC" w:rsidRPr="002631CA">
        <w:rPr>
          <w:sz w:val="28"/>
          <w:szCs w:val="28"/>
        </w:rPr>
        <w:t>Š.g</w:t>
      </w:r>
      <w:proofErr w:type="spellEnd"/>
      <w:r w:rsidR="00D0790A" w:rsidRPr="002631CA">
        <w:rPr>
          <w:sz w:val="28"/>
          <w:szCs w:val="28"/>
        </w:rPr>
        <w:t>.</w:t>
      </w:r>
      <w:r w:rsidR="005D02FC" w:rsidRPr="002631CA">
        <w:rPr>
          <w:sz w:val="28"/>
          <w:szCs w:val="28"/>
        </w:rPr>
        <w:t xml:space="preserve"> sešos mēnešos</w:t>
      </w:r>
      <w:r w:rsidRPr="002631CA">
        <w:rPr>
          <w:sz w:val="28"/>
          <w:szCs w:val="28"/>
        </w:rPr>
        <w:t xml:space="preserve"> izņemt</w:t>
      </w:r>
      <w:r w:rsidR="005D02FC" w:rsidRPr="002631CA">
        <w:rPr>
          <w:sz w:val="28"/>
          <w:szCs w:val="28"/>
        </w:rPr>
        <w:t>as</w:t>
      </w:r>
      <w:r w:rsidRPr="002631CA">
        <w:rPr>
          <w:sz w:val="28"/>
          <w:szCs w:val="28"/>
        </w:rPr>
        <w:t xml:space="preserve"> 12739776</w:t>
      </w:r>
      <w:r w:rsidR="005D02FC" w:rsidRPr="002631CA">
        <w:rPr>
          <w:sz w:val="28"/>
          <w:szCs w:val="28"/>
        </w:rPr>
        <w:t xml:space="preserve"> cigaretes</w:t>
      </w:r>
      <w:r w:rsidRPr="002631CA">
        <w:rPr>
          <w:sz w:val="28"/>
          <w:szCs w:val="28"/>
        </w:rPr>
        <w:t xml:space="preserve">, kas ir par 5987868 cigaretēm vairāk nekā pērn. Tikai nedaudz mazāk nekā </w:t>
      </w:r>
      <w:r w:rsidR="005D02FC" w:rsidRPr="002631CA">
        <w:rPr>
          <w:sz w:val="28"/>
          <w:szCs w:val="28"/>
        </w:rPr>
        <w:t>2011.gada</w:t>
      </w:r>
      <w:r w:rsidRPr="002631CA">
        <w:rPr>
          <w:sz w:val="28"/>
          <w:szCs w:val="28"/>
        </w:rPr>
        <w:t xml:space="preserve"> </w:t>
      </w:r>
      <w:r w:rsidR="005D02FC" w:rsidRPr="002631CA">
        <w:rPr>
          <w:sz w:val="28"/>
          <w:szCs w:val="28"/>
        </w:rPr>
        <w:t xml:space="preserve">pirmajā </w:t>
      </w:r>
      <w:r w:rsidRPr="002631CA">
        <w:rPr>
          <w:sz w:val="28"/>
          <w:szCs w:val="28"/>
        </w:rPr>
        <w:t>pusgadā izņemt</w:t>
      </w:r>
      <w:r w:rsidR="005D02FC" w:rsidRPr="002631CA">
        <w:rPr>
          <w:sz w:val="28"/>
          <w:szCs w:val="28"/>
        </w:rPr>
        <w:t>i</w:t>
      </w:r>
      <w:r w:rsidRPr="002631CA">
        <w:rPr>
          <w:sz w:val="28"/>
          <w:szCs w:val="28"/>
        </w:rPr>
        <w:t xml:space="preserve"> naftas produkt</w:t>
      </w:r>
      <w:r w:rsidR="005D02FC" w:rsidRPr="002631CA">
        <w:rPr>
          <w:sz w:val="28"/>
          <w:szCs w:val="28"/>
        </w:rPr>
        <w:t>i</w:t>
      </w:r>
      <w:r w:rsidRPr="002631CA">
        <w:rPr>
          <w:sz w:val="28"/>
          <w:szCs w:val="28"/>
        </w:rPr>
        <w:t xml:space="preserve"> kopumā – </w:t>
      </w:r>
      <w:smartTag w:uri="schemas-tilde-lv/tildestengine" w:element="metric2">
        <w:smartTagPr>
          <w:attr w:name="metric_text" w:val="litru"/>
          <w:attr w:name="metric_value" w:val="218398"/>
        </w:smartTagPr>
        <w:r w:rsidRPr="002631CA">
          <w:rPr>
            <w:sz w:val="28"/>
            <w:szCs w:val="28"/>
          </w:rPr>
          <w:t>218398 litru</w:t>
        </w:r>
      </w:smartTag>
      <w:r w:rsidRPr="002631CA">
        <w:rPr>
          <w:sz w:val="28"/>
          <w:szCs w:val="28"/>
        </w:rPr>
        <w:t xml:space="preserve">, kas ir par 46284 litriem mazāk. Tomēr jāatzīmē, ka palielinājies Latvijas </w:t>
      </w:r>
      <w:r w:rsidR="005D02FC" w:rsidRPr="002631CA">
        <w:rPr>
          <w:sz w:val="28"/>
          <w:szCs w:val="28"/>
        </w:rPr>
        <w:t>Administratīvā pārkāpuma kodeksa</w:t>
      </w:r>
      <w:r w:rsidRPr="002631CA">
        <w:rPr>
          <w:sz w:val="28"/>
          <w:szCs w:val="28"/>
        </w:rPr>
        <w:t xml:space="preserve"> </w:t>
      </w:r>
      <w:r w:rsidR="00D3312D" w:rsidRPr="002631CA">
        <w:rPr>
          <w:sz w:val="28"/>
          <w:szCs w:val="28"/>
        </w:rPr>
        <w:t xml:space="preserve">(turpmāk - LAPK) </w:t>
      </w:r>
      <w:r w:rsidRPr="002631CA">
        <w:rPr>
          <w:sz w:val="28"/>
          <w:szCs w:val="28"/>
        </w:rPr>
        <w:t>ietvaros izņemto naftas produktu apjoms – 151554 (+77250).</w:t>
      </w:r>
    </w:p>
    <w:p w:rsidR="00871AEB" w:rsidRPr="002631CA" w:rsidRDefault="00871AEB" w:rsidP="005D02FC">
      <w:pPr>
        <w:pStyle w:val="NoSpacing"/>
        <w:ind w:firstLine="709"/>
        <w:jc w:val="both"/>
        <w:rPr>
          <w:rFonts w:ascii="Times New Roman" w:hAnsi="Times New Roman"/>
          <w:sz w:val="28"/>
          <w:szCs w:val="28"/>
        </w:rPr>
      </w:pPr>
      <w:r w:rsidRPr="002631CA">
        <w:rPr>
          <w:rFonts w:ascii="Times New Roman" w:hAnsi="Times New Roman"/>
          <w:sz w:val="28"/>
          <w:szCs w:val="28"/>
        </w:rPr>
        <w:t>Jāmin, ka pēc Valsts policijas iniciatīvas veiktie grozījumi likumā „Par akcīzes nodokli”, kas paredz, ka no 2012.gada 1.februāra naftas eļļas ar KNK 27101999 un KNK 27101991 ir iekļautas akcīzes preču sarakstā (Latvijas teritorijā lielākā daļa šo industriālo eļļu tika izmantotas kā dīzeļdegviela automašīnām, jo t</w:t>
      </w:r>
      <w:r w:rsidR="00D3312D" w:rsidRPr="002631CA">
        <w:rPr>
          <w:rFonts w:ascii="Times New Roman" w:hAnsi="Times New Roman"/>
          <w:sz w:val="28"/>
          <w:szCs w:val="28"/>
        </w:rPr>
        <w:t>o</w:t>
      </w:r>
      <w:r w:rsidRPr="002631CA">
        <w:rPr>
          <w:rFonts w:ascii="Times New Roman" w:hAnsi="Times New Roman"/>
          <w:sz w:val="28"/>
          <w:szCs w:val="28"/>
        </w:rPr>
        <w:t xml:space="preserve"> cena ir aptuveni par 30% zemāka nekā degvielas cena degvielas uzpildes stacijās), kas jau pašlaik, kā arī perspektīvā ļaus pastiprināt minētās vielas aprites kontroli</w:t>
      </w:r>
      <w:r w:rsidR="005D02FC" w:rsidRPr="002631CA">
        <w:rPr>
          <w:rFonts w:ascii="Times New Roman" w:hAnsi="Times New Roman"/>
          <w:sz w:val="28"/>
          <w:szCs w:val="28"/>
        </w:rPr>
        <w:t>.</w:t>
      </w:r>
    </w:p>
    <w:p w:rsidR="00871AEB" w:rsidRPr="002631CA" w:rsidRDefault="00871AEB" w:rsidP="00871AEB">
      <w:pPr>
        <w:ind w:firstLine="720"/>
        <w:jc w:val="both"/>
        <w:rPr>
          <w:sz w:val="28"/>
          <w:szCs w:val="28"/>
        </w:rPr>
      </w:pPr>
      <w:r w:rsidRPr="002631CA">
        <w:rPr>
          <w:sz w:val="28"/>
          <w:szCs w:val="28"/>
        </w:rPr>
        <w:t xml:space="preserve">Analizējot darba rezultātus Valsts policijas reģionu pārvaldēs, jāmin, ka Kurzemes reģiona pārvalde šogad ir izņēmusi lielāku apjomu alkohola </w:t>
      </w:r>
      <w:r w:rsidR="00D3312D" w:rsidRPr="002631CA">
        <w:rPr>
          <w:sz w:val="28"/>
          <w:szCs w:val="28"/>
        </w:rPr>
        <w:t>LAPK</w:t>
      </w:r>
      <w:r w:rsidRPr="002631CA">
        <w:rPr>
          <w:sz w:val="28"/>
          <w:szCs w:val="28"/>
        </w:rPr>
        <w:t xml:space="preserve"> ietvaros – </w:t>
      </w:r>
      <w:smartTag w:uri="schemas-tilde-lv/tildestengine" w:element="metric2">
        <w:smartTagPr>
          <w:attr w:name="metric_text" w:val="litri"/>
          <w:attr w:name="metric_value" w:val="3540.55"/>
        </w:smartTagPr>
        <w:r w:rsidRPr="002631CA">
          <w:rPr>
            <w:sz w:val="28"/>
            <w:szCs w:val="28"/>
          </w:rPr>
          <w:t>3540,55 litri</w:t>
        </w:r>
      </w:smartTag>
      <w:r w:rsidRPr="002631CA">
        <w:rPr>
          <w:sz w:val="28"/>
          <w:szCs w:val="28"/>
        </w:rPr>
        <w:t>, kas ir par 2771,53 litriem vairāk nekā pērn. Augstāki darba rezultāti šajā darba virzienā ir arī Latgales reģiona pārvaldei – 3825,62 (+2087,06). Vairāk cigarešu šogad izņēmušas Latgales reģiona pārvalde – 435490 (+194025) un Zemgales reģiona pārvalde - 163825 (+76240). Galvenā kriminālpolicijas pārvalde šogad ievērojami palielinājusi LAPK ietvaros izņemto naftas produktu apjomu – 76790,00 (+559800).</w:t>
      </w:r>
    </w:p>
    <w:p w:rsidR="00871AEB" w:rsidRPr="002631CA" w:rsidRDefault="00871AEB" w:rsidP="00871AEB">
      <w:pPr>
        <w:ind w:firstLine="720"/>
        <w:jc w:val="both"/>
        <w:rPr>
          <w:sz w:val="28"/>
          <w:szCs w:val="28"/>
        </w:rPr>
      </w:pPr>
      <w:r w:rsidRPr="002631CA">
        <w:rPr>
          <w:sz w:val="28"/>
          <w:szCs w:val="28"/>
        </w:rPr>
        <w:t>Kriminālprocesu ietvaros Galvenā kriminālpolicijas pārvalde izņēmusi 25713 (+23794,50) litrus alkohola. Salīdzinoši ievērojami augstāki darba rezultāti šajā darba virzienā ir arī Vidzemes reģiona pārvaldei – 2130,36 (+1861,36) un Zemgales reģiona pārvaldei – 6781,88 (+5896,65) litri alkohola. Vairāk cigarešu izņēmušas: Galvenā kriminālpolicijas pārvalde – 7097400 (+5666460); Kurzemes reģiona pārvalde – 124344 (+79684); Zemgales reģiona pārvalde – 1296416 (+1198636). Izņemto naftas produktu apjomu palielinājušas: Latgales reģiona pārvalde – 37240,00 (+34040,00); Kurzemes reģiona pārvalde – 27550,00 (+7240,00).</w:t>
      </w:r>
    </w:p>
    <w:p w:rsidR="00871AEB" w:rsidRPr="002631CA" w:rsidRDefault="00871AEB" w:rsidP="00871AEB">
      <w:pPr>
        <w:pStyle w:val="ListParagraph"/>
        <w:tabs>
          <w:tab w:val="left" w:pos="-4536"/>
        </w:tabs>
        <w:ind w:left="0"/>
        <w:jc w:val="both"/>
        <w:rPr>
          <w:rFonts w:ascii="Times New Roman" w:hAnsi="Times New Roman"/>
          <w:b/>
          <w:sz w:val="28"/>
          <w:szCs w:val="28"/>
        </w:rPr>
      </w:pPr>
      <w:r w:rsidRPr="002631CA">
        <w:rPr>
          <w:rFonts w:ascii="Times New Roman" w:hAnsi="Times New Roman"/>
          <w:sz w:val="28"/>
          <w:szCs w:val="28"/>
        </w:rPr>
        <w:tab/>
        <w:t>Netiešu fiskālu ieguldījumu, kas cieši saistīts ar tiešu fiskālo ieguldījumu</w:t>
      </w:r>
      <w:r w:rsidR="00D3312D" w:rsidRPr="002631CA">
        <w:rPr>
          <w:rFonts w:ascii="Times New Roman" w:hAnsi="Times New Roman"/>
          <w:sz w:val="28"/>
          <w:szCs w:val="28"/>
        </w:rPr>
        <w:t>,</w:t>
      </w:r>
      <w:r w:rsidRPr="002631CA">
        <w:rPr>
          <w:rFonts w:ascii="Times New Roman" w:hAnsi="Times New Roman"/>
          <w:sz w:val="28"/>
          <w:szCs w:val="28"/>
        </w:rPr>
        <w:t xml:space="preserve"> raksturo šādi Valsts policijas darbības rezultāti: atskaites periodā uzsākti 325 kriminālprocesi par kontrabandu un ar akcīzes nodokli apliekamo preču nelikumīgu apriti, kas ir par 16 vairāk nekā pērn; kriminālvajāšanas uzsākšanai nosūtīti 139 kriminālprocesi, kas ir par 20 vairāk nekā 2011.gada 1.pusgadā; sastādīti 1949 (- 48) administratīvā pārkāpuma protokoli; veikts 1921 reids (-380), aizturētas 1449 (+154) personas; izņemti 65 (+37) transportlīdzekļi. Jāatzīmē, ka aizturēto personu skaits palielinājies lielā mērā pateicoties </w:t>
      </w:r>
      <w:r w:rsidRPr="002631CA">
        <w:rPr>
          <w:rFonts w:ascii="Times New Roman" w:hAnsi="Times New Roman"/>
          <w:sz w:val="28"/>
          <w:szCs w:val="28"/>
        </w:rPr>
        <w:lastRenderedPageBreak/>
        <w:t>Galvenās kriminālpolicijas pārvaldes ieguldītajam darbam – šogad aizturētas 26 personas, kas ir par 17 vairāk nekā pērn tādā pašā laika periodā un Vidzemes reģiona pārvaldei – attiecīgi – 16 (+16). Galvenā kriminālpolicijas pārvalde un Vidzemes reģiona pārvalde šogad izņēmušas arī vairāk transportlīdzekļu – attiecīgi – 16 (+7) un 13 (+13).</w:t>
      </w:r>
    </w:p>
    <w:p w:rsidR="005E7FF8" w:rsidRPr="002631CA" w:rsidRDefault="005E7FF8" w:rsidP="005E7FF8">
      <w:pPr>
        <w:pStyle w:val="ListParagraph"/>
        <w:tabs>
          <w:tab w:val="left" w:pos="-4536"/>
        </w:tabs>
        <w:ind w:left="0"/>
        <w:jc w:val="both"/>
        <w:rPr>
          <w:rFonts w:ascii="Times New Roman" w:hAnsi="Times New Roman"/>
          <w:sz w:val="28"/>
          <w:szCs w:val="28"/>
        </w:rPr>
      </w:pPr>
    </w:p>
    <w:p w:rsidR="00DF2D71" w:rsidRPr="002631CA" w:rsidRDefault="00DF2D71" w:rsidP="00DF2D71">
      <w:pPr>
        <w:pStyle w:val="ListParagraph"/>
        <w:tabs>
          <w:tab w:val="left" w:pos="-4536"/>
        </w:tabs>
        <w:ind w:left="0"/>
        <w:jc w:val="right"/>
        <w:rPr>
          <w:rFonts w:ascii="Times New Roman" w:hAnsi="Times New Roman"/>
          <w:sz w:val="28"/>
          <w:szCs w:val="28"/>
        </w:rPr>
      </w:pPr>
      <w:r w:rsidRPr="002631CA">
        <w:rPr>
          <w:rFonts w:ascii="Times New Roman" w:hAnsi="Times New Roman"/>
          <w:sz w:val="28"/>
          <w:szCs w:val="28"/>
        </w:rPr>
        <w:t>3.tabula</w:t>
      </w:r>
    </w:p>
    <w:p w:rsidR="00DF2D71" w:rsidRPr="002631CA" w:rsidRDefault="00DF2D71" w:rsidP="00DF2D71">
      <w:pPr>
        <w:pStyle w:val="ListParagraph"/>
        <w:tabs>
          <w:tab w:val="left" w:pos="-4536"/>
        </w:tabs>
        <w:ind w:left="0"/>
        <w:jc w:val="right"/>
        <w:rPr>
          <w:rFonts w:ascii="Times New Roman" w:hAnsi="Times New Roman"/>
          <w:sz w:val="28"/>
          <w:szCs w:val="28"/>
        </w:rPr>
      </w:pPr>
    </w:p>
    <w:p w:rsidR="00DF2D71" w:rsidRPr="002631CA" w:rsidRDefault="00DF2D71" w:rsidP="00DF2D71">
      <w:pPr>
        <w:pStyle w:val="ListParagraph"/>
        <w:tabs>
          <w:tab w:val="left" w:pos="-4536"/>
        </w:tabs>
        <w:ind w:left="0"/>
        <w:jc w:val="center"/>
        <w:rPr>
          <w:rFonts w:ascii="Times New Roman" w:hAnsi="Times New Roman"/>
          <w:sz w:val="28"/>
          <w:szCs w:val="28"/>
        </w:rPr>
      </w:pPr>
      <w:r w:rsidRPr="002631CA">
        <w:rPr>
          <w:rFonts w:ascii="Times New Roman" w:hAnsi="Times New Roman"/>
          <w:sz w:val="28"/>
          <w:szCs w:val="28"/>
        </w:rPr>
        <w:t>Valsts policijas  veiktie pasākumi nelegālā alkohola aprites apkarošanā un ar akcīzes nodokli apliekamo preču (alkoholisko dzērienu, tabakas izstrādājumu un naftas produktu) tirdzniecības, glabāšanas un realizācijas noteikumu ievērošanā</w:t>
      </w:r>
    </w:p>
    <w:p w:rsidR="005E7FF8" w:rsidRPr="002631CA" w:rsidRDefault="005E7FF8" w:rsidP="00DF2D71">
      <w:pPr>
        <w:tabs>
          <w:tab w:val="left" w:pos="993"/>
        </w:tabs>
        <w:jc w:val="both"/>
        <w:rPr>
          <w:sz w:val="28"/>
          <w:szCs w:val="28"/>
        </w:rPr>
      </w:pPr>
    </w:p>
    <w:tbl>
      <w:tblPr>
        <w:tblW w:w="9320" w:type="dxa"/>
        <w:tblInd w:w="93" w:type="dxa"/>
        <w:tblLook w:val="04A0" w:firstRow="1" w:lastRow="0" w:firstColumn="1" w:lastColumn="0" w:noHBand="0" w:noVBand="1"/>
      </w:tblPr>
      <w:tblGrid>
        <w:gridCol w:w="810"/>
        <w:gridCol w:w="6154"/>
        <w:gridCol w:w="1176"/>
        <w:gridCol w:w="1180"/>
      </w:tblGrid>
      <w:tr w:rsidR="006D77B6" w:rsidRPr="00514404" w:rsidTr="005A4BFC">
        <w:trPr>
          <w:trHeight w:val="64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jc w:val="center"/>
              <w:rPr>
                <w:bCs/>
              </w:rPr>
            </w:pPr>
            <w:proofErr w:type="spellStart"/>
            <w:r w:rsidRPr="00514404">
              <w:rPr>
                <w:bCs/>
              </w:rPr>
              <w:t>N.p.k</w:t>
            </w:r>
            <w:proofErr w:type="spellEnd"/>
            <w:r w:rsidRPr="00514404">
              <w:rPr>
                <w:bCs/>
              </w:rPr>
              <w:t>.</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rsidR="00DF2D71" w:rsidRPr="00514404" w:rsidRDefault="00DF2D71">
            <w:pPr>
              <w:jc w:val="center"/>
              <w:rPr>
                <w:bCs/>
              </w:rPr>
            </w:pPr>
            <w:r w:rsidRPr="00514404">
              <w:rPr>
                <w:bCs/>
              </w:rPr>
              <w:t>Rezultatīvais rādītājs</w:t>
            </w:r>
          </w:p>
        </w:tc>
        <w:tc>
          <w:tcPr>
            <w:tcW w:w="1040" w:type="dxa"/>
            <w:tcBorders>
              <w:top w:val="single" w:sz="4" w:space="0" w:color="000000"/>
              <w:left w:val="nil"/>
              <w:bottom w:val="single" w:sz="4" w:space="0" w:color="000000"/>
              <w:right w:val="nil"/>
            </w:tcBorders>
            <w:shd w:val="clear" w:color="auto" w:fill="auto"/>
            <w:vAlign w:val="bottom"/>
            <w:hideMark/>
          </w:tcPr>
          <w:p w:rsidR="00DF2D71" w:rsidRPr="00514404" w:rsidRDefault="00DF2D71">
            <w:pPr>
              <w:jc w:val="center"/>
              <w:rPr>
                <w:bCs/>
              </w:rPr>
            </w:pPr>
            <w:r w:rsidRPr="00514404">
              <w:rPr>
                <w:bCs/>
              </w:rPr>
              <w:t>2012.g. 6 mēneši</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F2D71" w:rsidRPr="00514404" w:rsidRDefault="00DF2D71">
            <w:pPr>
              <w:jc w:val="center"/>
              <w:rPr>
                <w:bCs/>
              </w:rPr>
            </w:pPr>
            <w:r w:rsidRPr="00514404">
              <w:rPr>
                <w:bCs/>
              </w:rPr>
              <w:t>2011.g. 6 mēneši</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Reidu skaits kopā:</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1921</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2301</w:t>
            </w:r>
          </w:p>
        </w:tc>
      </w:tr>
      <w:tr w:rsidR="006D77B6" w:rsidRPr="00514404" w:rsidTr="005A4BFC">
        <w:trPr>
          <w:trHeight w:val="51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2.</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rsidR="00DF2D71" w:rsidRPr="00514404" w:rsidRDefault="00DF2D71" w:rsidP="00D3312D">
            <w:r w:rsidRPr="00514404">
              <w:t xml:space="preserve">Sastādīti administratīvā pārkāpuma protokoli  pēc </w:t>
            </w:r>
            <w:r w:rsidR="005A4BFC" w:rsidRPr="00514404">
              <w:t>LAPK</w:t>
            </w:r>
            <w:r w:rsidRPr="00514404">
              <w:t xml:space="preserve"> pantiem, tajā skaitā:</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1949</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1997</w:t>
            </w:r>
          </w:p>
        </w:tc>
      </w:tr>
      <w:tr w:rsidR="006D77B6" w:rsidRPr="00514404" w:rsidTr="005A4BFC">
        <w:trPr>
          <w:trHeight w:val="29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2.1.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rPr>
                <w:bCs/>
              </w:rPr>
            </w:pPr>
            <w:r w:rsidRPr="00514404">
              <w:rPr>
                <w:bCs/>
              </w:rPr>
              <w:t>169.</w:t>
            </w:r>
            <w:r w:rsidRPr="00514404">
              <w:rPr>
                <w:bCs/>
                <w:vertAlign w:val="superscript"/>
              </w:rPr>
              <w:t>3</w:t>
            </w:r>
            <w:r w:rsidRPr="00514404">
              <w:rPr>
                <w:bCs/>
              </w:rPr>
              <w:t xml:space="preserve"> p. (ar akcīzes nodokli apliekamo preču aprites noteikumu pārkāpšana)</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1158</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1109</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2.2.</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rPr>
                <w:bCs/>
              </w:rPr>
            </w:pPr>
            <w:r w:rsidRPr="00514404">
              <w:rPr>
                <w:bCs/>
              </w:rPr>
              <w:t>170.</w:t>
            </w:r>
            <w:r w:rsidRPr="00514404">
              <w:rPr>
                <w:bCs/>
                <w:vertAlign w:val="superscript"/>
              </w:rPr>
              <w:t>1</w:t>
            </w:r>
            <w:r w:rsidRPr="00514404">
              <w:rPr>
                <w:bCs/>
              </w:rPr>
              <w:t xml:space="preserve"> p. (nelikumīgu alkoholisko dzērienu un spirta iegādāšanās)</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423</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512</w:t>
            </w:r>
          </w:p>
        </w:tc>
      </w:tr>
      <w:tr w:rsidR="006D77B6" w:rsidRPr="00514404" w:rsidTr="005A4BFC">
        <w:trPr>
          <w:trHeight w:val="51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2.3.</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rPr>
                <w:bCs/>
              </w:rPr>
            </w:pPr>
            <w:r w:rsidRPr="00514404">
              <w:rPr>
                <w:bCs/>
              </w:rPr>
              <w:t>170.</w:t>
            </w:r>
            <w:r w:rsidRPr="00514404">
              <w:rPr>
                <w:bCs/>
                <w:vertAlign w:val="superscript"/>
              </w:rPr>
              <w:t>2</w:t>
            </w:r>
            <w:r w:rsidRPr="00514404">
              <w:rPr>
                <w:bCs/>
              </w:rPr>
              <w:t xml:space="preserve"> p. (nelikumīgu alkoholisko dzērienu izgatavošana (ražošana), glabāšana un pārvietošana)</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367</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376</w:t>
            </w:r>
          </w:p>
        </w:tc>
      </w:tr>
      <w:tr w:rsidR="006D77B6" w:rsidRPr="00514404" w:rsidTr="005A4BFC">
        <w:trPr>
          <w:trHeight w:val="51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2.4.</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rPr>
                <w:bCs/>
              </w:rPr>
            </w:pPr>
            <w:r w:rsidRPr="00514404">
              <w:rPr>
                <w:bCs/>
              </w:rPr>
              <w:t>170.</w:t>
            </w:r>
            <w:r w:rsidRPr="00514404">
              <w:rPr>
                <w:bCs/>
                <w:vertAlign w:val="superscript"/>
              </w:rPr>
              <w:t>3</w:t>
            </w:r>
            <w:r w:rsidRPr="00514404">
              <w:rPr>
                <w:bCs/>
              </w:rPr>
              <w:t xml:space="preserve"> p. (telpu nodošana nelikumīgu alkoholisko dzērienu izgatavošanai (ražošanai), glabāšanai un realizācijai)</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1</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0</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3.</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Uzsākti kriminālprocesi kopā, tajā skaitā:</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325</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309</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3.1.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5A4BFC" w:rsidP="00613337">
            <w:pPr>
              <w:rPr>
                <w:bCs/>
              </w:rPr>
            </w:pPr>
            <w:r w:rsidRPr="00514404">
              <w:rPr>
                <w:bCs/>
              </w:rPr>
              <w:t>Krimināllikum</w:t>
            </w:r>
            <w:r w:rsidR="00613337" w:rsidRPr="00514404">
              <w:rPr>
                <w:bCs/>
              </w:rPr>
              <w:t>a</w:t>
            </w:r>
            <w:r w:rsidRPr="00514404">
              <w:rPr>
                <w:bCs/>
              </w:rPr>
              <w:t xml:space="preserve"> (turpmāk - KL)</w:t>
            </w:r>
            <w:r w:rsidR="00DF2D71" w:rsidRPr="00514404">
              <w:rPr>
                <w:bCs/>
              </w:rPr>
              <w:t xml:space="preserve"> 190.p. (kontrabanda) kārtībā, no tiem</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2</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2</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3.1.1.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 xml:space="preserve">nosūtīti kriminālvajāšanas uzsākšanai </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0</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0</w:t>
            </w:r>
          </w:p>
        </w:tc>
      </w:tr>
      <w:tr w:rsidR="006D77B6" w:rsidRPr="00514404" w:rsidTr="005A4BFC">
        <w:trPr>
          <w:trHeight w:val="51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3.2.</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rPr>
                <w:bCs/>
              </w:rPr>
            </w:pPr>
            <w:r w:rsidRPr="00514404">
              <w:rPr>
                <w:bCs/>
              </w:rPr>
              <w:t>KL 191.p. (neatļautas darbības ar muitošanai pakļautām precēm) kārtībā, no tiem</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0</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0</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3.2.1.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 xml:space="preserve">nosūtīti kriminālvajāšanas uzsākšanai </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0</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0</w:t>
            </w:r>
          </w:p>
        </w:tc>
      </w:tr>
      <w:tr w:rsidR="006D77B6" w:rsidRPr="00514404" w:rsidTr="005A4BFC">
        <w:trPr>
          <w:trHeight w:val="51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3.3.</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rPr>
                <w:bCs/>
              </w:rPr>
            </w:pPr>
            <w:r w:rsidRPr="00514404">
              <w:rPr>
                <w:bCs/>
              </w:rPr>
              <w:t>KL 220.¹ p. (nelikumīga naftas produktu uzglabāšana, pārvietošana (pārvadāšana) un realizācija) kārtībā, no tiem</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6</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15</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3.3.1.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 xml:space="preserve">nosūtīti kriminālvajāšanas uzsākšanai </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2</w:t>
            </w:r>
          </w:p>
        </w:tc>
      </w:tr>
      <w:tr w:rsidR="006D77B6" w:rsidRPr="00514404" w:rsidTr="005A4BFC">
        <w:trPr>
          <w:trHeight w:val="51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3.4.</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rPr>
                <w:bCs/>
              </w:rPr>
            </w:pPr>
            <w:r w:rsidRPr="00514404">
              <w:rPr>
                <w:bCs/>
              </w:rPr>
              <w:t>KL 221.p. (alkoholisko dzērienu un tabakas izstrādājumu nelikumīga uzglabāšana, pārvietošana (pārvadāšana) un realizācija) kārtībā, no tiem</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59</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64</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3.4.1.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 xml:space="preserve">nosūtīti kriminālvajāšanas uzsākšanai </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17</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19</w:t>
            </w:r>
          </w:p>
        </w:tc>
      </w:tr>
      <w:tr w:rsidR="006D77B6" w:rsidRPr="00514404" w:rsidTr="005A4BFC">
        <w:trPr>
          <w:trHeight w:val="293"/>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3.5.</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sidP="005A4BFC">
            <w:pPr>
              <w:rPr>
                <w:bCs/>
              </w:rPr>
            </w:pPr>
            <w:r w:rsidRPr="00514404">
              <w:rPr>
                <w:bCs/>
              </w:rPr>
              <w:t>K</w:t>
            </w:r>
            <w:r w:rsidR="005A4BFC" w:rsidRPr="00514404">
              <w:rPr>
                <w:bCs/>
              </w:rPr>
              <w:t>L</w:t>
            </w:r>
            <w:r w:rsidRPr="00514404">
              <w:rPr>
                <w:bCs/>
              </w:rPr>
              <w:t xml:space="preserve"> 221.¹ p. (nelikumīgu alkoholisko dzērienu realizācija) kārtībā, no tiem</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192</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179</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3.5.1.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nosūtīti kriminālvajāšanas uzsākšanai</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86</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70</w:t>
            </w:r>
          </w:p>
        </w:tc>
      </w:tr>
      <w:tr w:rsidR="006D77B6" w:rsidRPr="00514404" w:rsidTr="005A4BFC">
        <w:trPr>
          <w:trHeight w:val="51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3.6.</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rPr>
                <w:bCs/>
              </w:rPr>
            </w:pPr>
            <w:r w:rsidRPr="00514404">
              <w:rPr>
                <w:bCs/>
              </w:rPr>
              <w:t>KL 221.² p. (nelikumīgu alkoholisko dzērienu izgatavošana (ražošana), glabāšana un pārvietošana) kārtībā, no tiem</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46</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37</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3.6.1.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nosūtīti kriminālvajāšanas uzsākšanai</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22</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19</w:t>
            </w:r>
          </w:p>
        </w:tc>
      </w:tr>
      <w:tr w:rsidR="006D77B6" w:rsidRPr="00514404" w:rsidTr="005A4BFC">
        <w:trPr>
          <w:trHeight w:val="3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3.7.</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rPr>
                <w:bCs/>
              </w:rPr>
            </w:pPr>
            <w:r w:rsidRPr="00514404">
              <w:rPr>
                <w:bCs/>
              </w:rPr>
              <w:t>KL 221.³ p. (nelikumīgu alkoholisko dzērienu iegādāšanās) kārtībā, no tiem</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20</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12</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lastRenderedPageBreak/>
              <w:t>3.7.1.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nosūtīti kriminālvajāšanas uzsākšanai</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13</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9</w:t>
            </w:r>
          </w:p>
        </w:tc>
      </w:tr>
      <w:tr w:rsidR="006D77B6" w:rsidRPr="00514404" w:rsidTr="005A4BFC">
        <w:trPr>
          <w:trHeight w:val="43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pPr>
              <w:rPr>
                <w:bCs/>
              </w:rPr>
            </w:pPr>
            <w:r w:rsidRPr="00514404">
              <w:rPr>
                <w:bCs/>
              </w:rPr>
              <w:t>3.8.</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rPr>
                <w:bCs/>
              </w:rPr>
            </w:pPr>
            <w:r w:rsidRPr="00514404">
              <w:rPr>
                <w:bCs/>
              </w:rPr>
              <w:t>KL 221.</w:t>
            </w:r>
            <w:r w:rsidRPr="00514404">
              <w:rPr>
                <w:bCs/>
                <w:vertAlign w:val="superscript"/>
              </w:rPr>
              <w:t>5</w:t>
            </w:r>
            <w:r w:rsidRPr="00514404">
              <w:rPr>
                <w:bCs/>
              </w:rPr>
              <w:t xml:space="preserve"> p. (telpu nodošana nelikumīgu alkoholisko dzērienu izgatavošanai (ražošanai), glabāšanai un realizācijai) kārtībā, no tiem</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0</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rPr>
                <w:bCs/>
              </w:rPr>
            </w:pPr>
            <w:r w:rsidRPr="00514404">
              <w:rPr>
                <w:bCs/>
              </w:rPr>
              <w:t>0</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3.8.1.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nosūtīti kriminālvajāšanas uzsākšanai</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0</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0</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hideMark/>
          </w:tcPr>
          <w:p w:rsidR="00DF2D71" w:rsidRPr="00514404" w:rsidRDefault="00DF2D71">
            <w:r w:rsidRPr="00514404">
              <w:t>4.</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sidP="00D3312D">
            <w:r w:rsidRPr="00514404">
              <w:t xml:space="preserve">Kriminālprocesu un </w:t>
            </w:r>
            <w:r w:rsidR="00D3312D" w:rsidRPr="00514404">
              <w:t>L</w:t>
            </w:r>
            <w:r w:rsidR="005A4BFC" w:rsidRPr="00514404">
              <w:t>APK</w:t>
            </w:r>
            <w:r w:rsidRPr="00514404">
              <w:t xml:space="preserve"> ietvaros izņemts:</w:t>
            </w:r>
          </w:p>
        </w:tc>
        <w:tc>
          <w:tcPr>
            <w:tcW w:w="104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jc w:val="center"/>
            </w:pPr>
            <w:r w:rsidRPr="00514404">
              <w:t> </w:t>
            </w:r>
          </w:p>
        </w:tc>
        <w:tc>
          <w:tcPr>
            <w:tcW w:w="118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jc w:val="center"/>
            </w:pPr>
            <w:r w:rsidRPr="00514404">
              <w:t> </w:t>
            </w:r>
          </w:p>
        </w:tc>
      </w:tr>
      <w:tr w:rsidR="006D77B6" w:rsidRPr="00514404" w:rsidTr="005A4BFC">
        <w:trPr>
          <w:trHeight w:val="225"/>
        </w:trPr>
        <w:tc>
          <w:tcPr>
            <w:tcW w:w="580" w:type="dxa"/>
            <w:tcBorders>
              <w:top w:val="nil"/>
              <w:left w:val="single" w:sz="4" w:space="0" w:color="000000"/>
              <w:bottom w:val="single" w:sz="4" w:space="0" w:color="000000"/>
              <w:right w:val="single" w:sz="4" w:space="0" w:color="000000"/>
            </w:tcBorders>
            <w:shd w:val="clear" w:color="auto" w:fill="auto"/>
            <w:hideMark/>
          </w:tcPr>
          <w:p w:rsidR="00DF2D71" w:rsidRPr="00514404" w:rsidRDefault="00DF2D71" w:rsidP="005A4BFC">
            <w:r w:rsidRPr="00514404">
              <w:t>4.1.</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Izņemto alkoholisko dzērienu daudzums (litri) kopā</w:t>
            </w:r>
          </w:p>
        </w:tc>
        <w:tc>
          <w:tcPr>
            <w:tcW w:w="104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jc w:val="center"/>
            </w:pPr>
            <w:r w:rsidRPr="00514404">
              <w:t>56939,54</w:t>
            </w:r>
          </w:p>
        </w:tc>
        <w:tc>
          <w:tcPr>
            <w:tcW w:w="118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jc w:val="center"/>
            </w:pPr>
            <w:r w:rsidRPr="00514404">
              <w:t>29211,78</w:t>
            </w:r>
          </w:p>
        </w:tc>
      </w:tr>
      <w:tr w:rsidR="006D77B6" w:rsidRPr="00514404" w:rsidTr="005A4BFC">
        <w:trPr>
          <w:trHeight w:val="327"/>
        </w:trPr>
        <w:tc>
          <w:tcPr>
            <w:tcW w:w="580" w:type="dxa"/>
            <w:tcBorders>
              <w:top w:val="nil"/>
              <w:left w:val="single" w:sz="4" w:space="0" w:color="000000"/>
              <w:bottom w:val="single" w:sz="4" w:space="0" w:color="000000"/>
              <w:right w:val="single" w:sz="4" w:space="0" w:color="000000"/>
            </w:tcBorders>
            <w:shd w:val="clear" w:color="auto" w:fill="auto"/>
            <w:hideMark/>
          </w:tcPr>
          <w:p w:rsidR="00DF2D71" w:rsidRPr="00514404" w:rsidRDefault="00DF2D71">
            <w:r w:rsidRPr="00514404">
              <w:t>4.3.</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Izņemto cigarešu skaits (</w:t>
            </w:r>
            <w:proofErr w:type="spellStart"/>
            <w:r w:rsidRPr="00514404">
              <w:t>gab</w:t>
            </w:r>
            <w:proofErr w:type="spellEnd"/>
            <w:r w:rsidRPr="00514404">
              <w:t>.) kopā</w:t>
            </w:r>
          </w:p>
        </w:tc>
        <w:tc>
          <w:tcPr>
            <w:tcW w:w="104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jc w:val="center"/>
            </w:pPr>
            <w:r w:rsidRPr="00514404">
              <w:t>12739776</w:t>
            </w:r>
          </w:p>
        </w:tc>
        <w:tc>
          <w:tcPr>
            <w:tcW w:w="118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jc w:val="center"/>
            </w:pPr>
            <w:r w:rsidRPr="00514404">
              <w:t>6751908</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4.4.</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Izņemto naftas produktu daudzums (litri) kopā</w:t>
            </w:r>
          </w:p>
        </w:tc>
        <w:tc>
          <w:tcPr>
            <w:tcW w:w="104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jc w:val="center"/>
            </w:pPr>
            <w:r w:rsidRPr="00514404">
              <w:t>218398</w:t>
            </w:r>
          </w:p>
        </w:tc>
        <w:tc>
          <w:tcPr>
            <w:tcW w:w="118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jc w:val="center"/>
            </w:pPr>
            <w:r w:rsidRPr="00514404">
              <w:t>264682</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4.5.</w:t>
            </w:r>
          </w:p>
        </w:tc>
        <w:tc>
          <w:tcPr>
            <w:tcW w:w="6520" w:type="dxa"/>
            <w:tcBorders>
              <w:top w:val="nil"/>
              <w:left w:val="nil"/>
              <w:bottom w:val="single" w:sz="4" w:space="0" w:color="000000"/>
              <w:right w:val="single" w:sz="4" w:space="0" w:color="000000"/>
            </w:tcBorders>
            <w:shd w:val="clear" w:color="auto" w:fill="auto"/>
            <w:hideMark/>
          </w:tcPr>
          <w:p w:rsidR="00DF2D71" w:rsidRPr="00514404" w:rsidRDefault="00DF2D71">
            <w:r w:rsidRPr="00514404">
              <w:t>Izņemto transportlīdzekļu skaits kopā</w:t>
            </w:r>
          </w:p>
        </w:tc>
        <w:tc>
          <w:tcPr>
            <w:tcW w:w="104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jc w:val="center"/>
            </w:pPr>
            <w:r w:rsidRPr="00514404">
              <w:t>65</w:t>
            </w:r>
          </w:p>
        </w:tc>
        <w:tc>
          <w:tcPr>
            <w:tcW w:w="1180" w:type="dxa"/>
            <w:tcBorders>
              <w:top w:val="nil"/>
              <w:left w:val="nil"/>
              <w:bottom w:val="single" w:sz="4" w:space="0" w:color="000000"/>
              <w:right w:val="single" w:sz="4" w:space="0" w:color="000000"/>
            </w:tcBorders>
            <w:shd w:val="clear" w:color="auto" w:fill="auto"/>
            <w:vAlign w:val="bottom"/>
            <w:hideMark/>
          </w:tcPr>
          <w:p w:rsidR="00DF2D71" w:rsidRPr="00514404" w:rsidRDefault="00DF2D71">
            <w:pPr>
              <w:jc w:val="center"/>
            </w:pPr>
            <w:r w:rsidRPr="00514404">
              <w:t>28</w:t>
            </w:r>
          </w:p>
        </w:tc>
      </w:tr>
      <w:tr w:rsidR="006D77B6" w:rsidRPr="00514404" w:rsidTr="005A4BFC">
        <w:trPr>
          <w:trHeight w:val="33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5.</w:t>
            </w:r>
          </w:p>
        </w:tc>
        <w:tc>
          <w:tcPr>
            <w:tcW w:w="6520" w:type="dxa"/>
            <w:tcBorders>
              <w:top w:val="nil"/>
              <w:left w:val="nil"/>
              <w:bottom w:val="single" w:sz="4" w:space="0" w:color="000000"/>
              <w:right w:val="single" w:sz="4" w:space="0" w:color="000000"/>
            </w:tcBorders>
            <w:shd w:val="clear" w:color="auto" w:fill="auto"/>
            <w:vAlign w:val="bottom"/>
            <w:hideMark/>
          </w:tcPr>
          <w:p w:rsidR="00DF2D71" w:rsidRPr="00514404" w:rsidRDefault="00DF2D71">
            <w:r w:rsidRPr="00514404">
              <w:t xml:space="preserve">Kriminālprocesu un </w:t>
            </w:r>
            <w:r w:rsidR="00D3312D" w:rsidRPr="00514404">
              <w:t>L</w:t>
            </w:r>
            <w:r w:rsidRPr="00514404">
              <w:t>APK ietvaros aizturēto personu skaits kopā, no tām:</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1449</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1295</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5.1.</w:t>
            </w:r>
          </w:p>
        </w:tc>
        <w:tc>
          <w:tcPr>
            <w:tcW w:w="6520" w:type="dxa"/>
            <w:tcBorders>
              <w:top w:val="nil"/>
              <w:left w:val="nil"/>
              <w:bottom w:val="single" w:sz="4" w:space="0" w:color="000000"/>
              <w:right w:val="single" w:sz="4" w:space="0" w:color="000000"/>
            </w:tcBorders>
            <w:shd w:val="clear" w:color="auto" w:fill="auto"/>
            <w:hideMark/>
          </w:tcPr>
          <w:p w:rsidR="00DF2D71" w:rsidRPr="00514404" w:rsidRDefault="00DF2D71">
            <w:r w:rsidRPr="00514404">
              <w:t>LAPK ietvaros</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1249</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1113</w:t>
            </w:r>
          </w:p>
        </w:tc>
      </w:tr>
      <w:tr w:rsidR="006D77B6" w:rsidRPr="00514404" w:rsidTr="005A4B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F2D71" w:rsidRPr="00514404" w:rsidRDefault="00DF2D71">
            <w:r w:rsidRPr="00514404">
              <w:t>5.2.</w:t>
            </w:r>
          </w:p>
        </w:tc>
        <w:tc>
          <w:tcPr>
            <w:tcW w:w="6520" w:type="dxa"/>
            <w:tcBorders>
              <w:top w:val="nil"/>
              <w:left w:val="nil"/>
              <w:bottom w:val="single" w:sz="4" w:space="0" w:color="000000"/>
              <w:right w:val="single" w:sz="4" w:space="0" w:color="000000"/>
            </w:tcBorders>
            <w:shd w:val="clear" w:color="auto" w:fill="auto"/>
            <w:hideMark/>
          </w:tcPr>
          <w:p w:rsidR="00DF2D71" w:rsidRPr="00514404" w:rsidRDefault="005A4BFC" w:rsidP="00D3312D">
            <w:r w:rsidRPr="00514404">
              <w:t>Kriminālprocesa lietas</w:t>
            </w:r>
            <w:r w:rsidR="00DF2D71" w:rsidRPr="00514404">
              <w:t xml:space="preserve"> ietvaros</w:t>
            </w:r>
          </w:p>
        </w:tc>
        <w:tc>
          <w:tcPr>
            <w:tcW w:w="104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200</w:t>
            </w:r>
          </w:p>
        </w:tc>
        <w:tc>
          <w:tcPr>
            <w:tcW w:w="1180" w:type="dxa"/>
            <w:tcBorders>
              <w:top w:val="nil"/>
              <w:left w:val="nil"/>
              <w:bottom w:val="single" w:sz="4" w:space="0" w:color="000000"/>
              <w:right w:val="single" w:sz="4" w:space="0" w:color="000000"/>
            </w:tcBorders>
            <w:shd w:val="clear" w:color="auto" w:fill="auto"/>
            <w:noWrap/>
            <w:vAlign w:val="bottom"/>
            <w:hideMark/>
          </w:tcPr>
          <w:p w:rsidR="00DF2D71" w:rsidRPr="00514404" w:rsidRDefault="00DF2D71">
            <w:pPr>
              <w:jc w:val="center"/>
            </w:pPr>
            <w:r w:rsidRPr="00514404">
              <w:t>180</w:t>
            </w:r>
          </w:p>
        </w:tc>
      </w:tr>
    </w:tbl>
    <w:p w:rsidR="00DF2D71" w:rsidRPr="002631CA" w:rsidRDefault="00DF2D71" w:rsidP="00DF2D71">
      <w:pPr>
        <w:tabs>
          <w:tab w:val="left" w:pos="993"/>
        </w:tabs>
        <w:jc w:val="both"/>
        <w:rPr>
          <w:sz w:val="28"/>
          <w:szCs w:val="28"/>
        </w:rPr>
      </w:pPr>
    </w:p>
    <w:p w:rsidR="005E7FF8" w:rsidRPr="002631CA" w:rsidRDefault="00B5777C" w:rsidP="005E7FF8">
      <w:pPr>
        <w:pStyle w:val="ListParagraph"/>
        <w:tabs>
          <w:tab w:val="left" w:pos="993"/>
        </w:tabs>
        <w:ind w:left="0" w:firstLine="709"/>
        <w:jc w:val="right"/>
        <w:rPr>
          <w:rFonts w:ascii="Times New Roman" w:hAnsi="Times New Roman"/>
          <w:sz w:val="28"/>
          <w:szCs w:val="28"/>
        </w:rPr>
      </w:pPr>
      <w:r w:rsidRPr="002631CA">
        <w:rPr>
          <w:rFonts w:ascii="Times New Roman" w:hAnsi="Times New Roman"/>
          <w:sz w:val="28"/>
          <w:szCs w:val="28"/>
        </w:rPr>
        <w:t>4</w:t>
      </w:r>
      <w:r w:rsidR="0019303D" w:rsidRPr="002631CA">
        <w:rPr>
          <w:rFonts w:ascii="Times New Roman" w:hAnsi="Times New Roman"/>
          <w:sz w:val="28"/>
          <w:szCs w:val="28"/>
        </w:rPr>
        <w:t>.tabula</w:t>
      </w:r>
    </w:p>
    <w:tbl>
      <w:tblPr>
        <w:tblW w:w="9100" w:type="dxa"/>
        <w:tblInd w:w="93" w:type="dxa"/>
        <w:tblLook w:val="04A0" w:firstRow="1" w:lastRow="0" w:firstColumn="1" w:lastColumn="0" w:noHBand="0" w:noVBand="1"/>
      </w:tblPr>
      <w:tblGrid>
        <w:gridCol w:w="1360"/>
        <w:gridCol w:w="3540"/>
        <w:gridCol w:w="2120"/>
        <w:gridCol w:w="2080"/>
      </w:tblGrid>
      <w:tr w:rsidR="006D77B6" w:rsidRPr="002631CA" w:rsidTr="00090FCA">
        <w:trPr>
          <w:trHeight w:val="255"/>
        </w:trPr>
        <w:tc>
          <w:tcPr>
            <w:tcW w:w="9100" w:type="dxa"/>
            <w:gridSpan w:val="4"/>
            <w:tcBorders>
              <w:top w:val="nil"/>
              <w:left w:val="nil"/>
              <w:bottom w:val="nil"/>
              <w:right w:val="nil"/>
            </w:tcBorders>
            <w:shd w:val="clear" w:color="auto" w:fill="auto"/>
            <w:vAlign w:val="center"/>
            <w:hideMark/>
          </w:tcPr>
          <w:p w:rsidR="005E7FF8" w:rsidRPr="002631CA" w:rsidRDefault="005E7FF8" w:rsidP="00090FCA">
            <w:pPr>
              <w:jc w:val="center"/>
              <w:rPr>
                <w:b/>
                <w:bCs/>
                <w:sz w:val="28"/>
                <w:szCs w:val="28"/>
              </w:rPr>
            </w:pPr>
          </w:p>
          <w:p w:rsidR="005E7FF8" w:rsidRPr="002631CA" w:rsidRDefault="009A59E2" w:rsidP="00090FCA">
            <w:pPr>
              <w:jc w:val="center"/>
              <w:rPr>
                <w:bCs/>
                <w:sz w:val="28"/>
                <w:szCs w:val="28"/>
              </w:rPr>
            </w:pPr>
            <w:r w:rsidRPr="002631CA">
              <w:rPr>
                <w:bCs/>
                <w:sz w:val="28"/>
                <w:szCs w:val="28"/>
              </w:rPr>
              <w:t>Valsts policijas sastādīto protokolu skaits, kas nodoti lēmuma pieņemšanai pēc piekritības</w:t>
            </w:r>
          </w:p>
          <w:p w:rsidR="009A59E2" w:rsidRPr="002631CA" w:rsidRDefault="009A59E2" w:rsidP="00090FCA">
            <w:pPr>
              <w:jc w:val="center"/>
              <w:rPr>
                <w:b/>
                <w:bCs/>
                <w:sz w:val="28"/>
                <w:szCs w:val="28"/>
              </w:rPr>
            </w:pPr>
          </w:p>
        </w:tc>
      </w:tr>
      <w:tr w:rsidR="006D77B6" w:rsidRPr="00514404" w:rsidTr="00090FCA">
        <w:trPr>
          <w:trHeight w:val="48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LAPK pants</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nosaukums</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2011.gads</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5E7FF8" w:rsidRPr="00514404" w:rsidRDefault="005E7FF8" w:rsidP="0019303D">
            <w:pPr>
              <w:jc w:val="center"/>
            </w:pPr>
            <w:r w:rsidRPr="00514404">
              <w:t>2012.g. 6 mēneš</w:t>
            </w:r>
            <w:r w:rsidR="0019303D" w:rsidRPr="00514404">
              <w:t>os</w:t>
            </w:r>
          </w:p>
        </w:tc>
      </w:tr>
      <w:tr w:rsidR="006D77B6" w:rsidRPr="00514404" w:rsidTr="00090FCA">
        <w:trPr>
          <w:trHeight w:val="76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155.</w:t>
            </w:r>
            <w:r w:rsidRPr="00514404">
              <w:rPr>
                <w:vertAlign w:val="superscript"/>
              </w:rPr>
              <w:t>1</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Preču uzskaites, preču pavadzīmju un pavaddokumentu aprites kārtības neievērošana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44</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w:t>
            </w:r>
          </w:p>
        </w:tc>
      </w:tr>
      <w:tr w:rsidR="006D77B6" w:rsidRPr="00514404" w:rsidTr="00090FCA">
        <w:trPr>
          <w:trHeight w:val="51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155.</w:t>
            </w:r>
            <w:r w:rsidRPr="00514404">
              <w:rPr>
                <w:vertAlign w:val="superscript"/>
              </w:rPr>
              <w:t>2</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Kases operāciju uzskaites kārtības neievērošana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24</w:t>
            </w:r>
          </w:p>
        </w:tc>
      </w:tr>
      <w:tr w:rsidR="006D77B6" w:rsidRPr="00514404" w:rsidTr="00090FCA">
        <w:trPr>
          <w:trHeight w:val="127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156.</w:t>
            </w:r>
            <w:r w:rsidRPr="00514404">
              <w:rPr>
                <w:vertAlign w:val="superscript"/>
              </w:rPr>
              <w:t>1</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Nodokļu un citu maksājumu reģistrēšanas elektronisko ierīču un iekārtu lietošanas kārtības neievērošana, šo ierīču un iekārtu lietotāju un apkalpojošo dienestu pienākumu nepildīšana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52</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49</w:t>
            </w:r>
          </w:p>
        </w:tc>
      </w:tr>
      <w:tr w:rsidR="006D77B6" w:rsidRPr="00514404" w:rsidTr="00090FCA">
        <w:trPr>
          <w:trHeight w:val="76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156.</w:t>
            </w:r>
            <w:r w:rsidRPr="00514404">
              <w:rPr>
                <w:vertAlign w:val="superscript"/>
              </w:rPr>
              <w:t>2</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Nodokļu un citu maksājumu reģistrēšanas elektronisko ierīču un iekārtu neuzstādīšana un neizmantošana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8</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w:t>
            </w:r>
          </w:p>
        </w:tc>
      </w:tr>
      <w:tr w:rsidR="006D77B6" w:rsidRPr="00514404" w:rsidTr="00090FCA">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156.</w:t>
            </w:r>
            <w:r w:rsidRPr="00514404">
              <w:rPr>
                <w:vertAlign w:val="superscript"/>
              </w:rPr>
              <w:t>3</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Noteiktās norēķinu kārtības neievērošana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6</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r>
      <w:tr w:rsidR="006D77B6" w:rsidRPr="00514404" w:rsidTr="00090FCA">
        <w:trPr>
          <w:trHeight w:val="51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166.</w:t>
            </w:r>
            <w:r w:rsidRPr="00514404">
              <w:rPr>
                <w:vertAlign w:val="superscript"/>
              </w:rPr>
              <w:t>17</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Preču zīmes, citas atšķirības zīmes un dizainparauga nelikumīga izmantošana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40</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r>
      <w:tr w:rsidR="006D77B6" w:rsidRPr="00514404" w:rsidTr="00090FCA">
        <w:trPr>
          <w:trHeight w:val="102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166.</w:t>
            </w:r>
            <w:r w:rsidRPr="00514404">
              <w:rPr>
                <w:vertAlign w:val="superscript"/>
              </w:rPr>
              <w:t>2</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Atļaujas (licences), izziņas vai atļaujas un komercdarbības veikšana, pārkāpjot speciālajā atļauja (licencē), izziņā vai atļaujā minētos nosacījumus</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133</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95</w:t>
            </w:r>
          </w:p>
        </w:tc>
      </w:tr>
      <w:tr w:rsidR="006D77B6" w:rsidRPr="00514404" w:rsidTr="00090FCA">
        <w:trPr>
          <w:trHeight w:val="51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80.</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 xml:space="preserve">Medību, zvejas un makšķerēšanas </w:t>
            </w:r>
            <w:r w:rsidRPr="00514404">
              <w:lastRenderedPageBreak/>
              <w:t>noteikumu pārkāpšana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lastRenderedPageBreak/>
              <w:t>123</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73</w:t>
            </w:r>
          </w:p>
        </w:tc>
      </w:tr>
    </w:tbl>
    <w:p w:rsidR="0019303D" w:rsidRPr="002631CA" w:rsidRDefault="0019303D" w:rsidP="0019303D">
      <w:pPr>
        <w:pStyle w:val="ListParagraph"/>
        <w:tabs>
          <w:tab w:val="left" w:pos="-4536"/>
        </w:tabs>
        <w:ind w:left="0"/>
        <w:jc w:val="both"/>
        <w:rPr>
          <w:rFonts w:ascii="Times New Roman" w:hAnsi="Times New Roman"/>
          <w:sz w:val="28"/>
          <w:szCs w:val="28"/>
        </w:rPr>
      </w:pPr>
    </w:p>
    <w:p w:rsidR="005E7FF8" w:rsidRPr="002631CA" w:rsidRDefault="00B5777C" w:rsidP="005E7FF8">
      <w:pPr>
        <w:pStyle w:val="ListParagraph"/>
        <w:tabs>
          <w:tab w:val="left" w:pos="993"/>
        </w:tabs>
        <w:ind w:left="0" w:firstLine="709"/>
        <w:jc w:val="right"/>
        <w:rPr>
          <w:rFonts w:ascii="Times New Roman" w:hAnsi="Times New Roman"/>
          <w:sz w:val="28"/>
          <w:szCs w:val="28"/>
        </w:rPr>
      </w:pPr>
      <w:r w:rsidRPr="002631CA">
        <w:rPr>
          <w:rFonts w:ascii="Times New Roman" w:hAnsi="Times New Roman"/>
          <w:sz w:val="28"/>
          <w:szCs w:val="28"/>
        </w:rPr>
        <w:t>5</w:t>
      </w:r>
      <w:r w:rsidR="0019303D" w:rsidRPr="002631CA">
        <w:rPr>
          <w:rFonts w:ascii="Times New Roman" w:hAnsi="Times New Roman"/>
          <w:sz w:val="28"/>
          <w:szCs w:val="28"/>
        </w:rPr>
        <w:t>.tabula</w:t>
      </w:r>
    </w:p>
    <w:p w:rsidR="008D487F" w:rsidRPr="002631CA" w:rsidRDefault="008D487F" w:rsidP="005E7FF8">
      <w:pPr>
        <w:pStyle w:val="ListParagraph"/>
        <w:tabs>
          <w:tab w:val="left" w:pos="993"/>
        </w:tabs>
        <w:ind w:left="0" w:firstLine="709"/>
        <w:jc w:val="both"/>
        <w:rPr>
          <w:rFonts w:ascii="Times New Roman" w:hAnsi="Times New Roman"/>
          <w:bCs/>
          <w:sz w:val="28"/>
          <w:szCs w:val="28"/>
        </w:rPr>
      </w:pPr>
    </w:p>
    <w:p w:rsidR="005E7FF8" w:rsidRPr="002631CA" w:rsidRDefault="008D487F" w:rsidP="008D487F">
      <w:pPr>
        <w:pStyle w:val="ListParagraph"/>
        <w:ind w:left="0"/>
        <w:jc w:val="center"/>
        <w:rPr>
          <w:rFonts w:ascii="Times New Roman" w:hAnsi="Times New Roman"/>
          <w:bCs/>
          <w:sz w:val="28"/>
          <w:szCs w:val="28"/>
        </w:rPr>
      </w:pPr>
      <w:r w:rsidRPr="002631CA">
        <w:rPr>
          <w:rFonts w:ascii="Times New Roman" w:hAnsi="Times New Roman"/>
          <w:bCs/>
          <w:sz w:val="28"/>
          <w:szCs w:val="28"/>
        </w:rPr>
        <w:t>Valsts policijas pieņemto lēmumu skaits par administratīvajiem pārkāpumiem</w:t>
      </w:r>
    </w:p>
    <w:p w:rsidR="008D487F" w:rsidRPr="002631CA" w:rsidRDefault="008D487F" w:rsidP="005E7FF8">
      <w:pPr>
        <w:pStyle w:val="ListParagraph"/>
        <w:tabs>
          <w:tab w:val="left" w:pos="993"/>
        </w:tabs>
        <w:ind w:left="0" w:firstLine="709"/>
        <w:jc w:val="both"/>
        <w:rPr>
          <w:rFonts w:ascii="Times New Roman" w:hAnsi="Times New Roman"/>
          <w:sz w:val="28"/>
          <w:szCs w:val="28"/>
        </w:rPr>
      </w:pPr>
    </w:p>
    <w:tbl>
      <w:tblPr>
        <w:tblW w:w="9100" w:type="dxa"/>
        <w:tblInd w:w="93" w:type="dxa"/>
        <w:tblLook w:val="04A0" w:firstRow="1" w:lastRow="0" w:firstColumn="1" w:lastColumn="0" w:noHBand="0" w:noVBand="1"/>
      </w:tblPr>
      <w:tblGrid>
        <w:gridCol w:w="1360"/>
        <w:gridCol w:w="3540"/>
        <w:gridCol w:w="2120"/>
        <w:gridCol w:w="2080"/>
      </w:tblGrid>
      <w:tr w:rsidR="006D77B6" w:rsidRPr="00514404" w:rsidTr="00090FCA">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LAPK pants</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nosaukums</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2011</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5E7FF8" w:rsidRPr="00514404" w:rsidRDefault="005E7FF8" w:rsidP="0019303D">
            <w:pPr>
              <w:jc w:val="center"/>
            </w:pPr>
            <w:r w:rsidRPr="00514404">
              <w:t>2012.g. 6 mēneš</w:t>
            </w:r>
            <w:r w:rsidR="0019303D" w:rsidRPr="00514404">
              <w:t>os</w:t>
            </w:r>
          </w:p>
        </w:tc>
      </w:tr>
      <w:tr w:rsidR="006D77B6" w:rsidRPr="00514404" w:rsidTr="00090FCA">
        <w:trPr>
          <w:trHeight w:val="76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155.</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Tirdzniecības, sabiedriskās ēdināšanas un pakalpojumu sniegšanas noteikumu pārkāpšana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112</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82</w:t>
            </w:r>
          </w:p>
        </w:tc>
      </w:tr>
      <w:tr w:rsidR="006D77B6" w:rsidRPr="00514404" w:rsidTr="00090FCA">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155.</w:t>
            </w:r>
            <w:r w:rsidRPr="00514404">
              <w:rPr>
                <w:vertAlign w:val="superscript"/>
              </w:rPr>
              <w:t>4</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Tirdzniecība neatļautās vietās</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59</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16</w:t>
            </w:r>
          </w:p>
        </w:tc>
      </w:tr>
      <w:tr w:rsidR="006D77B6" w:rsidRPr="00514404" w:rsidTr="00090FCA">
        <w:trPr>
          <w:trHeight w:val="51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166.</w:t>
            </w:r>
            <w:r w:rsidRPr="00514404">
              <w:rPr>
                <w:vertAlign w:val="superscript"/>
              </w:rPr>
              <w:t>20</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 xml:space="preserve">Tabakas </w:t>
            </w:r>
            <w:r w:rsidR="0019303D" w:rsidRPr="00514404">
              <w:t>izstrādājumu</w:t>
            </w:r>
            <w:r w:rsidRPr="00514404">
              <w:t xml:space="preserve"> realizācijas noteikumu pārkāpšana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57</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28</w:t>
            </w:r>
          </w:p>
        </w:tc>
      </w:tr>
      <w:tr w:rsidR="006D77B6" w:rsidRPr="00514404" w:rsidTr="00090FCA">
        <w:trPr>
          <w:trHeight w:val="76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181.</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Ieroču, munīcijas, speciālo līdzekļu un pirotehnisko izstrādājumu aprites kārtības pārkāpšana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475</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295</w:t>
            </w:r>
          </w:p>
        </w:tc>
      </w:tr>
      <w:tr w:rsidR="006D77B6" w:rsidRPr="00514404" w:rsidTr="00090FCA">
        <w:trPr>
          <w:trHeight w:val="102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183.</w:t>
            </w:r>
          </w:p>
        </w:tc>
        <w:tc>
          <w:tcPr>
            <w:tcW w:w="354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Ieroču, munīcijas, speciālo līdzekļu, sprāgstvielu, spridzināšanas ietaišu un pirotehnisko izstrādājumu komerciālās aprites noteikumu pārkāpšana</w:t>
            </w:r>
          </w:p>
        </w:tc>
        <w:tc>
          <w:tcPr>
            <w:tcW w:w="212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w:t>
            </w:r>
          </w:p>
        </w:tc>
        <w:tc>
          <w:tcPr>
            <w:tcW w:w="20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5</w:t>
            </w:r>
          </w:p>
        </w:tc>
      </w:tr>
    </w:tbl>
    <w:p w:rsidR="005E7FF8" w:rsidRPr="002631CA" w:rsidRDefault="005E7FF8" w:rsidP="005E7FF8">
      <w:pPr>
        <w:pStyle w:val="ListParagraph"/>
        <w:tabs>
          <w:tab w:val="left" w:pos="993"/>
        </w:tabs>
        <w:ind w:left="0" w:firstLine="709"/>
        <w:jc w:val="right"/>
        <w:rPr>
          <w:rFonts w:ascii="Times New Roman" w:hAnsi="Times New Roman"/>
          <w:sz w:val="28"/>
          <w:szCs w:val="28"/>
        </w:rPr>
      </w:pPr>
    </w:p>
    <w:p w:rsidR="005E7FF8" w:rsidRPr="002631CA" w:rsidRDefault="00B5777C" w:rsidP="005E7FF8">
      <w:pPr>
        <w:pStyle w:val="ListParagraph"/>
        <w:tabs>
          <w:tab w:val="left" w:pos="993"/>
        </w:tabs>
        <w:ind w:left="0" w:firstLine="709"/>
        <w:jc w:val="right"/>
        <w:rPr>
          <w:rFonts w:ascii="Times New Roman" w:hAnsi="Times New Roman"/>
          <w:sz w:val="28"/>
          <w:szCs w:val="28"/>
        </w:rPr>
      </w:pPr>
      <w:r w:rsidRPr="002631CA">
        <w:rPr>
          <w:rFonts w:ascii="Times New Roman" w:hAnsi="Times New Roman"/>
          <w:sz w:val="28"/>
          <w:szCs w:val="28"/>
        </w:rPr>
        <w:t>6</w:t>
      </w:r>
      <w:r w:rsidR="0019303D" w:rsidRPr="002631CA">
        <w:rPr>
          <w:rFonts w:ascii="Times New Roman" w:hAnsi="Times New Roman"/>
          <w:sz w:val="28"/>
          <w:szCs w:val="28"/>
        </w:rPr>
        <w:t>.tabula</w:t>
      </w:r>
    </w:p>
    <w:p w:rsidR="008D487F" w:rsidRPr="002631CA" w:rsidRDefault="008D487F" w:rsidP="005E7FF8">
      <w:pPr>
        <w:pStyle w:val="ListParagraph"/>
        <w:tabs>
          <w:tab w:val="left" w:pos="993"/>
        </w:tabs>
        <w:ind w:left="0" w:firstLine="709"/>
        <w:jc w:val="right"/>
        <w:rPr>
          <w:rFonts w:ascii="Times New Roman" w:hAnsi="Times New Roman"/>
          <w:sz w:val="28"/>
          <w:szCs w:val="28"/>
        </w:rPr>
      </w:pPr>
    </w:p>
    <w:p w:rsidR="005E7FF8" w:rsidRPr="002631CA" w:rsidRDefault="008D487F" w:rsidP="008D487F">
      <w:pPr>
        <w:pStyle w:val="ListParagraph"/>
        <w:ind w:left="0"/>
        <w:jc w:val="center"/>
        <w:rPr>
          <w:rFonts w:ascii="Times New Roman" w:hAnsi="Times New Roman"/>
          <w:bCs/>
          <w:sz w:val="28"/>
          <w:szCs w:val="28"/>
        </w:rPr>
      </w:pPr>
      <w:r w:rsidRPr="002631CA">
        <w:rPr>
          <w:rFonts w:ascii="Times New Roman" w:hAnsi="Times New Roman"/>
          <w:bCs/>
          <w:sz w:val="28"/>
          <w:szCs w:val="28"/>
        </w:rPr>
        <w:t>Valsts policijas uzsāktie un atklātie kriminālprocesi</w:t>
      </w:r>
    </w:p>
    <w:p w:rsidR="008D487F" w:rsidRPr="002631CA" w:rsidRDefault="008D487F" w:rsidP="008D487F">
      <w:pPr>
        <w:pStyle w:val="ListParagraph"/>
        <w:ind w:left="0"/>
        <w:jc w:val="center"/>
        <w:rPr>
          <w:rFonts w:ascii="Times New Roman" w:hAnsi="Times New Roman"/>
          <w:sz w:val="28"/>
          <w:szCs w:val="28"/>
        </w:rPr>
      </w:pPr>
    </w:p>
    <w:tbl>
      <w:tblPr>
        <w:tblW w:w="9100" w:type="dxa"/>
        <w:tblInd w:w="93" w:type="dxa"/>
        <w:tblLook w:val="04A0" w:firstRow="1" w:lastRow="0" w:firstColumn="1" w:lastColumn="0" w:noHBand="0" w:noVBand="1"/>
      </w:tblPr>
      <w:tblGrid>
        <w:gridCol w:w="960"/>
        <w:gridCol w:w="3880"/>
        <w:gridCol w:w="960"/>
        <w:gridCol w:w="1180"/>
        <w:gridCol w:w="960"/>
        <w:gridCol w:w="1160"/>
      </w:tblGrid>
      <w:tr w:rsidR="006D77B6" w:rsidRPr="00514404" w:rsidTr="00090FCA">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FF8" w:rsidRPr="00514404" w:rsidRDefault="005E7FF8" w:rsidP="00090FCA">
            <w:pPr>
              <w:jc w:val="center"/>
            </w:pPr>
            <w:r w:rsidRPr="00514404">
              <w:t>KL pants</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FF8" w:rsidRPr="00514404" w:rsidRDefault="005E7FF8" w:rsidP="00090FCA">
            <w:pPr>
              <w:jc w:val="center"/>
            </w:pPr>
            <w:r w:rsidRPr="00514404">
              <w:t>Nosaukums</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2011.gads</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5E7FF8" w:rsidRPr="00514404" w:rsidRDefault="005E7FF8" w:rsidP="0019303D">
            <w:pPr>
              <w:jc w:val="center"/>
            </w:pPr>
            <w:r w:rsidRPr="00514404">
              <w:t>2012.gada 6 mēneš</w:t>
            </w:r>
            <w:r w:rsidR="0019303D" w:rsidRPr="00514404">
              <w:t>os</w:t>
            </w:r>
          </w:p>
        </w:tc>
      </w:tr>
      <w:tr w:rsidR="006D77B6" w:rsidRPr="00514404" w:rsidTr="00090FCA">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7FF8" w:rsidRPr="00514404" w:rsidRDefault="005E7FF8" w:rsidP="00090FCA"/>
        </w:tc>
        <w:tc>
          <w:tcPr>
            <w:tcW w:w="3880" w:type="dxa"/>
            <w:vMerge/>
            <w:tcBorders>
              <w:top w:val="single" w:sz="4" w:space="0" w:color="auto"/>
              <w:left w:val="single" w:sz="4" w:space="0" w:color="auto"/>
              <w:bottom w:val="single" w:sz="4" w:space="0" w:color="auto"/>
              <w:right w:val="single" w:sz="4" w:space="0" w:color="auto"/>
            </w:tcBorders>
            <w:vAlign w:val="center"/>
            <w:hideMark/>
          </w:tcPr>
          <w:p w:rsidR="005E7FF8" w:rsidRPr="00514404" w:rsidRDefault="005E7FF8" w:rsidP="00090FCA"/>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Uzsākti</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Atklāti</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Uzsākti</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Atklāti</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109.</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Patvaļīga koku ciršana un bojāšana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384</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115</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223</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32</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110.</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Patvaļīga zvejošana un ūdensdzīvnieku iegūšana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22</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10</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5</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112.</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Nelikumīgas medības</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43</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10</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6</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148.</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Autortiesību un blakustiesību pārkāpšana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70</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45</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35</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20</w:t>
            </w:r>
          </w:p>
        </w:tc>
      </w:tr>
      <w:tr w:rsidR="006D77B6" w:rsidRPr="00514404" w:rsidTr="00090FCA">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190.</w:t>
            </w:r>
            <w:r w:rsidRPr="00514404">
              <w:rPr>
                <w:vertAlign w:val="superscript"/>
              </w:rPr>
              <w:t>1</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Preču un vielu, kuru aprite ir aizliegta vai speciāli reglamentēta, pārvietošana pāri Latvijas Republikas valsts robežai</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w:t>
            </w:r>
          </w:p>
        </w:tc>
      </w:tr>
      <w:tr w:rsidR="006D77B6" w:rsidRPr="00514404" w:rsidTr="00090FCA">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192.</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Viltotas naudas un valsts finanšu instrumentu izgatavošana, izplatīšana, pārvadāšana, pārsūtīšana, iegādāšanās un glabāšana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1450</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65</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662</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22</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lastRenderedPageBreak/>
              <w:t>193.</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Nelikumīgas darbības ar finanšu instrumentiem un maksāšanas līdzekļiem</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629</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226</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283</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76</w:t>
            </w:r>
          </w:p>
        </w:tc>
      </w:tr>
      <w:tr w:rsidR="006D77B6" w:rsidRPr="00514404" w:rsidTr="00090FCA">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193.</w:t>
            </w:r>
            <w:r w:rsidRPr="00514404">
              <w:rPr>
                <w:vertAlign w:val="superscript"/>
              </w:rPr>
              <w:t>1</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Datu, programmatūras un iekārtu iegūšana , izgatavošana, izplatīšana, izmantošana un glabāšana nelikumīgām darbībām ar finanšu instrumentiem un maksāšanas līdzekļiem</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73</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34</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43</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13</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195.</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Noziedzīgi iegūtu līdzekļu legalizēšana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27</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12</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195.</w:t>
            </w:r>
            <w:r w:rsidRPr="00514404">
              <w:rPr>
                <w:vertAlign w:val="superscript"/>
              </w:rPr>
              <w:t>1</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Apzināti nepatiesu ziņu sniegšana par līdzekļu piederību</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196.</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Pilnvaru ļaunprātīga izmantošana un pārsniegšana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8</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198.</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Neatļauta labumu pieņemšana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r>
      <w:tr w:rsidR="006D77B6" w:rsidRPr="00514404" w:rsidTr="00090FCA">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200.</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Neizpaužamu ziņu, kas nav valsts noslēpums, izpaušana, komercnoslēpumu saturošu ziņu neatļauta iegūšana un izpaušana un finanšu instrumentu tirgus iekšējās informācijas neatļauta izpaušana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5</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204.</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Pircēju un pasūtītāju apkrāpšana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206.</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Preču zīmes, citas atšķirības zīmes un dizainparauga nelikumīga izmantošana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13</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6</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10</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207.</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Uzņēmējdarbība bez reģistrēšanas un bez atļaujas (licences)</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8</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5</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208.</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Aizliegta uzņēmējdarbība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5</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210.</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8D487F">
            <w:r w:rsidRPr="00514404">
              <w:t>Kredīta un citu aizdevumu negodprātīga saņe</w:t>
            </w:r>
            <w:r w:rsidR="008D487F" w:rsidRPr="00514404">
              <w:t>m</w:t>
            </w:r>
            <w:r w:rsidRPr="00514404">
              <w:t>šana un izmantošana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77</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26</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18</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7</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213.</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Novešana līdz maksātnespējai</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9</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214.</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Nepatiesa maksātnespējas procesa pieteikuma iesniegšana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215.</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Maksātnespējas procesa kavēšana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98</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18</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22</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215.</w:t>
            </w:r>
            <w:r w:rsidRPr="00514404">
              <w:rPr>
                <w:vertAlign w:val="superscript"/>
              </w:rPr>
              <w:t>1</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Tiesiskās aizsardzības procesa noteikumu pārkāpšana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216.</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Ieķīlātas lietas prettiesisks atsavinājums</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11</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217.</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Grāmatvedības un statistiskās informācijas noteikumu pārkāpšana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6</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218.</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Izvairīšanās no nodokļu un tiem pielīdzināto maksājumu nomaksas</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219.</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Izvairīšanas no deklarācijas iesniegšanas</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220.</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Mantas nobēdzināšana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13</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0</w:t>
            </w:r>
          </w:p>
        </w:tc>
      </w:tr>
      <w:tr w:rsidR="006D77B6" w:rsidRPr="00514404" w:rsidTr="00090FCA">
        <w:trPr>
          <w:trHeight w:val="12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lastRenderedPageBreak/>
              <w:t>265.</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Transportlīdzekļa reģistrācijas dokumenta, agregāta un reģistrācijas numura zīmes nelikumīga izgatavošana, realizēšana, izsniegšana, viltošana, iznīcināšana un nolaupīšana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537</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35</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208</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9</w:t>
            </w:r>
          </w:p>
        </w:tc>
      </w:tr>
      <w:tr w:rsidR="006D77B6" w:rsidRPr="00514404" w:rsidTr="00090FCA">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275.</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Dokumenta, zīmoga un spiedoga viltošana un viltota dokumenta, zīmoga un spiedoga realizēšana un izmantošana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244</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78</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185</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25</w:t>
            </w:r>
          </w:p>
        </w:tc>
      </w:tr>
      <w:tr w:rsidR="006D77B6" w:rsidRPr="00514404" w:rsidTr="00090F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314.</w:t>
            </w:r>
          </w:p>
        </w:tc>
        <w:tc>
          <w:tcPr>
            <w:tcW w:w="38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r w:rsidRPr="00514404">
              <w:t>Noziedzīgā kārtā iegūtas mantas iegādāšanās un realizēšana</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121</w:t>
            </w:r>
          </w:p>
        </w:tc>
        <w:tc>
          <w:tcPr>
            <w:tcW w:w="118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100</w:t>
            </w:r>
          </w:p>
        </w:tc>
        <w:tc>
          <w:tcPr>
            <w:tcW w:w="9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46</w:t>
            </w:r>
          </w:p>
        </w:tc>
        <w:tc>
          <w:tcPr>
            <w:tcW w:w="1160" w:type="dxa"/>
            <w:tcBorders>
              <w:top w:val="nil"/>
              <w:left w:val="nil"/>
              <w:bottom w:val="single" w:sz="4" w:space="0" w:color="auto"/>
              <w:right w:val="single" w:sz="4" w:space="0" w:color="auto"/>
            </w:tcBorders>
            <w:shd w:val="clear" w:color="auto" w:fill="auto"/>
            <w:vAlign w:val="center"/>
            <w:hideMark/>
          </w:tcPr>
          <w:p w:rsidR="005E7FF8" w:rsidRPr="00514404" w:rsidRDefault="005E7FF8" w:rsidP="00090FCA">
            <w:pPr>
              <w:jc w:val="center"/>
            </w:pPr>
            <w:r w:rsidRPr="00514404">
              <w:t>38</w:t>
            </w:r>
          </w:p>
        </w:tc>
      </w:tr>
    </w:tbl>
    <w:p w:rsidR="00311FC2" w:rsidRPr="002631CA" w:rsidRDefault="00311FC2" w:rsidP="00042A1F">
      <w:pPr>
        <w:ind w:firstLine="709"/>
        <w:jc w:val="both"/>
        <w:rPr>
          <w:b/>
          <w:sz w:val="28"/>
          <w:szCs w:val="28"/>
        </w:rPr>
      </w:pPr>
    </w:p>
    <w:p w:rsidR="00311FC2" w:rsidRPr="002631CA" w:rsidRDefault="00311FC2" w:rsidP="007B7FE3">
      <w:pPr>
        <w:jc w:val="center"/>
        <w:rPr>
          <w:b/>
          <w:sz w:val="28"/>
          <w:szCs w:val="28"/>
        </w:rPr>
      </w:pPr>
      <w:r w:rsidRPr="002631CA">
        <w:rPr>
          <w:b/>
          <w:sz w:val="28"/>
          <w:szCs w:val="28"/>
        </w:rPr>
        <w:t>VALSTS ROBEŽSARDZE</w:t>
      </w:r>
    </w:p>
    <w:p w:rsidR="00042A1F" w:rsidRPr="002631CA" w:rsidRDefault="00042A1F" w:rsidP="00042A1F">
      <w:pPr>
        <w:ind w:firstLine="709"/>
        <w:jc w:val="both"/>
        <w:rPr>
          <w:bCs/>
          <w:sz w:val="28"/>
          <w:szCs w:val="28"/>
        </w:rPr>
      </w:pPr>
    </w:p>
    <w:p w:rsidR="00311FC2" w:rsidRPr="002631CA" w:rsidRDefault="00311FC2" w:rsidP="00311FC2">
      <w:pPr>
        <w:ind w:firstLine="720"/>
        <w:jc w:val="both"/>
        <w:rPr>
          <w:sz w:val="28"/>
          <w:szCs w:val="28"/>
        </w:rPr>
      </w:pPr>
      <w:r w:rsidRPr="002631CA">
        <w:rPr>
          <w:sz w:val="28"/>
          <w:szCs w:val="28"/>
        </w:rPr>
        <w:t xml:space="preserve">Veicot normatīvajos aktos noteiktos uzdevumus cīņā pret cigarešu un alkohola kontrabandu un to nelegālu tirdzniecību Latvijā, 2012.gada </w:t>
      </w:r>
      <w:r w:rsidR="00D3312D" w:rsidRPr="002631CA">
        <w:rPr>
          <w:sz w:val="28"/>
          <w:szCs w:val="28"/>
        </w:rPr>
        <w:t>sešos</w:t>
      </w:r>
      <w:r w:rsidRPr="002631CA">
        <w:rPr>
          <w:sz w:val="28"/>
          <w:szCs w:val="28"/>
        </w:rPr>
        <w:t xml:space="preserve"> mēnešos Valsts robežsardze gan uz valsts robežas, gan arī savas kompetences ietvaros valsts iekšienē patstāvīgi vai sadarbīb</w:t>
      </w:r>
      <w:r w:rsidR="008D487F" w:rsidRPr="002631CA">
        <w:rPr>
          <w:sz w:val="28"/>
          <w:szCs w:val="28"/>
        </w:rPr>
        <w:t>ā</w:t>
      </w:r>
      <w:r w:rsidRPr="002631CA">
        <w:rPr>
          <w:sz w:val="28"/>
          <w:szCs w:val="28"/>
        </w:rPr>
        <w:t xml:space="preserve"> ar citām tiesībsargājošām iestādēm konstatēja 99 nelikumīgas preču pārvietošanas gadījumus. Lielākā daļa no atklātajām kontrabandas precēm bija tabakas izstrādājumi.</w:t>
      </w:r>
    </w:p>
    <w:p w:rsidR="00311FC2" w:rsidRPr="002631CA" w:rsidRDefault="00311FC2" w:rsidP="00311FC2">
      <w:pPr>
        <w:ind w:firstLine="720"/>
        <w:jc w:val="both"/>
        <w:rPr>
          <w:sz w:val="28"/>
          <w:szCs w:val="28"/>
        </w:rPr>
      </w:pPr>
      <w:r w:rsidRPr="002631CA">
        <w:rPr>
          <w:sz w:val="28"/>
          <w:szCs w:val="28"/>
        </w:rPr>
        <w:t xml:space="preserve">2012.gada </w:t>
      </w:r>
      <w:r w:rsidR="00D3312D" w:rsidRPr="002631CA">
        <w:rPr>
          <w:sz w:val="28"/>
          <w:szCs w:val="28"/>
        </w:rPr>
        <w:t>sešos</w:t>
      </w:r>
      <w:r w:rsidRPr="002631CA">
        <w:rPr>
          <w:sz w:val="28"/>
          <w:szCs w:val="28"/>
        </w:rPr>
        <w:t xml:space="preserve"> mēnešos Valsts robežsardze patstāvīgi vai sadarbība ar citām tiesībsargājošām iestādēm aizturēja un izņēma 4 912 280 dažādu marku cigaretes, 21 347 litrus degvielas un naftas produktu, 759 litrus alkoholisko dzērienu (2011.gadā – 33 732 390 cigaretes</w:t>
      </w:r>
      <w:r w:rsidRPr="002631CA">
        <w:rPr>
          <w:i/>
          <w:sz w:val="28"/>
          <w:szCs w:val="28"/>
        </w:rPr>
        <w:t>,</w:t>
      </w:r>
      <w:r w:rsidRPr="002631CA">
        <w:rPr>
          <w:sz w:val="28"/>
          <w:szCs w:val="28"/>
        </w:rPr>
        <w:t xml:space="preserve"> 13 626 litrus degvielas, 45,6 litrus alkoholisko dzērienu), kuru kopējā nenomaksātā akcīzes nodokļa aptuvenā vērtība ir vairāk nekā 250 000 latu.</w:t>
      </w:r>
    </w:p>
    <w:p w:rsidR="00311FC2" w:rsidRPr="002631CA" w:rsidRDefault="00311FC2" w:rsidP="00311FC2">
      <w:pPr>
        <w:ind w:firstLine="720"/>
        <w:jc w:val="both"/>
        <w:rPr>
          <w:sz w:val="28"/>
          <w:szCs w:val="28"/>
        </w:rPr>
      </w:pPr>
      <w:r w:rsidRPr="002631CA">
        <w:rPr>
          <w:sz w:val="28"/>
          <w:szCs w:val="28"/>
        </w:rPr>
        <w:t>Liela daļa kontrabandas gadījumu valsts robežas šķērsošanas vietās un uz „zaļās robežas</w:t>
      </w:r>
      <w:r w:rsidR="00D16A2D" w:rsidRPr="002631CA">
        <w:rPr>
          <w:sz w:val="28"/>
          <w:szCs w:val="28"/>
        </w:rPr>
        <w:t>”</w:t>
      </w:r>
      <w:r w:rsidRPr="002631CA">
        <w:rPr>
          <w:sz w:val="28"/>
          <w:szCs w:val="28"/>
        </w:rPr>
        <w:t xml:space="preserve"> tiek atklāti un aizturēti, ne tikai veicot regulāros ikdienas </w:t>
      </w:r>
      <w:proofErr w:type="spellStart"/>
      <w:r w:rsidRPr="002631CA">
        <w:rPr>
          <w:sz w:val="28"/>
          <w:szCs w:val="28"/>
        </w:rPr>
        <w:t>robežuzraudzības</w:t>
      </w:r>
      <w:proofErr w:type="spellEnd"/>
      <w:r w:rsidRPr="002631CA">
        <w:rPr>
          <w:sz w:val="28"/>
          <w:szCs w:val="28"/>
        </w:rPr>
        <w:t xml:space="preserve"> un </w:t>
      </w:r>
      <w:proofErr w:type="spellStart"/>
      <w:r w:rsidRPr="002631CA">
        <w:rPr>
          <w:sz w:val="28"/>
          <w:szCs w:val="28"/>
        </w:rPr>
        <w:t>robežpārbaudes</w:t>
      </w:r>
      <w:proofErr w:type="spellEnd"/>
      <w:r w:rsidRPr="002631CA">
        <w:rPr>
          <w:sz w:val="28"/>
          <w:szCs w:val="28"/>
        </w:rPr>
        <w:t xml:space="preserve"> pasākumus, bet arī īstenojot operatīvās darbības pasākumus. 2012.gada </w:t>
      </w:r>
      <w:r w:rsidR="00D3312D" w:rsidRPr="002631CA">
        <w:rPr>
          <w:sz w:val="28"/>
          <w:szCs w:val="28"/>
        </w:rPr>
        <w:t>sešos</w:t>
      </w:r>
      <w:r w:rsidRPr="002631CA">
        <w:rPr>
          <w:sz w:val="28"/>
          <w:szCs w:val="28"/>
        </w:rPr>
        <w:t xml:space="preserve"> mēnešos par preču nelikumīgu pārvietošanu Valsts robežsardze uzsāka 31 administratīvā pārkāpuma lietu, 3 gadījumos uzsāktas administratīvās pārkāpuma lietas par bezsaimnieka preces atklāšanu.</w:t>
      </w:r>
    </w:p>
    <w:p w:rsidR="00D16A2D" w:rsidRPr="002631CA" w:rsidRDefault="00D16A2D" w:rsidP="00311FC2">
      <w:pPr>
        <w:ind w:firstLine="720"/>
        <w:jc w:val="both"/>
        <w:rPr>
          <w:sz w:val="28"/>
          <w:szCs w:val="28"/>
        </w:rPr>
      </w:pPr>
    </w:p>
    <w:p w:rsidR="00311FC2" w:rsidRPr="002631CA" w:rsidRDefault="00B5777C" w:rsidP="00311FC2">
      <w:pPr>
        <w:ind w:firstLine="720"/>
        <w:jc w:val="right"/>
        <w:rPr>
          <w:sz w:val="28"/>
          <w:szCs w:val="28"/>
        </w:rPr>
      </w:pPr>
      <w:r w:rsidRPr="002631CA">
        <w:rPr>
          <w:sz w:val="28"/>
          <w:szCs w:val="28"/>
        </w:rPr>
        <w:t>7</w:t>
      </w:r>
      <w:r w:rsidR="00311FC2" w:rsidRPr="002631CA">
        <w:rPr>
          <w:sz w:val="28"/>
          <w:szCs w:val="28"/>
        </w:rPr>
        <w:t>.tabula</w:t>
      </w:r>
    </w:p>
    <w:p w:rsidR="00311FC2" w:rsidRPr="002631CA" w:rsidRDefault="00311FC2" w:rsidP="00311FC2">
      <w:pPr>
        <w:ind w:firstLine="720"/>
        <w:jc w:val="right"/>
        <w:rPr>
          <w:sz w:val="28"/>
          <w:szCs w:val="28"/>
        </w:rPr>
      </w:pPr>
    </w:p>
    <w:p w:rsidR="00311FC2" w:rsidRPr="002631CA" w:rsidRDefault="00311FC2" w:rsidP="008D487F">
      <w:pPr>
        <w:ind w:right="-483"/>
        <w:jc w:val="center"/>
        <w:rPr>
          <w:sz w:val="28"/>
          <w:szCs w:val="28"/>
        </w:rPr>
      </w:pPr>
      <w:r w:rsidRPr="002631CA">
        <w:rPr>
          <w:sz w:val="28"/>
          <w:szCs w:val="28"/>
        </w:rPr>
        <w:t>Konstatēto kontrabandas gadījumu skaits Valsts robežsardzē</w:t>
      </w:r>
    </w:p>
    <w:p w:rsidR="00311FC2" w:rsidRPr="002631CA" w:rsidRDefault="00311FC2" w:rsidP="00311FC2">
      <w:pPr>
        <w:ind w:right="-483" w:firstLine="72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9"/>
        <w:gridCol w:w="2351"/>
        <w:gridCol w:w="1825"/>
      </w:tblGrid>
      <w:tr w:rsidR="006D77B6" w:rsidRPr="00514404" w:rsidTr="008D487F">
        <w:trPr>
          <w:jc w:val="center"/>
        </w:trPr>
        <w:tc>
          <w:tcPr>
            <w:tcW w:w="1429" w:type="dxa"/>
          </w:tcPr>
          <w:p w:rsidR="008D487F" w:rsidRPr="00514404" w:rsidRDefault="008D487F" w:rsidP="00311FC2">
            <w:pPr>
              <w:jc w:val="center"/>
              <w:rPr>
                <w:b/>
              </w:rPr>
            </w:pPr>
          </w:p>
        </w:tc>
        <w:tc>
          <w:tcPr>
            <w:tcW w:w="2351" w:type="dxa"/>
          </w:tcPr>
          <w:p w:rsidR="008D487F" w:rsidRPr="00514404" w:rsidRDefault="008D487F" w:rsidP="00D3312D">
            <w:pPr>
              <w:jc w:val="center"/>
            </w:pPr>
            <w:r w:rsidRPr="00514404">
              <w:t>2011.g</w:t>
            </w:r>
            <w:r w:rsidR="00D3312D" w:rsidRPr="00514404">
              <w:t>.</w:t>
            </w:r>
          </w:p>
        </w:tc>
        <w:tc>
          <w:tcPr>
            <w:tcW w:w="1825" w:type="dxa"/>
          </w:tcPr>
          <w:p w:rsidR="008D487F" w:rsidRPr="00514404" w:rsidRDefault="008D487F" w:rsidP="00D3312D">
            <w:pPr>
              <w:jc w:val="center"/>
            </w:pPr>
            <w:r w:rsidRPr="00514404">
              <w:t>2012.g</w:t>
            </w:r>
            <w:r w:rsidR="00D3312D" w:rsidRPr="00514404">
              <w:t>.</w:t>
            </w:r>
            <w:r w:rsidRPr="00514404">
              <w:t xml:space="preserve"> 6 mēnešos</w:t>
            </w:r>
          </w:p>
        </w:tc>
      </w:tr>
      <w:tr w:rsidR="006D77B6" w:rsidRPr="00514404" w:rsidTr="008D487F">
        <w:trPr>
          <w:jc w:val="center"/>
        </w:trPr>
        <w:tc>
          <w:tcPr>
            <w:tcW w:w="1429" w:type="dxa"/>
          </w:tcPr>
          <w:p w:rsidR="008D487F" w:rsidRPr="00514404" w:rsidRDefault="008D487F" w:rsidP="00311FC2">
            <w:r w:rsidRPr="00514404">
              <w:t>Gadījumi - kopā</w:t>
            </w:r>
          </w:p>
        </w:tc>
        <w:tc>
          <w:tcPr>
            <w:tcW w:w="2351" w:type="dxa"/>
          </w:tcPr>
          <w:p w:rsidR="008D487F" w:rsidRPr="00514404" w:rsidRDefault="008D487F" w:rsidP="00311FC2">
            <w:pPr>
              <w:jc w:val="center"/>
            </w:pPr>
            <w:r w:rsidRPr="00514404">
              <w:t>435</w:t>
            </w:r>
          </w:p>
        </w:tc>
        <w:tc>
          <w:tcPr>
            <w:tcW w:w="1825" w:type="dxa"/>
          </w:tcPr>
          <w:p w:rsidR="008D487F" w:rsidRPr="00514404" w:rsidRDefault="008D487F" w:rsidP="00311FC2">
            <w:pPr>
              <w:jc w:val="center"/>
            </w:pPr>
            <w:r w:rsidRPr="00514404">
              <w:t>99</w:t>
            </w:r>
          </w:p>
        </w:tc>
      </w:tr>
      <w:tr w:rsidR="008D487F" w:rsidRPr="00514404" w:rsidTr="008D487F">
        <w:trPr>
          <w:jc w:val="center"/>
        </w:trPr>
        <w:tc>
          <w:tcPr>
            <w:tcW w:w="1429" w:type="dxa"/>
          </w:tcPr>
          <w:p w:rsidR="008D487F" w:rsidRPr="00514404" w:rsidRDefault="008D487F" w:rsidP="00311FC2">
            <w:r w:rsidRPr="00514404">
              <w:t>Uz „zaļās robežas”</w:t>
            </w:r>
          </w:p>
        </w:tc>
        <w:tc>
          <w:tcPr>
            <w:tcW w:w="2351" w:type="dxa"/>
          </w:tcPr>
          <w:p w:rsidR="008D487F" w:rsidRPr="00514404" w:rsidRDefault="008D487F" w:rsidP="00311FC2">
            <w:pPr>
              <w:jc w:val="center"/>
            </w:pPr>
            <w:r w:rsidRPr="00514404">
              <w:t>24</w:t>
            </w:r>
          </w:p>
        </w:tc>
        <w:tc>
          <w:tcPr>
            <w:tcW w:w="1825" w:type="dxa"/>
          </w:tcPr>
          <w:p w:rsidR="008D487F" w:rsidRPr="00514404" w:rsidRDefault="008D487F" w:rsidP="00311FC2">
            <w:pPr>
              <w:jc w:val="center"/>
            </w:pPr>
            <w:r w:rsidRPr="00514404">
              <w:t>5</w:t>
            </w:r>
          </w:p>
        </w:tc>
      </w:tr>
    </w:tbl>
    <w:p w:rsidR="00D16A2D" w:rsidRPr="002631CA" w:rsidRDefault="00B5777C" w:rsidP="00D16A2D">
      <w:pPr>
        <w:ind w:right="-1" w:firstLine="720"/>
        <w:jc w:val="right"/>
        <w:rPr>
          <w:sz w:val="28"/>
          <w:szCs w:val="28"/>
        </w:rPr>
      </w:pPr>
      <w:r w:rsidRPr="002631CA">
        <w:rPr>
          <w:sz w:val="28"/>
          <w:szCs w:val="28"/>
        </w:rPr>
        <w:lastRenderedPageBreak/>
        <w:t>8</w:t>
      </w:r>
      <w:r w:rsidR="00D16A2D" w:rsidRPr="002631CA">
        <w:rPr>
          <w:sz w:val="28"/>
          <w:szCs w:val="28"/>
        </w:rPr>
        <w:t>.tabula</w:t>
      </w:r>
    </w:p>
    <w:p w:rsidR="00D16A2D" w:rsidRPr="002631CA" w:rsidRDefault="00D16A2D" w:rsidP="00D16A2D">
      <w:pPr>
        <w:ind w:right="-1" w:firstLine="720"/>
        <w:jc w:val="right"/>
        <w:rPr>
          <w:sz w:val="28"/>
          <w:szCs w:val="28"/>
        </w:rPr>
      </w:pPr>
    </w:p>
    <w:p w:rsidR="00311FC2" w:rsidRPr="002631CA" w:rsidRDefault="00311FC2" w:rsidP="008D487F">
      <w:pPr>
        <w:ind w:right="-483"/>
        <w:jc w:val="center"/>
        <w:rPr>
          <w:sz w:val="28"/>
          <w:szCs w:val="28"/>
        </w:rPr>
      </w:pPr>
      <w:r w:rsidRPr="002631CA">
        <w:rPr>
          <w:sz w:val="28"/>
          <w:szCs w:val="28"/>
        </w:rPr>
        <w:t>Aizturēto cigarešu skaits (</w:t>
      </w:r>
      <w:proofErr w:type="spellStart"/>
      <w:r w:rsidRPr="002631CA">
        <w:rPr>
          <w:sz w:val="28"/>
          <w:szCs w:val="28"/>
        </w:rPr>
        <w:t>gab</w:t>
      </w:r>
      <w:proofErr w:type="spellEnd"/>
      <w:r w:rsidRPr="002631CA">
        <w:rPr>
          <w:sz w:val="28"/>
          <w:szCs w:val="28"/>
        </w:rPr>
        <w:t>.)</w:t>
      </w:r>
    </w:p>
    <w:p w:rsidR="00D16A2D" w:rsidRPr="002631CA" w:rsidRDefault="00D16A2D" w:rsidP="00D16A2D">
      <w:pPr>
        <w:ind w:right="-483"/>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1984"/>
        <w:gridCol w:w="1985"/>
      </w:tblGrid>
      <w:tr w:rsidR="006D77B6" w:rsidRPr="00514404" w:rsidTr="008D487F">
        <w:trPr>
          <w:jc w:val="center"/>
        </w:trPr>
        <w:tc>
          <w:tcPr>
            <w:tcW w:w="2212" w:type="dxa"/>
          </w:tcPr>
          <w:p w:rsidR="008D487F" w:rsidRPr="00514404" w:rsidRDefault="008D487F" w:rsidP="00311FC2">
            <w:pPr>
              <w:rPr>
                <w:b/>
              </w:rPr>
            </w:pPr>
          </w:p>
        </w:tc>
        <w:tc>
          <w:tcPr>
            <w:tcW w:w="1984" w:type="dxa"/>
          </w:tcPr>
          <w:p w:rsidR="008D487F" w:rsidRPr="00514404" w:rsidRDefault="008D487F" w:rsidP="00D3312D">
            <w:pPr>
              <w:jc w:val="center"/>
            </w:pPr>
            <w:r w:rsidRPr="00514404">
              <w:t>2011.g</w:t>
            </w:r>
            <w:r w:rsidR="00D3312D" w:rsidRPr="00514404">
              <w:t>.</w:t>
            </w:r>
          </w:p>
        </w:tc>
        <w:tc>
          <w:tcPr>
            <w:tcW w:w="1985" w:type="dxa"/>
          </w:tcPr>
          <w:p w:rsidR="008D487F" w:rsidRPr="00514404" w:rsidRDefault="008D487F" w:rsidP="00D3312D">
            <w:pPr>
              <w:jc w:val="center"/>
            </w:pPr>
            <w:r w:rsidRPr="00514404">
              <w:t>2012.g</w:t>
            </w:r>
            <w:r w:rsidR="00D3312D" w:rsidRPr="00514404">
              <w:t>.</w:t>
            </w:r>
            <w:r w:rsidRPr="00514404">
              <w:t xml:space="preserve"> 6 mēnešos</w:t>
            </w:r>
          </w:p>
        </w:tc>
      </w:tr>
      <w:tr w:rsidR="006D77B6" w:rsidRPr="00514404" w:rsidTr="008D487F">
        <w:trPr>
          <w:jc w:val="center"/>
        </w:trPr>
        <w:tc>
          <w:tcPr>
            <w:tcW w:w="2212" w:type="dxa"/>
          </w:tcPr>
          <w:p w:rsidR="008D487F" w:rsidRPr="00514404" w:rsidRDefault="008D487F" w:rsidP="00311FC2">
            <w:r w:rsidRPr="00514404">
              <w:t>Aizturētas cigaretes- kopā</w:t>
            </w:r>
          </w:p>
        </w:tc>
        <w:tc>
          <w:tcPr>
            <w:tcW w:w="1984" w:type="dxa"/>
          </w:tcPr>
          <w:p w:rsidR="008D487F" w:rsidRPr="00514404" w:rsidRDefault="008D487F" w:rsidP="00311FC2">
            <w:pPr>
              <w:jc w:val="center"/>
            </w:pPr>
            <w:r w:rsidRPr="00514404">
              <w:t>33 732 390</w:t>
            </w:r>
          </w:p>
        </w:tc>
        <w:tc>
          <w:tcPr>
            <w:tcW w:w="1985" w:type="dxa"/>
          </w:tcPr>
          <w:p w:rsidR="008D487F" w:rsidRPr="00514404" w:rsidRDefault="008D487F" w:rsidP="00311FC2">
            <w:pPr>
              <w:jc w:val="center"/>
            </w:pPr>
            <w:r w:rsidRPr="00514404">
              <w:t>4 912 280</w:t>
            </w:r>
          </w:p>
        </w:tc>
      </w:tr>
      <w:tr w:rsidR="008D487F" w:rsidRPr="00514404" w:rsidTr="008D487F">
        <w:trPr>
          <w:jc w:val="center"/>
        </w:trPr>
        <w:tc>
          <w:tcPr>
            <w:tcW w:w="2212" w:type="dxa"/>
          </w:tcPr>
          <w:p w:rsidR="008D487F" w:rsidRPr="00514404" w:rsidRDefault="008D487F" w:rsidP="00311FC2">
            <w:r w:rsidRPr="00514404">
              <w:t>Uz „zaļās robežas”</w:t>
            </w:r>
          </w:p>
        </w:tc>
        <w:tc>
          <w:tcPr>
            <w:tcW w:w="1984" w:type="dxa"/>
          </w:tcPr>
          <w:p w:rsidR="008D487F" w:rsidRPr="00514404" w:rsidRDefault="008D487F" w:rsidP="00311FC2">
            <w:pPr>
              <w:jc w:val="center"/>
            </w:pPr>
            <w:r w:rsidRPr="00514404">
              <w:t>3 084 500</w:t>
            </w:r>
          </w:p>
        </w:tc>
        <w:tc>
          <w:tcPr>
            <w:tcW w:w="1985" w:type="dxa"/>
          </w:tcPr>
          <w:p w:rsidR="008D487F" w:rsidRPr="00514404" w:rsidRDefault="008D487F" w:rsidP="00311FC2">
            <w:pPr>
              <w:jc w:val="center"/>
            </w:pPr>
            <w:r w:rsidRPr="00514404">
              <w:t>761 600</w:t>
            </w:r>
          </w:p>
        </w:tc>
      </w:tr>
    </w:tbl>
    <w:p w:rsidR="00311FC2" w:rsidRPr="002631CA" w:rsidRDefault="00311FC2" w:rsidP="00311FC2">
      <w:pPr>
        <w:rPr>
          <w:sz w:val="28"/>
          <w:szCs w:val="28"/>
        </w:rPr>
      </w:pPr>
    </w:p>
    <w:p w:rsidR="00311FC2" w:rsidRPr="002631CA" w:rsidRDefault="00311FC2" w:rsidP="00311FC2">
      <w:pPr>
        <w:ind w:firstLine="720"/>
        <w:jc w:val="both"/>
        <w:rPr>
          <w:sz w:val="28"/>
          <w:szCs w:val="28"/>
        </w:rPr>
      </w:pPr>
      <w:r w:rsidRPr="002631CA">
        <w:rPr>
          <w:sz w:val="28"/>
          <w:szCs w:val="28"/>
        </w:rPr>
        <w:t xml:space="preserve">2012.gada </w:t>
      </w:r>
      <w:r w:rsidR="00D3312D" w:rsidRPr="002631CA">
        <w:rPr>
          <w:sz w:val="28"/>
          <w:szCs w:val="28"/>
        </w:rPr>
        <w:t>sešos</w:t>
      </w:r>
      <w:r w:rsidRPr="002631CA">
        <w:rPr>
          <w:sz w:val="28"/>
          <w:szCs w:val="28"/>
        </w:rPr>
        <w:t xml:space="preserve"> mēnešos Valsts robežsardzē uzsākti 3 kriminālprocesi pēc </w:t>
      </w:r>
      <w:r w:rsidR="008D487F" w:rsidRPr="002631CA">
        <w:rPr>
          <w:sz w:val="28"/>
          <w:szCs w:val="28"/>
        </w:rPr>
        <w:t>KL</w:t>
      </w:r>
      <w:r w:rsidRPr="002631CA">
        <w:rPr>
          <w:sz w:val="28"/>
          <w:szCs w:val="28"/>
        </w:rPr>
        <w:t xml:space="preserve"> 221.panta otrās daļas par alkoholisko dzērienu un tabakas izstrādājumu nelikumīgu uzglabāšanu un pārvietošanu (pārvadāšanu), ko izdarījusi personu grupa pēc iepriekšējas vienošanās, kā arī 1 kriminālprocess pēc </w:t>
      </w:r>
      <w:r w:rsidR="008D487F" w:rsidRPr="002631CA">
        <w:rPr>
          <w:sz w:val="28"/>
          <w:szCs w:val="28"/>
        </w:rPr>
        <w:t>KL</w:t>
      </w:r>
      <w:r w:rsidRPr="002631CA">
        <w:rPr>
          <w:sz w:val="28"/>
          <w:szCs w:val="28"/>
        </w:rPr>
        <w:t xml:space="preserve"> 190.panta – Kontrabanda. Norādītajos kriminālprocesos kriminālprocesuālo darbību rezultātā izņemts: 249 600 cigarešu, 600 litri spirta un 140 litri dīzeļdegvielas.</w:t>
      </w:r>
    </w:p>
    <w:p w:rsidR="00311FC2" w:rsidRPr="002631CA" w:rsidRDefault="00311FC2" w:rsidP="006A0979">
      <w:pPr>
        <w:ind w:firstLine="709"/>
        <w:jc w:val="both"/>
        <w:rPr>
          <w:sz w:val="28"/>
          <w:szCs w:val="28"/>
        </w:rPr>
      </w:pPr>
      <w:r w:rsidRPr="002631CA">
        <w:rPr>
          <w:sz w:val="28"/>
          <w:szCs w:val="28"/>
        </w:rPr>
        <w:t xml:space="preserve">Valsts robežsardze </w:t>
      </w:r>
      <w:r w:rsidR="00D16A2D" w:rsidRPr="002631CA">
        <w:rPr>
          <w:sz w:val="28"/>
          <w:szCs w:val="28"/>
        </w:rPr>
        <w:t>atbilstoši</w:t>
      </w:r>
      <w:r w:rsidRPr="002631CA">
        <w:rPr>
          <w:sz w:val="28"/>
          <w:szCs w:val="28"/>
        </w:rPr>
        <w:t xml:space="preserve"> kompetence</w:t>
      </w:r>
      <w:r w:rsidR="00D16A2D" w:rsidRPr="002631CA">
        <w:rPr>
          <w:sz w:val="28"/>
          <w:szCs w:val="28"/>
        </w:rPr>
        <w:t>i</w:t>
      </w:r>
      <w:r w:rsidRPr="002631CA">
        <w:rPr>
          <w:sz w:val="28"/>
          <w:szCs w:val="28"/>
        </w:rPr>
        <w:t xml:space="preserve">, sadarbojoties ar Pilsonības un migrācijas lietu pārvaldi, Valsts policiju un Labklājības ministrijas Valsts darba inspekciju, veic pasākumus, lai konstatētu ārzemnieku nodarbināšanas normu pārkāpumus. Valsts robežsardze regulāri atklāj un soda darba devējus par ārzemnieku nodarbināšanu bez darba atļaujas saskaņā ar </w:t>
      </w:r>
      <w:r w:rsidR="008D487F" w:rsidRPr="002631CA">
        <w:rPr>
          <w:sz w:val="28"/>
          <w:szCs w:val="28"/>
        </w:rPr>
        <w:t>LAPK</w:t>
      </w:r>
      <w:r w:rsidRPr="002631CA">
        <w:rPr>
          <w:sz w:val="28"/>
          <w:szCs w:val="28"/>
        </w:rPr>
        <w:t xml:space="preserve"> 189.panta otro daļu, kā arī darba ņēmējus – ārzemniekus par strādāšanu bez darba atļaujas saskaņā ar </w:t>
      </w:r>
      <w:r w:rsidR="008D487F" w:rsidRPr="002631CA">
        <w:rPr>
          <w:sz w:val="28"/>
          <w:szCs w:val="28"/>
        </w:rPr>
        <w:t>LAPK</w:t>
      </w:r>
      <w:r w:rsidRPr="002631CA">
        <w:rPr>
          <w:sz w:val="28"/>
          <w:szCs w:val="28"/>
        </w:rPr>
        <w:t xml:space="preserve"> 189.</w:t>
      </w:r>
      <w:r w:rsidRPr="002631CA">
        <w:rPr>
          <w:sz w:val="28"/>
          <w:szCs w:val="28"/>
          <w:vertAlign w:val="superscript"/>
        </w:rPr>
        <w:t>1</w:t>
      </w:r>
      <w:r w:rsidRPr="002631CA">
        <w:rPr>
          <w:sz w:val="28"/>
          <w:szCs w:val="28"/>
        </w:rPr>
        <w:t>pantu.</w:t>
      </w:r>
    </w:p>
    <w:p w:rsidR="00D16A2D" w:rsidRDefault="00D16A2D" w:rsidP="00311FC2">
      <w:pPr>
        <w:ind w:firstLine="720"/>
        <w:jc w:val="both"/>
        <w:rPr>
          <w:sz w:val="28"/>
          <w:szCs w:val="28"/>
        </w:rPr>
      </w:pPr>
    </w:p>
    <w:p w:rsidR="00D16A2D" w:rsidRPr="002631CA" w:rsidRDefault="00B5777C" w:rsidP="00D16A2D">
      <w:pPr>
        <w:ind w:firstLine="720"/>
        <w:jc w:val="right"/>
        <w:rPr>
          <w:sz w:val="28"/>
          <w:szCs w:val="28"/>
        </w:rPr>
      </w:pPr>
      <w:r w:rsidRPr="002631CA">
        <w:rPr>
          <w:sz w:val="28"/>
          <w:szCs w:val="28"/>
        </w:rPr>
        <w:t>9</w:t>
      </w:r>
      <w:r w:rsidR="00D16A2D" w:rsidRPr="002631CA">
        <w:rPr>
          <w:sz w:val="28"/>
          <w:szCs w:val="28"/>
        </w:rPr>
        <w:t>.tabula</w:t>
      </w:r>
    </w:p>
    <w:p w:rsidR="008D487F" w:rsidRPr="002631CA" w:rsidRDefault="008D487F" w:rsidP="008D487F">
      <w:pPr>
        <w:ind w:right="-483"/>
        <w:jc w:val="center"/>
        <w:rPr>
          <w:sz w:val="28"/>
          <w:szCs w:val="28"/>
        </w:rPr>
      </w:pPr>
    </w:p>
    <w:p w:rsidR="00311FC2" w:rsidRPr="002631CA" w:rsidRDefault="00311FC2" w:rsidP="008D487F">
      <w:pPr>
        <w:ind w:right="-483"/>
        <w:jc w:val="center"/>
        <w:rPr>
          <w:sz w:val="28"/>
          <w:szCs w:val="28"/>
        </w:rPr>
      </w:pPr>
      <w:r w:rsidRPr="002631CA">
        <w:rPr>
          <w:sz w:val="28"/>
          <w:szCs w:val="28"/>
        </w:rPr>
        <w:t>Nelegāla darba novēršana</w:t>
      </w:r>
    </w:p>
    <w:p w:rsidR="00D16A2D" w:rsidRPr="002631CA" w:rsidRDefault="00D16A2D" w:rsidP="00D16A2D">
      <w:pPr>
        <w:ind w:right="-483"/>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1942"/>
        <w:gridCol w:w="1943"/>
      </w:tblGrid>
      <w:tr w:rsidR="006D77B6" w:rsidRPr="00514404" w:rsidTr="008D487F">
        <w:trPr>
          <w:jc w:val="center"/>
        </w:trPr>
        <w:tc>
          <w:tcPr>
            <w:tcW w:w="2398" w:type="dxa"/>
          </w:tcPr>
          <w:p w:rsidR="008D487F" w:rsidRPr="00514404" w:rsidRDefault="008D487F" w:rsidP="00311FC2">
            <w:pPr>
              <w:rPr>
                <w:b/>
              </w:rPr>
            </w:pPr>
          </w:p>
        </w:tc>
        <w:tc>
          <w:tcPr>
            <w:tcW w:w="1942" w:type="dxa"/>
          </w:tcPr>
          <w:p w:rsidR="008D487F" w:rsidRPr="00514404" w:rsidRDefault="008D487F" w:rsidP="00D3312D">
            <w:pPr>
              <w:jc w:val="center"/>
            </w:pPr>
            <w:r w:rsidRPr="00514404">
              <w:t>2011.g</w:t>
            </w:r>
            <w:r w:rsidR="00D3312D" w:rsidRPr="00514404">
              <w:t>.</w:t>
            </w:r>
          </w:p>
        </w:tc>
        <w:tc>
          <w:tcPr>
            <w:tcW w:w="1943" w:type="dxa"/>
          </w:tcPr>
          <w:p w:rsidR="008D487F" w:rsidRPr="00514404" w:rsidRDefault="008D487F" w:rsidP="00D3312D">
            <w:pPr>
              <w:jc w:val="center"/>
            </w:pPr>
            <w:r w:rsidRPr="00514404">
              <w:t>2012.g</w:t>
            </w:r>
            <w:r w:rsidR="00D3312D" w:rsidRPr="00514404">
              <w:t>.</w:t>
            </w:r>
            <w:r w:rsidRPr="00514404">
              <w:t xml:space="preserve"> 6 mēneši</w:t>
            </w:r>
          </w:p>
        </w:tc>
      </w:tr>
      <w:tr w:rsidR="006D77B6" w:rsidRPr="00514404" w:rsidTr="008D487F">
        <w:trPr>
          <w:jc w:val="center"/>
        </w:trPr>
        <w:tc>
          <w:tcPr>
            <w:tcW w:w="2398" w:type="dxa"/>
          </w:tcPr>
          <w:p w:rsidR="008D487F" w:rsidRPr="00514404" w:rsidRDefault="008D487F" w:rsidP="00311FC2">
            <w:r w:rsidRPr="00514404">
              <w:t>Administratīvi sodīti ārzemnieki par nelikumīgu strādāšanu</w:t>
            </w:r>
          </w:p>
        </w:tc>
        <w:tc>
          <w:tcPr>
            <w:tcW w:w="1942" w:type="dxa"/>
          </w:tcPr>
          <w:p w:rsidR="008D487F" w:rsidRPr="00514404" w:rsidRDefault="008D487F" w:rsidP="00311FC2">
            <w:pPr>
              <w:jc w:val="center"/>
            </w:pPr>
            <w:r w:rsidRPr="00514404">
              <w:t>42</w:t>
            </w:r>
          </w:p>
        </w:tc>
        <w:tc>
          <w:tcPr>
            <w:tcW w:w="1943" w:type="dxa"/>
          </w:tcPr>
          <w:p w:rsidR="008D487F" w:rsidRPr="00514404" w:rsidRDefault="008D487F" w:rsidP="00311FC2">
            <w:pPr>
              <w:jc w:val="center"/>
            </w:pPr>
            <w:r w:rsidRPr="00514404">
              <w:t>28</w:t>
            </w:r>
          </w:p>
        </w:tc>
      </w:tr>
      <w:tr w:rsidR="008D487F" w:rsidRPr="00514404" w:rsidTr="008D487F">
        <w:trPr>
          <w:jc w:val="center"/>
        </w:trPr>
        <w:tc>
          <w:tcPr>
            <w:tcW w:w="2398" w:type="dxa"/>
          </w:tcPr>
          <w:p w:rsidR="008D487F" w:rsidRPr="00514404" w:rsidRDefault="008D487F" w:rsidP="00311FC2">
            <w:r w:rsidRPr="00514404">
              <w:t>Administratīvi sodīti nodarbinātāji</w:t>
            </w:r>
          </w:p>
        </w:tc>
        <w:tc>
          <w:tcPr>
            <w:tcW w:w="1942" w:type="dxa"/>
          </w:tcPr>
          <w:p w:rsidR="008D487F" w:rsidRPr="00514404" w:rsidRDefault="008D487F" w:rsidP="00311FC2">
            <w:pPr>
              <w:jc w:val="center"/>
            </w:pPr>
            <w:r w:rsidRPr="00514404">
              <w:t>37</w:t>
            </w:r>
          </w:p>
        </w:tc>
        <w:tc>
          <w:tcPr>
            <w:tcW w:w="1943" w:type="dxa"/>
          </w:tcPr>
          <w:p w:rsidR="008D487F" w:rsidRPr="00514404" w:rsidRDefault="008D487F" w:rsidP="00311FC2">
            <w:pPr>
              <w:jc w:val="center"/>
            </w:pPr>
            <w:r w:rsidRPr="00514404">
              <w:t>10</w:t>
            </w:r>
          </w:p>
        </w:tc>
      </w:tr>
    </w:tbl>
    <w:p w:rsidR="00311FC2" w:rsidRPr="002631CA" w:rsidRDefault="00311FC2" w:rsidP="00311FC2">
      <w:pPr>
        <w:ind w:firstLine="720"/>
        <w:jc w:val="both"/>
        <w:rPr>
          <w:b/>
          <w:sz w:val="28"/>
          <w:szCs w:val="28"/>
        </w:rPr>
      </w:pPr>
    </w:p>
    <w:p w:rsidR="00311FC2" w:rsidRPr="002631CA" w:rsidRDefault="00D16A2D" w:rsidP="007B7FE3">
      <w:pPr>
        <w:jc w:val="center"/>
        <w:rPr>
          <w:b/>
          <w:bCs/>
          <w:sz w:val="28"/>
          <w:szCs w:val="28"/>
        </w:rPr>
      </w:pPr>
      <w:r w:rsidRPr="002631CA">
        <w:rPr>
          <w:b/>
          <w:bCs/>
          <w:sz w:val="28"/>
          <w:szCs w:val="28"/>
        </w:rPr>
        <w:t>LABKLĀJĪBAS MINISTRIJA</w:t>
      </w:r>
    </w:p>
    <w:p w:rsidR="00D16A2D" w:rsidRPr="002631CA" w:rsidRDefault="006A0979" w:rsidP="007B7FE3">
      <w:pPr>
        <w:jc w:val="center"/>
        <w:rPr>
          <w:b/>
          <w:bCs/>
          <w:sz w:val="28"/>
          <w:szCs w:val="28"/>
        </w:rPr>
      </w:pPr>
      <w:r w:rsidRPr="002631CA">
        <w:rPr>
          <w:b/>
          <w:bCs/>
          <w:sz w:val="28"/>
          <w:szCs w:val="28"/>
        </w:rPr>
        <w:t>VALSTS DARBA INSPEKCIJA</w:t>
      </w:r>
    </w:p>
    <w:p w:rsidR="006A0979" w:rsidRPr="002631CA" w:rsidRDefault="006A0979" w:rsidP="00D16A2D">
      <w:pPr>
        <w:ind w:firstLine="709"/>
        <w:jc w:val="center"/>
        <w:rPr>
          <w:b/>
          <w:bCs/>
          <w:sz w:val="28"/>
          <w:szCs w:val="28"/>
        </w:rPr>
      </w:pPr>
    </w:p>
    <w:p w:rsidR="006A0979" w:rsidRPr="002631CA" w:rsidRDefault="006A0979" w:rsidP="006A0979">
      <w:pPr>
        <w:ind w:firstLine="709"/>
        <w:jc w:val="both"/>
        <w:rPr>
          <w:sz w:val="28"/>
          <w:szCs w:val="28"/>
        </w:rPr>
      </w:pPr>
      <w:r w:rsidRPr="002631CA">
        <w:rPr>
          <w:sz w:val="28"/>
          <w:szCs w:val="28"/>
        </w:rPr>
        <w:t>Saskaņā ar Pasākumu plānu nereģistrētās nodarbinātības mazināšanai 2010.-2013.gadam un Valsts d</w:t>
      </w:r>
      <w:r w:rsidRPr="002631CA">
        <w:rPr>
          <w:bCs/>
          <w:sz w:val="28"/>
          <w:szCs w:val="28"/>
        </w:rPr>
        <w:t xml:space="preserve">arba inspekcijas </w:t>
      </w:r>
      <w:r w:rsidRPr="002631CA">
        <w:rPr>
          <w:sz w:val="28"/>
          <w:szCs w:val="28"/>
        </w:rPr>
        <w:t xml:space="preserve">(turpmāk – </w:t>
      </w:r>
      <w:r w:rsidR="008D487F" w:rsidRPr="002631CA">
        <w:rPr>
          <w:sz w:val="28"/>
          <w:szCs w:val="28"/>
        </w:rPr>
        <w:t>VDI</w:t>
      </w:r>
      <w:r w:rsidRPr="002631CA">
        <w:rPr>
          <w:sz w:val="28"/>
          <w:szCs w:val="28"/>
        </w:rPr>
        <w:t>)</w:t>
      </w:r>
      <w:r w:rsidRPr="002631CA">
        <w:rPr>
          <w:bCs/>
          <w:sz w:val="28"/>
          <w:szCs w:val="28"/>
        </w:rPr>
        <w:t xml:space="preserve"> Darba plānu 2012.gadam </w:t>
      </w:r>
      <w:r w:rsidR="008D487F" w:rsidRPr="002631CA">
        <w:rPr>
          <w:bCs/>
          <w:sz w:val="28"/>
          <w:szCs w:val="28"/>
        </w:rPr>
        <w:t>VDI</w:t>
      </w:r>
      <w:r w:rsidRPr="002631CA">
        <w:rPr>
          <w:bCs/>
          <w:sz w:val="28"/>
          <w:szCs w:val="28"/>
        </w:rPr>
        <w:t xml:space="preserve"> tika noteikts veikt 3000 </w:t>
      </w:r>
      <w:r w:rsidRPr="002631CA">
        <w:rPr>
          <w:sz w:val="28"/>
          <w:szCs w:val="28"/>
        </w:rPr>
        <w:t xml:space="preserve">uzņēmumu apsekojumus, kuru saimnieciskajā darbībā ir paaugstināts nereģistrētas nodarbinātības risks, no kuriem </w:t>
      </w:r>
      <w:r w:rsidRPr="002631CA">
        <w:rPr>
          <w:bCs/>
          <w:sz w:val="28"/>
          <w:szCs w:val="28"/>
        </w:rPr>
        <w:t xml:space="preserve">25% apsekojumu ir rezultatīvi, </w:t>
      </w:r>
      <w:proofErr w:type="spellStart"/>
      <w:r w:rsidRPr="002631CA">
        <w:rPr>
          <w:bCs/>
          <w:sz w:val="28"/>
          <w:szCs w:val="28"/>
        </w:rPr>
        <w:t>t.i</w:t>
      </w:r>
      <w:proofErr w:type="spellEnd"/>
      <w:r w:rsidRPr="002631CA">
        <w:rPr>
          <w:bCs/>
          <w:sz w:val="28"/>
          <w:szCs w:val="28"/>
        </w:rPr>
        <w:t>., 25% apsekojumu tiek konstatēti nereģistrēti vai uz „pirmās dienas” darba līguma pamata nodarbinātie.</w:t>
      </w:r>
    </w:p>
    <w:p w:rsidR="006A0979" w:rsidRPr="002631CA" w:rsidRDefault="008D487F" w:rsidP="006A0979">
      <w:pPr>
        <w:ind w:right="4" w:firstLine="709"/>
        <w:jc w:val="both"/>
        <w:rPr>
          <w:sz w:val="28"/>
          <w:szCs w:val="28"/>
        </w:rPr>
      </w:pPr>
      <w:r w:rsidRPr="002631CA">
        <w:rPr>
          <w:sz w:val="28"/>
          <w:szCs w:val="28"/>
        </w:rPr>
        <w:lastRenderedPageBreak/>
        <w:t>VDI</w:t>
      </w:r>
      <w:r w:rsidR="006A0979" w:rsidRPr="002631CA">
        <w:rPr>
          <w:sz w:val="28"/>
          <w:szCs w:val="28"/>
        </w:rPr>
        <w:t xml:space="preserve"> 2012.gada </w:t>
      </w:r>
      <w:r w:rsidR="0019303D" w:rsidRPr="002631CA">
        <w:rPr>
          <w:sz w:val="28"/>
          <w:szCs w:val="28"/>
        </w:rPr>
        <w:t>sešos mēnešos</w:t>
      </w:r>
      <w:r w:rsidR="006A0979" w:rsidRPr="002631CA">
        <w:rPr>
          <w:sz w:val="28"/>
          <w:szCs w:val="28"/>
        </w:rPr>
        <w:t xml:space="preserve"> veica 1535 uzņēmumu </w:t>
      </w:r>
      <w:r w:rsidR="006A0979" w:rsidRPr="002631CA">
        <w:rPr>
          <w:bCs/>
          <w:sz w:val="28"/>
          <w:szCs w:val="28"/>
        </w:rPr>
        <w:t xml:space="preserve">apsekojumus saistībā ar nereģistrētās nodarbinātības pārkāpumu pārbaudi (veikti 51,2% apsekojumu no gada plāna), no tiem 32,8% apsekojumu bija rezultatīvi (plānots – 25%), </w:t>
      </w:r>
      <w:proofErr w:type="spellStart"/>
      <w:r w:rsidR="006A0979" w:rsidRPr="002631CA">
        <w:rPr>
          <w:bCs/>
          <w:sz w:val="28"/>
          <w:szCs w:val="28"/>
        </w:rPr>
        <w:t>t.i</w:t>
      </w:r>
      <w:proofErr w:type="spellEnd"/>
      <w:r w:rsidR="006A0979" w:rsidRPr="002631CA">
        <w:rPr>
          <w:bCs/>
          <w:sz w:val="28"/>
          <w:szCs w:val="28"/>
        </w:rPr>
        <w:t xml:space="preserve">., gandrīz katrā trešajā uzņēmumā tiek konstatētas nereģistrēti nodarbinātas vai uz „pirmās dienas” darba līgumu pamata nodarbinātas personas. Atskaites periodā tika konstatētas 1619 nereģistrēti nodarbinātas personas, kas ir par 29% vairāk nekā 2011.gada </w:t>
      </w:r>
      <w:r w:rsidR="0019303D" w:rsidRPr="002631CA">
        <w:rPr>
          <w:bCs/>
          <w:sz w:val="28"/>
          <w:szCs w:val="28"/>
        </w:rPr>
        <w:t>sešos mēnešos</w:t>
      </w:r>
      <w:r w:rsidR="006A0979" w:rsidRPr="002631CA">
        <w:rPr>
          <w:bCs/>
          <w:sz w:val="28"/>
          <w:szCs w:val="28"/>
        </w:rPr>
        <w:t xml:space="preserve">, kad tika konstatētas 1258 nereģistrēti nodarbinātas personas. Pēc pārbaudes veikšanas ar 248 personām tika noslēgti rakstveida darba līgumi un minētās personas tika reģistrētas Valsts ieņēmumu dienestā kā darba ņēmēji (2011.gada </w:t>
      </w:r>
      <w:r w:rsidR="009E5AE8" w:rsidRPr="002631CA">
        <w:rPr>
          <w:bCs/>
          <w:sz w:val="28"/>
          <w:szCs w:val="28"/>
        </w:rPr>
        <w:t>sešos mēnešos</w:t>
      </w:r>
      <w:r w:rsidR="006A0979" w:rsidRPr="002631CA">
        <w:rPr>
          <w:bCs/>
          <w:sz w:val="28"/>
          <w:szCs w:val="28"/>
        </w:rPr>
        <w:t xml:space="preserve"> – 342 personas). Savukārt par 1371 konstatēto nereģistrēti nodarbināto personu </w:t>
      </w:r>
      <w:r w:rsidR="009E5AE8" w:rsidRPr="002631CA">
        <w:rPr>
          <w:bCs/>
          <w:sz w:val="28"/>
          <w:szCs w:val="28"/>
        </w:rPr>
        <w:t>VID</w:t>
      </w:r>
      <w:r w:rsidR="006A0979" w:rsidRPr="002631CA">
        <w:rPr>
          <w:bCs/>
          <w:sz w:val="28"/>
          <w:szCs w:val="28"/>
        </w:rPr>
        <w:t xml:space="preserve"> ziņu nav. </w:t>
      </w:r>
      <w:r w:rsidR="006A0979" w:rsidRPr="002631CA">
        <w:rPr>
          <w:sz w:val="28"/>
          <w:szCs w:val="28"/>
        </w:rPr>
        <w:t xml:space="preserve">2012.gada </w:t>
      </w:r>
      <w:r w:rsidR="0019303D" w:rsidRPr="002631CA">
        <w:rPr>
          <w:sz w:val="28"/>
          <w:szCs w:val="28"/>
        </w:rPr>
        <w:t>sešos mēnešos</w:t>
      </w:r>
      <w:r w:rsidR="006A0979" w:rsidRPr="002631CA">
        <w:rPr>
          <w:sz w:val="28"/>
          <w:szCs w:val="28"/>
        </w:rPr>
        <w:t xml:space="preserve"> 78 uzņēmumos konstatētas 135 personas, kuras darba attiecības uzsākušas pārbaudes dienā vai dienu pirms tās (uz „pirmās dienas” darba līguma pamata nodarbinātie).</w:t>
      </w:r>
    </w:p>
    <w:p w:rsidR="006A0979" w:rsidRPr="002631CA" w:rsidRDefault="006A0979" w:rsidP="006A0979">
      <w:pPr>
        <w:ind w:right="4" w:firstLine="709"/>
        <w:jc w:val="both"/>
        <w:rPr>
          <w:sz w:val="28"/>
          <w:szCs w:val="28"/>
        </w:rPr>
      </w:pPr>
      <w:r w:rsidRPr="002631CA">
        <w:rPr>
          <w:sz w:val="28"/>
          <w:szCs w:val="28"/>
        </w:rPr>
        <w:t xml:space="preserve">Saskaņā ar </w:t>
      </w:r>
      <w:r w:rsidRPr="002631CA">
        <w:rPr>
          <w:bCs/>
          <w:sz w:val="28"/>
          <w:szCs w:val="28"/>
        </w:rPr>
        <w:t xml:space="preserve">Pasākumu plānu nereģistrētās nodarbinātības mazināšanai 2010.-2013.gadam 11.punktu </w:t>
      </w:r>
      <w:r w:rsidR="008D487F" w:rsidRPr="002631CA">
        <w:rPr>
          <w:sz w:val="28"/>
          <w:szCs w:val="28"/>
        </w:rPr>
        <w:t>VDI</w:t>
      </w:r>
      <w:r w:rsidRPr="002631CA">
        <w:rPr>
          <w:bCs/>
          <w:sz w:val="28"/>
          <w:szCs w:val="28"/>
        </w:rPr>
        <w:t xml:space="preserve"> tika noteikts, ka katru gadu tiek atkārtoti apsekoti vismaz 5% augsta nereģistrētās nodarbinātības riska nozaru uzņēmumu. 2012.gada periodā tika veikti 173 atkārtoti apsekojumi, </w:t>
      </w:r>
      <w:proofErr w:type="spellStart"/>
      <w:r w:rsidRPr="002631CA">
        <w:rPr>
          <w:bCs/>
          <w:sz w:val="28"/>
          <w:szCs w:val="28"/>
        </w:rPr>
        <w:t>t.i</w:t>
      </w:r>
      <w:proofErr w:type="spellEnd"/>
      <w:r w:rsidRPr="002631CA">
        <w:rPr>
          <w:bCs/>
          <w:sz w:val="28"/>
          <w:szCs w:val="28"/>
        </w:rPr>
        <w:t xml:space="preserve">., atkārtoti tika apsekoti 11,3% uzņēmumu. </w:t>
      </w:r>
    </w:p>
    <w:p w:rsidR="006A0979" w:rsidRPr="002631CA" w:rsidRDefault="006A0979" w:rsidP="006A0979">
      <w:pPr>
        <w:ind w:right="4" w:firstLine="709"/>
        <w:jc w:val="both"/>
        <w:rPr>
          <w:sz w:val="28"/>
          <w:szCs w:val="28"/>
        </w:rPr>
      </w:pPr>
      <w:r w:rsidRPr="002631CA">
        <w:rPr>
          <w:sz w:val="28"/>
          <w:szCs w:val="28"/>
        </w:rPr>
        <w:t xml:space="preserve">Par konstatētajiem pārkāpumiem (par darba līguma nenoslēgšanu rakstveida formā) saskaņā ar </w:t>
      </w:r>
      <w:r w:rsidR="009E5AE8" w:rsidRPr="002631CA">
        <w:rPr>
          <w:sz w:val="28"/>
          <w:szCs w:val="28"/>
        </w:rPr>
        <w:t>LAPK</w:t>
      </w:r>
      <w:r w:rsidRPr="002631CA">
        <w:rPr>
          <w:sz w:val="28"/>
          <w:szCs w:val="28"/>
        </w:rPr>
        <w:t xml:space="preserve"> normām </w:t>
      </w:r>
      <w:r w:rsidR="008D487F" w:rsidRPr="002631CA">
        <w:rPr>
          <w:sz w:val="28"/>
          <w:szCs w:val="28"/>
        </w:rPr>
        <w:t>VDI</w:t>
      </w:r>
      <w:r w:rsidRPr="002631CA">
        <w:rPr>
          <w:sz w:val="28"/>
          <w:szCs w:val="28"/>
        </w:rPr>
        <w:t xml:space="preserve"> amatpersonas 2012.gada </w:t>
      </w:r>
      <w:r w:rsidR="0019303D" w:rsidRPr="002631CA">
        <w:rPr>
          <w:sz w:val="28"/>
          <w:szCs w:val="28"/>
        </w:rPr>
        <w:t>sešos mēnešos</w:t>
      </w:r>
      <w:r w:rsidRPr="002631CA">
        <w:rPr>
          <w:sz w:val="28"/>
          <w:szCs w:val="28"/>
        </w:rPr>
        <w:t xml:space="preserve"> kopumā piemēroja naudas sodus 581 </w:t>
      </w:r>
      <w:proofErr w:type="spellStart"/>
      <w:r w:rsidR="008A728F" w:rsidRPr="002631CA">
        <w:rPr>
          <w:sz w:val="28"/>
          <w:szCs w:val="28"/>
        </w:rPr>
        <w:t>tūkst</w:t>
      </w:r>
      <w:proofErr w:type="spellEnd"/>
      <w:r w:rsidR="008A728F" w:rsidRPr="002631CA">
        <w:rPr>
          <w:sz w:val="28"/>
          <w:szCs w:val="28"/>
        </w:rPr>
        <w:t>. latu</w:t>
      </w:r>
      <w:r w:rsidRPr="002631CA">
        <w:rPr>
          <w:sz w:val="28"/>
          <w:szCs w:val="28"/>
        </w:rPr>
        <w:t xml:space="preserve">. Vēršam uzmanību, ka piemēroto administratīvo sodu summa 2012.gada </w:t>
      </w:r>
      <w:r w:rsidR="0019303D" w:rsidRPr="002631CA">
        <w:rPr>
          <w:sz w:val="28"/>
          <w:szCs w:val="28"/>
        </w:rPr>
        <w:t>sešos mēnešos</w:t>
      </w:r>
      <w:r w:rsidRPr="002631CA">
        <w:rPr>
          <w:sz w:val="28"/>
          <w:szCs w:val="28"/>
        </w:rPr>
        <w:t xml:space="preserve"> ir par 70% vairāk nekā 2011.gada attiecīgā periodā (341</w:t>
      </w:r>
      <w:r w:rsidR="008A728F" w:rsidRPr="002631CA">
        <w:rPr>
          <w:sz w:val="28"/>
          <w:szCs w:val="28"/>
        </w:rPr>
        <w:t>,</w:t>
      </w:r>
      <w:r w:rsidRPr="002631CA">
        <w:rPr>
          <w:sz w:val="28"/>
          <w:szCs w:val="28"/>
        </w:rPr>
        <w:t xml:space="preserve">635 </w:t>
      </w:r>
      <w:proofErr w:type="spellStart"/>
      <w:r w:rsidR="008A728F" w:rsidRPr="002631CA">
        <w:rPr>
          <w:sz w:val="28"/>
          <w:szCs w:val="28"/>
        </w:rPr>
        <w:t>tūkst</w:t>
      </w:r>
      <w:proofErr w:type="spellEnd"/>
      <w:r w:rsidR="008A728F" w:rsidRPr="002631CA">
        <w:rPr>
          <w:sz w:val="28"/>
          <w:szCs w:val="28"/>
        </w:rPr>
        <w:t>. latu</w:t>
      </w:r>
      <w:r w:rsidRPr="002631CA">
        <w:rPr>
          <w:sz w:val="28"/>
          <w:szCs w:val="28"/>
        </w:rPr>
        <w:t xml:space="preserve">). Būtisks piemēroto naudas sodu apjoma pieaugums skaidrojams gan ar to, ka par 10% ir palielinājies to uzņēmumu skaits, kuros konstatētas nereģistrēti nodarbinātas personas (2011.gadā - 388 uzņēmumi, 2012.gadā – 425), gan sodu politikas maiņu </w:t>
      </w:r>
      <w:r w:rsidR="008D487F" w:rsidRPr="002631CA">
        <w:rPr>
          <w:sz w:val="28"/>
          <w:szCs w:val="28"/>
        </w:rPr>
        <w:t>VDI</w:t>
      </w:r>
      <w:r w:rsidRPr="002631CA">
        <w:rPr>
          <w:sz w:val="28"/>
          <w:szCs w:val="28"/>
        </w:rPr>
        <w:t>, kad atšķirībā no līdzšinējās prakses, kad visbiežāk tika piemēroti minimālie sodi (</w:t>
      </w:r>
      <w:r w:rsidR="008A728F" w:rsidRPr="002631CA">
        <w:rPr>
          <w:sz w:val="28"/>
          <w:szCs w:val="28"/>
        </w:rPr>
        <w:t>0,</w:t>
      </w:r>
      <w:r w:rsidRPr="002631CA">
        <w:rPr>
          <w:sz w:val="28"/>
          <w:szCs w:val="28"/>
        </w:rPr>
        <w:t xml:space="preserve">75 </w:t>
      </w:r>
      <w:proofErr w:type="spellStart"/>
      <w:r w:rsidR="008A728F" w:rsidRPr="002631CA">
        <w:rPr>
          <w:sz w:val="28"/>
          <w:szCs w:val="28"/>
        </w:rPr>
        <w:t>tūkst</w:t>
      </w:r>
      <w:proofErr w:type="spellEnd"/>
      <w:r w:rsidR="008A728F" w:rsidRPr="002631CA">
        <w:rPr>
          <w:sz w:val="28"/>
          <w:szCs w:val="28"/>
        </w:rPr>
        <w:t>. latu</w:t>
      </w:r>
      <w:r w:rsidRPr="002631CA">
        <w:rPr>
          <w:sz w:val="28"/>
          <w:szCs w:val="28"/>
        </w:rPr>
        <w:t xml:space="preserve">), 2012.gadā, objektīvāk vērtējot pārkāpuma raksturu (piemēram, uzņēmumā nereģistrēti nodarbināto personu skaits, nereģistrētas nodarbinātības attiecību ilgums), </w:t>
      </w:r>
      <w:r w:rsidR="008D487F" w:rsidRPr="002631CA">
        <w:rPr>
          <w:sz w:val="28"/>
          <w:szCs w:val="28"/>
        </w:rPr>
        <w:t>VDI</w:t>
      </w:r>
      <w:r w:rsidRPr="002631CA">
        <w:rPr>
          <w:sz w:val="28"/>
          <w:szCs w:val="28"/>
        </w:rPr>
        <w:t xml:space="preserve"> par nereģistrēto nodarbinātību piemēroto administratīvo sodu apmērs vidēji jau sastāda 1</w:t>
      </w:r>
      <w:r w:rsidR="008A728F" w:rsidRPr="002631CA">
        <w:rPr>
          <w:sz w:val="28"/>
          <w:szCs w:val="28"/>
        </w:rPr>
        <w:t>,</w:t>
      </w:r>
      <w:r w:rsidRPr="002631CA">
        <w:rPr>
          <w:sz w:val="28"/>
          <w:szCs w:val="28"/>
        </w:rPr>
        <w:t xml:space="preserve">367 </w:t>
      </w:r>
      <w:proofErr w:type="spellStart"/>
      <w:r w:rsidR="008A728F" w:rsidRPr="002631CA">
        <w:rPr>
          <w:sz w:val="28"/>
          <w:szCs w:val="28"/>
        </w:rPr>
        <w:t>tūkst</w:t>
      </w:r>
      <w:proofErr w:type="spellEnd"/>
      <w:r w:rsidR="008A728F" w:rsidRPr="002631CA">
        <w:rPr>
          <w:sz w:val="28"/>
          <w:szCs w:val="28"/>
        </w:rPr>
        <w:t>. latu</w:t>
      </w:r>
      <w:r w:rsidRPr="002631CA">
        <w:rPr>
          <w:sz w:val="28"/>
          <w:szCs w:val="28"/>
        </w:rPr>
        <w:t xml:space="preserve">. Vienlaikus var atzīmēt, ka 2012.gada </w:t>
      </w:r>
      <w:r w:rsidR="0019303D" w:rsidRPr="002631CA">
        <w:rPr>
          <w:sz w:val="28"/>
          <w:szCs w:val="28"/>
        </w:rPr>
        <w:t>sešos mēnešos</w:t>
      </w:r>
      <w:r w:rsidRPr="002631CA">
        <w:rPr>
          <w:sz w:val="28"/>
          <w:szCs w:val="28"/>
        </w:rPr>
        <w:t xml:space="preserve"> par konstatētajiem nereģistrētās nodarbinātības pārkāpumiem, ja tie izdarīti atkārtoti gada laikā, piemēroti 18 sodi (135</w:t>
      </w:r>
      <w:r w:rsidR="008A728F" w:rsidRPr="002631CA">
        <w:rPr>
          <w:sz w:val="28"/>
          <w:szCs w:val="28"/>
        </w:rPr>
        <w:t>,</w:t>
      </w:r>
      <w:r w:rsidRPr="002631CA">
        <w:rPr>
          <w:sz w:val="28"/>
          <w:szCs w:val="28"/>
        </w:rPr>
        <w:t xml:space="preserve">95 </w:t>
      </w:r>
      <w:proofErr w:type="spellStart"/>
      <w:r w:rsidR="008A728F" w:rsidRPr="002631CA">
        <w:rPr>
          <w:sz w:val="28"/>
          <w:szCs w:val="28"/>
        </w:rPr>
        <w:t>tūkst</w:t>
      </w:r>
      <w:proofErr w:type="spellEnd"/>
      <w:r w:rsidR="008A728F" w:rsidRPr="002631CA">
        <w:rPr>
          <w:sz w:val="28"/>
          <w:szCs w:val="28"/>
        </w:rPr>
        <w:t>. latu</w:t>
      </w:r>
      <w:r w:rsidRPr="002631CA">
        <w:rPr>
          <w:sz w:val="28"/>
          <w:szCs w:val="28"/>
        </w:rPr>
        <w:t xml:space="preserve">), kamēr 2011.gada </w:t>
      </w:r>
      <w:r w:rsidR="0019303D" w:rsidRPr="002631CA">
        <w:rPr>
          <w:sz w:val="28"/>
          <w:szCs w:val="28"/>
        </w:rPr>
        <w:t>sešos mēnešos</w:t>
      </w:r>
      <w:r w:rsidRPr="002631CA">
        <w:rPr>
          <w:sz w:val="28"/>
          <w:szCs w:val="28"/>
        </w:rPr>
        <w:t xml:space="preserve"> vien 5 (33</w:t>
      </w:r>
      <w:r w:rsidR="008A728F" w:rsidRPr="002631CA">
        <w:rPr>
          <w:sz w:val="28"/>
          <w:szCs w:val="28"/>
        </w:rPr>
        <w:t>,</w:t>
      </w:r>
      <w:r w:rsidRPr="002631CA">
        <w:rPr>
          <w:sz w:val="28"/>
          <w:szCs w:val="28"/>
        </w:rPr>
        <w:t>5</w:t>
      </w:r>
      <w:r w:rsidR="008A728F" w:rsidRPr="002631CA">
        <w:rPr>
          <w:sz w:val="28"/>
          <w:szCs w:val="28"/>
        </w:rPr>
        <w:t xml:space="preserve"> </w:t>
      </w:r>
      <w:proofErr w:type="spellStart"/>
      <w:r w:rsidR="008A728F" w:rsidRPr="002631CA">
        <w:rPr>
          <w:sz w:val="28"/>
          <w:szCs w:val="28"/>
        </w:rPr>
        <w:t>tūkst</w:t>
      </w:r>
      <w:proofErr w:type="spellEnd"/>
      <w:r w:rsidR="008A728F" w:rsidRPr="002631CA">
        <w:rPr>
          <w:sz w:val="28"/>
          <w:szCs w:val="28"/>
        </w:rPr>
        <w:t>. latu</w:t>
      </w:r>
      <w:r w:rsidRPr="002631CA">
        <w:rPr>
          <w:sz w:val="28"/>
          <w:szCs w:val="28"/>
        </w:rPr>
        <w:t>).</w:t>
      </w:r>
    </w:p>
    <w:p w:rsidR="006A0979" w:rsidRPr="002631CA" w:rsidRDefault="00994B88" w:rsidP="006A0979">
      <w:pPr>
        <w:ind w:right="4" w:firstLine="709"/>
        <w:jc w:val="both"/>
        <w:rPr>
          <w:sz w:val="28"/>
          <w:szCs w:val="28"/>
        </w:rPr>
      </w:pPr>
      <w:r w:rsidRPr="002631CA">
        <w:rPr>
          <w:bCs/>
          <w:sz w:val="28"/>
          <w:szCs w:val="28"/>
        </w:rPr>
        <w:t xml:space="preserve">No </w:t>
      </w:r>
      <w:r w:rsidR="0019303D" w:rsidRPr="002631CA">
        <w:rPr>
          <w:bCs/>
          <w:sz w:val="28"/>
          <w:szCs w:val="28"/>
        </w:rPr>
        <w:t>2012.gada sešos mēnešos</w:t>
      </w:r>
      <w:r w:rsidR="006A0979" w:rsidRPr="002631CA">
        <w:rPr>
          <w:bCs/>
          <w:sz w:val="28"/>
          <w:szCs w:val="28"/>
        </w:rPr>
        <w:t xml:space="preserve"> atklāt</w:t>
      </w:r>
      <w:r w:rsidRPr="002631CA">
        <w:rPr>
          <w:bCs/>
          <w:sz w:val="28"/>
          <w:szCs w:val="28"/>
        </w:rPr>
        <w:t>ajām</w:t>
      </w:r>
      <w:r w:rsidR="006A0979" w:rsidRPr="002631CA">
        <w:rPr>
          <w:bCs/>
          <w:sz w:val="28"/>
          <w:szCs w:val="28"/>
        </w:rPr>
        <w:t xml:space="preserve"> </w:t>
      </w:r>
      <w:r w:rsidRPr="002631CA">
        <w:rPr>
          <w:bCs/>
          <w:sz w:val="28"/>
          <w:szCs w:val="28"/>
        </w:rPr>
        <w:t>1619</w:t>
      </w:r>
      <w:r w:rsidR="006A0979" w:rsidRPr="002631CA">
        <w:rPr>
          <w:bCs/>
          <w:sz w:val="28"/>
          <w:szCs w:val="28"/>
        </w:rPr>
        <w:t xml:space="preserve"> nereģistrēt</w:t>
      </w:r>
      <w:r w:rsidRPr="002631CA">
        <w:rPr>
          <w:bCs/>
          <w:sz w:val="28"/>
          <w:szCs w:val="28"/>
        </w:rPr>
        <w:t>i</w:t>
      </w:r>
      <w:r w:rsidR="006A0979" w:rsidRPr="002631CA">
        <w:rPr>
          <w:bCs/>
          <w:sz w:val="28"/>
          <w:szCs w:val="28"/>
        </w:rPr>
        <w:t xml:space="preserve"> nodarbināt</w:t>
      </w:r>
      <w:r w:rsidRPr="002631CA">
        <w:rPr>
          <w:bCs/>
          <w:sz w:val="28"/>
          <w:szCs w:val="28"/>
        </w:rPr>
        <w:t>o</w:t>
      </w:r>
      <w:r w:rsidR="006A0979" w:rsidRPr="002631CA">
        <w:rPr>
          <w:bCs/>
          <w:sz w:val="28"/>
          <w:szCs w:val="28"/>
        </w:rPr>
        <w:t xml:space="preserve"> person</w:t>
      </w:r>
      <w:r w:rsidRPr="002631CA">
        <w:rPr>
          <w:bCs/>
          <w:sz w:val="28"/>
          <w:szCs w:val="28"/>
        </w:rPr>
        <w:t xml:space="preserve">u </w:t>
      </w:r>
      <w:r w:rsidR="006A0979" w:rsidRPr="002631CA">
        <w:rPr>
          <w:bCs/>
          <w:sz w:val="28"/>
          <w:szCs w:val="28"/>
        </w:rPr>
        <w:t>skaita, būvniecības nozarē</w:t>
      </w:r>
      <w:r w:rsidRPr="002631CA">
        <w:rPr>
          <w:bCs/>
          <w:sz w:val="28"/>
          <w:szCs w:val="28"/>
        </w:rPr>
        <w:t xml:space="preserve"> konstatēti</w:t>
      </w:r>
      <w:r w:rsidR="006A0979" w:rsidRPr="002631CA">
        <w:rPr>
          <w:bCs/>
          <w:sz w:val="28"/>
          <w:szCs w:val="28"/>
        </w:rPr>
        <w:t xml:space="preserve"> - 261 nereģistrēt</w:t>
      </w:r>
      <w:r w:rsidRPr="002631CA">
        <w:rPr>
          <w:bCs/>
          <w:sz w:val="28"/>
          <w:szCs w:val="28"/>
        </w:rPr>
        <w:t>as</w:t>
      </w:r>
      <w:r w:rsidR="006A0979" w:rsidRPr="002631CA">
        <w:rPr>
          <w:bCs/>
          <w:sz w:val="28"/>
          <w:szCs w:val="28"/>
        </w:rPr>
        <w:t xml:space="preserve"> nodarbināt</w:t>
      </w:r>
      <w:r w:rsidRPr="002631CA">
        <w:rPr>
          <w:bCs/>
          <w:sz w:val="28"/>
          <w:szCs w:val="28"/>
        </w:rPr>
        <w:t>ā</w:t>
      </w:r>
      <w:r w:rsidR="006A0979" w:rsidRPr="002631CA">
        <w:rPr>
          <w:bCs/>
          <w:sz w:val="28"/>
          <w:szCs w:val="28"/>
        </w:rPr>
        <w:t>s personas jeb 16% no kopējā nereģistrēti nodarbināto skaita, uzglabāšanas un transporta palīgdarbos (loģistika) - 224 (</w:t>
      </w:r>
      <w:r w:rsidRPr="002631CA">
        <w:rPr>
          <w:bCs/>
          <w:sz w:val="28"/>
          <w:szCs w:val="28"/>
        </w:rPr>
        <w:t>14</w:t>
      </w:r>
      <w:r w:rsidR="006A0979" w:rsidRPr="002631CA">
        <w:rPr>
          <w:bCs/>
          <w:sz w:val="28"/>
          <w:szCs w:val="28"/>
        </w:rPr>
        <w:t>%), tirdzniecības pakalpojumu sniegšanas nozarē - 168 (</w:t>
      </w:r>
      <w:r w:rsidRPr="002631CA">
        <w:rPr>
          <w:bCs/>
          <w:sz w:val="28"/>
          <w:szCs w:val="28"/>
        </w:rPr>
        <w:t>10</w:t>
      </w:r>
      <w:r w:rsidR="006A0979" w:rsidRPr="002631CA">
        <w:rPr>
          <w:bCs/>
          <w:sz w:val="28"/>
          <w:szCs w:val="28"/>
        </w:rPr>
        <w:t xml:space="preserve">%) un apstrādes nozarē - 166 (10%), </w:t>
      </w:r>
      <w:r w:rsidR="006A0979" w:rsidRPr="002631CA">
        <w:rPr>
          <w:sz w:val="28"/>
          <w:szCs w:val="28"/>
        </w:rPr>
        <w:t xml:space="preserve">kas norāda, ka minēto nozaru uzņēmumu darbībā ir saskatāmas augsta nereģistrētās nodarbinātības riska pazīmes. Vēršam uzmanību, ka 2012.gadā izlīdzinājies </w:t>
      </w:r>
      <w:r w:rsidR="006A0979" w:rsidRPr="002631CA">
        <w:rPr>
          <w:sz w:val="28"/>
          <w:szCs w:val="28"/>
        </w:rPr>
        <w:lastRenderedPageBreak/>
        <w:t xml:space="preserve">nereģistrētās nodarbinātības īpatsvars tautsaimniecības nozaru griezumā, </w:t>
      </w:r>
      <w:proofErr w:type="spellStart"/>
      <w:r w:rsidR="006A0979" w:rsidRPr="002631CA">
        <w:rPr>
          <w:sz w:val="28"/>
          <w:szCs w:val="28"/>
        </w:rPr>
        <w:t>t.i</w:t>
      </w:r>
      <w:proofErr w:type="spellEnd"/>
      <w:r w:rsidR="006A0979" w:rsidRPr="002631CA">
        <w:rPr>
          <w:sz w:val="28"/>
          <w:szCs w:val="28"/>
        </w:rPr>
        <w:t xml:space="preserve">., ja iepriekšējos gados būvniecības nozarē tika konstatēts aptuveni 50% no kopumā konstatētajām nereģistrēti nodarbinātajām personām, tad 2012.gadā (līdzīga tendence bija jau saskatāma arī 2011.gada II pusgadā) būvniecības nozare sastāda vien 16,1% no kopējā nereģistrētās nodarbinātības īpatsvara nozaru griezumā (pie faktiski līdzīga atklāto nereģistrēti nodarbināto skaita, 2011.gada </w:t>
      </w:r>
      <w:r w:rsidR="0019303D" w:rsidRPr="002631CA">
        <w:rPr>
          <w:sz w:val="28"/>
          <w:szCs w:val="28"/>
        </w:rPr>
        <w:t>sešos mēnešos</w:t>
      </w:r>
      <w:r w:rsidR="006A0979" w:rsidRPr="002631CA">
        <w:rPr>
          <w:sz w:val="28"/>
          <w:szCs w:val="28"/>
        </w:rPr>
        <w:t xml:space="preserve"> – 261, 2012.gadā – 283), bet pārējās nozarēs nereģistrētās nodarbinātības līmenis ir pieaudzis, kas faktiski liecina par problēmas izplatību arī citās nozarēs.</w:t>
      </w:r>
    </w:p>
    <w:p w:rsidR="006A0979" w:rsidRPr="002631CA" w:rsidRDefault="006A0979" w:rsidP="006A0979">
      <w:pPr>
        <w:autoSpaceDE w:val="0"/>
        <w:autoSpaceDN w:val="0"/>
        <w:adjustRightInd w:val="0"/>
        <w:ind w:firstLine="709"/>
        <w:jc w:val="both"/>
        <w:rPr>
          <w:sz w:val="28"/>
          <w:szCs w:val="28"/>
        </w:rPr>
      </w:pPr>
      <w:r w:rsidRPr="002631CA">
        <w:rPr>
          <w:sz w:val="28"/>
          <w:szCs w:val="28"/>
        </w:rPr>
        <w:t>Jāatzīmē, ka 2012.gadā, salīdzinot ar 2011.gadu, ir palielinājies to gadījumu skaits, ka</w:t>
      </w:r>
      <w:r w:rsidR="008D487F" w:rsidRPr="002631CA">
        <w:rPr>
          <w:sz w:val="28"/>
          <w:szCs w:val="28"/>
        </w:rPr>
        <w:t>d</w:t>
      </w:r>
      <w:r w:rsidRPr="002631CA">
        <w:rPr>
          <w:sz w:val="28"/>
          <w:szCs w:val="28"/>
        </w:rPr>
        <w:t xml:space="preserve"> tiek konstatēti tādi nereģistrēti nodarbinātie, kuri nereģistrēti strādā un vienlaicīgi atrodas bezdarbnieka statusā. Ja 2011.gada </w:t>
      </w:r>
      <w:r w:rsidR="0019303D" w:rsidRPr="002631CA">
        <w:rPr>
          <w:sz w:val="28"/>
          <w:szCs w:val="28"/>
        </w:rPr>
        <w:t>sešos mēnešos</w:t>
      </w:r>
      <w:r w:rsidRPr="002631CA">
        <w:rPr>
          <w:sz w:val="28"/>
          <w:szCs w:val="28"/>
        </w:rPr>
        <w:t xml:space="preserve"> tika konstatētas 107 šādas personas, tad saskaņā ar 2012.gada operatīvajiem datiem šobrīd tādas jau ir 122 (no tiem, bezdarbnieka pabalstu vai citu labumu saņēmēji – 77), kas ir par 14% vairāk nekā attiecīgajā periodā pērn. Kā vienu no iemesliem šādam konstatēto strādājošo bezdarbnieku palielinājumam varētu minēt to, ka vairumā gadījumu kā </w:t>
      </w:r>
      <w:r w:rsidR="008A728F" w:rsidRPr="002631CA">
        <w:rPr>
          <w:sz w:val="28"/>
          <w:szCs w:val="28"/>
        </w:rPr>
        <w:t>nereģistrēti</w:t>
      </w:r>
      <w:r w:rsidRPr="002631CA">
        <w:rPr>
          <w:sz w:val="28"/>
          <w:szCs w:val="28"/>
        </w:rPr>
        <w:t xml:space="preserve"> nodarbinātie bezdarbnieki tiek konstatēti „ilgstošie” bezdarbnieki, </w:t>
      </w:r>
      <w:proofErr w:type="spellStart"/>
      <w:r w:rsidRPr="002631CA">
        <w:rPr>
          <w:sz w:val="28"/>
          <w:szCs w:val="28"/>
        </w:rPr>
        <w:t>t.i</w:t>
      </w:r>
      <w:proofErr w:type="spellEnd"/>
      <w:r w:rsidRPr="002631CA">
        <w:rPr>
          <w:sz w:val="28"/>
          <w:szCs w:val="28"/>
        </w:rPr>
        <w:t xml:space="preserve">., tādi bezdarbnieki, kuri nesaņem bezdarbnieka pabalstu vai citas bezdarbniekam pienākošās garantijas. Vienlaikus jāatzīmē, ka Nodarbinātības valsts aģentūra sadarbībā ar </w:t>
      </w:r>
      <w:r w:rsidR="008D487F" w:rsidRPr="002631CA">
        <w:rPr>
          <w:sz w:val="28"/>
          <w:szCs w:val="28"/>
        </w:rPr>
        <w:t>VDI</w:t>
      </w:r>
      <w:r w:rsidRPr="002631CA">
        <w:rPr>
          <w:sz w:val="28"/>
          <w:szCs w:val="28"/>
        </w:rPr>
        <w:t xml:space="preserve"> organizē seminārus bezdarbniekiem, kuros tiek skaidrota darba līguma slēgšanas nepieciešamība, kā arī sniegta informācija par sekām, ja darba attiecības tiek noformētas neatbilstoši normatīvo aktu prasībām, kā arī ir sagatavot</w:t>
      </w:r>
      <w:r w:rsidR="008D487F" w:rsidRPr="002631CA">
        <w:rPr>
          <w:sz w:val="28"/>
          <w:szCs w:val="28"/>
        </w:rPr>
        <w:t>a</w:t>
      </w:r>
      <w:r w:rsidRPr="002631CA">
        <w:rPr>
          <w:sz w:val="28"/>
          <w:szCs w:val="28"/>
        </w:rPr>
        <w:t xml:space="preserve"> un sadarbībā ar citām valsts institūcijām tiek izplatīta izglītojoša informācija darbiniekiem un darba devējiem par nereģistrētās nodarbinātības negatīvajiem aspektiem.</w:t>
      </w:r>
    </w:p>
    <w:p w:rsidR="006A0979" w:rsidRPr="002631CA" w:rsidRDefault="006A0979" w:rsidP="00EA095C">
      <w:pPr>
        <w:ind w:firstLine="709"/>
        <w:jc w:val="both"/>
        <w:rPr>
          <w:rFonts w:eastAsia="TimesNewRomanPSMT"/>
          <w:sz w:val="28"/>
          <w:szCs w:val="28"/>
        </w:rPr>
      </w:pPr>
      <w:r w:rsidRPr="002631CA">
        <w:rPr>
          <w:rFonts w:eastAsia="TimesNewRomanPSMT"/>
          <w:sz w:val="28"/>
          <w:szCs w:val="28"/>
        </w:rPr>
        <w:t xml:space="preserve">Kopumā 2012.gada </w:t>
      </w:r>
      <w:r w:rsidR="0019303D" w:rsidRPr="002631CA">
        <w:rPr>
          <w:rFonts w:eastAsia="TimesNewRomanPSMT"/>
          <w:sz w:val="28"/>
          <w:szCs w:val="28"/>
        </w:rPr>
        <w:t>sešos mēnešos</w:t>
      </w:r>
      <w:r w:rsidRPr="002631CA">
        <w:rPr>
          <w:rFonts w:eastAsia="TimesNewRomanPSMT"/>
          <w:sz w:val="28"/>
          <w:szCs w:val="28"/>
        </w:rPr>
        <w:t xml:space="preserve"> </w:t>
      </w:r>
      <w:r w:rsidR="008D487F" w:rsidRPr="002631CA">
        <w:rPr>
          <w:sz w:val="28"/>
          <w:szCs w:val="28"/>
        </w:rPr>
        <w:t>VDI</w:t>
      </w:r>
      <w:r w:rsidRPr="002631CA">
        <w:rPr>
          <w:rFonts w:eastAsia="TimesNewRomanPSMT"/>
          <w:sz w:val="28"/>
          <w:szCs w:val="28"/>
        </w:rPr>
        <w:t xml:space="preserve"> darbība ēnu ekonomikas apkarošanā ir devusi valsts budžetā 620</w:t>
      </w:r>
      <w:r w:rsidR="00EA095C" w:rsidRPr="002631CA">
        <w:rPr>
          <w:rFonts w:eastAsia="TimesNewRomanPSMT"/>
          <w:sz w:val="28"/>
          <w:szCs w:val="28"/>
        </w:rPr>
        <w:t>,</w:t>
      </w:r>
      <w:r w:rsidRPr="002631CA">
        <w:rPr>
          <w:rFonts w:eastAsia="TimesNewRomanPSMT"/>
          <w:sz w:val="28"/>
          <w:szCs w:val="28"/>
        </w:rPr>
        <w:t xml:space="preserve">749 </w:t>
      </w:r>
      <w:proofErr w:type="spellStart"/>
      <w:r w:rsidR="00EA095C" w:rsidRPr="002631CA">
        <w:rPr>
          <w:rFonts w:eastAsia="TimesNewRomanPSMT"/>
          <w:sz w:val="28"/>
          <w:szCs w:val="28"/>
        </w:rPr>
        <w:t>tūkst</w:t>
      </w:r>
      <w:proofErr w:type="spellEnd"/>
      <w:r w:rsidR="00EA095C" w:rsidRPr="002631CA">
        <w:rPr>
          <w:rFonts w:eastAsia="TimesNewRomanPSMT"/>
          <w:sz w:val="28"/>
          <w:szCs w:val="28"/>
        </w:rPr>
        <w:t>. latu</w:t>
      </w:r>
      <w:r w:rsidRPr="002631CA">
        <w:rPr>
          <w:rFonts w:eastAsia="TimesNewRomanPSMT"/>
          <w:sz w:val="28"/>
          <w:szCs w:val="28"/>
        </w:rPr>
        <w:t>, ko veido piemēroto soda naudu summa 581</w:t>
      </w:r>
      <w:r w:rsidR="00EA095C" w:rsidRPr="002631CA">
        <w:rPr>
          <w:rFonts w:eastAsia="TimesNewRomanPSMT"/>
          <w:sz w:val="28"/>
          <w:szCs w:val="28"/>
        </w:rPr>
        <w:t>,</w:t>
      </w:r>
      <w:r w:rsidRPr="002631CA">
        <w:rPr>
          <w:rFonts w:eastAsia="TimesNewRomanPSMT"/>
          <w:sz w:val="28"/>
          <w:szCs w:val="28"/>
        </w:rPr>
        <w:t xml:space="preserve">04 </w:t>
      </w:r>
      <w:proofErr w:type="spellStart"/>
      <w:r w:rsidR="00EA095C" w:rsidRPr="002631CA">
        <w:rPr>
          <w:rFonts w:eastAsia="TimesNewRomanPSMT"/>
          <w:sz w:val="28"/>
          <w:szCs w:val="28"/>
        </w:rPr>
        <w:t>tūkst</w:t>
      </w:r>
      <w:proofErr w:type="spellEnd"/>
      <w:r w:rsidR="00EA095C" w:rsidRPr="002631CA">
        <w:rPr>
          <w:rFonts w:eastAsia="TimesNewRomanPSMT"/>
          <w:sz w:val="28"/>
          <w:szCs w:val="28"/>
        </w:rPr>
        <w:t>. latu</w:t>
      </w:r>
      <w:r w:rsidRPr="002631CA">
        <w:rPr>
          <w:rFonts w:eastAsia="TimesNewRomanPSMT"/>
          <w:sz w:val="28"/>
          <w:szCs w:val="28"/>
        </w:rPr>
        <w:t xml:space="preserve"> (pērn 6 mēnešos – </w:t>
      </w:r>
      <w:r w:rsidRPr="002631CA">
        <w:rPr>
          <w:sz w:val="28"/>
          <w:szCs w:val="28"/>
        </w:rPr>
        <w:t>341</w:t>
      </w:r>
      <w:r w:rsidR="00EA095C" w:rsidRPr="002631CA">
        <w:rPr>
          <w:sz w:val="28"/>
          <w:szCs w:val="28"/>
        </w:rPr>
        <w:t>,</w:t>
      </w:r>
      <w:r w:rsidRPr="002631CA">
        <w:rPr>
          <w:sz w:val="28"/>
          <w:szCs w:val="28"/>
        </w:rPr>
        <w:t xml:space="preserve">635 </w:t>
      </w:r>
      <w:proofErr w:type="spellStart"/>
      <w:r w:rsidR="00EA095C" w:rsidRPr="002631CA">
        <w:rPr>
          <w:sz w:val="28"/>
          <w:szCs w:val="28"/>
        </w:rPr>
        <w:t>tūkst</w:t>
      </w:r>
      <w:proofErr w:type="spellEnd"/>
      <w:r w:rsidR="00EA095C" w:rsidRPr="002631CA">
        <w:rPr>
          <w:sz w:val="28"/>
          <w:szCs w:val="28"/>
        </w:rPr>
        <w:t>. latu</w:t>
      </w:r>
      <w:r w:rsidRPr="002631CA">
        <w:rPr>
          <w:rFonts w:eastAsia="TimesNewRomanPSMT"/>
          <w:sz w:val="28"/>
          <w:szCs w:val="28"/>
        </w:rPr>
        <w:t>) apmērā un nodokļu ieņēmumi 39</w:t>
      </w:r>
      <w:r w:rsidR="00EA095C" w:rsidRPr="002631CA">
        <w:rPr>
          <w:rFonts w:eastAsia="TimesNewRomanPSMT"/>
          <w:sz w:val="28"/>
          <w:szCs w:val="28"/>
        </w:rPr>
        <w:t>,</w:t>
      </w:r>
      <w:r w:rsidRPr="002631CA">
        <w:rPr>
          <w:rFonts w:eastAsia="TimesNewRomanPSMT"/>
          <w:sz w:val="28"/>
          <w:szCs w:val="28"/>
        </w:rPr>
        <w:t xml:space="preserve">709 </w:t>
      </w:r>
      <w:proofErr w:type="spellStart"/>
      <w:r w:rsidR="00EA095C" w:rsidRPr="002631CA">
        <w:rPr>
          <w:rFonts w:eastAsia="TimesNewRomanPSMT"/>
          <w:sz w:val="28"/>
          <w:szCs w:val="28"/>
        </w:rPr>
        <w:t>tūkst</w:t>
      </w:r>
      <w:proofErr w:type="spellEnd"/>
      <w:r w:rsidR="00EA095C" w:rsidRPr="002631CA">
        <w:rPr>
          <w:rFonts w:eastAsia="TimesNewRomanPSMT"/>
          <w:sz w:val="28"/>
          <w:szCs w:val="28"/>
        </w:rPr>
        <w:t>. latu</w:t>
      </w:r>
      <w:r w:rsidRPr="002631CA">
        <w:rPr>
          <w:rFonts w:eastAsia="TimesNewRomanPSMT"/>
          <w:sz w:val="28"/>
          <w:szCs w:val="28"/>
        </w:rPr>
        <w:t xml:space="preserve"> apmērā no noslēgtajiem darba līgumiem, pieņemot, ka tie tiek noslēgti vismaz par minimālo mēneša darba algu un vismaz uz 1 mēnesi.</w:t>
      </w:r>
    </w:p>
    <w:p w:rsidR="004C4007" w:rsidRPr="002631CA" w:rsidRDefault="004C4007" w:rsidP="00EA095C">
      <w:pPr>
        <w:ind w:firstLine="709"/>
        <w:jc w:val="both"/>
        <w:rPr>
          <w:rFonts w:eastAsia="TimesNewRomanPSMT"/>
          <w:sz w:val="28"/>
          <w:szCs w:val="28"/>
        </w:rPr>
      </w:pPr>
    </w:p>
    <w:p w:rsidR="004C4007" w:rsidRPr="002631CA" w:rsidRDefault="004C4007" w:rsidP="007B7FE3">
      <w:pPr>
        <w:jc w:val="center"/>
        <w:rPr>
          <w:rFonts w:eastAsia="TimesNewRomanPSMT"/>
          <w:b/>
          <w:sz w:val="28"/>
          <w:szCs w:val="28"/>
        </w:rPr>
      </w:pPr>
      <w:r w:rsidRPr="002631CA">
        <w:rPr>
          <w:rFonts w:eastAsia="TimesNewRomanPSMT"/>
          <w:b/>
          <w:sz w:val="28"/>
          <w:szCs w:val="28"/>
        </w:rPr>
        <w:t>ZEMKOPĪBAS MINISTRIJA</w:t>
      </w:r>
    </w:p>
    <w:p w:rsidR="004C4007" w:rsidRPr="002631CA" w:rsidRDefault="004C4007" w:rsidP="007B7FE3">
      <w:pPr>
        <w:jc w:val="center"/>
        <w:rPr>
          <w:rFonts w:eastAsia="TimesNewRomanPSMT"/>
          <w:b/>
          <w:sz w:val="28"/>
          <w:szCs w:val="28"/>
        </w:rPr>
      </w:pPr>
      <w:r w:rsidRPr="002631CA">
        <w:rPr>
          <w:rFonts w:eastAsia="TimesNewRomanPSMT"/>
          <w:b/>
          <w:sz w:val="28"/>
          <w:szCs w:val="28"/>
        </w:rPr>
        <w:t>PĀRTIKAS UN VETERINĀRAIS DIENESTS</w:t>
      </w:r>
    </w:p>
    <w:p w:rsidR="004D0A50" w:rsidRPr="002631CA" w:rsidRDefault="004D0A50" w:rsidP="004D0A50">
      <w:pPr>
        <w:rPr>
          <w:rFonts w:ascii="Arial Narrow" w:hAnsi="Arial Narrow"/>
          <w:b/>
          <w:sz w:val="28"/>
          <w:szCs w:val="28"/>
        </w:rPr>
      </w:pPr>
    </w:p>
    <w:p w:rsidR="000026A9" w:rsidRPr="002631CA" w:rsidRDefault="005F6E89" w:rsidP="000026A9">
      <w:pPr>
        <w:jc w:val="both"/>
        <w:rPr>
          <w:sz w:val="28"/>
          <w:szCs w:val="28"/>
        </w:rPr>
      </w:pPr>
      <w:r w:rsidRPr="002631CA">
        <w:rPr>
          <w:sz w:val="28"/>
          <w:szCs w:val="28"/>
        </w:rPr>
        <w:tab/>
        <w:t xml:space="preserve">Pārtikas un veterinārais dienests (turpmāk - PVD) 2012.gada </w:t>
      </w:r>
      <w:r w:rsidR="0019303D" w:rsidRPr="002631CA">
        <w:rPr>
          <w:sz w:val="28"/>
          <w:szCs w:val="28"/>
        </w:rPr>
        <w:t>sešos mēnešos</w:t>
      </w:r>
      <w:r w:rsidRPr="002631CA">
        <w:rPr>
          <w:sz w:val="28"/>
          <w:szCs w:val="28"/>
        </w:rPr>
        <w:t xml:space="preserve"> oficiālās kontroles ietvaros</w:t>
      </w:r>
      <w:r w:rsidR="000026A9" w:rsidRPr="002631CA">
        <w:rPr>
          <w:sz w:val="28"/>
          <w:szCs w:val="28"/>
        </w:rPr>
        <w:t xml:space="preserve"> veikuši 19284 pārbaudes pārtikas uzņēmumos, īpašu uzmanību vēršot dzīvnieku izcelsmes produktu apritei (svaiga gaļa un piena produkti), kā arī svaigu augļu un dārzeņu izcelsmes kontrolei. Pārbaužu laikā apturēta 33 uzņēmumu darbība un no aprites izņemtas vairāk nekā 16 tonnas neskaidras izcelsmes pārtikas produktu.</w:t>
      </w:r>
    </w:p>
    <w:p w:rsidR="005F6E89" w:rsidRPr="002631CA" w:rsidRDefault="000026A9" w:rsidP="000026A9">
      <w:pPr>
        <w:ind w:firstLine="720"/>
        <w:jc w:val="both"/>
        <w:rPr>
          <w:sz w:val="28"/>
          <w:szCs w:val="28"/>
        </w:rPr>
      </w:pPr>
      <w:r w:rsidRPr="002631CA">
        <w:rPr>
          <w:sz w:val="28"/>
          <w:szCs w:val="28"/>
        </w:rPr>
        <w:lastRenderedPageBreak/>
        <w:t xml:space="preserve">Par konstatētajiem pārkāpumiem 1580 gadījumos piemēroti naudas sodi 80,797 </w:t>
      </w:r>
      <w:proofErr w:type="spellStart"/>
      <w:r w:rsidRPr="002631CA">
        <w:rPr>
          <w:sz w:val="28"/>
          <w:szCs w:val="28"/>
        </w:rPr>
        <w:t>tūkst</w:t>
      </w:r>
      <w:proofErr w:type="spellEnd"/>
      <w:r w:rsidRPr="002631CA">
        <w:rPr>
          <w:sz w:val="28"/>
          <w:szCs w:val="28"/>
        </w:rPr>
        <w:t>. latu.</w:t>
      </w:r>
    </w:p>
    <w:p w:rsidR="000026A9" w:rsidRPr="002631CA" w:rsidRDefault="000026A9" w:rsidP="000026A9">
      <w:pPr>
        <w:ind w:firstLine="720"/>
        <w:jc w:val="both"/>
        <w:rPr>
          <w:sz w:val="28"/>
          <w:szCs w:val="28"/>
        </w:rPr>
      </w:pPr>
      <w:r w:rsidRPr="002631CA">
        <w:rPr>
          <w:sz w:val="28"/>
          <w:szCs w:val="28"/>
        </w:rPr>
        <w:t>Veterinārās uzraudzības jomā veikta virkne pasākumu, kas ietvērusi pastiprinātas pārbaudes lauksaimniecības dzīvnieku novietnēs ar nelegālas dzīvnieku un pārtikas aprites riska pazīmēm.</w:t>
      </w:r>
    </w:p>
    <w:p w:rsidR="000026A9" w:rsidRPr="002631CA" w:rsidRDefault="000026A9" w:rsidP="000026A9">
      <w:pPr>
        <w:ind w:firstLine="720"/>
        <w:jc w:val="both"/>
        <w:rPr>
          <w:sz w:val="28"/>
          <w:szCs w:val="28"/>
        </w:rPr>
      </w:pPr>
      <w:r w:rsidRPr="002631CA">
        <w:rPr>
          <w:sz w:val="28"/>
          <w:szCs w:val="28"/>
        </w:rPr>
        <w:t>Kopumā veiktas 3331 novietņu pārbaudes. Piena ražošanas saimniecībās neatbilstības konstatētas 64% gadījumos, bet cūku audzēšanas saimniecībās - 57% gadījumos. Konstatējot nopietnas neatbilstības, veterinārie inspektori 150 gadījumos ir pieņēmuši lēmumus par dzīvnieku pārvietošanas pagaidu aizliegumu un 54 gadījumos - par produkcijas realizācijas pagaidu aizliegumu.</w:t>
      </w:r>
    </w:p>
    <w:p w:rsidR="000026A9" w:rsidRPr="002631CA" w:rsidRDefault="000026A9" w:rsidP="000026A9">
      <w:pPr>
        <w:ind w:firstLine="720"/>
        <w:jc w:val="both"/>
        <w:rPr>
          <w:sz w:val="28"/>
          <w:szCs w:val="28"/>
        </w:rPr>
      </w:pPr>
      <w:r w:rsidRPr="002631CA">
        <w:rPr>
          <w:sz w:val="28"/>
          <w:szCs w:val="28"/>
        </w:rPr>
        <w:t>Vienā cūku audzēšanas saimniecībā atklāta virkne neatbilstību, kas norādīja uz iespējamu nelegālas produkcijas apriti lielos apjomos. Par pārbaudes rezultātiem tika informēta Valsts policija, ierosināta krimināllieta.</w:t>
      </w:r>
    </w:p>
    <w:p w:rsidR="000026A9" w:rsidRPr="002631CA" w:rsidRDefault="000026A9" w:rsidP="000026A9">
      <w:pPr>
        <w:ind w:firstLine="720"/>
        <w:jc w:val="both"/>
        <w:rPr>
          <w:sz w:val="28"/>
          <w:szCs w:val="28"/>
        </w:rPr>
      </w:pPr>
      <w:r w:rsidRPr="002631CA">
        <w:rPr>
          <w:sz w:val="28"/>
          <w:szCs w:val="28"/>
        </w:rPr>
        <w:t>Sakarā ar krasu cilvēku saslimstību ar trihinelozi, šā gada pavasarī veiktas ārpuskārtas pārbaudes 82 cūku novietnēs Daugavpils reģionā. Pārbaudes tika veiktas novietnēs, par kurām bija aizdomas, ka tās ir iesaistītas nelegālā dzīvu cūku un cūkgaļas apritē. Minētajās pārbaudēs atklātas arī nereģistrētas dzīvnieku novietnes un dzīvnieki. Par konstatētajām neatbilstībām sastādīti 22 administratīvo pārkāpumu protokoli.</w:t>
      </w:r>
    </w:p>
    <w:p w:rsidR="000026A9" w:rsidRPr="002631CA" w:rsidRDefault="000026A9" w:rsidP="000026A9">
      <w:pPr>
        <w:ind w:firstLine="720"/>
        <w:jc w:val="both"/>
        <w:rPr>
          <w:sz w:val="28"/>
          <w:szCs w:val="28"/>
        </w:rPr>
      </w:pPr>
      <w:r w:rsidRPr="002631CA">
        <w:rPr>
          <w:sz w:val="28"/>
          <w:szCs w:val="28"/>
        </w:rPr>
        <w:t>Veterināro zāļu aprites uzņēmumos kopumā veiktas 212 pārbaudes. 16 gadījumos uzsākta administratīvo pārkāpumu lietvedība par veterināro zāļu izplatīšanu dzīvnieku īpašniekiem bez atļaujas zāļu iegādei tieši no lieltirgotavas, kā arī par marķējuma neesamību, recepšu veterināro zāļu izplatīšanu bez receptes vai ārpus darba laika.</w:t>
      </w:r>
    </w:p>
    <w:p w:rsidR="000026A9" w:rsidRPr="002631CA" w:rsidRDefault="000026A9" w:rsidP="000026A9">
      <w:pPr>
        <w:ind w:firstLine="720"/>
        <w:jc w:val="both"/>
        <w:rPr>
          <w:sz w:val="28"/>
          <w:szCs w:val="28"/>
        </w:rPr>
      </w:pPr>
      <w:r w:rsidRPr="002631CA">
        <w:rPr>
          <w:sz w:val="28"/>
          <w:szCs w:val="28"/>
        </w:rPr>
        <w:t>Dzīvnieku barības aprites objektos veiktas 483 pārbaudes, 8 gadījumos barība izņemta no apgrozības, 16 gadījumos ierosināta administratīvo pārkāpumu lietvedība par pārkāpumiem marķējuma un pavaddokumentu noformēšanā vai to neesamību.</w:t>
      </w:r>
    </w:p>
    <w:p w:rsidR="000026A9" w:rsidRPr="002631CA" w:rsidRDefault="000026A9" w:rsidP="000026A9">
      <w:pPr>
        <w:ind w:firstLine="720"/>
        <w:jc w:val="both"/>
        <w:rPr>
          <w:sz w:val="28"/>
          <w:szCs w:val="28"/>
        </w:rPr>
      </w:pPr>
      <w:r w:rsidRPr="002631CA">
        <w:rPr>
          <w:sz w:val="28"/>
          <w:szCs w:val="28"/>
        </w:rPr>
        <w:t>Par konstatētajiem pārkāpumiem veterinārās uzraudzības jomā piemēroti naudassodi 8</w:t>
      </w:r>
      <w:r w:rsidR="006245AC" w:rsidRPr="002631CA">
        <w:rPr>
          <w:sz w:val="28"/>
          <w:szCs w:val="28"/>
        </w:rPr>
        <w:t>,</w:t>
      </w:r>
      <w:r w:rsidRPr="002631CA">
        <w:rPr>
          <w:sz w:val="28"/>
          <w:szCs w:val="28"/>
        </w:rPr>
        <w:t xml:space="preserve">974 </w:t>
      </w:r>
      <w:proofErr w:type="spellStart"/>
      <w:r w:rsidR="006245AC" w:rsidRPr="002631CA">
        <w:rPr>
          <w:sz w:val="28"/>
          <w:szCs w:val="28"/>
        </w:rPr>
        <w:t>tūkst</w:t>
      </w:r>
      <w:proofErr w:type="spellEnd"/>
      <w:r w:rsidR="006245AC" w:rsidRPr="002631CA">
        <w:rPr>
          <w:sz w:val="28"/>
          <w:szCs w:val="28"/>
        </w:rPr>
        <w:t xml:space="preserve">. </w:t>
      </w:r>
      <w:r w:rsidRPr="002631CA">
        <w:rPr>
          <w:sz w:val="28"/>
          <w:szCs w:val="28"/>
        </w:rPr>
        <w:t>latu.</w:t>
      </w:r>
    </w:p>
    <w:p w:rsidR="006245AC" w:rsidRPr="002631CA" w:rsidRDefault="006245AC" w:rsidP="006245AC">
      <w:pPr>
        <w:ind w:firstLine="720"/>
        <w:jc w:val="both"/>
        <w:rPr>
          <w:sz w:val="28"/>
          <w:szCs w:val="28"/>
        </w:rPr>
      </w:pPr>
      <w:r w:rsidRPr="002631CA">
        <w:rPr>
          <w:sz w:val="28"/>
          <w:szCs w:val="28"/>
        </w:rPr>
        <w:t xml:space="preserve">Veicot importa kravu kontroli uz Eiropas Savienības ārējas robežas, PVD robežinspektori 2012. gada </w:t>
      </w:r>
      <w:r w:rsidR="00830CEF" w:rsidRPr="002631CA">
        <w:rPr>
          <w:sz w:val="28"/>
          <w:szCs w:val="28"/>
        </w:rPr>
        <w:t>sešos</w:t>
      </w:r>
      <w:r w:rsidRPr="002631CA">
        <w:rPr>
          <w:sz w:val="28"/>
          <w:szCs w:val="28"/>
        </w:rPr>
        <w:t xml:space="preserve"> mēnešos ir veikuši 33 543 preču pārbaudes 12 robežkontroles punktos. No pārbaudītajām 33 543 kravām pārtikas nekaitīguma kontrole veikta 14584 (43,5%), fitosanitārā kontrole - 7 743 (23,1%), veterinārā kontrole -7 714 (23%), dzīvnieku barības un barības piedevu kontrole – 2457 (7,3%), svaigu augļu un dārzeņu kvalitātes kontrole - 748 (2,2%), nepārtikas preču drošuma kontrole - 297 (0,9%) kravām..</w:t>
      </w:r>
    </w:p>
    <w:p w:rsidR="006245AC" w:rsidRPr="002631CA" w:rsidRDefault="006245AC" w:rsidP="006245AC">
      <w:pPr>
        <w:ind w:firstLine="720"/>
        <w:jc w:val="both"/>
        <w:rPr>
          <w:sz w:val="28"/>
          <w:szCs w:val="28"/>
        </w:rPr>
      </w:pPr>
      <w:r w:rsidRPr="002631CA">
        <w:rPr>
          <w:sz w:val="28"/>
          <w:szCs w:val="28"/>
        </w:rPr>
        <w:t xml:space="preserve">No visām pārbaudītajām kravām 600 jeb 1.8% tika atzītas par neatbilstošām, </w:t>
      </w:r>
      <w:proofErr w:type="spellStart"/>
      <w:r w:rsidRPr="002631CA">
        <w:rPr>
          <w:sz w:val="28"/>
          <w:szCs w:val="28"/>
        </w:rPr>
        <w:t>t.sk</w:t>
      </w:r>
      <w:proofErr w:type="spellEnd"/>
      <w:r w:rsidRPr="002631CA">
        <w:rPr>
          <w:sz w:val="28"/>
          <w:szCs w:val="28"/>
        </w:rPr>
        <w:t xml:space="preserve">. 315 nosūtītas iznīcināšanai, bet 106 nosūtītas atpakaļ uz eksportētājvalsti vai izcelsmes valsti. </w:t>
      </w:r>
      <w:r w:rsidR="008D487F" w:rsidRPr="002631CA">
        <w:rPr>
          <w:sz w:val="28"/>
          <w:szCs w:val="28"/>
        </w:rPr>
        <w:t>Ī</w:t>
      </w:r>
      <w:r w:rsidRPr="002631CA">
        <w:rPr>
          <w:sz w:val="28"/>
          <w:szCs w:val="28"/>
        </w:rPr>
        <w:t>slaicīgi, līdz lēmuma pieņemšanai par tālāku rīcību, kā arī līdz laboratorisko vai cita veida kontroles rezultātu saņemšanai, robežkontroles inspektori aizturējuši 179 kravas.</w:t>
      </w:r>
    </w:p>
    <w:p w:rsidR="006245AC" w:rsidRPr="002631CA" w:rsidRDefault="006245AC" w:rsidP="006245AC">
      <w:pPr>
        <w:ind w:firstLine="720"/>
        <w:jc w:val="both"/>
        <w:rPr>
          <w:sz w:val="28"/>
          <w:szCs w:val="28"/>
        </w:rPr>
      </w:pPr>
      <w:r w:rsidRPr="002631CA">
        <w:rPr>
          <w:sz w:val="28"/>
          <w:szCs w:val="28"/>
        </w:rPr>
        <w:lastRenderedPageBreak/>
        <w:t>Augstākminētās kontroles un uzraudzības darbības PVD darbinieki veikuši esošā budžeta finansējuma ietvaros (speciāli ēnu ekonomikas apkarošanas mērķim papildus līdzekļi netika iedalīti).</w:t>
      </w:r>
    </w:p>
    <w:p w:rsidR="006245AC" w:rsidRPr="002631CA" w:rsidRDefault="006245AC" w:rsidP="006245AC">
      <w:pPr>
        <w:ind w:firstLine="720"/>
        <w:jc w:val="both"/>
        <w:rPr>
          <w:sz w:val="28"/>
          <w:szCs w:val="28"/>
        </w:rPr>
      </w:pPr>
      <w:r w:rsidRPr="002631CA">
        <w:rPr>
          <w:sz w:val="28"/>
          <w:szCs w:val="28"/>
        </w:rPr>
        <w:t xml:space="preserve">PVD uzskata, ka iepriekšminētie pasākumi, kuru īstenošanā piedalījās gan PVD centrālā aparāta darbinieki, gan struktūrvienību inspektori, ir devuši valstij būtisku ekonomisku efektu (piemēram, iekasēto soda naudu apmērs sasniedz 90 </w:t>
      </w:r>
      <w:proofErr w:type="spellStart"/>
      <w:r w:rsidRPr="002631CA">
        <w:rPr>
          <w:sz w:val="28"/>
          <w:szCs w:val="28"/>
        </w:rPr>
        <w:t>tūkst</w:t>
      </w:r>
      <w:proofErr w:type="spellEnd"/>
      <w:r w:rsidRPr="002631CA">
        <w:rPr>
          <w:sz w:val="28"/>
          <w:szCs w:val="28"/>
        </w:rPr>
        <w:t>. latu), kā arī ieguldījumu ēnu ekonomikas apkarošanā un godīgas konkurences veicināšanā.</w:t>
      </w:r>
    </w:p>
    <w:p w:rsidR="006245AC" w:rsidRPr="002631CA" w:rsidRDefault="006245AC" w:rsidP="004D0A50">
      <w:pPr>
        <w:rPr>
          <w:b/>
          <w:sz w:val="28"/>
          <w:szCs w:val="28"/>
        </w:rPr>
      </w:pPr>
    </w:p>
    <w:p w:rsidR="004D0A50" w:rsidRPr="002631CA" w:rsidRDefault="001E0D32" w:rsidP="006245AC">
      <w:pPr>
        <w:jc w:val="center"/>
        <w:rPr>
          <w:b/>
          <w:sz w:val="28"/>
          <w:szCs w:val="28"/>
        </w:rPr>
      </w:pPr>
      <w:r w:rsidRPr="002631CA">
        <w:rPr>
          <w:b/>
          <w:sz w:val="28"/>
          <w:szCs w:val="28"/>
        </w:rPr>
        <w:t>VALSTS MEŽA DIENESTS</w:t>
      </w:r>
    </w:p>
    <w:p w:rsidR="004D0A50" w:rsidRPr="002631CA" w:rsidRDefault="004D0A50" w:rsidP="004D0A50">
      <w:pPr>
        <w:ind w:firstLine="720"/>
        <w:jc w:val="both"/>
        <w:rPr>
          <w:sz w:val="28"/>
          <w:szCs w:val="28"/>
        </w:rPr>
      </w:pPr>
    </w:p>
    <w:p w:rsidR="004D0A50" w:rsidRPr="002631CA" w:rsidRDefault="004D0A50" w:rsidP="004D0A50">
      <w:pPr>
        <w:ind w:firstLine="709"/>
        <w:jc w:val="both"/>
        <w:rPr>
          <w:sz w:val="28"/>
          <w:szCs w:val="28"/>
        </w:rPr>
      </w:pPr>
      <w:r w:rsidRPr="002631CA">
        <w:rPr>
          <w:sz w:val="28"/>
          <w:szCs w:val="28"/>
        </w:rPr>
        <w:t xml:space="preserve">Valsts meža dienests 2012.gada sešos mēnešos administrējošo darbību rezultātā īstenojis pasākumus ēnu ekonomikas apkarošanā un godīgas konkurences veicināšanā, kā rezultātā,  salīdzinot ar 2011.gada </w:t>
      </w:r>
      <w:r w:rsidR="001E0D32" w:rsidRPr="002631CA">
        <w:rPr>
          <w:sz w:val="28"/>
          <w:szCs w:val="28"/>
        </w:rPr>
        <w:t>sešiem</w:t>
      </w:r>
      <w:r w:rsidRPr="002631CA">
        <w:rPr>
          <w:sz w:val="28"/>
          <w:szCs w:val="28"/>
        </w:rPr>
        <w:t xml:space="preserve"> mēnešiem</w:t>
      </w:r>
      <w:r w:rsidR="00D3312D" w:rsidRPr="002631CA">
        <w:rPr>
          <w:sz w:val="28"/>
          <w:szCs w:val="28"/>
        </w:rPr>
        <w:t>,</w:t>
      </w:r>
      <w:r w:rsidRPr="002631CA">
        <w:rPr>
          <w:sz w:val="28"/>
          <w:szCs w:val="28"/>
        </w:rPr>
        <w:t xml:space="preserve"> pie līdzīga pārkāpumu skaita samazinājušies mežam nodarītie zaudējumi. </w:t>
      </w:r>
    </w:p>
    <w:p w:rsidR="004D0A50" w:rsidRPr="002631CA" w:rsidRDefault="004D0A50" w:rsidP="004D0A50">
      <w:pPr>
        <w:rPr>
          <w:sz w:val="28"/>
          <w:szCs w:val="28"/>
        </w:rPr>
      </w:pPr>
    </w:p>
    <w:p w:rsidR="005E7A81" w:rsidRPr="002631CA" w:rsidRDefault="00B5777C" w:rsidP="005E7A81">
      <w:pPr>
        <w:jc w:val="right"/>
        <w:rPr>
          <w:sz w:val="28"/>
          <w:szCs w:val="28"/>
        </w:rPr>
      </w:pPr>
      <w:r w:rsidRPr="002631CA">
        <w:rPr>
          <w:sz w:val="28"/>
          <w:szCs w:val="28"/>
        </w:rPr>
        <w:t>10</w:t>
      </w:r>
      <w:r w:rsidR="005E7A81" w:rsidRPr="002631CA">
        <w:rPr>
          <w:sz w:val="28"/>
          <w:szCs w:val="28"/>
        </w:rPr>
        <w:t>.tabula</w:t>
      </w:r>
    </w:p>
    <w:p w:rsidR="005E7A81" w:rsidRPr="002631CA" w:rsidRDefault="005E7A81" w:rsidP="005E7A81">
      <w:pPr>
        <w:jc w:val="right"/>
        <w:rPr>
          <w:sz w:val="28"/>
          <w:szCs w:val="28"/>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110"/>
        <w:gridCol w:w="1312"/>
        <w:gridCol w:w="1549"/>
      </w:tblGrid>
      <w:tr w:rsidR="006D77B6" w:rsidRPr="00514404" w:rsidTr="005E7A81">
        <w:tc>
          <w:tcPr>
            <w:tcW w:w="2049" w:type="dxa"/>
            <w:shd w:val="clear" w:color="auto" w:fill="auto"/>
          </w:tcPr>
          <w:p w:rsidR="001E0D32" w:rsidRPr="00514404" w:rsidRDefault="001E0D32" w:rsidP="001E0D32">
            <w:pPr>
              <w:jc w:val="center"/>
            </w:pPr>
            <w:r w:rsidRPr="00514404">
              <w:t>Darbības rezultāts</w:t>
            </w:r>
          </w:p>
        </w:tc>
        <w:tc>
          <w:tcPr>
            <w:tcW w:w="4110" w:type="dxa"/>
            <w:shd w:val="clear" w:color="auto" w:fill="auto"/>
          </w:tcPr>
          <w:p w:rsidR="001E0D32" w:rsidRPr="00514404" w:rsidRDefault="001E0D32" w:rsidP="001E0D32">
            <w:pPr>
              <w:jc w:val="center"/>
            </w:pPr>
            <w:r w:rsidRPr="00514404">
              <w:t>Rezultatīvie rādītāji</w:t>
            </w:r>
          </w:p>
        </w:tc>
        <w:tc>
          <w:tcPr>
            <w:tcW w:w="1312" w:type="dxa"/>
            <w:shd w:val="clear" w:color="auto" w:fill="auto"/>
          </w:tcPr>
          <w:p w:rsidR="001E0D32" w:rsidRPr="00514404" w:rsidRDefault="001E0D32" w:rsidP="008D487F">
            <w:pPr>
              <w:jc w:val="center"/>
            </w:pPr>
            <w:r w:rsidRPr="00514404">
              <w:t xml:space="preserve">Rādītāji </w:t>
            </w:r>
            <w:r w:rsidR="008D487F" w:rsidRPr="00514404">
              <w:t>par 2012.gada sešiem mēnešiem</w:t>
            </w:r>
          </w:p>
        </w:tc>
        <w:tc>
          <w:tcPr>
            <w:tcW w:w="1549" w:type="dxa"/>
            <w:shd w:val="clear" w:color="auto" w:fill="auto"/>
          </w:tcPr>
          <w:p w:rsidR="001E0D32" w:rsidRPr="00514404" w:rsidRDefault="001E0D32" w:rsidP="008D487F">
            <w:pPr>
              <w:jc w:val="center"/>
            </w:pPr>
            <w:r w:rsidRPr="00514404">
              <w:t xml:space="preserve">Rādītāju izmaiņas salīdzinājumā pret </w:t>
            </w:r>
            <w:r w:rsidR="008D487F" w:rsidRPr="00514404">
              <w:t>2011.gada 6 mēnešiem</w:t>
            </w:r>
            <w:r w:rsidRPr="00514404">
              <w:t xml:space="preserve"> %</w:t>
            </w:r>
          </w:p>
        </w:tc>
      </w:tr>
      <w:tr w:rsidR="006D77B6" w:rsidRPr="00514404" w:rsidTr="001E0D32">
        <w:tc>
          <w:tcPr>
            <w:tcW w:w="2049" w:type="dxa"/>
            <w:vMerge w:val="restart"/>
          </w:tcPr>
          <w:p w:rsidR="001E0D32" w:rsidRPr="00514404" w:rsidRDefault="001E0D32" w:rsidP="007B7FE3">
            <w:r w:rsidRPr="00514404">
              <w:t>Atklāta augošu koku patvaļīga izciršana</w:t>
            </w:r>
          </w:p>
        </w:tc>
        <w:tc>
          <w:tcPr>
            <w:tcW w:w="4110" w:type="dxa"/>
          </w:tcPr>
          <w:p w:rsidR="001E0D32" w:rsidRPr="00514404" w:rsidRDefault="001E0D32" w:rsidP="007B7FE3">
            <w:r w:rsidRPr="00514404">
              <w:t>gadījumu skaits</w:t>
            </w:r>
          </w:p>
        </w:tc>
        <w:tc>
          <w:tcPr>
            <w:tcW w:w="1312" w:type="dxa"/>
          </w:tcPr>
          <w:p w:rsidR="001E0D32" w:rsidRPr="00514404" w:rsidRDefault="001E0D32" w:rsidP="007B7FE3">
            <w:r w:rsidRPr="00514404">
              <w:t>283</w:t>
            </w:r>
          </w:p>
        </w:tc>
        <w:tc>
          <w:tcPr>
            <w:tcW w:w="1549" w:type="dxa"/>
          </w:tcPr>
          <w:p w:rsidR="001E0D32" w:rsidRPr="00514404" w:rsidRDefault="001E0D32" w:rsidP="007B7FE3">
            <w:pPr>
              <w:jc w:val="center"/>
            </w:pPr>
            <w:r w:rsidRPr="00514404">
              <w:t>-10,4%</w:t>
            </w:r>
          </w:p>
        </w:tc>
      </w:tr>
      <w:tr w:rsidR="006D77B6" w:rsidRPr="00514404" w:rsidTr="001E0D32">
        <w:tc>
          <w:tcPr>
            <w:tcW w:w="2049" w:type="dxa"/>
            <w:vMerge/>
          </w:tcPr>
          <w:p w:rsidR="001E0D32" w:rsidRPr="00514404" w:rsidRDefault="001E0D32" w:rsidP="007B7FE3"/>
        </w:tc>
        <w:tc>
          <w:tcPr>
            <w:tcW w:w="4110" w:type="dxa"/>
          </w:tcPr>
          <w:p w:rsidR="001E0D32" w:rsidRPr="00514404" w:rsidRDefault="001E0D32" w:rsidP="007B7FE3">
            <w:r w:rsidRPr="00514404">
              <w:t>faktiski izcirstais apjoms, m3</w:t>
            </w:r>
          </w:p>
        </w:tc>
        <w:tc>
          <w:tcPr>
            <w:tcW w:w="1312" w:type="dxa"/>
          </w:tcPr>
          <w:p w:rsidR="001E0D32" w:rsidRPr="00514404" w:rsidRDefault="001E0D32" w:rsidP="007B7FE3">
            <w:r w:rsidRPr="00514404">
              <w:t>7110.51</w:t>
            </w:r>
          </w:p>
        </w:tc>
        <w:tc>
          <w:tcPr>
            <w:tcW w:w="1549" w:type="dxa"/>
          </w:tcPr>
          <w:p w:rsidR="001E0D32" w:rsidRPr="00514404" w:rsidRDefault="001E0D32" w:rsidP="007B7FE3">
            <w:pPr>
              <w:jc w:val="center"/>
            </w:pPr>
            <w:r w:rsidRPr="00514404">
              <w:t>– 35,3%</w:t>
            </w:r>
          </w:p>
        </w:tc>
      </w:tr>
      <w:tr w:rsidR="006D77B6" w:rsidRPr="00514404" w:rsidTr="001E0D32">
        <w:tc>
          <w:tcPr>
            <w:tcW w:w="2049" w:type="dxa"/>
            <w:vMerge/>
          </w:tcPr>
          <w:p w:rsidR="001E0D32" w:rsidRPr="00514404" w:rsidRDefault="001E0D32" w:rsidP="007B7FE3"/>
        </w:tc>
        <w:tc>
          <w:tcPr>
            <w:tcW w:w="4110" w:type="dxa"/>
          </w:tcPr>
          <w:p w:rsidR="001E0D32" w:rsidRPr="00514404" w:rsidRDefault="001E0D32" w:rsidP="007B7FE3">
            <w:r w:rsidRPr="00514404">
              <w:t>gadījumu skaits bez zaudējumiem mežam</w:t>
            </w:r>
          </w:p>
        </w:tc>
        <w:tc>
          <w:tcPr>
            <w:tcW w:w="1312" w:type="dxa"/>
          </w:tcPr>
          <w:p w:rsidR="001E0D32" w:rsidRPr="00514404" w:rsidRDefault="001E0D32" w:rsidP="007B7FE3">
            <w:r w:rsidRPr="00514404">
              <w:t>233</w:t>
            </w:r>
          </w:p>
        </w:tc>
        <w:tc>
          <w:tcPr>
            <w:tcW w:w="1549" w:type="dxa"/>
          </w:tcPr>
          <w:p w:rsidR="001E0D32" w:rsidRPr="00514404" w:rsidRDefault="001E0D32" w:rsidP="007B7FE3">
            <w:pPr>
              <w:jc w:val="center"/>
            </w:pPr>
            <w:r w:rsidRPr="00514404">
              <w:t>-12,1%</w:t>
            </w:r>
          </w:p>
        </w:tc>
      </w:tr>
      <w:tr w:rsidR="006D77B6" w:rsidRPr="00514404" w:rsidTr="001E0D32">
        <w:tc>
          <w:tcPr>
            <w:tcW w:w="2049" w:type="dxa"/>
            <w:vMerge/>
          </w:tcPr>
          <w:p w:rsidR="001E0D32" w:rsidRPr="00514404" w:rsidRDefault="001E0D32" w:rsidP="007B7FE3"/>
        </w:tc>
        <w:tc>
          <w:tcPr>
            <w:tcW w:w="4110" w:type="dxa"/>
          </w:tcPr>
          <w:p w:rsidR="001E0D32" w:rsidRPr="00514404" w:rsidRDefault="001E0D32" w:rsidP="007B7FE3">
            <w:r w:rsidRPr="00514404">
              <w:t>gadījumu skaits ar zaudējumiem mežam</w:t>
            </w:r>
          </w:p>
        </w:tc>
        <w:tc>
          <w:tcPr>
            <w:tcW w:w="1312" w:type="dxa"/>
          </w:tcPr>
          <w:p w:rsidR="001E0D32" w:rsidRPr="00514404" w:rsidRDefault="001E0D32" w:rsidP="007B7FE3">
            <w:r w:rsidRPr="00514404">
              <w:t>50</w:t>
            </w:r>
          </w:p>
        </w:tc>
        <w:tc>
          <w:tcPr>
            <w:tcW w:w="1549" w:type="dxa"/>
          </w:tcPr>
          <w:p w:rsidR="001E0D32" w:rsidRPr="00514404" w:rsidRDefault="001E0D32" w:rsidP="007B7FE3">
            <w:pPr>
              <w:jc w:val="center"/>
            </w:pPr>
            <w:r w:rsidRPr="00514404">
              <w:t>-2%</w:t>
            </w:r>
          </w:p>
        </w:tc>
      </w:tr>
      <w:tr w:rsidR="006D77B6" w:rsidRPr="00514404" w:rsidTr="001E0D32">
        <w:tc>
          <w:tcPr>
            <w:tcW w:w="2049" w:type="dxa"/>
            <w:vMerge/>
          </w:tcPr>
          <w:p w:rsidR="001E0D32" w:rsidRPr="00514404" w:rsidRDefault="001E0D32" w:rsidP="007B7FE3"/>
        </w:tc>
        <w:tc>
          <w:tcPr>
            <w:tcW w:w="4110" w:type="dxa"/>
          </w:tcPr>
          <w:p w:rsidR="001E0D32" w:rsidRPr="00514404" w:rsidRDefault="001E0D32" w:rsidP="007B7FE3">
            <w:r w:rsidRPr="00514404">
              <w:t>platība, kurā mežaudze iznīcināta, ha</w:t>
            </w:r>
          </w:p>
        </w:tc>
        <w:tc>
          <w:tcPr>
            <w:tcW w:w="1312" w:type="dxa"/>
          </w:tcPr>
          <w:p w:rsidR="001E0D32" w:rsidRPr="00514404" w:rsidRDefault="001E0D32" w:rsidP="007B7FE3">
            <w:r w:rsidRPr="00514404">
              <w:t>36.05</w:t>
            </w:r>
          </w:p>
        </w:tc>
        <w:tc>
          <w:tcPr>
            <w:tcW w:w="1549" w:type="dxa"/>
          </w:tcPr>
          <w:p w:rsidR="001E0D32" w:rsidRPr="00514404" w:rsidRDefault="001E0D32" w:rsidP="007B7FE3">
            <w:pPr>
              <w:jc w:val="center"/>
            </w:pPr>
            <w:r w:rsidRPr="00514404">
              <w:t>-7,6%</w:t>
            </w:r>
          </w:p>
        </w:tc>
      </w:tr>
      <w:tr w:rsidR="006D77B6" w:rsidRPr="00514404" w:rsidTr="001E0D32">
        <w:tc>
          <w:tcPr>
            <w:tcW w:w="2049" w:type="dxa"/>
            <w:vMerge/>
          </w:tcPr>
          <w:p w:rsidR="001E0D32" w:rsidRPr="00514404" w:rsidRDefault="001E0D32" w:rsidP="007B7FE3"/>
        </w:tc>
        <w:tc>
          <w:tcPr>
            <w:tcW w:w="4110" w:type="dxa"/>
          </w:tcPr>
          <w:p w:rsidR="001E0D32" w:rsidRPr="00514404" w:rsidRDefault="001E0D32" w:rsidP="007B7FE3">
            <w:r w:rsidRPr="00514404">
              <w:t>platība, kurā mežaudze bojāta, ha</w:t>
            </w:r>
          </w:p>
        </w:tc>
        <w:tc>
          <w:tcPr>
            <w:tcW w:w="1312" w:type="dxa"/>
          </w:tcPr>
          <w:p w:rsidR="001E0D32" w:rsidRPr="00514404" w:rsidRDefault="001E0D32" w:rsidP="007B7FE3">
            <w:r w:rsidRPr="00514404">
              <w:t>11.39</w:t>
            </w:r>
          </w:p>
        </w:tc>
        <w:tc>
          <w:tcPr>
            <w:tcW w:w="1549" w:type="dxa"/>
          </w:tcPr>
          <w:p w:rsidR="001E0D32" w:rsidRPr="00514404" w:rsidRDefault="001E0D32" w:rsidP="007B7FE3">
            <w:pPr>
              <w:jc w:val="center"/>
            </w:pPr>
            <w:r w:rsidRPr="00514404">
              <w:t>-45,9%</w:t>
            </w:r>
          </w:p>
        </w:tc>
      </w:tr>
      <w:tr w:rsidR="006D77B6" w:rsidRPr="00514404" w:rsidTr="001E0D32">
        <w:tc>
          <w:tcPr>
            <w:tcW w:w="2049" w:type="dxa"/>
            <w:vMerge/>
          </w:tcPr>
          <w:p w:rsidR="001E0D32" w:rsidRPr="00514404" w:rsidRDefault="001E0D32" w:rsidP="007B7FE3"/>
        </w:tc>
        <w:tc>
          <w:tcPr>
            <w:tcW w:w="4110" w:type="dxa"/>
          </w:tcPr>
          <w:p w:rsidR="001E0D32" w:rsidRPr="00514404" w:rsidRDefault="001E0D32" w:rsidP="007B7FE3">
            <w:r w:rsidRPr="00514404">
              <w:t>Ieņēmumi no zaudējumu atlīdzības par meža resursiem nodarītiem kaitējumiem</w:t>
            </w:r>
          </w:p>
        </w:tc>
        <w:tc>
          <w:tcPr>
            <w:tcW w:w="1312" w:type="dxa"/>
          </w:tcPr>
          <w:p w:rsidR="001E0D32" w:rsidRPr="00514404" w:rsidRDefault="001E0D32" w:rsidP="007B7FE3">
            <w:r w:rsidRPr="00514404">
              <w:t>209817</w:t>
            </w:r>
          </w:p>
        </w:tc>
        <w:tc>
          <w:tcPr>
            <w:tcW w:w="1549" w:type="dxa"/>
          </w:tcPr>
          <w:p w:rsidR="001E0D32" w:rsidRPr="00514404" w:rsidRDefault="001E0D32" w:rsidP="007B7FE3">
            <w:pPr>
              <w:jc w:val="center"/>
            </w:pPr>
            <w:r w:rsidRPr="00514404">
              <w:t>-53%</w:t>
            </w:r>
          </w:p>
        </w:tc>
      </w:tr>
    </w:tbl>
    <w:p w:rsidR="004D0A50" w:rsidRPr="002631CA" w:rsidRDefault="004D0A50" w:rsidP="004D0A50">
      <w:pPr>
        <w:rPr>
          <w:sz w:val="28"/>
          <w:szCs w:val="28"/>
        </w:rPr>
      </w:pPr>
    </w:p>
    <w:p w:rsidR="004D0A50" w:rsidRPr="002631CA" w:rsidRDefault="001E0D32" w:rsidP="001E0D32">
      <w:pPr>
        <w:jc w:val="center"/>
        <w:rPr>
          <w:b/>
          <w:sz w:val="28"/>
          <w:szCs w:val="28"/>
        </w:rPr>
      </w:pPr>
      <w:r w:rsidRPr="002631CA">
        <w:rPr>
          <w:b/>
          <w:sz w:val="28"/>
          <w:szCs w:val="28"/>
        </w:rPr>
        <w:t>VALSTS AUGU AIZSARDZĪBAS DIENESTS</w:t>
      </w:r>
    </w:p>
    <w:p w:rsidR="004D0A50" w:rsidRPr="002631CA" w:rsidRDefault="004D0A50" w:rsidP="004D0A50">
      <w:pPr>
        <w:rPr>
          <w:sz w:val="28"/>
          <w:szCs w:val="28"/>
        </w:rPr>
      </w:pPr>
    </w:p>
    <w:p w:rsidR="004D0A50" w:rsidRPr="002631CA" w:rsidRDefault="004D0A50" w:rsidP="004D0A50">
      <w:pPr>
        <w:ind w:firstLine="709"/>
        <w:jc w:val="both"/>
        <w:rPr>
          <w:sz w:val="28"/>
          <w:szCs w:val="28"/>
        </w:rPr>
      </w:pPr>
      <w:r w:rsidRPr="002631CA">
        <w:rPr>
          <w:sz w:val="28"/>
          <w:szCs w:val="28"/>
        </w:rPr>
        <w:t xml:space="preserve">Galvenās Valsts augu aizsardzības dienesta (turpmāk – </w:t>
      </w:r>
      <w:r w:rsidR="001E0D32" w:rsidRPr="002631CA">
        <w:rPr>
          <w:sz w:val="28"/>
          <w:szCs w:val="28"/>
        </w:rPr>
        <w:t>VAAD</w:t>
      </w:r>
      <w:r w:rsidRPr="002631CA">
        <w:rPr>
          <w:sz w:val="28"/>
          <w:szCs w:val="28"/>
        </w:rPr>
        <w:t xml:space="preserve">) aktivitātes ēnu ekonomikas apkarošanā un godīgas konkurences veicināšanā bija vērstas uz nelegālo augu aizsardzības līdzekļu </w:t>
      </w:r>
      <w:r w:rsidR="001E0D32" w:rsidRPr="002631CA">
        <w:rPr>
          <w:sz w:val="28"/>
          <w:szCs w:val="28"/>
        </w:rPr>
        <w:t xml:space="preserve">(turpmāk - AAL) </w:t>
      </w:r>
      <w:r w:rsidRPr="002631CA">
        <w:rPr>
          <w:sz w:val="28"/>
          <w:szCs w:val="28"/>
        </w:rPr>
        <w:t xml:space="preserve">tirdzniecības ierobežošanu. </w:t>
      </w:r>
    </w:p>
    <w:p w:rsidR="004D0A50" w:rsidRPr="002631CA" w:rsidRDefault="004D0A50" w:rsidP="001E0D32">
      <w:pPr>
        <w:ind w:firstLine="709"/>
        <w:jc w:val="both"/>
        <w:rPr>
          <w:sz w:val="28"/>
          <w:szCs w:val="28"/>
        </w:rPr>
      </w:pPr>
      <w:r w:rsidRPr="002631CA">
        <w:rPr>
          <w:sz w:val="28"/>
          <w:szCs w:val="28"/>
        </w:rPr>
        <w:t>Sadarbojoties ar Ekonomikas policiju un lauksaimniekiem 2012.gad</w:t>
      </w:r>
      <w:r w:rsidR="001E0D32" w:rsidRPr="002631CA">
        <w:rPr>
          <w:sz w:val="28"/>
          <w:szCs w:val="28"/>
        </w:rPr>
        <w:t>a sešos mēnešos</w:t>
      </w:r>
      <w:r w:rsidRPr="002631CA">
        <w:rPr>
          <w:sz w:val="28"/>
          <w:szCs w:val="28"/>
        </w:rPr>
        <w:t xml:space="preserve"> ir ierosināta</w:t>
      </w:r>
      <w:r w:rsidR="008D487F" w:rsidRPr="002631CA">
        <w:rPr>
          <w:sz w:val="28"/>
          <w:szCs w:val="28"/>
        </w:rPr>
        <w:t>s</w:t>
      </w:r>
      <w:r w:rsidRPr="002631CA">
        <w:rPr>
          <w:sz w:val="28"/>
          <w:szCs w:val="28"/>
        </w:rPr>
        <w:t xml:space="preserve"> </w:t>
      </w:r>
      <w:r w:rsidR="001E0D32" w:rsidRPr="002631CA">
        <w:rPr>
          <w:sz w:val="28"/>
          <w:szCs w:val="28"/>
        </w:rPr>
        <w:t>3 administratīvā pārkāpuma lieta</w:t>
      </w:r>
      <w:r w:rsidR="008D487F" w:rsidRPr="002631CA">
        <w:rPr>
          <w:sz w:val="28"/>
          <w:szCs w:val="28"/>
        </w:rPr>
        <w:t>s</w:t>
      </w:r>
      <w:r w:rsidR="001E0D32" w:rsidRPr="002631CA">
        <w:rPr>
          <w:sz w:val="28"/>
          <w:szCs w:val="28"/>
        </w:rPr>
        <w:t xml:space="preserve"> - k</w:t>
      </w:r>
      <w:r w:rsidRPr="002631CA">
        <w:rPr>
          <w:sz w:val="28"/>
          <w:szCs w:val="28"/>
        </w:rPr>
        <w:t xml:space="preserve">opējā aizturētā un izņemtā AAL vērtība ir </w:t>
      </w:r>
      <w:r w:rsidR="001E0D32" w:rsidRPr="002631CA">
        <w:rPr>
          <w:sz w:val="28"/>
          <w:szCs w:val="28"/>
        </w:rPr>
        <w:t>0,</w:t>
      </w:r>
      <w:r w:rsidRPr="002631CA">
        <w:rPr>
          <w:sz w:val="28"/>
          <w:szCs w:val="28"/>
        </w:rPr>
        <w:t xml:space="preserve">45 </w:t>
      </w:r>
      <w:proofErr w:type="spellStart"/>
      <w:r w:rsidR="001E0D32" w:rsidRPr="002631CA">
        <w:rPr>
          <w:sz w:val="28"/>
          <w:szCs w:val="28"/>
        </w:rPr>
        <w:t>tūkst</w:t>
      </w:r>
      <w:proofErr w:type="spellEnd"/>
      <w:r w:rsidR="001E0D32" w:rsidRPr="002631CA">
        <w:rPr>
          <w:sz w:val="28"/>
          <w:szCs w:val="28"/>
        </w:rPr>
        <w:t>. latu</w:t>
      </w:r>
      <w:r w:rsidRPr="002631CA">
        <w:rPr>
          <w:sz w:val="28"/>
          <w:szCs w:val="28"/>
        </w:rPr>
        <w:t xml:space="preserve">. Par </w:t>
      </w:r>
      <w:r w:rsidR="001E0D32" w:rsidRPr="002631CA">
        <w:rPr>
          <w:sz w:val="28"/>
          <w:szCs w:val="28"/>
        </w:rPr>
        <w:t xml:space="preserve">konstatēto </w:t>
      </w:r>
      <w:r w:rsidRPr="002631CA">
        <w:rPr>
          <w:sz w:val="28"/>
          <w:szCs w:val="28"/>
        </w:rPr>
        <w:t xml:space="preserve">pārkāpumu uzlikts naudas sods </w:t>
      </w:r>
      <w:r w:rsidR="001E0D32" w:rsidRPr="002631CA">
        <w:rPr>
          <w:sz w:val="28"/>
          <w:szCs w:val="28"/>
        </w:rPr>
        <w:t xml:space="preserve">0,25 </w:t>
      </w:r>
      <w:proofErr w:type="spellStart"/>
      <w:r w:rsidR="001E0D32" w:rsidRPr="002631CA">
        <w:rPr>
          <w:sz w:val="28"/>
          <w:szCs w:val="28"/>
        </w:rPr>
        <w:t>tūkst</w:t>
      </w:r>
      <w:proofErr w:type="spellEnd"/>
      <w:r w:rsidR="001E0D32" w:rsidRPr="002631CA">
        <w:rPr>
          <w:sz w:val="28"/>
          <w:szCs w:val="28"/>
        </w:rPr>
        <w:t>. latu</w:t>
      </w:r>
      <w:r w:rsidRPr="002631CA">
        <w:rPr>
          <w:sz w:val="28"/>
          <w:szCs w:val="28"/>
        </w:rPr>
        <w:t xml:space="preserve"> un konfiscēts AAL.</w:t>
      </w:r>
    </w:p>
    <w:p w:rsidR="004D0A50" w:rsidRPr="002631CA" w:rsidRDefault="004D0A50" w:rsidP="004D0A50">
      <w:pPr>
        <w:ind w:firstLine="709"/>
        <w:jc w:val="both"/>
        <w:rPr>
          <w:sz w:val="28"/>
          <w:szCs w:val="28"/>
        </w:rPr>
      </w:pPr>
      <w:r w:rsidRPr="002631CA">
        <w:rPr>
          <w:sz w:val="28"/>
          <w:szCs w:val="28"/>
        </w:rPr>
        <w:lastRenderedPageBreak/>
        <w:t xml:space="preserve">Lai informētu valsts institūcijas par viltotajiem AAL un ar to saistītajiem riskiem, kā arī, lai uzlabotu sadarbību starp valsts iestādēm, kas ir iesaistītas AAL aprites kontrolē, sadarbībā ar Latvijas augu aizsardzības līdzekļu tirgotāju un ražotāju asociāciju tika noorganizēta konference „Par viltotu un nelegālu augu aizsardzības līdzekļu importu, kontroli un identificēšanu. Vai mēs esam gatavi apturēt viltotus un nelegālus augu aizsardzības līdzekļus?”, kurā piedalījās pārstāvji no Muitas pārvaldes, Valsts policijas Galvenās kriminālpolicijas pārvaldes Ekonomisko noziegumu apkarošanas pārvaldes un Pārtikas un veterinārā dienesta Robežkontroles departamenta. Konferencē tika izanalizēti vairāki gadījumi, kad caur Rīgas ostu tika mēģināts ievest viltotus AAL, izanalizēta atbildīgo iestāžu darbība un iespējas uzlabot sadarbību. </w:t>
      </w:r>
    </w:p>
    <w:p w:rsidR="004D0A50" w:rsidRPr="002631CA" w:rsidRDefault="004D0A50" w:rsidP="004D0A50">
      <w:pPr>
        <w:ind w:firstLine="709"/>
        <w:jc w:val="both"/>
        <w:rPr>
          <w:sz w:val="28"/>
          <w:szCs w:val="28"/>
        </w:rPr>
      </w:pPr>
      <w:r w:rsidRPr="002631CA">
        <w:rPr>
          <w:sz w:val="28"/>
          <w:szCs w:val="28"/>
        </w:rPr>
        <w:t xml:space="preserve">VAAD ir izveidojis </w:t>
      </w:r>
      <w:r w:rsidR="00830CEF" w:rsidRPr="002631CA">
        <w:rPr>
          <w:sz w:val="28"/>
          <w:szCs w:val="28"/>
        </w:rPr>
        <w:t xml:space="preserve">un </w:t>
      </w:r>
      <w:r w:rsidRPr="002631CA">
        <w:rPr>
          <w:sz w:val="28"/>
          <w:szCs w:val="28"/>
        </w:rPr>
        <w:t xml:space="preserve">dienesta mājas lapā ir pieejams Augļkoku, ogulāju un dārzeņu audzētāju reģistrs, tādā veidā nodrošinot iespēju </w:t>
      </w:r>
      <w:r w:rsidR="008D487F" w:rsidRPr="002631CA">
        <w:rPr>
          <w:sz w:val="28"/>
          <w:szCs w:val="28"/>
        </w:rPr>
        <w:t>VID</w:t>
      </w:r>
      <w:r w:rsidRPr="002631CA">
        <w:rPr>
          <w:sz w:val="28"/>
          <w:szCs w:val="28"/>
        </w:rPr>
        <w:t xml:space="preserve"> un </w:t>
      </w:r>
      <w:r w:rsidR="008D487F" w:rsidRPr="002631CA">
        <w:rPr>
          <w:sz w:val="28"/>
          <w:szCs w:val="28"/>
        </w:rPr>
        <w:t>VDI</w:t>
      </w:r>
      <w:r w:rsidRPr="002631CA">
        <w:rPr>
          <w:sz w:val="28"/>
          <w:szCs w:val="28"/>
        </w:rPr>
        <w:t xml:space="preserve"> pārliecināties par to, ka darba devēja iesniegtajā ziņojumā par darba ņēmējiem norādītais darba ņēmējs ir nodarbināts sezonas rakstura darbos, kas saistīti ar augļkoku, ogulāju un dārzeņu sēju un stādīšanu, augļkoku, ogulāju un dārzeņu sējumu un stādījumu kopšanu, augļu, ogu un dārzeņu ražas novākšanu, augļu, ogu un dārzeņu šķirošanu.</w:t>
      </w:r>
    </w:p>
    <w:p w:rsidR="004D0A50" w:rsidRPr="002631CA" w:rsidRDefault="004D0A50" w:rsidP="004D0A50">
      <w:pPr>
        <w:ind w:firstLine="709"/>
        <w:jc w:val="both"/>
        <w:rPr>
          <w:sz w:val="28"/>
          <w:szCs w:val="28"/>
        </w:rPr>
      </w:pPr>
    </w:p>
    <w:p w:rsidR="0095016C" w:rsidRPr="002631CA" w:rsidRDefault="0095016C" w:rsidP="004D0A50">
      <w:pPr>
        <w:ind w:firstLine="709"/>
        <w:jc w:val="both"/>
        <w:rPr>
          <w:sz w:val="28"/>
          <w:szCs w:val="28"/>
        </w:rPr>
      </w:pPr>
    </w:p>
    <w:p w:rsidR="005E7A81" w:rsidRPr="002631CA" w:rsidRDefault="00B5777C" w:rsidP="005E7A81">
      <w:pPr>
        <w:ind w:firstLine="709"/>
        <w:jc w:val="right"/>
        <w:rPr>
          <w:sz w:val="28"/>
          <w:szCs w:val="28"/>
        </w:rPr>
      </w:pPr>
      <w:r w:rsidRPr="002631CA">
        <w:rPr>
          <w:sz w:val="28"/>
          <w:szCs w:val="28"/>
        </w:rPr>
        <w:t>11</w:t>
      </w:r>
      <w:r w:rsidR="005E7A81" w:rsidRPr="002631CA">
        <w:rPr>
          <w:sz w:val="28"/>
          <w:szCs w:val="28"/>
        </w:rPr>
        <w:t>.tabula</w:t>
      </w:r>
    </w:p>
    <w:p w:rsidR="00B5777C" w:rsidRPr="002631CA" w:rsidRDefault="00B5777C" w:rsidP="005E7A81">
      <w:pPr>
        <w:ind w:firstLine="709"/>
        <w:jc w:val="right"/>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260"/>
        <w:gridCol w:w="1701"/>
        <w:gridCol w:w="1984"/>
      </w:tblGrid>
      <w:tr w:rsidR="006D77B6" w:rsidRPr="00514404" w:rsidTr="005E7A81">
        <w:tc>
          <w:tcPr>
            <w:tcW w:w="2127" w:type="dxa"/>
            <w:shd w:val="clear" w:color="auto" w:fill="auto"/>
          </w:tcPr>
          <w:p w:rsidR="001E0D32" w:rsidRPr="00514404" w:rsidRDefault="001E0D32" w:rsidP="001E0D32">
            <w:pPr>
              <w:jc w:val="center"/>
            </w:pPr>
            <w:r w:rsidRPr="00514404">
              <w:t>Darbības rezultāts</w:t>
            </w:r>
          </w:p>
        </w:tc>
        <w:tc>
          <w:tcPr>
            <w:tcW w:w="3260" w:type="dxa"/>
            <w:shd w:val="clear" w:color="auto" w:fill="auto"/>
          </w:tcPr>
          <w:p w:rsidR="001E0D32" w:rsidRPr="00514404" w:rsidRDefault="001E0D32" w:rsidP="001E0D32">
            <w:pPr>
              <w:jc w:val="center"/>
            </w:pPr>
            <w:r w:rsidRPr="00514404">
              <w:t>Rezultatīvie rādītāji</w:t>
            </w:r>
          </w:p>
        </w:tc>
        <w:tc>
          <w:tcPr>
            <w:tcW w:w="1701" w:type="dxa"/>
            <w:shd w:val="clear" w:color="auto" w:fill="auto"/>
          </w:tcPr>
          <w:p w:rsidR="001E0D32" w:rsidRPr="00514404" w:rsidRDefault="001E0D32" w:rsidP="00D3312D">
            <w:pPr>
              <w:jc w:val="center"/>
            </w:pPr>
            <w:r w:rsidRPr="00514404">
              <w:t xml:space="preserve">Rādītāji </w:t>
            </w:r>
            <w:r w:rsidR="00F91941" w:rsidRPr="00514404">
              <w:t>par 2012.g</w:t>
            </w:r>
            <w:r w:rsidR="00D3312D" w:rsidRPr="00514404">
              <w:t>.</w:t>
            </w:r>
            <w:r w:rsidR="00F91941" w:rsidRPr="00514404">
              <w:t xml:space="preserve"> </w:t>
            </w:r>
            <w:r w:rsidR="00D3312D" w:rsidRPr="00514404">
              <w:t>6</w:t>
            </w:r>
            <w:r w:rsidR="00F91941" w:rsidRPr="00514404">
              <w:t xml:space="preserve"> mēnešiem</w:t>
            </w:r>
          </w:p>
        </w:tc>
        <w:tc>
          <w:tcPr>
            <w:tcW w:w="1984" w:type="dxa"/>
            <w:shd w:val="clear" w:color="auto" w:fill="auto"/>
          </w:tcPr>
          <w:p w:rsidR="001E0D32" w:rsidRPr="00514404" w:rsidRDefault="001E0D32" w:rsidP="00D3312D">
            <w:pPr>
              <w:jc w:val="center"/>
            </w:pPr>
            <w:r w:rsidRPr="00514404">
              <w:t xml:space="preserve">Rādītāju izmaiņas salīdzinājumā pret </w:t>
            </w:r>
            <w:r w:rsidR="00F91941" w:rsidRPr="00514404">
              <w:t>2011.g</w:t>
            </w:r>
            <w:r w:rsidR="00D3312D" w:rsidRPr="00514404">
              <w:t>.</w:t>
            </w:r>
            <w:r w:rsidR="00F91941" w:rsidRPr="00514404">
              <w:t xml:space="preserve"> </w:t>
            </w:r>
            <w:r w:rsidR="00D3312D" w:rsidRPr="00514404">
              <w:t>6</w:t>
            </w:r>
            <w:r w:rsidR="00F91941" w:rsidRPr="00514404">
              <w:t xml:space="preserve"> mēnešiem</w:t>
            </w:r>
            <w:r w:rsidRPr="00514404">
              <w:t xml:space="preserve"> %</w:t>
            </w:r>
          </w:p>
        </w:tc>
      </w:tr>
      <w:tr w:rsidR="006D77B6" w:rsidRPr="00514404" w:rsidTr="005E7A81">
        <w:tc>
          <w:tcPr>
            <w:tcW w:w="2127" w:type="dxa"/>
            <w:vMerge w:val="restart"/>
            <w:shd w:val="clear" w:color="auto" w:fill="auto"/>
          </w:tcPr>
          <w:p w:rsidR="001E0D32" w:rsidRPr="00514404" w:rsidRDefault="001E0D32" w:rsidP="007B7FE3">
            <w:r w:rsidRPr="00514404">
              <w:t>Veikta nelegālās augu aizsardzības līdzekļu (AAL) tirdzniecības apkarošana</w:t>
            </w:r>
          </w:p>
        </w:tc>
        <w:tc>
          <w:tcPr>
            <w:tcW w:w="3260" w:type="dxa"/>
            <w:shd w:val="clear" w:color="auto" w:fill="auto"/>
          </w:tcPr>
          <w:p w:rsidR="001E0D32" w:rsidRPr="00514404" w:rsidRDefault="001E0D32" w:rsidP="004F5F51">
            <w:r w:rsidRPr="00514404">
              <w:t>konfiscēto nelegālo tirgotāju augu aizsardzības līdzekļi</w:t>
            </w:r>
            <w:r w:rsidRPr="00514404">
              <w:rPr>
                <w:i/>
              </w:rPr>
              <w:t xml:space="preserve"> </w:t>
            </w:r>
            <w:r w:rsidR="004F5F51" w:rsidRPr="00514404">
              <w:t>litri</w:t>
            </w:r>
          </w:p>
        </w:tc>
        <w:tc>
          <w:tcPr>
            <w:tcW w:w="1701" w:type="dxa"/>
            <w:shd w:val="clear" w:color="auto" w:fill="auto"/>
          </w:tcPr>
          <w:p w:rsidR="001E0D32" w:rsidRPr="00514404" w:rsidRDefault="004F5F51" w:rsidP="007B7FE3">
            <w:pPr>
              <w:jc w:val="center"/>
            </w:pPr>
            <w:r w:rsidRPr="00514404">
              <w:t>5</w:t>
            </w:r>
          </w:p>
        </w:tc>
        <w:tc>
          <w:tcPr>
            <w:tcW w:w="1984" w:type="dxa"/>
            <w:shd w:val="clear" w:color="auto" w:fill="auto"/>
          </w:tcPr>
          <w:p w:rsidR="001E0D32" w:rsidRPr="00514404" w:rsidRDefault="001E0D32" w:rsidP="007B7FE3">
            <w:pPr>
              <w:jc w:val="center"/>
            </w:pPr>
            <w:r w:rsidRPr="00514404">
              <w:t>-96%</w:t>
            </w:r>
          </w:p>
        </w:tc>
      </w:tr>
      <w:tr w:rsidR="006D77B6" w:rsidRPr="00514404" w:rsidTr="005E7A81">
        <w:tc>
          <w:tcPr>
            <w:tcW w:w="2127" w:type="dxa"/>
            <w:vMerge/>
            <w:shd w:val="clear" w:color="auto" w:fill="auto"/>
          </w:tcPr>
          <w:p w:rsidR="001E0D32" w:rsidRPr="00514404" w:rsidRDefault="001E0D32" w:rsidP="007B7FE3"/>
        </w:tc>
        <w:tc>
          <w:tcPr>
            <w:tcW w:w="3260" w:type="dxa"/>
            <w:shd w:val="clear" w:color="auto" w:fill="auto"/>
          </w:tcPr>
          <w:p w:rsidR="001E0D32" w:rsidRPr="00514404" w:rsidRDefault="001E0D32" w:rsidP="007B7FE3">
            <w:r w:rsidRPr="00514404">
              <w:t>ierosināto administratīvo lietu skaits (saskaņā ar LAPK par AAL tirdzniecību bez licences)</w:t>
            </w:r>
          </w:p>
        </w:tc>
        <w:tc>
          <w:tcPr>
            <w:tcW w:w="1701" w:type="dxa"/>
            <w:shd w:val="clear" w:color="auto" w:fill="auto"/>
          </w:tcPr>
          <w:p w:rsidR="001E0D32" w:rsidRPr="00514404" w:rsidRDefault="001E0D32" w:rsidP="00F91941">
            <w:pPr>
              <w:jc w:val="center"/>
            </w:pPr>
            <w:r w:rsidRPr="00514404">
              <w:t>3</w:t>
            </w:r>
          </w:p>
        </w:tc>
        <w:tc>
          <w:tcPr>
            <w:tcW w:w="1984" w:type="dxa"/>
            <w:shd w:val="clear" w:color="auto" w:fill="auto"/>
          </w:tcPr>
          <w:p w:rsidR="001E0D32" w:rsidRPr="00514404" w:rsidRDefault="001E0D32" w:rsidP="007B7FE3">
            <w:pPr>
              <w:jc w:val="center"/>
            </w:pPr>
            <w:r w:rsidRPr="00514404">
              <w:t>-25%</w:t>
            </w:r>
          </w:p>
        </w:tc>
      </w:tr>
      <w:tr w:rsidR="006D77B6" w:rsidRPr="00514404" w:rsidTr="005E7A81">
        <w:trPr>
          <w:trHeight w:val="573"/>
        </w:trPr>
        <w:tc>
          <w:tcPr>
            <w:tcW w:w="2127" w:type="dxa"/>
            <w:vMerge/>
            <w:shd w:val="clear" w:color="auto" w:fill="auto"/>
          </w:tcPr>
          <w:p w:rsidR="001E0D32" w:rsidRPr="00514404" w:rsidRDefault="001E0D32" w:rsidP="007B7FE3"/>
        </w:tc>
        <w:tc>
          <w:tcPr>
            <w:tcW w:w="3260" w:type="dxa"/>
            <w:shd w:val="clear" w:color="auto" w:fill="auto"/>
          </w:tcPr>
          <w:p w:rsidR="001E0D32" w:rsidRPr="00514404" w:rsidRDefault="001E0D32" w:rsidP="007B7FE3">
            <w:r w:rsidRPr="00514404">
              <w:t>iekasētās soda naudas latos (saskaņā ar LAPK par AAL tirdzniecību bez licences)</w:t>
            </w:r>
          </w:p>
        </w:tc>
        <w:tc>
          <w:tcPr>
            <w:tcW w:w="1701" w:type="dxa"/>
            <w:shd w:val="clear" w:color="auto" w:fill="auto"/>
          </w:tcPr>
          <w:p w:rsidR="001E0D32" w:rsidRPr="00514404" w:rsidRDefault="00F91941" w:rsidP="00F91941">
            <w:pPr>
              <w:ind w:left="34"/>
              <w:jc w:val="center"/>
            </w:pPr>
            <w:r w:rsidRPr="00514404">
              <w:t>250</w:t>
            </w:r>
          </w:p>
        </w:tc>
        <w:tc>
          <w:tcPr>
            <w:tcW w:w="1984" w:type="dxa"/>
            <w:shd w:val="clear" w:color="auto" w:fill="auto"/>
          </w:tcPr>
          <w:p w:rsidR="001E0D32" w:rsidRPr="00514404" w:rsidRDefault="001E0D32" w:rsidP="007B7FE3">
            <w:pPr>
              <w:ind w:left="34" w:hanging="34"/>
              <w:jc w:val="center"/>
            </w:pPr>
            <w:r w:rsidRPr="00514404">
              <w:t>-72,8%</w:t>
            </w:r>
          </w:p>
        </w:tc>
      </w:tr>
    </w:tbl>
    <w:p w:rsidR="004D0A50" w:rsidRPr="002631CA" w:rsidRDefault="004D0A50" w:rsidP="004D0A50">
      <w:pPr>
        <w:rPr>
          <w:sz w:val="28"/>
          <w:szCs w:val="28"/>
        </w:rPr>
      </w:pPr>
    </w:p>
    <w:p w:rsidR="004D0A50" w:rsidRPr="002631CA" w:rsidRDefault="004D0A50" w:rsidP="004D0A50">
      <w:pPr>
        <w:rPr>
          <w:sz w:val="28"/>
          <w:szCs w:val="28"/>
        </w:rPr>
      </w:pPr>
    </w:p>
    <w:p w:rsidR="00AC57C1" w:rsidRPr="002631CA" w:rsidRDefault="00AC57C1" w:rsidP="00AC57C1">
      <w:pPr>
        <w:rPr>
          <w:sz w:val="28"/>
          <w:szCs w:val="28"/>
        </w:rPr>
      </w:pPr>
    </w:p>
    <w:p w:rsidR="00AC57C1" w:rsidRPr="002631CA" w:rsidRDefault="00AC57C1" w:rsidP="00AC57C1">
      <w:pPr>
        <w:rPr>
          <w:noProof/>
          <w:sz w:val="28"/>
          <w:szCs w:val="28"/>
        </w:rPr>
      </w:pPr>
    </w:p>
    <w:p w:rsidR="00B5777C" w:rsidRPr="002631CA" w:rsidRDefault="00B5777C" w:rsidP="00AC57C1">
      <w:pPr>
        <w:rPr>
          <w:noProof/>
          <w:sz w:val="28"/>
          <w:szCs w:val="28"/>
        </w:rPr>
      </w:pPr>
    </w:p>
    <w:p w:rsidR="00B5777C" w:rsidRPr="002631CA" w:rsidRDefault="00B5777C" w:rsidP="00AC57C1">
      <w:pPr>
        <w:rPr>
          <w:noProof/>
          <w:sz w:val="28"/>
          <w:szCs w:val="28"/>
        </w:rPr>
      </w:pPr>
    </w:p>
    <w:p w:rsidR="00B5777C" w:rsidRPr="002631CA" w:rsidRDefault="00B5777C" w:rsidP="00AC57C1">
      <w:pPr>
        <w:rPr>
          <w:noProof/>
          <w:sz w:val="28"/>
          <w:szCs w:val="28"/>
        </w:rPr>
      </w:pPr>
    </w:p>
    <w:p w:rsidR="00B5777C" w:rsidRPr="002631CA" w:rsidRDefault="00B5777C" w:rsidP="00AC57C1">
      <w:pPr>
        <w:rPr>
          <w:noProof/>
          <w:sz w:val="28"/>
          <w:szCs w:val="28"/>
        </w:rPr>
      </w:pPr>
    </w:p>
    <w:p w:rsidR="00B5777C" w:rsidRPr="002631CA" w:rsidRDefault="00B5777C" w:rsidP="00AC57C1">
      <w:pPr>
        <w:rPr>
          <w:noProof/>
          <w:sz w:val="28"/>
          <w:szCs w:val="28"/>
        </w:rPr>
      </w:pPr>
    </w:p>
    <w:p w:rsidR="00B5777C" w:rsidRPr="002631CA" w:rsidRDefault="00B5777C" w:rsidP="00AC57C1">
      <w:pPr>
        <w:rPr>
          <w:noProof/>
          <w:sz w:val="28"/>
          <w:szCs w:val="28"/>
        </w:rPr>
      </w:pPr>
    </w:p>
    <w:p w:rsidR="00B5777C" w:rsidRPr="002631CA" w:rsidRDefault="00B5777C" w:rsidP="00AC57C1">
      <w:pPr>
        <w:rPr>
          <w:noProof/>
          <w:sz w:val="28"/>
          <w:szCs w:val="28"/>
        </w:rPr>
      </w:pPr>
    </w:p>
    <w:p w:rsidR="006B7DFB" w:rsidRPr="002631CA" w:rsidRDefault="006B7DFB" w:rsidP="00AC57C1">
      <w:pPr>
        <w:rPr>
          <w:noProof/>
          <w:sz w:val="28"/>
          <w:szCs w:val="28"/>
        </w:rPr>
      </w:pPr>
    </w:p>
    <w:p w:rsidR="00F000E1" w:rsidRPr="002631CA" w:rsidRDefault="00F91941" w:rsidP="00830CEF">
      <w:pPr>
        <w:pStyle w:val="ListParagraph"/>
        <w:ind w:left="0"/>
        <w:jc w:val="center"/>
        <w:rPr>
          <w:rFonts w:ascii="Times New Roman" w:hAnsi="Times New Roman"/>
          <w:b/>
          <w:sz w:val="28"/>
          <w:szCs w:val="28"/>
        </w:rPr>
      </w:pPr>
      <w:r w:rsidRPr="002631CA">
        <w:rPr>
          <w:rFonts w:ascii="Times New Roman" w:hAnsi="Times New Roman"/>
          <w:b/>
          <w:sz w:val="28"/>
          <w:szCs w:val="28"/>
        </w:rPr>
        <w:t>Nodokļu ieņēmumu izpilde</w:t>
      </w:r>
    </w:p>
    <w:p w:rsidR="00F000E1" w:rsidRPr="002631CA" w:rsidRDefault="00F000E1" w:rsidP="00F000E1">
      <w:pPr>
        <w:rPr>
          <w:b/>
          <w:sz w:val="28"/>
          <w:szCs w:val="28"/>
        </w:rPr>
      </w:pPr>
    </w:p>
    <w:p w:rsidR="006B7DFB" w:rsidRPr="002631CA" w:rsidRDefault="006B7DFB" w:rsidP="006B7DFB">
      <w:pPr>
        <w:ind w:firstLine="720"/>
        <w:jc w:val="both"/>
        <w:rPr>
          <w:sz w:val="28"/>
          <w:szCs w:val="28"/>
        </w:rPr>
      </w:pPr>
      <w:r w:rsidRPr="002631CA">
        <w:rPr>
          <w:sz w:val="28"/>
          <w:szCs w:val="28"/>
        </w:rPr>
        <w:t xml:space="preserve">Kopējie kopbudžeta nodokļu ieņēmumi 2012. gada </w:t>
      </w:r>
      <w:r w:rsidR="00D3312D" w:rsidRPr="002631CA">
        <w:rPr>
          <w:sz w:val="28"/>
          <w:szCs w:val="28"/>
        </w:rPr>
        <w:t>sešos</w:t>
      </w:r>
      <w:r w:rsidRPr="002631CA">
        <w:rPr>
          <w:sz w:val="28"/>
          <w:szCs w:val="28"/>
        </w:rPr>
        <w:t xml:space="preserve"> mēnešos bija 2084,8 milj. latu, kas salīdzinājumā ar 2011. gada attiecīgo periodu ir par 261,2 </w:t>
      </w:r>
      <w:proofErr w:type="spellStart"/>
      <w:r w:rsidRPr="002631CA">
        <w:rPr>
          <w:sz w:val="28"/>
          <w:szCs w:val="28"/>
        </w:rPr>
        <w:t>milj</w:t>
      </w:r>
      <w:proofErr w:type="spellEnd"/>
      <w:r w:rsidRPr="002631CA">
        <w:rPr>
          <w:sz w:val="28"/>
          <w:szCs w:val="28"/>
        </w:rPr>
        <w:t>. latu jeb 14,3% vairāk, ko galvenokārt noteica augstāki PVN,</w:t>
      </w:r>
      <w:r w:rsidR="00C83D30" w:rsidRPr="002631CA">
        <w:rPr>
          <w:sz w:val="28"/>
          <w:szCs w:val="28"/>
        </w:rPr>
        <w:t xml:space="preserve"> VSAOI</w:t>
      </w:r>
      <w:r w:rsidRPr="002631CA">
        <w:rPr>
          <w:sz w:val="28"/>
          <w:szCs w:val="28"/>
        </w:rPr>
        <w:t xml:space="preserve">, IIN ieņēmumi. Šo kāpumu noteica gan labāka ekonomiskā konjunktūra, gan veiktās nodokļu politikas izmaiņas, gan arī administrēšanas uzlabojumi. </w:t>
      </w:r>
    </w:p>
    <w:p w:rsidR="006B7DFB" w:rsidRPr="002631CA" w:rsidRDefault="006B7DFB" w:rsidP="006B7DFB">
      <w:pPr>
        <w:ind w:firstLine="720"/>
        <w:jc w:val="both"/>
        <w:rPr>
          <w:sz w:val="28"/>
          <w:szCs w:val="28"/>
        </w:rPr>
      </w:pPr>
      <w:r w:rsidRPr="002631CA">
        <w:rPr>
          <w:sz w:val="28"/>
          <w:szCs w:val="28"/>
        </w:rPr>
        <w:t xml:space="preserve">Izvērtējot administrēšanas ieguldījumu nodokļu ieņēmumos, tika analizēti </w:t>
      </w:r>
      <w:r w:rsidRPr="002631CA">
        <w:rPr>
          <w:sz w:val="28"/>
          <w:szCs w:val="28"/>
          <w:u w:val="single"/>
        </w:rPr>
        <w:t>tikai lielākie nodokļi</w:t>
      </w:r>
      <w:r w:rsidRPr="002631CA">
        <w:rPr>
          <w:sz w:val="28"/>
          <w:szCs w:val="28"/>
        </w:rPr>
        <w:t xml:space="preserve"> –  PVN, IIN, </w:t>
      </w:r>
      <w:r w:rsidR="00C83D30" w:rsidRPr="002631CA">
        <w:rPr>
          <w:sz w:val="28"/>
          <w:szCs w:val="28"/>
        </w:rPr>
        <w:t>VSAOI</w:t>
      </w:r>
      <w:r w:rsidRPr="002631CA">
        <w:rPr>
          <w:sz w:val="28"/>
          <w:szCs w:val="28"/>
        </w:rPr>
        <w:t>, akcīzes nodoklis (AN), kas kopumā ve</w:t>
      </w:r>
      <w:r w:rsidR="00715125" w:rsidRPr="002631CA">
        <w:rPr>
          <w:sz w:val="28"/>
          <w:szCs w:val="28"/>
        </w:rPr>
        <w:t>i</w:t>
      </w:r>
      <w:r w:rsidRPr="002631CA">
        <w:rPr>
          <w:sz w:val="28"/>
          <w:szCs w:val="28"/>
        </w:rPr>
        <w:t xml:space="preserve">do aptuveni 88% no kopbudžeta nodokļu ieņēmumiem. Netika vērtēti UIN ieņēmumi, jo UIN ieņēmumus galvenokārt ietekmē uzņēmumu peļņa, kas faktiski atspoguļojas tikai sekojošā gada ieņēmumos, tad </w:t>
      </w:r>
      <w:r w:rsidR="00D3312D" w:rsidRPr="002631CA">
        <w:rPr>
          <w:sz w:val="28"/>
          <w:szCs w:val="28"/>
        </w:rPr>
        <w:t>UIN</w:t>
      </w:r>
      <w:r w:rsidRPr="002631CA">
        <w:rPr>
          <w:sz w:val="28"/>
          <w:szCs w:val="28"/>
        </w:rPr>
        <w:t xml:space="preserve"> ieņēmumu pieaugumu nevar viennozīmīgi pielīdzināt kādam no attīstības rādītājiem, līdz ar to </w:t>
      </w:r>
      <w:r w:rsidR="00D3312D" w:rsidRPr="002631CA">
        <w:rPr>
          <w:sz w:val="28"/>
          <w:szCs w:val="28"/>
        </w:rPr>
        <w:t>UIN</w:t>
      </w:r>
      <w:r w:rsidRPr="002631CA">
        <w:rPr>
          <w:sz w:val="28"/>
          <w:szCs w:val="28"/>
        </w:rPr>
        <w:t xml:space="preserve"> ieņēmumi netiek analizēti.</w:t>
      </w:r>
    </w:p>
    <w:p w:rsidR="006B7DFB" w:rsidRPr="002631CA" w:rsidRDefault="006B7DFB" w:rsidP="006B7DFB">
      <w:pPr>
        <w:ind w:firstLine="720"/>
        <w:jc w:val="both"/>
        <w:rPr>
          <w:sz w:val="28"/>
          <w:szCs w:val="28"/>
        </w:rPr>
      </w:pPr>
      <w:r w:rsidRPr="002631CA">
        <w:rPr>
          <w:sz w:val="28"/>
          <w:szCs w:val="28"/>
        </w:rPr>
        <w:t xml:space="preserve">Novērtējums tika balstīts uz nodokļu ieņēmumu pieauguma salīdzinājumu attiecībā pret statistikas rādītājiem, kas vislabāk spēj atspoguļot konkrētā nodokļa bāzes izmaiņas tautsaimniecības attīstības rezultātā. Gadījumā, ja attiecīgā nodokļa ieņēmumu izmaiņas būtiski atšķiras no šī etalona, tiek pieņemts, ka to nosaka administrēšanas faktors. </w:t>
      </w:r>
    </w:p>
    <w:p w:rsidR="006B7DFB" w:rsidRPr="002631CA" w:rsidRDefault="006B7DFB" w:rsidP="006B7DFB">
      <w:pPr>
        <w:ind w:firstLine="720"/>
        <w:jc w:val="both"/>
        <w:rPr>
          <w:sz w:val="28"/>
          <w:szCs w:val="28"/>
        </w:rPr>
      </w:pPr>
      <w:r w:rsidRPr="002631CA">
        <w:rPr>
          <w:sz w:val="28"/>
          <w:szCs w:val="28"/>
        </w:rPr>
        <w:t>Ņemot vērā, ka izvērtēšanai visi nepieciešamie makroekonomiskie rādītāji par pirmo pusgadu nav pieejami, novērtējumam tika izmantota nodokļu ieņēmumu un makroekonomisko rādītāju 2012. gada prognoze.</w:t>
      </w:r>
    </w:p>
    <w:p w:rsidR="006B7DFB" w:rsidRPr="002631CA" w:rsidRDefault="006B7DFB" w:rsidP="006B7DFB">
      <w:pPr>
        <w:ind w:firstLine="720"/>
        <w:jc w:val="both"/>
        <w:rPr>
          <w:sz w:val="28"/>
          <w:szCs w:val="28"/>
        </w:rPr>
      </w:pPr>
      <w:r w:rsidRPr="002631CA">
        <w:rPr>
          <w:sz w:val="28"/>
          <w:szCs w:val="28"/>
        </w:rPr>
        <w:t xml:space="preserve">2012. gadā kopbudžeta nodokļu ieņēmumi tiek prognozēti 4224,8 </w:t>
      </w:r>
      <w:proofErr w:type="spellStart"/>
      <w:r w:rsidRPr="002631CA">
        <w:rPr>
          <w:sz w:val="28"/>
          <w:szCs w:val="28"/>
        </w:rPr>
        <w:t>milj</w:t>
      </w:r>
      <w:proofErr w:type="spellEnd"/>
      <w:r w:rsidRPr="002631CA">
        <w:rPr>
          <w:sz w:val="28"/>
          <w:szCs w:val="28"/>
        </w:rPr>
        <w:t xml:space="preserve">. latu, kas ir par 343,7 </w:t>
      </w:r>
      <w:proofErr w:type="spellStart"/>
      <w:r w:rsidRPr="002631CA">
        <w:rPr>
          <w:sz w:val="28"/>
          <w:szCs w:val="28"/>
        </w:rPr>
        <w:t>milj</w:t>
      </w:r>
      <w:proofErr w:type="spellEnd"/>
      <w:r w:rsidRPr="002631CA">
        <w:rPr>
          <w:sz w:val="28"/>
          <w:szCs w:val="28"/>
        </w:rPr>
        <w:t>. latu jeb 8,9% vairāk nekā 2011. gadā.</w:t>
      </w:r>
    </w:p>
    <w:p w:rsidR="006B7DFB" w:rsidRPr="002631CA" w:rsidRDefault="006B7DFB" w:rsidP="00154D98">
      <w:pPr>
        <w:ind w:firstLine="567"/>
        <w:jc w:val="both"/>
        <w:rPr>
          <w:sz w:val="28"/>
          <w:szCs w:val="28"/>
        </w:rPr>
      </w:pPr>
      <w:r w:rsidRPr="002631CA">
        <w:rPr>
          <w:sz w:val="28"/>
          <w:szCs w:val="28"/>
        </w:rPr>
        <w:t xml:space="preserve">Atbilstoši </w:t>
      </w:r>
      <w:r w:rsidR="00154D98" w:rsidRPr="002631CA">
        <w:rPr>
          <w:sz w:val="28"/>
          <w:szCs w:val="28"/>
        </w:rPr>
        <w:t>iepriekš informatīvajā ziņojumā minēto valsts iestāžu realizēto pasākumu ietekme</w:t>
      </w:r>
      <w:r w:rsidRPr="002631CA">
        <w:rPr>
          <w:sz w:val="28"/>
          <w:szCs w:val="28"/>
        </w:rPr>
        <w:t xml:space="preserve"> (</w:t>
      </w:r>
      <w:proofErr w:type="spellStart"/>
      <w:r w:rsidRPr="002631CA">
        <w:rPr>
          <w:sz w:val="28"/>
          <w:szCs w:val="28"/>
        </w:rPr>
        <w:t>t.sk</w:t>
      </w:r>
      <w:proofErr w:type="spellEnd"/>
      <w:r w:rsidRPr="002631CA">
        <w:rPr>
          <w:sz w:val="28"/>
          <w:szCs w:val="28"/>
        </w:rPr>
        <w:t>. ēnu ekonomikas ierobežošana) nodokļu ieņēmumu kāpumā 2012. gadā tiek vērtēt</w:t>
      </w:r>
      <w:r w:rsidR="00154D98" w:rsidRPr="002631CA">
        <w:rPr>
          <w:sz w:val="28"/>
          <w:szCs w:val="28"/>
        </w:rPr>
        <w:t>a</w:t>
      </w:r>
      <w:r w:rsidRPr="002631CA">
        <w:rPr>
          <w:sz w:val="28"/>
          <w:szCs w:val="28"/>
        </w:rPr>
        <w:t xml:space="preserve"> </w:t>
      </w:r>
      <w:r w:rsidRPr="002631CA">
        <w:rPr>
          <w:sz w:val="28"/>
          <w:szCs w:val="28"/>
          <w:u w:val="single"/>
        </w:rPr>
        <w:t xml:space="preserve">aptuveni 50 </w:t>
      </w:r>
      <w:proofErr w:type="spellStart"/>
      <w:r w:rsidRPr="002631CA">
        <w:rPr>
          <w:sz w:val="28"/>
          <w:szCs w:val="28"/>
          <w:u w:val="single"/>
        </w:rPr>
        <w:t>milj</w:t>
      </w:r>
      <w:proofErr w:type="spellEnd"/>
      <w:r w:rsidRPr="002631CA">
        <w:rPr>
          <w:sz w:val="28"/>
          <w:szCs w:val="28"/>
          <w:u w:val="single"/>
        </w:rPr>
        <w:t>. latu apmērā</w:t>
      </w:r>
      <w:r w:rsidRPr="002631CA">
        <w:rPr>
          <w:sz w:val="28"/>
          <w:szCs w:val="28"/>
        </w:rPr>
        <w:t xml:space="preserve">. </w:t>
      </w:r>
    </w:p>
    <w:p w:rsidR="00154D98" w:rsidRPr="002631CA" w:rsidRDefault="00154D98" w:rsidP="00154D98">
      <w:pPr>
        <w:ind w:firstLine="567"/>
        <w:jc w:val="both"/>
        <w:rPr>
          <w:sz w:val="28"/>
          <w:szCs w:val="28"/>
        </w:rPr>
      </w:pPr>
    </w:p>
    <w:p w:rsidR="00D3312D" w:rsidRPr="002631CA" w:rsidRDefault="00D3312D" w:rsidP="00154D98">
      <w:pPr>
        <w:ind w:firstLine="567"/>
        <w:jc w:val="right"/>
        <w:rPr>
          <w:sz w:val="28"/>
          <w:szCs w:val="28"/>
        </w:rPr>
      </w:pPr>
      <w:r w:rsidRPr="002631CA">
        <w:rPr>
          <w:sz w:val="28"/>
          <w:szCs w:val="28"/>
        </w:rPr>
        <w:t>12.tabula</w:t>
      </w:r>
    </w:p>
    <w:p w:rsidR="00154D98" w:rsidRPr="002631CA" w:rsidRDefault="00154D98" w:rsidP="00154D98">
      <w:pPr>
        <w:ind w:firstLine="567"/>
        <w:jc w:val="right"/>
        <w:rPr>
          <w:sz w:val="28"/>
          <w:szCs w:val="28"/>
        </w:rPr>
      </w:pPr>
    </w:p>
    <w:tbl>
      <w:tblPr>
        <w:tblW w:w="6177" w:type="dxa"/>
        <w:jc w:val="center"/>
        <w:tblInd w:w="-592" w:type="dxa"/>
        <w:tblLook w:val="04A0" w:firstRow="1" w:lastRow="0" w:firstColumn="1" w:lastColumn="0" w:noHBand="0" w:noVBand="1"/>
      </w:tblPr>
      <w:tblGrid>
        <w:gridCol w:w="4110"/>
        <w:gridCol w:w="2067"/>
      </w:tblGrid>
      <w:tr w:rsidR="00154D98" w:rsidRPr="00514404" w:rsidTr="00D0790A">
        <w:trPr>
          <w:trHeight w:val="315"/>
          <w:jc w:val="center"/>
        </w:trPr>
        <w:tc>
          <w:tcPr>
            <w:tcW w:w="4110" w:type="dxa"/>
            <w:tcBorders>
              <w:top w:val="single" w:sz="8" w:space="0" w:color="auto"/>
              <w:left w:val="single" w:sz="8" w:space="0" w:color="auto"/>
              <w:bottom w:val="nil"/>
              <w:right w:val="nil"/>
            </w:tcBorders>
            <w:shd w:val="clear" w:color="auto" w:fill="auto"/>
            <w:noWrap/>
            <w:vAlign w:val="center"/>
            <w:hideMark/>
          </w:tcPr>
          <w:p w:rsidR="006B7DFB" w:rsidRPr="00514404" w:rsidRDefault="006B7DFB" w:rsidP="00D0790A">
            <w:pPr>
              <w:jc w:val="center"/>
            </w:pPr>
            <w:r w:rsidRPr="00514404">
              <w:rPr>
                <w:bCs/>
              </w:rPr>
              <w:t>Ieņēmumi, kas attiecināmi uz ēnu apkarošanas pasākumiem</w:t>
            </w:r>
          </w:p>
        </w:tc>
        <w:tc>
          <w:tcPr>
            <w:tcW w:w="2067" w:type="dxa"/>
            <w:tcBorders>
              <w:top w:val="single" w:sz="8" w:space="0" w:color="auto"/>
              <w:left w:val="single" w:sz="4" w:space="0" w:color="auto"/>
              <w:bottom w:val="single" w:sz="4" w:space="0" w:color="auto"/>
              <w:right w:val="single" w:sz="4" w:space="0" w:color="auto"/>
            </w:tcBorders>
            <w:shd w:val="clear" w:color="auto" w:fill="auto"/>
            <w:noWrap/>
            <w:vAlign w:val="center"/>
          </w:tcPr>
          <w:p w:rsidR="006B7DFB" w:rsidRPr="00514404" w:rsidRDefault="006B7DFB" w:rsidP="00D0790A">
            <w:pPr>
              <w:jc w:val="center"/>
            </w:pPr>
            <w:proofErr w:type="spellStart"/>
            <w:r w:rsidRPr="00514404">
              <w:t>milj</w:t>
            </w:r>
            <w:proofErr w:type="spellEnd"/>
            <w:r w:rsidRPr="00514404">
              <w:t>.</w:t>
            </w:r>
            <w:r w:rsidR="00C83D30" w:rsidRPr="00514404">
              <w:t xml:space="preserve"> </w:t>
            </w:r>
            <w:r w:rsidRPr="00514404">
              <w:t>latu</w:t>
            </w:r>
          </w:p>
        </w:tc>
      </w:tr>
      <w:tr w:rsidR="00154D98" w:rsidRPr="00514404" w:rsidTr="00D0790A">
        <w:trPr>
          <w:trHeight w:val="315"/>
          <w:jc w:val="center"/>
        </w:trPr>
        <w:tc>
          <w:tcPr>
            <w:tcW w:w="411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B7DFB" w:rsidRPr="00514404" w:rsidRDefault="006B7DFB" w:rsidP="00D0790A">
            <w:pPr>
              <w:rPr>
                <w:bCs/>
              </w:rPr>
            </w:pPr>
            <w:r w:rsidRPr="00514404">
              <w:rPr>
                <w:bCs/>
              </w:rPr>
              <w:t>PVN</w:t>
            </w:r>
          </w:p>
        </w:tc>
        <w:tc>
          <w:tcPr>
            <w:tcW w:w="2067" w:type="dxa"/>
            <w:tcBorders>
              <w:top w:val="nil"/>
              <w:left w:val="nil"/>
              <w:bottom w:val="single" w:sz="4" w:space="0" w:color="auto"/>
              <w:right w:val="single" w:sz="4" w:space="0" w:color="auto"/>
            </w:tcBorders>
            <w:shd w:val="clear" w:color="auto" w:fill="auto"/>
            <w:noWrap/>
            <w:vAlign w:val="bottom"/>
          </w:tcPr>
          <w:p w:rsidR="006B7DFB" w:rsidRPr="00514404" w:rsidRDefault="006B7DFB" w:rsidP="00D0790A">
            <w:pPr>
              <w:jc w:val="center"/>
              <w:rPr>
                <w:bCs/>
              </w:rPr>
            </w:pPr>
            <w:r w:rsidRPr="00514404">
              <w:t>30</w:t>
            </w:r>
          </w:p>
        </w:tc>
      </w:tr>
      <w:tr w:rsidR="00154D98" w:rsidRPr="00514404" w:rsidTr="00D0790A">
        <w:trPr>
          <w:trHeight w:val="315"/>
          <w:jc w:val="center"/>
        </w:trPr>
        <w:tc>
          <w:tcPr>
            <w:tcW w:w="41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7DFB" w:rsidRPr="00514404" w:rsidRDefault="006B7DFB" w:rsidP="00D0790A">
            <w:r w:rsidRPr="00514404">
              <w:rPr>
                <w:bCs/>
              </w:rPr>
              <w:t xml:space="preserve">IIN </w:t>
            </w:r>
          </w:p>
        </w:tc>
        <w:tc>
          <w:tcPr>
            <w:tcW w:w="2067" w:type="dxa"/>
            <w:tcBorders>
              <w:top w:val="nil"/>
              <w:left w:val="nil"/>
              <w:bottom w:val="single" w:sz="4" w:space="0" w:color="auto"/>
              <w:right w:val="single" w:sz="4" w:space="0" w:color="auto"/>
            </w:tcBorders>
            <w:shd w:val="clear" w:color="auto" w:fill="auto"/>
            <w:noWrap/>
            <w:vAlign w:val="bottom"/>
            <w:hideMark/>
          </w:tcPr>
          <w:p w:rsidR="006B7DFB" w:rsidRPr="00514404" w:rsidRDefault="006B7DFB" w:rsidP="00D0790A">
            <w:pPr>
              <w:jc w:val="center"/>
              <w:rPr>
                <w:bCs/>
              </w:rPr>
            </w:pPr>
            <w:r w:rsidRPr="00514404">
              <w:rPr>
                <w:bCs/>
              </w:rPr>
              <w:t>12</w:t>
            </w:r>
          </w:p>
        </w:tc>
      </w:tr>
      <w:tr w:rsidR="00154D98" w:rsidRPr="00514404" w:rsidTr="00D0790A">
        <w:trPr>
          <w:trHeight w:val="315"/>
          <w:jc w:val="center"/>
        </w:trPr>
        <w:tc>
          <w:tcPr>
            <w:tcW w:w="4110" w:type="dxa"/>
            <w:tcBorders>
              <w:top w:val="nil"/>
              <w:left w:val="single" w:sz="8" w:space="0" w:color="auto"/>
              <w:bottom w:val="single" w:sz="4" w:space="0" w:color="auto"/>
              <w:right w:val="single" w:sz="4" w:space="0" w:color="auto"/>
            </w:tcBorders>
            <w:shd w:val="clear" w:color="auto" w:fill="auto"/>
            <w:noWrap/>
            <w:vAlign w:val="bottom"/>
          </w:tcPr>
          <w:p w:rsidR="006B7DFB" w:rsidRPr="00514404" w:rsidRDefault="006B7DFB" w:rsidP="00D0790A">
            <w:r w:rsidRPr="00514404">
              <w:t>SOC</w:t>
            </w:r>
          </w:p>
        </w:tc>
        <w:tc>
          <w:tcPr>
            <w:tcW w:w="2067" w:type="dxa"/>
            <w:tcBorders>
              <w:top w:val="nil"/>
              <w:left w:val="nil"/>
              <w:bottom w:val="single" w:sz="4" w:space="0" w:color="auto"/>
              <w:right w:val="single" w:sz="4" w:space="0" w:color="auto"/>
            </w:tcBorders>
            <w:shd w:val="clear" w:color="auto" w:fill="auto"/>
            <w:noWrap/>
            <w:vAlign w:val="bottom"/>
          </w:tcPr>
          <w:p w:rsidR="006B7DFB" w:rsidRPr="00514404" w:rsidRDefault="006B7DFB" w:rsidP="00D0790A">
            <w:pPr>
              <w:jc w:val="center"/>
            </w:pPr>
            <w:r w:rsidRPr="00514404">
              <w:t>8</w:t>
            </w:r>
          </w:p>
        </w:tc>
      </w:tr>
      <w:tr w:rsidR="00154D98" w:rsidRPr="00514404" w:rsidTr="00C83D30">
        <w:trPr>
          <w:trHeight w:val="330"/>
          <w:jc w:val="center"/>
        </w:trPr>
        <w:tc>
          <w:tcPr>
            <w:tcW w:w="4110" w:type="dxa"/>
            <w:tcBorders>
              <w:top w:val="nil"/>
              <w:left w:val="single" w:sz="8" w:space="0" w:color="auto"/>
              <w:bottom w:val="single" w:sz="8" w:space="0" w:color="auto"/>
              <w:right w:val="single" w:sz="4" w:space="0" w:color="auto"/>
            </w:tcBorders>
            <w:shd w:val="clear" w:color="auto" w:fill="auto"/>
            <w:noWrap/>
            <w:vAlign w:val="bottom"/>
          </w:tcPr>
          <w:p w:rsidR="006B7DFB" w:rsidRPr="00514404" w:rsidRDefault="006B7DFB" w:rsidP="00D0790A">
            <w:pPr>
              <w:rPr>
                <w:b/>
                <w:bCs/>
              </w:rPr>
            </w:pPr>
            <w:r w:rsidRPr="00514404">
              <w:rPr>
                <w:b/>
                <w:bCs/>
              </w:rPr>
              <w:t>Kopā</w:t>
            </w:r>
          </w:p>
        </w:tc>
        <w:tc>
          <w:tcPr>
            <w:tcW w:w="2067" w:type="dxa"/>
            <w:tcBorders>
              <w:top w:val="nil"/>
              <w:left w:val="nil"/>
              <w:bottom w:val="single" w:sz="8" w:space="0" w:color="auto"/>
              <w:right w:val="single" w:sz="4" w:space="0" w:color="auto"/>
            </w:tcBorders>
            <w:shd w:val="clear" w:color="auto" w:fill="auto"/>
            <w:noWrap/>
            <w:vAlign w:val="bottom"/>
          </w:tcPr>
          <w:p w:rsidR="006B7DFB" w:rsidRPr="00514404" w:rsidRDefault="006B7DFB" w:rsidP="00D0790A">
            <w:pPr>
              <w:jc w:val="center"/>
              <w:rPr>
                <w:b/>
                <w:bCs/>
              </w:rPr>
            </w:pPr>
            <w:r w:rsidRPr="00514404">
              <w:rPr>
                <w:b/>
                <w:bCs/>
              </w:rPr>
              <w:t>50</w:t>
            </w:r>
          </w:p>
        </w:tc>
      </w:tr>
    </w:tbl>
    <w:p w:rsidR="006B7DFB" w:rsidRPr="002631CA" w:rsidRDefault="006B7DFB" w:rsidP="00F000E1">
      <w:pPr>
        <w:jc w:val="both"/>
        <w:rPr>
          <w:sz w:val="28"/>
          <w:szCs w:val="28"/>
        </w:rPr>
      </w:pPr>
    </w:p>
    <w:p w:rsidR="00F000E1" w:rsidRPr="002631CA" w:rsidRDefault="00715125" w:rsidP="006B7DFB">
      <w:pPr>
        <w:ind w:firstLine="709"/>
        <w:jc w:val="both"/>
        <w:rPr>
          <w:sz w:val="28"/>
          <w:szCs w:val="28"/>
        </w:rPr>
      </w:pPr>
      <w:r w:rsidRPr="002631CA">
        <w:rPr>
          <w:sz w:val="28"/>
          <w:szCs w:val="28"/>
        </w:rPr>
        <w:t>Izv</w:t>
      </w:r>
      <w:r w:rsidR="00F000E1" w:rsidRPr="002631CA">
        <w:rPr>
          <w:sz w:val="28"/>
          <w:szCs w:val="28"/>
        </w:rPr>
        <w:t>ērtējot 201</w:t>
      </w:r>
      <w:r w:rsidR="00830CEF" w:rsidRPr="002631CA">
        <w:rPr>
          <w:sz w:val="28"/>
          <w:szCs w:val="28"/>
        </w:rPr>
        <w:t>2</w:t>
      </w:r>
      <w:r w:rsidR="00F000E1" w:rsidRPr="002631CA">
        <w:rPr>
          <w:sz w:val="28"/>
          <w:szCs w:val="28"/>
        </w:rPr>
        <w:t xml:space="preserve">.gada </w:t>
      </w:r>
      <w:r w:rsidR="00830CEF" w:rsidRPr="002631CA">
        <w:rPr>
          <w:sz w:val="28"/>
          <w:szCs w:val="28"/>
        </w:rPr>
        <w:t>sešu</w:t>
      </w:r>
      <w:r w:rsidR="00F000E1" w:rsidRPr="002631CA">
        <w:rPr>
          <w:sz w:val="28"/>
          <w:szCs w:val="28"/>
        </w:rPr>
        <w:t xml:space="preserve"> mēnešu darba rezultātus var secināt, ka ir panākt</w:t>
      </w:r>
      <w:r w:rsidRPr="002631CA">
        <w:rPr>
          <w:sz w:val="28"/>
          <w:szCs w:val="28"/>
        </w:rPr>
        <w:t>s</w:t>
      </w:r>
      <w:r w:rsidR="00F000E1" w:rsidRPr="002631CA">
        <w:rPr>
          <w:sz w:val="28"/>
          <w:szCs w:val="28"/>
        </w:rPr>
        <w:t xml:space="preserve"> būtisk</w:t>
      </w:r>
      <w:r w:rsidRPr="002631CA">
        <w:rPr>
          <w:sz w:val="28"/>
          <w:szCs w:val="28"/>
        </w:rPr>
        <w:t>s</w:t>
      </w:r>
      <w:r w:rsidR="00F000E1" w:rsidRPr="002631CA">
        <w:rPr>
          <w:sz w:val="28"/>
          <w:szCs w:val="28"/>
        </w:rPr>
        <w:t xml:space="preserve"> nodokļu </w:t>
      </w:r>
      <w:r w:rsidRPr="002631CA">
        <w:rPr>
          <w:sz w:val="28"/>
          <w:szCs w:val="28"/>
        </w:rPr>
        <w:t>ieņēmumu pieaugums</w:t>
      </w:r>
      <w:r w:rsidR="00F000E1" w:rsidRPr="002631CA">
        <w:rPr>
          <w:sz w:val="28"/>
          <w:szCs w:val="28"/>
        </w:rPr>
        <w:t>, īstenojot ēnu ekonomikas apkarošanas un godīgas konkurences veicināšanas plāna pasākumus. Par to liecina rezultatīvo rādītāju palielinājums prioritārajās darbības jomās 201</w:t>
      </w:r>
      <w:r w:rsidR="00830CEF" w:rsidRPr="002631CA">
        <w:rPr>
          <w:sz w:val="28"/>
          <w:szCs w:val="28"/>
        </w:rPr>
        <w:t>2</w:t>
      </w:r>
      <w:r w:rsidR="00F000E1" w:rsidRPr="002631CA">
        <w:rPr>
          <w:sz w:val="28"/>
          <w:szCs w:val="28"/>
        </w:rPr>
        <w:t>.gada sešos mēnešos salīdzinājumā ar 201</w:t>
      </w:r>
      <w:r w:rsidR="00830CEF" w:rsidRPr="002631CA">
        <w:rPr>
          <w:sz w:val="28"/>
          <w:szCs w:val="28"/>
        </w:rPr>
        <w:t>1</w:t>
      </w:r>
      <w:r w:rsidR="00F000E1" w:rsidRPr="002631CA">
        <w:rPr>
          <w:sz w:val="28"/>
          <w:szCs w:val="28"/>
        </w:rPr>
        <w:t xml:space="preserve">.gada sešiem mēnešiem. Šie darba rezultāti </w:t>
      </w:r>
      <w:r w:rsidR="00F000E1" w:rsidRPr="002631CA">
        <w:rPr>
          <w:sz w:val="28"/>
          <w:szCs w:val="28"/>
        </w:rPr>
        <w:lastRenderedPageBreak/>
        <w:t xml:space="preserve">ir sasniegti nozīmīgā </w:t>
      </w:r>
      <w:r w:rsidR="00830CEF" w:rsidRPr="002631CA">
        <w:rPr>
          <w:sz w:val="28"/>
          <w:szCs w:val="28"/>
        </w:rPr>
        <w:t xml:space="preserve">valsts institūciju </w:t>
      </w:r>
      <w:r w:rsidR="00F000E1" w:rsidRPr="002631CA">
        <w:rPr>
          <w:sz w:val="28"/>
          <w:szCs w:val="28"/>
        </w:rPr>
        <w:t>darbinieku ieguldījuma rezultātā, pārskatot un nosakot jaunas prioritātes</w:t>
      </w:r>
      <w:r w:rsidR="00EE2CFE" w:rsidRPr="002631CA">
        <w:rPr>
          <w:sz w:val="28"/>
          <w:szCs w:val="28"/>
        </w:rPr>
        <w:t xml:space="preserve"> un plānojot darbu saskaņā ar riska vadības principiem</w:t>
      </w:r>
      <w:r w:rsidR="00F000E1" w:rsidRPr="002631CA">
        <w:rPr>
          <w:sz w:val="28"/>
          <w:szCs w:val="28"/>
        </w:rPr>
        <w:t>, kā arī veicot resursu optimizēšanas pasākumus.</w:t>
      </w:r>
    </w:p>
    <w:p w:rsidR="0026624C" w:rsidRPr="002631CA" w:rsidRDefault="0026624C" w:rsidP="002B5DC8">
      <w:pPr>
        <w:ind w:firstLine="720"/>
        <w:jc w:val="both"/>
        <w:rPr>
          <w:sz w:val="28"/>
          <w:szCs w:val="28"/>
        </w:rPr>
      </w:pPr>
    </w:p>
    <w:p w:rsidR="00D815EE" w:rsidRPr="002631CA" w:rsidRDefault="00D815EE" w:rsidP="00A209E4">
      <w:pPr>
        <w:tabs>
          <w:tab w:val="left" w:pos="1134"/>
        </w:tabs>
        <w:ind w:left="720"/>
        <w:jc w:val="both"/>
        <w:rPr>
          <w:sz w:val="28"/>
          <w:szCs w:val="28"/>
        </w:rPr>
      </w:pPr>
    </w:p>
    <w:p w:rsidR="00A209E4" w:rsidRPr="002631CA" w:rsidRDefault="00A209E4" w:rsidP="00A209E4">
      <w:pPr>
        <w:tabs>
          <w:tab w:val="left" w:pos="1134"/>
        </w:tabs>
        <w:ind w:left="720"/>
        <w:jc w:val="both"/>
        <w:rPr>
          <w:sz w:val="28"/>
          <w:szCs w:val="28"/>
        </w:rPr>
      </w:pPr>
      <w:r w:rsidRPr="002631CA">
        <w:rPr>
          <w:sz w:val="28"/>
          <w:szCs w:val="28"/>
        </w:rPr>
        <w:t>Finanšu ministrs</w:t>
      </w:r>
      <w:r w:rsidRPr="002631CA">
        <w:rPr>
          <w:sz w:val="28"/>
          <w:szCs w:val="28"/>
        </w:rPr>
        <w:tab/>
      </w:r>
      <w:r w:rsidRPr="002631CA">
        <w:rPr>
          <w:sz w:val="28"/>
          <w:szCs w:val="28"/>
        </w:rPr>
        <w:tab/>
      </w:r>
      <w:r w:rsidRPr="002631CA">
        <w:rPr>
          <w:sz w:val="28"/>
          <w:szCs w:val="28"/>
        </w:rPr>
        <w:tab/>
      </w:r>
      <w:r w:rsidRPr="002631CA">
        <w:rPr>
          <w:sz w:val="28"/>
          <w:szCs w:val="28"/>
        </w:rPr>
        <w:tab/>
      </w:r>
      <w:r w:rsidRPr="002631CA">
        <w:rPr>
          <w:sz w:val="28"/>
          <w:szCs w:val="28"/>
        </w:rPr>
        <w:tab/>
      </w:r>
      <w:r w:rsidR="00830CEF" w:rsidRPr="002631CA">
        <w:rPr>
          <w:sz w:val="28"/>
          <w:szCs w:val="28"/>
        </w:rPr>
        <w:tab/>
      </w:r>
      <w:r w:rsidRPr="002631CA">
        <w:rPr>
          <w:sz w:val="28"/>
          <w:szCs w:val="28"/>
        </w:rPr>
        <w:tab/>
        <w:t>A.Vilks</w:t>
      </w:r>
    </w:p>
    <w:p w:rsidR="00A209E4" w:rsidRPr="002631CA" w:rsidRDefault="00A209E4" w:rsidP="00A209E4">
      <w:pPr>
        <w:tabs>
          <w:tab w:val="left" w:pos="1134"/>
        </w:tabs>
        <w:ind w:left="720"/>
        <w:jc w:val="both"/>
        <w:rPr>
          <w:sz w:val="28"/>
          <w:szCs w:val="28"/>
        </w:rPr>
      </w:pPr>
    </w:p>
    <w:p w:rsidR="00F000E1" w:rsidRDefault="00F000E1"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2631CA" w:rsidRDefault="002631CA" w:rsidP="00A209E4">
      <w:pPr>
        <w:rPr>
          <w:sz w:val="28"/>
          <w:szCs w:val="28"/>
        </w:rPr>
      </w:pPr>
    </w:p>
    <w:p w:rsidR="00A209E4" w:rsidRPr="002631CA" w:rsidRDefault="0095016C" w:rsidP="00A209E4">
      <w:pPr>
        <w:pStyle w:val="BodyTextIndent"/>
        <w:spacing w:after="0"/>
        <w:ind w:left="0"/>
        <w:rPr>
          <w:noProof/>
          <w:sz w:val="20"/>
          <w:szCs w:val="20"/>
        </w:rPr>
      </w:pPr>
      <w:r w:rsidRPr="002631CA">
        <w:rPr>
          <w:noProof/>
          <w:sz w:val="20"/>
          <w:szCs w:val="20"/>
        </w:rPr>
        <w:t>06.08</w:t>
      </w:r>
      <w:r w:rsidR="00830CEF" w:rsidRPr="002631CA">
        <w:rPr>
          <w:noProof/>
          <w:sz w:val="20"/>
          <w:szCs w:val="20"/>
        </w:rPr>
        <w:t>.2012</w:t>
      </w:r>
      <w:r w:rsidRPr="002631CA">
        <w:rPr>
          <w:noProof/>
          <w:sz w:val="20"/>
          <w:szCs w:val="20"/>
        </w:rPr>
        <w:t>. 9:18</w:t>
      </w:r>
    </w:p>
    <w:p w:rsidR="00A209E4" w:rsidRPr="002631CA" w:rsidRDefault="0075137F" w:rsidP="00A209E4">
      <w:pPr>
        <w:pStyle w:val="BodyTextIndent"/>
        <w:spacing w:after="0"/>
        <w:ind w:left="0"/>
        <w:rPr>
          <w:noProof/>
          <w:sz w:val="20"/>
          <w:szCs w:val="20"/>
        </w:rPr>
      </w:pPr>
      <w:r w:rsidRPr="002631CA">
        <w:rPr>
          <w:noProof/>
          <w:sz w:val="20"/>
          <w:szCs w:val="20"/>
        </w:rPr>
        <w:t>5</w:t>
      </w:r>
      <w:r w:rsidR="0095016C" w:rsidRPr="002631CA">
        <w:rPr>
          <w:noProof/>
          <w:sz w:val="20"/>
          <w:szCs w:val="20"/>
        </w:rPr>
        <w:t>179</w:t>
      </w:r>
    </w:p>
    <w:p w:rsidR="00A209E4" w:rsidRPr="002631CA" w:rsidRDefault="00830CEF" w:rsidP="00A209E4">
      <w:pPr>
        <w:pStyle w:val="BodyTextIndent"/>
        <w:spacing w:after="0"/>
        <w:ind w:left="0"/>
        <w:rPr>
          <w:noProof/>
          <w:sz w:val="20"/>
          <w:szCs w:val="20"/>
        </w:rPr>
      </w:pPr>
      <w:r w:rsidRPr="002631CA">
        <w:rPr>
          <w:noProof/>
          <w:sz w:val="20"/>
          <w:szCs w:val="20"/>
        </w:rPr>
        <w:t>E.Šidlovskis</w:t>
      </w:r>
    </w:p>
    <w:p w:rsidR="0017355C" w:rsidRPr="002631CA" w:rsidRDefault="00830CEF" w:rsidP="00237F8F">
      <w:pPr>
        <w:pStyle w:val="BodyTextIndent"/>
        <w:spacing w:after="0"/>
        <w:ind w:left="0"/>
        <w:rPr>
          <w:sz w:val="20"/>
          <w:szCs w:val="20"/>
        </w:rPr>
      </w:pPr>
      <w:r w:rsidRPr="002631CA">
        <w:rPr>
          <w:noProof/>
          <w:sz w:val="20"/>
          <w:szCs w:val="20"/>
        </w:rPr>
        <w:t>67083894</w:t>
      </w:r>
      <w:r w:rsidR="00A209E4" w:rsidRPr="002631CA">
        <w:rPr>
          <w:noProof/>
          <w:sz w:val="20"/>
          <w:szCs w:val="20"/>
        </w:rPr>
        <w:t xml:space="preserve">, </w:t>
      </w:r>
      <w:r w:rsidRPr="002631CA">
        <w:rPr>
          <w:noProof/>
          <w:sz w:val="20"/>
          <w:szCs w:val="20"/>
        </w:rPr>
        <w:t>Edgars.Sidlovskis@fm.gov.lv</w:t>
      </w:r>
    </w:p>
    <w:sectPr w:rsidR="0017355C" w:rsidRPr="002631CA" w:rsidSect="002631CA">
      <w:headerReference w:type="default" r:id="rId10"/>
      <w:footerReference w:type="default" r:id="rId11"/>
      <w:footerReference w:type="first" r:id="rId12"/>
      <w:pgSz w:w="11906" w:h="16838"/>
      <w:pgMar w:top="1418" w:right="1134" w:bottom="1134" w:left="1701" w:header="709" w:footer="9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8F" w:rsidRDefault="00D4728F">
      <w:r>
        <w:separator/>
      </w:r>
    </w:p>
  </w:endnote>
  <w:endnote w:type="continuationSeparator" w:id="0">
    <w:p w:rsidR="00D4728F" w:rsidRDefault="00D4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charset w:val="00"/>
    <w:family w:val="roman"/>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7" w:rsidRDefault="002A2A87" w:rsidP="00D0790A">
    <w:pPr>
      <w:pStyle w:val="Footer"/>
    </w:pPr>
    <w:r>
      <w:rPr>
        <w:sz w:val="20"/>
        <w:szCs w:val="20"/>
      </w:rPr>
      <w:t>FMZino_</w:t>
    </w:r>
    <w:r w:rsidR="00D03DA9">
      <w:rPr>
        <w:sz w:val="20"/>
        <w:szCs w:val="20"/>
      </w:rPr>
      <w:t>0608</w:t>
    </w:r>
    <w:r>
      <w:rPr>
        <w:sz w:val="20"/>
        <w:szCs w:val="20"/>
      </w:rPr>
      <w:t xml:space="preserve">2012; </w:t>
    </w:r>
    <w:r w:rsidRPr="00D0790A">
      <w:rPr>
        <w:sz w:val="20"/>
        <w:szCs w:val="20"/>
      </w:rPr>
      <w:t>Informatīvais ziņojums</w:t>
    </w:r>
    <w:r>
      <w:rPr>
        <w:sz w:val="20"/>
        <w:szCs w:val="20"/>
      </w:rPr>
      <w:t xml:space="preserve"> </w:t>
    </w:r>
    <w:r w:rsidRPr="00D0790A">
      <w:rPr>
        <w:sz w:val="20"/>
        <w:szCs w:val="20"/>
      </w:rPr>
      <w:t>par ēnu ekonomikas apkarošanas pasākumu īstenošanā iesaistīto institūciju darbības rezultātiem 2012.gada sešos mēnešos un šo pasākumu ietekmi uz nodokļu iekasēšanu</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7" w:rsidRPr="00661370" w:rsidRDefault="002A2A87" w:rsidP="00D0790A">
    <w:pPr>
      <w:pStyle w:val="Footer"/>
      <w:rPr>
        <w:sz w:val="20"/>
        <w:szCs w:val="20"/>
      </w:rPr>
    </w:pPr>
    <w:r>
      <w:rPr>
        <w:sz w:val="20"/>
        <w:szCs w:val="20"/>
      </w:rPr>
      <w:t>FMZino_</w:t>
    </w:r>
    <w:r w:rsidR="00D03DA9">
      <w:rPr>
        <w:sz w:val="20"/>
        <w:szCs w:val="20"/>
      </w:rPr>
      <w:t>0608</w:t>
    </w:r>
    <w:r>
      <w:rPr>
        <w:sz w:val="20"/>
        <w:szCs w:val="20"/>
      </w:rPr>
      <w:t xml:space="preserve">2012; </w:t>
    </w:r>
    <w:r w:rsidRPr="00D0790A">
      <w:rPr>
        <w:sz w:val="20"/>
        <w:szCs w:val="20"/>
      </w:rPr>
      <w:t>Informatīvais ziņojums</w:t>
    </w:r>
    <w:r>
      <w:rPr>
        <w:sz w:val="20"/>
        <w:szCs w:val="20"/>
      </w:rPr>
      <w:t xml:space="preserve"> </w:t>
    </w:r>
    <w:r w:rsidRPr="00D0790A">
      <w:rPr>
        <w:sz w:val="20"/>
        <w:szCs w:val="20"/>
      </w:rPr>
      <w:t>par ēnu ekonomikas apkarošanas pasākumu īstenošanā iesaistīto institūciju darbības rezultātiem 2012.gada sešos mēnešos un šo pasākumu ietekmi uz nodokļu iekasēšanu</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8F" w:rsidRDefault="00D4728F">
      <w:r>
        <w:separator/>
      </w:r>
    </w:p>
  </w:footnote>
  <w:footnote w:type="continuationSeparator" w:id="0">
    <w:p w:rsidR="00D4728F" w:rsidRDefault="00D47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4695"/>
      <w:docPartObj>
        <w:docPartGallery w:val="Page Numbers (Top of Page)"/>
        <w:docPartUnique/>
      </w:docPartObj>
    </w:sdtPr>
    <w:sdtEndPr>
      <w:rPr>
        <w:noProof/>
        <w:sz w:val="20"/>
        <w:szCs w:val="20"/>
      </w:rPr>
    </w:sdtEndPr>
    <w:sdtContent>
      <w:p w:rsidR="002A2A87" w:rsidRPr="00DD11FE" w:rsidRDefault="002A2A87">
        <w:pPr>
          <w:pStyle w:val="Header"/>
          <w:jc w:val="center"/>
          <w:rPr>
            <w:sz w:val="20"/>
            <w:szCs w:val="20"/>
          </w:rPr>
        </w:pPr>
        <w:r w:rsidRPr="00DD11FE">
          <w:rPr>
            <w:sz w:val="20"/>
            <w:szCs w:val="20"/>
          </w:rPr>
          <w:fldChar w:fldCharType="begin"/>
        </w:r>
        <w:r w:rsidRPr="00DD11FE">
          <w:rPr>
            <w:sz w:val="20"/>
            <w:szCs w:val="20"/>
          </w:rPr>
          <w:instrText xml:space="preserve"> PAGE   \* MERGEFORMAT </w:instrText>
        </w:r>
        <w:r w:rsidRPr="00DD11FE">
          <w:rPr>
            <w:sz w:val="20"/>
            <w:szCs w:val="20"/>
          </w:rPr>
          <w:fldChar w:fldCharType="separate"/>
        </w:r>
        <w:r w:rsidR="00C563A0">
          <w:rPr>
            <w:noProof/>
            <w:sz w:val="20"/>
            <w:szCs w:val="20"/>
          </w:rPr>
          <w:t>20</w:t>
        </w:r>
        <w:r w:rsidRPr="00DD11FE">
          <w:rPr>
            <w:noProof/>
            <w:sz w:val="20"/>
            <w:szCs w:val="20"/>
          </w:rPr>
          <w:fldChar w:fldCharType="end"/>
        </w:r>
      </w:p>
    </w:sdtContent>
  </w:sdt>
  <w:p w:rsidR="002A2A87" w:rsidRDefault="002A2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B06"/>
    <w:multiLevelType w:val="hybridMultilevel"/>
    <w:tmpl w:val="74DEF438"/>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2AD3596"/>
    <w:multiLevelType w:val="hybridMultilevel"/>
    <w:tmpl w:val="D8945B50"/>
    <w:lvl w:ilvl="0" w:tplc="EF10C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6F741D9"/>
    <w:multiLevelType w:val="hybridMultilevel"/>
    <w:tmpl w:val="B95A43F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39E13A9"/>
    <w:multiLevelType w:val="hybridMultilevel"/>
    <w:tmpl w:val="8FCC075A"/>
    <w:lvl w:ilvl="0" w:tplc="FBD82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9002BCD"/>
    <w:multiLevelType w:val="hybridMultilevel"/>
    <w:tmpl w:val="C9E616F8"/>
    <w:lvl w:ilvl="0" w:tplc="B95EC0C0">
      <w:start w:val="1"/>
      <w:numFmt w:val="decimal"/>
      <w:lvlText w:val="%1."/>
      <w:lvlJc w:val="left"/>
      <w:pPr>
        <w:ind w:left="3763"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CD40F27"/>
    <w:multiLevelType w:val="hybridMultilevel"/>
    <w:tmpl w:val="E7567C7A"/>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318F7D46"/>
    <w:multiLevelType w:val="hybridMultilevel"/>
    <w:tmpl w:val="684CA8C4"/>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EF152EC"/>
    <w:multiLevelType w:val="hybridMultilevel"/>
    <w:tmpl w:val="A412E7B0"/>
    <w:lvl w:ilvl="0" w:tplc="3A541E6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46207FE6"/>
    <w:multiLevelType w:val="hybridMultilevel"/>
    <w:tmpl w:val="C04A54C6"/>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4A64113D"/>
    <w:multiLevelType w:val="hybridMultilevel"/>
    <w:tmpl w:val="02EC7FE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51074978"/>
    <w:multiLevelType w:val="hybridMultilevel"/>
    <w:tmpl w:val="29FC197A"/>
    <w:lvl w:ilvl="0" w:tplc="AE5EC42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4D07559"/>
    <w:multiLevelType w:val="hybridMultilevel"/>
    <w:tmpl w:val="B3FE9D2A"/>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5935035D"/>
    <w:multiLevelType w:val="hybridMultilevel"/>
    <w:tmpl w:val="642A263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615C5758"/>
    <w:multiLevelType w:val="hybridMultilevel"/>
    <w:tmpl w:val="20A60B7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633A67E5"/>
    <w:multiLevelType w:val="hybridMultilevel"/>
    <w:tmpl w:val="957E892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6A77337A"/>
    <w:multiLevelType w:val="hybridMultilevel"/>
    <w:tmpl w:val="D89C508E"/>
    <w:lvl w:ilvl="0" w:tplc="197860C4">
      <w:start w:val="2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E434B4"/>
    <w:multiLevelType w:val="hybridMultilevel"/>
    <w:tmpl w:val="29C6F67A"/>
    <w:lvl w:ilvl="0" w:tplc="45AC4756">
      <w:start w:val="1"/>
      <w:numFmt w:val="decimal"/>
      <w:pStyle w:val="Daaarnumuru"/>
      <w:lvlText w:val="(%1)"/>
      <w:lvlJc w:val="left"/>
      <w:pPr>
        <w:ind w:left="107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7">
    <w:nsid w:val="72D65563"/>
    <w:multiLevelType w:val="hybridMultilevel"/>
    <w:tmpl w:val="FE50EAF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5"/>
  </w:num>
  <w:num w:numId="4">
    <w:abstractNumId w:val="13"/>
  </w:num>
  <w:num w:numId="5">
    <w:abstractNumId w:val="12"/>
  </w:num>
  <w:num w:numId="6">
    <w:abstractNumId w:val="17"/>
  </w:num>
  <w:num w:numId="7">
    <w:abstractNumId w:val="0"/>
  </w:num>
  <w:num w:numId="8">
    <w:abstractNumId w:val="14"/>
  </w:num>
  <w:num w:numId="9">
    <w:abstractNumId w:val="8"/>
  </w:num>
  <w:num w:numId="10">
    <w:abstractNumId w:val="9"/>
  </w:num>
  <w:num w:numId="11">
    <w:abstractNumId w:val="6"/>
  </w:num>
  <w:num w:numId="12">
    <w:abstractNumId w:val="4"/>
  </w:num>
  <w:num w:numId="13">
    <w:abstractNumId w:val="11"/>
  </w:num>
  <w:num w:numId="14">
    <w:abstractNumId w:val="1"/>
  </w:num>
  <w:num w:numId="15">
    <w:abstractNumId w:val="7"/>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70"/>
    <w:rsid w:val="00001B7D"/>
    <w:rsid w:val="000026A9"/>
    <w:rsid w:val="0001463F"/>
    <w:rsid w:val="000228B2"/>
    <w:rsid w:val="00022EC7"/>
    <w:rsid w:val="000257D4"/>
    <w:rsid w:val="00030F6F"/>
    <w:rsid w:val="00032D2C"/>
    <w:rsid w:val="00035D08"/>
    <w:rsid w:val="0004044C"/>
    <w:rsid w:val="00040F92"/>
    <w:rsid w:val="00042A1F"/>
    <w:rsid w:val="00042DCC"/>
    <w:rsid w:val="00044613"/>
    <w:rsid w:val="00046AF5"/>
    <w:rsid w:val="0005062F"/>
    <w:rsid w:val="00055125"/>
    <w:rsid w:val="000618C3"/>
    <w:rsid w:val="000630C4"/>
    <w:rsid w:val="00063954"/>
    <w:rsid w:val="000652C9"/>
    <w:rsid w:val="00067DF5"/>
    <w:rsid w:val="00071F3E"/>
    <w:rsid w:val="000732B2"/>
    <w:rsid w:val="00074E98"/>
    <w:rsid w:val="00085D3C"/>
    <w:rsid w:val="00090FCA"/>
    <w:rsid w:val="000932B1"/>
    <w:rsid w:val="00093BA9"/>
    <w:rsid w:val="000950C1"/>
    <w:rsid w:val="000A3A8B"/>
    <w:rsid w:val="000A50E9"/>
    <w:rsid w:val="000A691B"/>
    <w:rsid w:val="000A6A68"/>
    <w:rsid w:val="000A6C92"/>
    <w:rsid w:val="000A6F69"/>
    <w:rsid w:val="000B00C1"/>
    <w:rsid w:val="000B3A2C"/>
    <w:rsid w:val="000B6714"/>
    <w:rsid w:val="000C046C"/>
    <w:rsid w:val="000C134C"/>
    <w:rsid w:val="000C1E3A"/>
    <w:rsid w:val="000D1F6A"/>
    <w:rsid w:val="000D42F4"/>
    <w:rsid w:val="000D4351"/>
    <w:rsid w:val="000D576A"/>
    <w:rsid w:val="000D7236"/>
    <w:rsid w:val="000E083B"/>
    <w:rsid w:val="000E2934"/>
    <w:rsid w:val="000E34EC"/>
    <w:rsid w:val="000F3957"/>
    <w:rsid w:val="000F5D45"/>
    <w:rsid w:val="00100F4F"/>
    <w:rsid w:val="00104FB0"/>
    <w:rsid w:val="001050BA"/>
    <w:rsid w:val="00107642"/>
    <w:rsid w:val="001102FC"/>
    <w:rsid w:val="00111757"/>
    <w:rsid w:val="0011241E"/>
    <w:rsid w:val="0011609B"/>
    <w:rsid w:val="0011731C"/>
    <w:rsid w:val="0012026F"/>
    <w:rsid w:val="001204F1"/>
    <w:rsid w:val="0012159A"/>
    <w:rsid w:val="00121BEC"/>
    <w:rsid w:val="00124153"/>
    <w:rsid w:val="0012682A"/>
    <w:rsid w:val="001320EB"/>
    <w:rsid w:val="0013249C"/>
    <w:rsid w:val="00133D44"/>
    <w:rsid w:val="00133E7D"/>
    <w:rsid w:val="0013599B"/>
    <w:rsid w:val="00135B47"/>
    <w:rsid w:val="00136093"/>
    <w:rsid w:val="001439EA"/>
    <w:rsid w:val="00152012"/>
    <w:rsid w:val="00154D98"/>
    <w:rsid w:val="0016002B"/>
    <w:rsid w:val="001643E6"/>
    <w:rsid w:val="001727C2"/>
    <w:rsid w:val="0017355C"/>
    <w:rsid w:val="0017412F"/>
    <w:rsid w:val="00175538"/>
    <w:rsid w:val="00176AE6"/>
    <w:rsid w:val="00185761"/>
    <w:rsid w:val="0019303D"/>
    <w:rsid w:val="00197355"/>
    <w:rsid w:val="001A151B"/>
    <w:rsid w:val="001A5077"/>
    <w:rsid w:val="001A664B"/>
    <w:rsid w:val="001A756F"/>
    <w:rsid w:val="001B0B64"/>
    <w:rsid w:val="001B388C"/>
    <w:rsid w:val="001B38C3"/>
    <w:rsid w:val="001B3C2C"/>
    <w:rsid w:val="001B681D"/>
    <w:rsid w:val="001B7868"/>
    <w:rsid w:val="001C018E"/>
    <w:rsid w:val="001C77C7"/>
    <w:rsid w:val="001D29B6"/>
    <w:rsid w:val="001D36C6"/>
    <w:rsid w:val="001D7C99"/>
    <w:rsid w:val="001E01ED"/>
    <w:rsid w:val="001E0D32"/>
    <w:rsid w:val="001E6D93"/>
    <w:rsid w:val="001F3235"/>
    <w:rsid w:val="001F742E"/>
    <w:rsid w:val="00200123"/>
    <w:rsid w:val="00201D6A"/>
    <w:rsid w:val="00205636"/>
    <w:rsid w:val="0020665D"/>
    <w:rsid w:val="002068D6"/>
    <w:rsid w:val="00207CFF"/>
    <w:rsid w:val="00211C92"/>
    <w:rsid w:val="00213A24"/>
    <w:rsid w:val="002208A8"/>
    <w:rsid w:val="00220FEF"/>
    <w:rsid w:val="0022243E"/>
    <w:rsid w:val="00223AE6"/>
    <w:rsid w:val="00231053"/>
    <w:rsid w:val="002354FF"/>
    <w:rsid w:val="002357F9"/>
    <w:rsid w:val="002365BF"/>
    <w:rsid w:val="00237793"/>
    <w:rsid w:val="00237F8F"/>
    <w:rsid w:val="002420B0"/>
    <w:rsid w:val="00243F90"/>
    <w:rsid w:val="00244436"/>
    <w:rsid w:val="0024572F"/>
    <w:rsid w:val="002541FE"/>
    <w:rsid w:val="002572AA"/>
    <w:rsid w:val="0026119B"/>
    <w:rsid w:val="002631CA"/>
    <w:rsid w:val="00264630"/>
    <w:rsid w:val="0026624C"/>
    <w:rsid w:val="00266963"/>
    <w:rsid w:val="00266994"/>
    <w:rsid w:val="0027006F"/>
    <w:rsid w:val="00273E0D"/>
    <w:rsid w:val="00274490"/>
    <w:rsid w:val="002754A2"/>
    <w:rsid w:val="002815F5"/>
    <w:rsid w:val="00285EE4"/>
    <w:rsid w:val="002928FC"/>
    <w:rsid w:val="00294BCD"/>
    <w:rsid w:val="00295098"/>
    <w:rsid w:val="00297F7A"/>
    <w:rsid w:val="002A1BB8"/>
    <w:rsid w:val="002A2A87"/>
    <w:rsid w:val="002A40A6"/>
    <w:rsid w:val="002A4E5D"/>
    <w:rsid w:val="002A7ECF"/>
    <w:rsid w:val="002B053B"/>
    <w:rsid w:val="002B10A5"/>
    <w:rsid w:val="002B14EE"/>
    <w:rsid w:val="002B5DC8"/>
    <w:rsid w:val="002B7354"/>
    <w:rsid w:val="002C0807"/>
    <w:rsid w:val="002C423C"/>
    <w:rsid w:val="002C7107"/>
    <w:rsid w:val="002D2CE0"/>
    <w:rsid w:val="002D3004"/>
    <w:rsid w:val="002D3307"/>
    <w:rsid w:val="002D4E96"/>
    <w:rsid w:val="002D5AA3"/>
    <w:rsid w:val="002E0E12"/>
    <w:rsid w:val="002E1B0E"/>
    <w:rsid w:val="002F1C68"/>
    <w:rsid w:val="002F1D82"/>
    <w:rsid w:val="002F3B04"/>
    <w:rsid w:val="002F545A"/>
    <w:rsid w:val="002F69E3"/>
    <w:rsid w:val="002F6D4C"/>
    <w:rsid w:val="00303E90"/>
    <w:rsid w:val="0031078A"/>
    <w:rsid w:val="00311FC2"/>
    <w:rsid w:val="003131A2"/>
    <w:rsid w:val="00315072"/>
    <w:rsid w:val="00315698"/>
    <w:rsid w:val="00315BCF"/>
    <w:rsid w:val="0031776C"/>
    <w:rsid w:val="003224D7"/>
    <w:rsid w:val="003308A6"/>
    <w:rsid w:val="003311B0"/>
    <w:rsid w:val="00340DF1"/>
    <w:rsid w:val="003433D6"/>
    <w:rsid w:val="00352885"/>
    <w:rsid w:val="00356D0F"/>
    <w:rsid w:val="003613EE"/>
    <w:rsid w:val="00361A2A"/>
    <w:rsid w:val="0036371D"/>
    <w:rsid w:val="0037104E"/>
    <w:rsid w:val="00374275"/>
    <w:rsid w:val="00387141"/>
    <w:rsid w:val="00390826"/>
    <w:rsid w:val="0039415B"/>
    <w:rsid w:val="00394DEE"/>
    <w:rsid w:val="00396081"/>
    <w:rsid w:val="003A0B39"/>
    <w:rsid w:val="003A2B6E"/>
    <w:rsid w:val="003A7404"/>
    <w:rsid w:val="003B4BFB"/>
    <w:rsid w:val="003C2E21"/>
    <w:rsid w:val="003C3B0B"/>
    <w:rsid w:val="003C4C54"/>
    <w:rsid w:val="003C6F35"/>
    <w:rsid w:val="003D13C9"/>
    <w:rsid w:val="003D37DC"/>
    <w:rsid w:val="003D5293"/>
    <w:rsid w:val="003E3850"/>
    <w:rsid w:val="003E3ECA"/>
    <w:rsid w:val="003E5A5D"/>
    <w:rsid w:val="003E6885"/>
    <w:rsid w:val="003F18C2"/>
    <w:rsid w:val="003F41C5"/>
    <w:rsid w:val="003F47F0"/>
    <w:rsid w:val="003F51DE"/>
    <w:rsid w:val="003F7180"/>
    <w:rsid w:val="00400D85"/>
    <w:rsid w:val="00401A3C"/>
    <w:rsid w:val="0040421D"/>
    <w:rsid w:val="00411199"/>
    <w:rsid w:val="00412FEA"/>
    <w:rsid w:val="00416ACD"/>
    <w:rsid w:val="004255F4"/>
    <w:rsid w:val="00426080"/>
    <w:rsid w:val="004265AA"/>
    <w:rsid w:val="004276EB"/>
    <w:rsid w:val="00427A44"/>
    <w:rsid w:val="00430509"/>
    <w:rsid w:val="00430B7E"/>
    <w:rsid w:val="00431D20"/>
    <w:rsid w:val="0044066A"/>
    <w:rsid w:val="00443711"/>
    <w:rsid w:val="004444E8"/>
    <w:rsid w:val="00444BF2"/>
    <w:rsid w:val="004502C9"/>
    <w:rsid w:val="00450A97"/>
    <w:rsid w:val="004523D7"/>
    <w:rsid w:val="00453696"/>
    <w:rsid w:val="00453C4E"/>
    <w:rsid w:val="00454B6C"/>
    <w:rsid w:val="00461098"/>
    <w:rsid w:val="00472E1E"/>
    <w:rsid w:val="00476089"/>
    <w:rsid w:val="00477033"/>
    <w:rsid w:val="00481EA7"/>
    <w:rsid w:val="0048374B"/>
    <w:rsid w:val="004868AE"/>
    <w:rsid w:val="00490731"/>
    <w:rsid w:val="0049238D"/>
    <w:rsid w:val="00494F15"/>
    <w:rsid w:val="0049542E"/>
    <w:rsid w:val="00496411"/>
    <w:rsid w:val="004B3EA8"/>
    <w:rsid w:val="004B4964"/>
    <w:rsid w:val="004B631D"/>
    <w:rsid w:val="004C23DC"/>
    <w:rsid w:val="004C4007"/>
    <w:rsid w:val="004C490C"/>
    <w:rsid w:val="004C5F7B"/>
    <w:rsid w:val="004D0A50"/>
    <w:rsid w:val="004D1A9E"/>
    <w:rsid w:val="004D741F"/>
    <w:rsid w:val="004E05B1"/>
    <w:rsid w:val="004F3ACD"/>
    <w:rsid w:val="004F3E15"/>
    <w:rsid w:val="004F5F51"/>
    <w:rsid w:val="00505764"/>
    <w:rsid w:val="00506BED"/>
    <w:rsid w:val="00507E1D"/>
    <w:rsid w:val="005118CF"/>
    <w:rsid w:val="005127F6"/>
    <w:rsid w:val="00514404"/>
    <w:rsid w:val="00514A00"/>
    <w:rsid w:val="005156B4"/>
    <w:rsid w:val="0051656D"/>
    <w:rsid w:val="0051660B"/>
    <w:rsid w:val="00520DF5"/>
    <w:rsid w:val="00521C86"/>
    <w:rsid w:val="00524D45"/>
    <w:rsid w:val="005257FF"/>
    <w:rsid w:val="00526DE3"/>
    <w:rsid w:val="005271B9"/>
    <w:rsid w:val="005306FB"/>
    <w:rsid w:val="00536DA3"/>
    <w:rsid w:val="00541D76"/>
    <w:rsid w:val="0054315B"/>
    <w:rsid w:val="005432EF"/>
    <w:rsid w:val="00550110"/>
    <w:rsid w:val="005507D2"/>
    <w:rsid w:val="005523BE"/>
    <w:rsid w:val="005532AB"/>
    <w:rsid w:val="0056146A"/>
    <w:rsid w:val="00564A05"/>
    <w:rsid w:val="00564F6A"/>
    <w:rsid w:val="00567189"/>
    <w:rsid w:val="00581B46"/>
    <w:rsid w:val="00587355"/>
    <w:rsid w:val="0058771C"/>
    <w:rsid w:val="0059395D"/>
    <w:rsid w:val="00593BCA"/>
    <w:rsid w:val="00597CD2"/>
    <w:rsid w:val="005A072D"/>
    <w:rsid w:val="005A3007"/>
    <w:rsid w:val="005A32F2"/>
    <w:rsid w:val="005A4BFC"/>
    <w:rsid w:val="005A6105"/>
    <w:rsid w:val="005A6A62"/>
    <w:rsid w:val="005B11C6"/>
    <w:rsid w:val="005B3197"/>
    <w:rsid w:val="005B7E09"/>
    <w:rsid w:val="005B7FD9"/>
    <w:rsid w:val="005C0774"/>
    <w:rsid w:val="005C238D"/>
    <w:rsid w:val="005C3FB9"/>
    <w:rsid w:val="005C5B34"/>
    <w:rsid w:val="005C6E29"/>
    <w:rsid w:val="005D02FC"/>
    <w:rsid w:val="005D0B49"/>
    <w:rsid w:val="005D66EF"/>
    <w:rsid w:val="005E3C6E"/>
    <w:rsid w:val="005E7A81"/>
    <w:rsid w:val="005E7FF8"/>
    <w:rsid w:val="005F0641"/>
    <w:rsid w:val="005F2D94"/>
    <w:rsid w:val="005F4597"/>
    <w:rsid w:val="005F6652"/>
    <w:rsid w:val="005F6E89"/>
    <w:rsid w:val="005F6EE3"/>
    <w:rsid w:val="006015FB"/>
    <w:rsid w:val="006016B4"/>
    <w:rsid w:val="00602326"/>
    <w:rsid w:val="006026B5"/>
    <w:rsid w:val="00605A36"/>
    <w:rsid w:val="00613337"/>
    <w:rsid w:val="006245AC"/>
    <w:rsid w:val="00626F47"/>
    <w:rsid w:val="006315F3"/>
    <w:rsid w:val="00634C68"/>
    <w:rsid w:val="006350FD"/>
    <w:rsid w:val="00635EE5"/>
    <w:rsid w:val="00640F3F"/>
    <w:rsid w:val="006450C7"/>
    <w:rsid w:val="00652579"/>
    <w:rsid w:val="00655334"/>
    <w:rsid w:val="0065676A"/>
    <w:rsid w:val="006571AD"/>
    <w:rsid w:val="00661370"/>
    <w:rsid w:val="0066474F"/>
    <w:rsid w:val="0067307C"/>
    <w:rsid w:val="00675558"/>
    <w:rsid w:val="00675EC3"/>
    <w:rsid w:val="006761EA"/>
    <w:rsid w:val="00684437"/>
    <w:rsid w:val="00695C91"/>
    <w:rsid w:val="006A0979"/>
    <w:rsid w:val="006A09C0"/>
    <w:rsid w:val="006A30A7"/>
    <w:rsid w:val="006A325C"/>
    <w:rsid w:val="006A3AE2"/>
    <w:rsid w:val="006A4D4F"/>
    <w:rsid w:val="006B0A9E"/>
    <w:rsid w:val="006B13E7"/>
    <w:rsid w:val="006B48D3"/>
    <w:rsid w:val="006B53C1"/>
    <w:rsid w:val="006B6552"/>
    <w:rsid w:val="006B75DD"/>
    <w:rsid w:val="006B7BD3"/>
    <w:rsid w:val="006B7DFB"/>
    <w:rsid w:val="006C2596"/>
    <w:rsid w:val="006C6D7B"/>
    <w:rsid w:val="006D0C79"/>
    <w:rsid w:val="006D20EE"/>
    <w:rsid w:val="006D5AB3"/>
    <w:rsid w:val="006D77B6"/>
    <w:rsid w:val="006F26F0"/>
    <w:rsid w:val="006F4153"/>
    <w:rsid w:val="006F7C8A"/>
    <w:rsid w:val="00701F76"/>
    <w:rsid w:val="00715125"/>
    <w:rsid w:val="00715BA3"/>
    <w:rsid w:val="007168BB"/>
    <w:rsid w:val="00716F3A"/>
    <w:rsid w:val="007200D6"/>
    <w:rsid w:val="007262BE"/>
    <w:rsid w:val="00731AFA"/>
    <w:rsid w:val="0073276D"/>
    <w:rsid w:val="007336AF"/>
    <w:rsid w:val="00734472"/>
    <w:rsid w:val="00743181"/>
    <w:rsid w:val="00743352"/>
    <w:rsid w:val="00743F18"/>
    <w:rsid w:val="007502AE"/>
    <w:rsid w:val="007508EA"/>
    <w:rsid w:val="0075137F"/>
    <w:rsid w:val="00751ED7"/>
    <w:rsid w:val="00753129"/>
    <w:rsid w:val="00756ED8"/>
    <w:rsid w:val="00757301"/>
    <w:rsid w:val="00757BF2"/>
    <w:rsid w:val="00765127"/>
    <w:rsid w:val="00767938"/>
    <w:rsid w:val="0077368B"/>
    <w:rsid w:val="007742FA"/>
    <w:rsid w:val="0077564F"/>
    <w:rsid w:val="007874C9"/>
    <w:rsid w:val="007903D7"/>
    <w:rsid w:val="0079185D"/>
    <w:rsid w:val="007929B5"/>
    <w:rsid w:val="00792F03"/>
    <w:rsid w:val="00795471"/>
    <w:rsid w:val="007A04C8"/>
    <w:rsid w:val="007A123F"/>
    <w:rsid w:val="007A1DCE"/>
    <w:rsid w:val="007A26B9"/>
    <w:rsid w:val="007A3A1A"/>
    <w:rsid w:val="007B05AA"/>
    <w:rsid w:val="007B7FE3"/>
    <w:rsid w:val="007C02DC"/>
    <w:rsid w:val="007C0556"/>
    <w:rsid w:val="007C05FF"/>
    <w:rsid w:val="007C1864"/>
    <w:rsid w:val="007C2782"/>
    <w:rsid w:val="007D01F0"/>
    <w:rsid w:val="007D1CE5"/>
    <w:rsid w:val="007D1E7D"/>
    <w:rsid w:val="007D2206"/>
    <w:rsid w:val="007D25C9"/>
    <w:rsid w:val="007D34F7"/>
    <w:rsid w:val="007E1BD5"/>
    <w:rsid w:val="007E4876"/>
    <w:rsid w:val="007F0D11"/>
    <w:rsid w:val="007F3A91"/>
    <w:rsid w:val="00800A09"/>
    <w:rsid w:val="00802062"/>
    <w:rsid w:val="008219B3"/>
    <w:rsid w:val="00830CEF"/>
    <w:rsid w:val="0083479F"/>
    <w:rsid w:val="0083686A"/>
    <w:rsid w:val="00840A45"/>
    <w:rsid w:val="00851B2C"/>
    <w:rsid w:val="00853E69"/>
    <w:rsid w:val="00855085"/>
    <w:rsid w:val="008634B6"/>
    <w:rsid w:val="0086441D"/>
    <w:rsid w:val="00864A3D"/>
    <w:rsid w:val="00866BCF"/>
    <w:rsid w:val="00866D2C"/>
    <w:rsid w:val="00870CE6"/>
    <w:rsid w:val="00871AEB"/>
    <w:rsid w:val="00873924"/>
    <w:rsid w:val="008765E1"/>
    <w:rsid w:val="00877210"/>
    <w:rsid w:val="00881223"/>
    <w:rsid w:val="00883DEE"/>
    <w:rsid w:val="00894E57"/>
    <w:rsid w:val="008A35B7"/>
    <w:rsid w:val="008A37EA"/>
    <w:rsid w:val="008A6285"/>
    <w:rsid w:val="008A6B20"/>
    <w:rsid w:val="008A728F"/>
    <w:rsid w:val="008B7B33"/>
    <w:rsid w:val="008C0D4C"/>
    <w:rsid w:val="008C0D6A"/>
    <w:rsid w:val="008C498E"/>
    <w:rsid w:val="008D09A5"/>
    <w:rsid w:val="008D487F"/>
    <w:rsid w:val="008D54ED"/>
    <w:rsid w:val="008E4902"/>
    <w:rsid w:val="008E7F74"/>
    <w:rsid w:val="008F1230"/>
    <w:rsid w:val="008F1586"/>
    <w:rsid w:val="008F4AB1"/>
    <w:rsid w:val="008F5992"/>
    <w:rsid w:val="008F7315"/>
    <w:rsid w:val="00901E92"/>
    <w:rsid w:val="009108D8"/>
    <w:rsid w:val="00914E95"/>
    <w:rsid w:val="00915845"/>
    <w:rsid w:val="0092110C"/>
    <w:rsid w:val="00923982"/>
    <w:rsid w:val="00924A9B"/>
    <w:rsid w:val="00924E46"/>
    <w:rsid w:val="009329C2"/>
    <w:rsid w:val="00932A5F"/>
    <w:rsid w:val="00934F9B"/>
    <w:rsid w:val="009354B7"/>
    <w:rsid w:val="0093571A"/>
    <w:rsid w:val="0093575E"/>
    <w:rsid w:val="00935FAE"/>
    <w:rsid w:val="009367FB"/>
    <w:rsid w:val="00937D80"/>
    <w:rsid w:val="0095016C"/>
    <w:rsid w:val="00960077"/>
    <w:rsid w:val="00974C60"/>
    <w:rsid w:val="00975A4C"/>
    <w:rsid w:val="009808CF"/>
    <w:rsid w:val="00982E3D"/>
    <w:rsid w:val="009874BB"/>
    <w:rsid w:val="009877C3"/>
    <w:rsid w:val="00991F93"/>
    <w:rsid w:val="009942D1"/>
    <w:rsid w:val="00994B88"/>
    <w:rsid w:val="009959A1"/>
    <w:rsid w:val="00996A93"/>
    <w:rsid w:val="00997DB6"/>
    <w:rsid w:val="009A122F"/>
    <w:rsid w:val="009A18FF"/>
    <w:rsid w:val="009A2C13"/>
    <w:rsid w:val="009A3B63"/>
    <w:rsid w:val="009A44C2"/>
    <w:rsid w:val="009A59E2"/>
    <w:rsid w:val="009B5909"/>
    <w:rsid w:val="009C2753"/>
    <w:rsid w:val="009C47D1"/>
    <w:rsid w:val="009C4AF7"/>
    <w:rsid w:val="009D3870"/>
    <w:rsid w:val="009D4E38"/>
    <w:rsid w:val="009D6361"/>
    <w:rsid w:val="009D6380"/>
    <w:rsid w:val="009D7E48"/>
    <w:rsid w:val="009E0B6F"/>
    <w:rsid w:val="009E0FF7"/>
    <w:rsid w:val="009E2898"/>
    <w:rsid w:val="009E28D7"/>
    <w:rsid w:val="009E3570"/>
    <w:rsid w:val="009E5AE8"/>
    <w:rsid w:val="009F0862"/>
    <w:rsid w:val="009F0C16"/>
    <w:rsid w:val="009F38FB"/>
    <w:rsid w:val="009F40E2"/>
    <w:rsid w:val="009F4518"/>
    <w:rsid w:val="009F4AE5"/>
    <w:rsid w:val="009F5284"/>
    <w:rsid w:val="00A03D93"/>
    <w:rsid w:val="00A04AE0"/>
    <w:rsid w:val="00A06636"/>
    <w:rsid w:val="00A111D4"/>
    <w:rsid w:val="00A118BF"/>
    <w:rsid w:val="00A11CDF"/>
    <w:rsid w:val="00A1224D"/>
    <w:rsid w:val="00A1316B"/>
    <w:rsid w:val="00A17A81"/>
    <w:rsid w:val="00A17D46"/>
    <w:rsid w:val="00A209E4"/>
    <w:rsid w:val="00A25421"/>
    <w:rsid w:val="00A25B32"/>
    <w:rsid w:val="00A27B10"/>
    <w:rsid w:val="00A3073B"/>
    <w:rsid w:val="00A40A4A"/>
    <w:rsid w:val="00A41272"/>
    <w:rsid w:val="00A4241F"/>
    <w:rsid w:val="00A44A8E"/>
    <w:rsid w:val="00A50CC9"/>
    <w:rsid w:val="00A516EE"/>
    <w:rsid w:val="00A54566"/>
    <w:rsid w:val="00A57BB4"/>
    <w:rsid w:val="00A57F15"/>
    <w:rsid w:val="00A60060"/>
    <w:rsid w:val="00A60DA9"/>
    <w:rsid w:val="00A61201"/>
    <w:rsid w:val="00A61A49"/>
    <w:rsid w:val="00A65AB9"/>
    <w:rsid w:val="00A67F20"/>
    <w:rsid w:val="00A70890"/>
    <w:rsid w:val="00A72093"/>
    <w:rsid w:val="00A723D3"/>
    <w:rsid w:val="00A73495"/>
    <w:rsid w:val="00A76D7F"/>
    <w:rsid w:val="00A84CB2"/>
    <w:rsid w:val="00A86FE6"/>
    <w:rsid w:val="00A8703A"/>
    <w:rsid w:val="00AB3825"/>
    <w:rsid w:val="00AB55A5"/>
    <w:rsid w:val="00AB5E4B"/>
    <w:rsid w:val="00AB7A92"/>
    <w:rsid w:val="00AC331F"/>
    <w:rsid w:val="00AC4BED"/>
    <w:rsid w:val="00AC4DD6"/>
    <w:rsid w:val="00AC5138"/>
    <w:rsid w:val="00AC57C1"/>
    <w:rsid w:val="00AC7A23"/>
    <w:rsid w:val="00AD2E42"/>
    <w:rsid w:val="00AD5D84"/>
    <w:rsid w:val="00AD68B3"/>
    <w:rsid w:val="00AE2664"/>
    <w:rsid w:val="00AE3D18"/>
    <w:rsid w:val="00AF20BD"/>
    <w:rsid w:val="00AF2C46"/>
    <w:rsid w:val="00AF3399"/>
    <w:rsid w:val="00AF368F"/>
    <w:rsid w:val="00B0236D"/>
    <w:rsid w:val="00B02CD6"/>
    <w:rsid w:val="00B05ABB"/>
    <w:rsid w:val="00B06AF7"/>
    <w:rsid w:val="00B144A2"/>
    <w:rsid w:val="00B24409"/>
    <w:rsid w:val="00B27D5D"/>
    <w:rsid w:val="00B34071"/>
    <w:rsid w:val="00B463B2"/>
    <w:rsid w:val="00B46B56"/>
    <w:rsid w:val="00B47FDF"/>
    <w:rsid w:val="00B5777C"/>
    <w:rsid w:val="00B60745"/>
    <w:rsid w:val="00B62060"/>
    <w:rsid w:val="00B67641"/>
    <w:rsid w:val="00B71AB7"/>
    <w:rsid w:val="00B72412"/>
    <w:rsid w:val="00B730BB"/>
    <w:rsid w:val="00B75227"/>
    <w:rsid w:val="00B75E2F"/>
    <w:rsid w:val="00B7637E"/>
    <w:rsid w:val="00B82A06"/>
    <w:rsid w:val="00B92A1C"/>
    <w:rsid w:val="00B94D03"/>
    <w:rsid w:val="00B94EE6"/>
    <w:rsid w:val="00B958E7"/>
    <w:rsid w:val="00BA22A0"/>
    <w:rsid w:val="00BC1B06"/>
    <w:rsid w:val="00BC2446"/>
    <w:rsid w:val="00BC3988"/>
    <w:rsid w:val="00BE0CB5"/>
    <w:rsid w:val="00BE1829"/>
    <w:rsid w:val="00BE2A22"/>
    <w:rsid w:val="00BE5C08"/>
    <w:rsid w:val="00BF2744"/>
    <w:rsid w:val="00BF3D3F"/>
    <w:rsid w:val="00BF53C3"/>
    <w:rsid w:val="00C014D2"/>
    <w:rsid w:val="00C01AA9"/>
    <w:rsid w:val="00C03A14"/>
    <w:rsid w:val="00C03C25"/>
    <w:rsid w:val="00C0455D"/>
    <w:rsid w:val="00C129DE"/>
    <w:rsid w:val="00C1316A"/>
    <w:rsid w:val="00C15297"/>
    <w:rsid w:val="00C15F75"/>
    <w:rsid w:val="00C17C0D"/>
    <w:rsid w:val="00C21FC7"/>
    <w:rsid w:val="00C23865"/>
    <w:rsid w:val="00C248CE"/>
    <w:rsid w:val="00C24AF8"/>
    <w:rsid w:val="00C27D17"/>
    <w:rsid w:val="00C30096"/>
    <w:rsid w:val="00C310BC"/>
    <w:rsid w:val="00C352DD"/>
    <w:rsid w:val="00C3568B"/>
    <w:rsid w:val="00C361A5"/>
    <w:rsid w:val="00C40933"/>
    <w:rsid w:val="00C40B20"/>
    <w:rsid w:val="00C412C6"/>
    <w:rsid w:val="00C41663"/>
    <w:rsid w:val="00C42262"/>
    <w:rsid w:val="00C5098D"/>
    <w:rsid w:val="00C5161C"/>
    <w:rsid w:val="00C55EF9"/>
    <w:rsid w:val="00C563A0"/>
    <w:rsid w:val="00C60C44"/>
    <w:rsid w:val="00C60E7C"/>
    <w:rsid w:val="00C6256F"/>
    <w:rsid w:val="00C64C96"/>
    <w:rsid w:val="00C72190"/>
    <w:rsid w:val="00C749B3"/>
    <w:rsid w:val="00C75172"/>
    <w:rsid w:val="00C7705F"/>
    <w:rsid w:val="00C77B7F"/>
    <w:rsid w:val="00C83247"/>
    <w:rsid w:val="00C83754"/>
    <w:rsid w:val="00C83D30"/>
    <w:rsid w:val="00C94900"/>
    <w:rsid w:val="00C94DF1"/>
    <w:rsid w:val="00CA24A3"/>
    <w:rsid w:val="00CB2FD4"/>
    <w:rsid w:val="00CC1144"/>
    <w:rsid w:val="00CC64F5"/>
    <w:rsid w:val="00CD229C"/>
    <w:rsid w:val="00CD4979"/>
    <w:rsid w:val="00CD5B39"/>
    <w:rsid w:val="00CD5F15"/>
    <w:rsid w:val="00CE6487"/>
    <w:rsid w:val="00CE6F42"/>
    <w:rsid w:val="00CE76CC"/>
    <w:rsid w:val="00CE7B1C"/>
    <w:rsid w:val="00CF0965"/>
    <w:rsid w:val="00CF675C"/>
    <w:rsid w:val="00D03DA9"/>
    <w:rsid w:val="00D0790A"/>
    <w:rsid w:val="00D159C7"/>
    <w:rsid w:val="00D16A2D"/>
    <w:rsid w:val="00D16DBB"/>
    <w:rsid w:val="00D225FE"/>
    <w:rsid w:val="00D24C6E"/>
    <w:rsid w:val="00D25ADB"/>
    <w:rsid w:val="00D27816"/>
    <w:rsid w:val="00D3312D"/>
    <w:rsid w:val="00D36DF7"/>
    <w:rsid w:val="00D42699"/>
    <w:rsid w:val="00D4728F"/>
    <w:rsid w:val="00D47892"/>
    <w:rsid w:val="00D506D2"/>
    <w:rsid w:val="00D50F8F"/>
    <w:rsid w:val="00D55657"/>
    <w:rsid w:val="00D56128"/>
    <w:rsid w:val="00D631BC"/>
    <w:rsid w:val="00D70611"/>
    <w:rsid w:val="00D75289"/>
    <w:rsid w:val="00D7656C"/>
    <w:rsid w:val="00D76AE0"/>
    <w:rsid w:val="00D76BBF"/>
    <w:rsid w:val="00D815EE"/>
    <w:rsid w:val="00D84E4F"/>
    <w:rsid w:val="00D8644B"/>
    <w:rsid w:val="00D937B1"/>
    <w:rsid w:val="00D93CCD"/>
    <w:rsid w:val="00D94D15"/>
    <w:rsid w:val="00DA16A9"/>
    <w:rsid w:val="00DA2900"/>
    <w:rsid w:val="00DA2FCA"/>
    <w:rsid w:val="00DA388E"/>
    <w:rsid w:val="00DA6D45"/>
    <w:rsid w:val="00DA7292"/>
    <w:rsid w:val="00DB126E"/>
    <w:rsid w:val="00DB4D4E"/>
    <w:rsid w:val="00DB6095"/>
    <w:rsid w:val="00DC78F1"/>
    <w:rsid w:val="00DD113D"/>
    <w:rsid w:val="00DD11FE"/>
    <w:rsid w:val="00DD16FA"/>
    <w:rsid w:val="00DD48F3"/>
    <w:rsid w:val="00DD6F5C"/>
    <w:rsid w:val="00DD7DF4"/>
    <w:rsid w:val="00DE298D"/>
    <w:rsid w:val="00DE3DB0"/>
    <w:rsid w:val="00DE6A74"/>
    <w:rsid w:val="00DF1710"/>
    <w:rsid w:val="00DF2845"/>
    <w:rsid w:val="00DF2D71"/>
    <w:rsid w:val="00DF3847"/>
    <w:rsid w:val="00E037CC"/>
    <w:rsid w:val="00E171E0"/>
    <w:rsid w:val="00E20D28"/>
    <w:rsid w:val="00E22087"/>
    <w:rsid w:val="00E25287"/>
    <w:rsid w:val="00E27AAB"/>
    <w:rsid w:val="00E3217F"/>
    <w:rsid w:val="00E32FB7"/>
    <w:rsid w:val="00E3525A"/>
    <w:rsid w:val="00E35ED6"/>
    <w:rsid w:val="00E379EC"/>
    <w:rsid w:val="00E4041C"/>
    <w:rsid w:val="00E47085"/>
    <w:rsid w:val="00E47CD6"/>
    <w:rsid w:val="00E5009A"/>
    <w:rsid w:val="00E5309F"/>
    <w:rsid w:val="00E53AA2"/>
    <w:rsid w:val="00E53F4E"/>
    <w:rsid w:val="00E544AF"/>
    <w:rsid w:val="00E55C53"/>
    <w:rsid w:val="00E56410"/>
    <w:rsid w:val="00E573E9"/>
    <w:rsid w:val="00E67400"/>
    <w:rsid w:val="00E7328E"/>
    <w:rsid w:val="00E73DAC"/>
    <w:rsid w:val="00E75453"/>
    <w:rsid w:val="00E76BC2"/>
    <w:rsid w:val="00E82532"/>
    <w:rsid w:val="00E901B9"/>
    <w:rsid w:val="00E90287"/>
    <w:rsid w:val="00E93242"/>
    <w:rsid w:val="00E969E7"/>
    <w:rsid w:val="00E976A3"/>
    <w:rsid w:val="00EA095C"/>
    <w:rsid w:val="00EA5B96"/>
    <w:rsid w:val="00EA6855"/>
    <w:rsid w:val="00EA7C46"/>
    <w:rsid w:val="00EB0F86"/>
    <w:rsid w:val="00EB702A"/>
    <w:rsid w:val="00EB7078"/>
    <w:rsid w:val="00EC1364"/>
    <w:rsid w:val="00EC1E52"/>
    <w:rsid w:val="00EC39E6"/>
    <w:rsid w:val="00EC412B"/>
    <w:rsid w:val="00EC42DB"/>
    <w:rsid w:val="00EC4744"/>
    <w:rsid w:val="00EC5BE4"/>
    <w:rsid w:val="00EC7BDE"/>
    <w:rsid w:val="00ED0256"/>
    <w:rsid w:val="00ED115F"/>
    <w:rsid w:val="00ED2B4C"/>
    <w:rsid w:val="00ED4F8A"/>
    <w:rsid w:val="00ED53D3"/>
    <w:rsid w:val="00EE2CFE"/>
    <w:rsid w:val="00EE3150"/>
    <w:rsid w:val="00EE3DB8"/>
    <w:rsid w:val="00EE4EBF"/>
    <w:rsid w:val="00EE5681"/>
    <w:rsid w:val="00EF092F"/>
    <w:rsid w:val="00EF1F80"/>
    <w:rsid w:val="00EF274C"/>
    <w:rsid w:val="00EF6FEF"/>
    <w:rsid w:val="00F000E1"/>
    <w:rsid w:val="00F00D14"/>
    <w:rsid w:val="00F126BE"/>
    <w:rsid w:val="00F21D38"/>
    <w:rsid w:val="00F25872"/>
    <w:rsid w:val="00F264C8"/>
    <w:rsid w:val="00F267C9"/>
    <w:rsid w:val="00F30F93"/>
    <w:rsid w:val="00F31D67"/>
    <w:rsid w:val="00F3214B"/>
    <w:rsid w:val="00F3232F"/>
    <w:rsid w:val="00F32BBE"/>
    <w:rsid w:val="00F33E14"/>
    <w:rsid w:val="00F356BA"/>
    <w:rsid w:val="00F36B7F"/>
    <w:rsid w:val="00F40189"/>
    <w:rsid w:val="00F46B5B"/>
    <w:rsid w:val="00F47860"/>
    <w:rsid w:val="00F47C93"/>
    <w:rsid w:val="00F50C8E"/>
    <w:rsid w:val="00F53535"/>
    <w:rsid w:val="00F5464F"/>
    <w:rsid w:val="00F55147"/>
    <w:rsid w:val="00F57576"/>
    <w:rsid w:val="00F57632"/>
    <w:rsid w:val="00F61AD6"/>
    <w:rsid w:val="00F6266D"/>
    <w:rsid w:val="00F65889"/>
    <w:rsid w:val="00F66A30"/>
    <w:rsid w:val="00F67FC3"/>
    <w:rsid w:val="00F702A1"/>
    <w:rsid w:val="00F8368D"/>
    <w:rsid w:val="00F86891"/>
    <w:rsid w:val="00F91941"/>
    <w:rsid w:val="00F959C8"/>
    <w:rsid w:val="00FA4DDB"/>
    <w:rsid w:val="00FA504C"/>
    <w:rsid w:val="00FA5E69"/>
    <w:rsid w:val="00FB0309"/>
    <w:rsid w:val="00FC39E3"/>
    <w:rsid w:val="00FC5B25"/>
    <w:rsid w:val="00FC719D"/>
    <w:rsid w:val="00FD2DE8"/>
    <w:rsid w:val="00FD2FB9"/>
    <w:rsid w:val="00FD63E0"/>
    <w:rsid w:val="00FE0206"/>
    <w:rsid w:val="00FE027E"/>
    <w:rsid w:val="00FE3113"/>
    <w:rsid w:val="00FE3831"/>
    <w:rsid w:val="00FE7EEB"/>
    <w:rsid w:val="00FF11F6"/>
    <w:rsid w:val="00FF26D5"/>
    <w:rsid w:val="00FF73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370"/>
    <w:rPr>
      <w:sz w:val="24"/>
      <w:szCs w:val="24"/>
    </w:rPr>
  </w:style>
  <w:style w:type="paragraph" w:styleId="Heading9">
    <w:name w:val="heading 9"/>
    <w:basedOn w:val="Normal"/>
    <w:next w:val="Normal"/>
    <w:qFormat/>
    <w:rsid w:val="00B92A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370"/>
    <w:pPr>
      <w:tabs>
        <w:tab w:val="center" w:pos="4153"/>
        <w:tab w:val="right" w:pos="8306"/>
      </w:tabs>
    </w:pPr>
  </w:style>
  <w:style w:type="paragraph" w:styleId="Footer">
    <w:name w:val="footer"/>
    <w:basedOn w:val="Normal"/>
    <w:rsid w:val="00661370"/>
    <w:pPr>
      <w:tabs>
        <w:tab w:val="center" w:pos="4153"/>
        <w:tab w:val="right" w:pos="8306"/>
      </w:tabs>
    </w:pPr>
  </w:style>
  <w:style w:type="paragraph" w:styleId="BodyText">
    <w:name w:val="Body Text"/>
    <w:basedOn w:val="Normal"/>
    <w:rsid w:val="00661370"/>
    <w:pPr>
      <w:tabs>
        <w:tab w:val="left" w:pos="567"/>
        <w:tab w:val="left" w:pos="1985"/>
        <w:tab w:val="left" w:pos="5103"/>
      </w:tabs>
      <w:jc w:val="both"/>
    </w:pPr>
    <w:rPr>
      <w:sz w:val="28"/>
      <w:szCs w:val="20"/>
    </w:rPr>
  </w:style>
  <w:style w:type="paragraph" w:styleId="BodyText2">
    <w:name w:val="Body Text 2"/>
    <w:basedOn w:val="Normal"/>
    <w:rsid w:val="00FD63E0"/>
    <w:pPr>
      <w:spacing w:after="120" w:line="480" w:lineRule="auto"/>
    </w:pPr>
  </w:style>
  <w:style w:type="character" w:styleId="Hyperlink">
    <w:name w:val="Hyperlink"/>
    <w:basedOn w:val="DefaultParagraphFont"/>
    <w:rsid w:val="0017355C"/>
    <w:rPr>
      <w:color w:val="0000FF"/>
      <w:u w:val="single"/>
    </w:rPr>
  </w:style>
  <w:style w:type="paragraph" w:customStyle="1" w:styleId="naisf">
    <w:name w:val="naisf"/>
    <w:basedOn w:val="Normal"/>
    <w:rsid w:val="00F8368D"/>
    <w:pPr>
      <w:spacing w:before="75" w:after="75"/>
      <w:ind w:firstLine="375"/>
      <w:jc w:val="both"/>
    </w:pPr>
  </w:style>
  <w:style w:type="character" w:styleId="PageNumber">
    <w:name w:val="page number"/>
    <w:basedOn w:val="DefaultParagraphFont"/>
    <w:rsid w:val="001B388C"/>
  </w:style>
  <w:style w:type="paragraph" w:styleId="BalloonText">
    <w:name w:val="Balloon Text"/>
    <w:basedOn w:val="Normal"/>
    <w:semiHidden/>
    <w:rsid w:val="00426080"/>
    <w:rPr>
      <w:rFonts w:ascii="Tahoma" w:hAnsi="Tahoma" w:cs="Tahoma"/>
      <w:sz w:val="16"/>
      <w:szCs w:val="16"/>
    </w:rPr>
  </w:style>
  <w:style w:type="character" w:styleId="CommentReference">
    <w:name w:val="annotation reference"/>
    <w:basedOn w:val="DefaultParagraphFont"/>
    <w:semiHidden/>
    <w:rsid w:val="00A25421"/>
    <w:rPr>
      <w:sz w:val="16"/>
      <w:szCs w:val="16"/>
    </w:rPr>
  </w:style>
  <w:style w:type="paragraph" w:styleId="CommentText">
    <w:name w:val="annotation text"/>
    <w:basedOn w:val="Normal"/>
    <w:semiHidden/>
    <w:rsid w:val="00A25421"/>
    <w:rPr>
      <w:sz w:val="20"/>
      <w:szCs w:val="20"/>
    </w:rPr>
  </w:style>
  <w:style w:type="paragraph" w:styleId="CommentSubject">
    <w:name w:val="annotation subject"/>
    <w:basedOn w:val="CommentText"/>
    <w:next w:val="CommentText"/>
    <w:semiHidden/>
    <w:rsid w:val="00A25421"/>
    <w:rPr>
      <w:b/>
      <w:bCs/>
    </w:rPr>
  </w:style>
  <w:style w:type="paragraph" w:styleId="BodyTextIndent">
    <w:name w:val="Body Text Indent"/>
    <w:basedOn w:val="Normal"/>
    <w:rsid w:val="005127F6"/>
    <w:pPr>
      <w:spacing w:after="120"/>
      <w:ind w:left="283"/>
    </w:pPr>
  </w:style>
  <w:style w:type="character" w:customStyle="1" w:styleId="HeaderChar">
    <w:name w:val="Header Char"/>
    <w:basedOn w:val="DefaultParagraphFont"/>
    <w:link w:val="Header"/>
    <w:uiPriority w:val="99"/>
    <w:rsid w:val="007C2782"/>
    <w:rPr>
      <w:sz w:val="24"/>
      <w:szCs w:val="24"/>
      <w:lang w:val="lv-LV" w:eastAsia="lv-LV" w:bidi="ar-SA"/>
    </w:rPr>
  </w:style>
  <w:style w:type="character" w:customStyle="1" w:styleId="spelle">
    <w:name w:val="spelle"/>
    <w:basedOn w:val="DefaultParagraphFont"/>
    <w:rsid w:val="00B92A1C"/>
  </w:style>
  <w:style w:type="paragraph" w:customStyle="1" w:styleId="Daaarnumuru">
    <w:name w:val="Daļa ar numuru"/>
    <w:basedOn w:val="Normal"/>
    <w:qFormat/>
    <w:rsid w:val="008F7315"/>
    <w:pPr>
      <w:widowControl w:val="0"/>
      <w:numPr>
        <w:numId w:val="1"/>
      </w:numPr>
      <w:tabs>
        <w:tab w:val="left" w:pos="1072"/>
        <w:tab w:val="left" w:pos="1418"/>
      </w:tabs>
      <w:adjustRightInd w:val="0"/>
      <w:spacing w:before="120" w:after="120"/>
      <w:jc w:val="both"/>
      <w:textAlignment w:val="baseline"/>
    </w:pPr>
    <w:rPr>
      <w:sz w:val="28"/>
      <w:szCs w:val="28"/>
    </w:rPr>
  </w:style>
  <w:style w:type="table" w:styleId="TableGrid">
    <w:name w:val="Table Grid"/>
    <w:basedOn w:val="TableNormal"/>
    <w:uiPriority w:val="59"/>
    <w:rsid w:val="00EB0F8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B0F86"/>
    <w:rPr>
      <w:rFonts w:eastAsia="Calibri"/>
      <w:sz w:val="20"/>
      <w:szCs w:val="20"/>
      <w:lang w:eastAsia="en-US"/>
    </w:rPr>
  </w:style>
  <w:style w:type="character" w:customStyle="1" w:styleId="FootnoteTextChar">
    <w:name w:val="Footnote Text Char"/>
    <w:basedOn w:val="DefaultParagraphFont"/>
    <w:link w:val="FootnoteText"/>
    <w:uiPriority w:val="99"/>
    <w:rsid w:val="00EB0F86"/>
    <w:rPr>
      <w:rFonts w:eastAsia="Calibri" w:cs="Times New Roman"/>
      <w:lang w:eastAsia="en-US"/>
    </w:rPr>
  </w:style>
  <w:style w:type="character" w:styleId="FootnoteReference">
    <w:name w:val="footnote reference"/>
    <w:basedOn w:val="DefaultParagraphFont"/>
    <w:uiPriority w:val="99"/>
    <w:unhideWhenUsed/>
    <w:rsid w:val="00EB0F86"/>
    <w:rPr>
      <w:vertAlign w:val="superscript"/>
    </w:rPr>
  </w:style>
  <w:style w:type="paragraph" w:styleId="ListParagraph">
    <w:name w:val="List Paragraph"/>
    <w:basedOn w:val="Normal"/>
    <w:uiPriority w:val="34"/>
    <w:qFormat/>
    <w:rsid w:val="009A18FF"/>
    <w:pPr>
      <w:ind w:left="720"/>
    </w:pPr>
    <w:rPr>
      <w:rFonts w:ascii="Calibri" w:eastAsia="Calibri" w:hAnsi="Calibri"/>
      <w:sz w:val="22"/>
      <w:szCs w:val="22"/>
    </w:rPr>
  </w:style>
  <w:style w:type="paragraph" w:customStyle="1" w:styleId="RakstzRakstzRakstzCharCharRakstzRakstzCharCharRakstzRakstz">
    <w:name w:val="Rakstz. Rakstz. Rakstz. Char Char Rakstz. Rakstz. Char Char Rakstz. Rakstz."/>
    <w:basedOn w:val="Normal"/>
    <w:rsid w:val="006A0979"/>
    <w:pPr>
      <w:spacing w:before="40"/>
    </w:pPr>
    <w:rPr>
      <w:lang w:val="pl-PL" w:eastAsia="pl-PL"/>
    </w:rPr>
  </w:style>
  <w:style w:type="paragraph" w:styleId="NoSpacing">
    <w:name w:val="No Spacing"/>
    <w:qFormat/>
    <w:rsid w:val="00871AE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370"/>
    <w:rPr>
      <w:sz w:val="24"/>
      <w:szCs w:val="24"/>
    </w:rPr>
  </w:style>
  <w:style w:type="paragraph" w:styleId="Heading9">
    <w:name w:val="heading 9"/>
    <w:basedOn w:val="Normal"/>
    <w:next w:val="Normal"/>
    <w:qFormat/>
    <w:rsid w:val="00B92A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370"/>
    <w:pPr>
      <w:tabs>
        <w:tab w:val="center" w:pos="4153"/>
        <w:tab w:val="right" w:pos="8306"/>
      </w:tabs>
    </w:pPr>
  </w:style>
  <w:style w:type="paragraph" w:styleId="Footer">
    <w:name w:val="footer"/>
    <w:basedOn w:val="Normal"/>
    <w:rsid w:val="00661370"/>
    <w:pPr>
      <w:tabs>
        <w:tab w:val="center" w:pos="4153"/>
        <w:tab w:val="right" w:pos="8306"/>
      </w:tabs>
    </w:pPr>
  </w:style>
  <w:style w:type="paragraph" w:styleId="BodyText">
    <w:name w:val="Body Text"/>
    <w:basedOn w:val="Normal"/>
    <w:rsid w:val="00661370"/>
    <w:pPr>
      <w:tabs>
        <w:tab w:val="left" w:pos="567"/>
        <w:tab w:val="left" w:pos="1985"/>
        <w:tab w:val="left" w:pos="5103"/>
      </w:tabs>
      <w:jc w:val="both"/>
    </w:pPr>
    <w:rPr>
      <w:sz w:val="28"/>
      <w:szCs w:val="20"/>
    </w:rPr>
  </w:style>
  <w:style w:type="paragraph" w:styleId="BodyText2">
    <w:name w:val="Body Text 2"/>
    <w:basedOn w:val="Normal"/>
    <w:rsid w:val="00FD63E0"/>
    <w:pPr>
      <w:spacing w:after="120" w:line="480" w:lineRule="auto"/>
    </w:pPr>
  </w:style>
  <w:style w:type="character" w:styleId="Hyperlink">
    <w:name w:val="Hyperlink"/>
    <w:basedOn w:val="DefaultParagraphFont"/>
    <w:rsid w:val="0017355C"/>
    <w:rPr>
      <w:color w:val="0000FF"/>
      <w:u w:val="single"/>
    </w:rPr>
  </w:style>
  <w:style w:type="paragraph" w:customStyle="1" w:styleId="naisf">
    <w:name w:val="naisf"/>
    <w:basedOn w:val="Normal"/>
    <w:rsid w:val="00F8368D"/>
    <w:pPr>
      <w:spacing w:before="75" w:after="75"/>
      <w:ind w:firstLine="375"/>
      <w:jc w:val="both"/>
    </w:pPr>
  </w:style>
  <w:style w:type="character" w:styleId="PageNumber">
    <w:name w:val="page number"/>
    <w:basedOn w:val="DefaultParagraphFont"/>
    <w:rsid w:val="001B388C"/>
  </w:style>
  <w:style w:type="paragraph" w:styleId="BalloonText">
    <w:name w:val="Balloon Text"/>
    <w:basedOn w:val="Normal"/>
    <w:semiHidden/>
    <w:rsid w:val="00426080"/>
    <w:rPr>
      <w:rFonts w:ascii="Tahoma" w:hAnsi="Tahoma" w:cs="Tahoma"/>
      <w:sz w:val="16"/>
      <w:szCs w:val="16"/>
    </w:rPr>
  </w:style>
  <w:style w:type="character" w:styleId="CommentReference">
    <w:name w:val="annotation reference"/>
    <w:basedOn w:val="DefaultParagraphFont"/>
    <w:semiHidden/>
    <w:rsid w:val="00A25421"/>
    <w:rPr>
      <w:sz w:val="16"/>
      <w:szCs w:val="16"/>
    </w:rPr>
  </w:style>
  <w:style w:type="paragraph" w:styleId="CommentText">
    <w:name w:val="annotation text"/>
    <w:basedOn w:val="Normal"/>
    <w:semiHidden/>
    <w:rsid w:val="00A25421"/>
    <w:rPr>
      <w:sz w:val="20"/>
      <w:szCs w:val="20"/>
    </w:rPr>
  </w:style>
  <w:style w:type="paragraph" w:styleId="CommentSubject">
    <w:name w:val="annotation subject"/>
    <w:basedOn w:val="CommentText"/>
    <w:next w:val="CommentText"/>
    <w:semiHidden/>
    <w:rsid w:val="00A25421"/>
    <w:rPr>
      <w:b/>
      <w:bCs/>
    </w:rPr>
  </w:style>
  <w:style w:type="paragraph" w:styleId="BodyTextIndent">
    <w:name w:val="Body Text Indent"/>
    <w:basedOn w:val="Normal"/>
    <w:rsid w:val="005127F6"/>
    <w:pPr>
      <w:spacing w:after="120"/>
      <w:ind w:left="283"/>
    </w:pPr>
  </w:style>
  <w:style w:type="character" w:customStyle="1" w:styleId="HeaderChar">
    <w:name w:val="Header Char"/>
    <w:basedOn w:val="DefaultParagraphFont"/>
    <w:link w:val="Header"/>
    <w:uiPriority w:val="99"/>
    <w:rsid w:val="007C2782"/>
    <w:rPr>
      <w:sz w:val="24"/>
      <w:szCs w:val="24"/>
      <w:lang w:val="lv-LV" w:eastAsia="lv-LV" w:bidi="ar-SA"/>
    </w:rPr>
  </w:style>
  <w:style w:type="character" w:customStyle="1" w:styleId="spelle">
    <w:name w:val="spelle"/>
    <w:basedOn w:val="DefaultParagraphFont"/>
    <w:rsid w:val="00B92A1C"/>
  </w:style>
  <w:style w:type="paragraph" w:customStyle="1" w:styleId="Daaarnumuru">
    <w:name w:val="Daļa ar numuru"/>
    <w:basedOn w:val="Normal"/>
    <w:qFormat/>
    <w:rsid w:val="008F7315"/>
    <w:pPr>
      <w:widowControl w:val="0"/>
      <w:numPr>
        <w:numId w:val="1"/>
      </w:numPr>
      <w:tabs>
        <w:tab w:val="left" w:pos="1072"/>
        <w:tab w:val="left" w:pos="1418"/>
      </w:tabs>
      <w:adjustRightInd w:val="0"/>
      <w:spacing w:before="120" w:after="120"/>
      <w:jc w:val="both"/>
      <w:textAlignment w:val="baseline"/>
    </w:pPr>
    <w:rPr>
      <w:sz w:val="28"/>
      <w:szCs w:val="28"/>
    </w:rPr>
  </w:style>
  <w:style w:type="table" w:styleId="TableGrid">
    <w:name w:val="Table Grid"/>
    <w:basedOn w:val="TableNormal"/>
    <w:uiPriority w:val="59"/>
    <w:rsid w:val="00EB0F8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B0F86"/>
    <w:rPr>
      <w:rFonts w:eastAsia="Calibri"/>
      <w:sz w:val="20"/>
      <w:szCs w:val="20"/>
      <w:lang w:eastAsia="en-US"/>
    </w:rPr>
  </w:style>
  <w:style w:type="character" w:customStyle="1" w:styleId="FootnoteTextChar">
    <w:name w:val="Footnote Text Char"/>
    <w:basedOn w:val="DefaultParagraphFont"/>
    <w:link w:val="FootnoteText"/>
    <w:uiPriority w:val="99"/>
    <w:rsid w:val="00EB0F86"/>
    <w:rPr>
      <w:rFonts w:eastAsia="Calibri" w:cs="Times New Roman"/>
      <w:lang w:eastAsia="en-US"/>
    </w:rPr>
  </w:style>
  <w:style w:type="character" w:styleId="FootnoteReference">
    <w:name w:val="footnote reference"/>
    <w:basedOn w:val="DefaultParagraphFont"/>
    <w:uiPriority w:val="99"/>
    <w:unhideWhenUsed/>
    <w:rsid w:val="00EB0F86"/>
    <w:rPr>
      <w:vertAlign w:val="superscript"/>
    </w:rPr>
  </w:style>
  <w:style w:type="paragraph" w:styleId="ListParagraph">
    <w:name w:val="List Paragraph"/>
    <w:basedOn w:val="Normal"/>
    <w:uiPriority w:val="34"/>
    <w:qFormat/>
    <w:rsid w:val="009A18FF"/>
    <w:pPr>
      <w:ind w:left="720"/>
    </w:pPr>
    <w:rPr>
      <w:rFonts w:ascii="Calibri" w:eastAsia="Calibri" w:hAnsi="Calibri"/>
      <w:sz w:val="22"/>
      <w:szCs w:val="22"/>
    </w:rPr>
  </w:style>
  <w:style w:type="paragraph" w:customStyle="1" w:styleId="RakstzRakstzRakstzCharCharRakstzRakstzCharCharRakstzRakstz">
    <w:name w:val="Rakstz. Rakstz. Rakstz. Char Char Rakstz. Rakstz. Char Char Rakstz. Rakstz."/>
    <w:basedOn w:val="Normal"/>
    <w:rsid w:val="006A0979"/>
    <w:pPr>
      <w:spacing w:before="40"/>
    </w:pPr>
    <w:rPr>
      <w:lang w:val="pl-PL" w:eastAsia="pl-PL"/>
    </w:rPr>
  </w:style>
  <w:style w:type="paragraph" w:styleId="NoSpacing">
    <w:name w:val="No Spacing"/>
    <w:qFormat/>
    <w:rsid w:val="00871A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630">
      <w:bodyDiv w:val="1"/>
      <w:marLeft w:val="0"/>
      <w:marRight w:val="0"/>
      <w:marTop w:val="0"/>
      <w:marBottom w:val="0"/>
      <w:divBdr>
        <w:top w:val="none" w:sz="0" w:space="0" w:color="auto"/>
        <w:left w:val="none" w:sz="0" w:space="0" w:color="auto"/>
        <w:bottom w:val="none" w:sz="0" w:space="0" w:color="auto"/>
        <w:right w:val="none" w:sz="0" w:space="0" w:color="auto"/>
      </w:divBdr>
    </w:div>
    <w:div w:id="142740042">
      <w:bodyDiv w:val="1"/>
      <w:marLeft w:val="0"/>
      <w:marRight w:val="0"/>
      <w:marTop w:val="0"/>
      <w:marBottom w:val="0"/>
      <w:divBdr>
        <w:top w:val="none" w:sz="0" w:space="0" w:color="auto"/>
        <w:left w:val="none" w:sz="0" w:space="0" w:color="auto"/>
        <w:bottom w:val="none" w:sz="0" w:space="0" w:color="auto"/>
        <w:right w:val="none" w:sz="0" w:space="0" w:color="auto"/>
      </w:divBdr>
    </w:div>
    <w:div w:id="281614981">
      <w:bodyDiv w:val="1"/>
      <w:marLeft w:val="0"/>
      <w:marRight w:val="0"/>
      <w:marTop w:val="0"/>
      <w:marBottom w:val="0"/>
      <w:divBdr>
        <w:top w:val="none" w:sz="0" w:space="0" w:color="auto"/>
        <w:left w:val="none" w:sz="0" w:space="0" w:color="auto"/>
        <w:bottom w:val="none" w:sz="0" w:space="0" w:color="auto"/>
        <w:right w:val="none" w:sz="0" w:space="0" w:color="auto"/>
      </w:divBdr>
    </w:div>
    <w:div w:id="283007013">
      <w:bodyDiv w:val="1"/>
      <w:marLeft w:val="0"/>
      <w:marRight w:val="0"/>
      <w:marTop w:val="0"/>
      <w:marBottom w:val="0"/>
      <w:divBdr>
        <w:top w:val="none" w:sz="0" w:space="0" w:color="auto"/>
        <w:left w:val="none" w:sz="0" w:space="0" w:color="auto"/>
        <w:bottom w:val="none" w:sz="0" w:space="0" w:color="auto"/>
        <w:right w:val="none" w:sz="0" w:space="0" w:color="auto"/>
      </w:divBdr>
    </w:div>
    <w:div w:id="572008296">
      <w:bodyDiv w:val="1"/>
      <w:marLeft w:val="0"/>
      <w:marRight w:val="0"/>
      <w:marTop w:val="0"/>
      <w:marBottom w:val="0"/>
      <w:divBdr>
        <w:top w:val="none" w:sz="0" w:space="0" w:color="auto"/>
        <w:left w:val="none" w:sz="0" w:space="0" w:color="auto"/>
        <w:bottom w:val="none" w:sz="0" w:space="0" w:color="auto"/>
        <w:right w:val="none" w:sz="0" w:space="0" w:color="auto"/>
      </w:divBdr>
    </w:div>
    <w:div w:id="709036359">
      <w:bodyDiv w:val="1"/>
      <w:marLeft w:val="0"/>
      <w:marRight w:val="0"/>
      <w:marTop w:val="0"/>
      <w:marBottom w:val="0"/>
      <w:divBdr>
        <w:top w:val="none" w:sz="0" w:space="0" w:color="auto"/>
        <w:left w:val="none" w:sz="0" w:space="0" w:color="auto"/>
        <w:bottom w:val="none" w:sz="0" w:space="0" w:color="auto"/>
        <w:right w:val="none" w:sz="0" w:space="0" w:color="auto"/>
      </w:divBdr>
    </w:div>
    <w:div w:id="735471452">
      <w:bodyDiv w:val="1"/>
      <w:marLeft w:val="0"/>
      <w:marRight w:val="0"/>
      <w:marTop w:val="0"/>
      <w:marBottom w:val="0"/>
      <w:divBdr>
        <w:top w:val="none" w:sz="0" w:space="0" w:color="auto"/>
        <w:left w:val="none" w:sz="0" w:space="0" w:color="auto"/>
        <w:bottom w:val="none" w:sz="0" w:space="0" w:color="auto"/>
        <w:right w:val="none" w:sz="0" w:space="0" w:color="auto"/>
      </w:divBdr>
    </w:div>
    <w:div w:id="759520518">
      <w:bodyDiv w:val="1"/>
      <w:marLeft w:val="0"/>
      <w:marRight w:val="0"/>
      <w:marTop w:val="0"/>
      <w:marBottom w:val="0"/>
      <w:divBdr>
        <w:top w:val="none" w:sz="0" w:space="0" w:color="auto"/>
        <w:left w:val="none" w:sz="0" w:space="0" w:color="auto"/>
        <w:bottom w:val="none" w:sz="0" w:space="0" w:color="auto"/>
        <w:right w:val="none" w:sz="0" w:space="0" w:color="auto"/>
      </w:divBdr>
    </w:div>
    <w:div w:id="779643048">
      <w:bodyDiv w:val="1"/>
      <w:marLeft w:val="0"/>
      <w:marRight w:val="0"/>
      <w:marTop w:val="0"/>
      <w:marBottom w:val="0"/>
      <w:divBdr>
        <w:top w:val="none" w:sz="0" w:space="0" w:color="auto"/>
        <w:left w:val="none" w:sz="0" w:space="0" w:color="auto"/>
        <w:bottom w:val="none" w:sz="0" w:space="0" w:color="auto"/>
        <w:right w:val="none" w:sz="0" w:space="0" w:color="auto"/>
      </w:divBdr>
    </w:div>
    <w:div w:id="881478186">
      <w:bodyDiv w:val="1"/>
      <w:marLeft w:val="0"/>
      <w:marRight w:val="0"/>
      <w:marTop w:val="0"/>
      <w:marBottom w:val="0"/>
      <w:divBdr>
        <w:top w:val="none" w:sz="0" w:space="0" w:color="auto"/>
        <w:left w:val="none" w:sz="0" w:space="0" w:color="auto"/>
        <w:bottom w:val="none" w:sz="0" w:space="0" w:color="auto"/>
        <w:right w:val="none" w:sz="0" w:space="0" w:color="auto"/>
      </w:divBdr>
    </w:div>
    <w:div w:id="962730791">
      <w:bodyDiv w:val="1"/>
      <w:marLeft w:val="0"/>
      <w:marRight w:val="0"/>
      <w:marTop w:val="0"/>
      <w:marBottom w:val="0"/>
      <w:divBdr>
        <w:top w:val="none" w:sz="0" w:space="0" w:color="auto"/>
        <w:left w:val="none" w:sz="0" w:space="0" w:color="auto"/>
        <w:bottom w:val="none" w:sz="0" w:space="0" w:color="auto"/>
        <w:right w:val="none" w:sz="0" w:space="0" w:color="auto"/>
      </w:divBdr>
    </w:div>
    <w:div w:id="1041320177">
      <w:bodyDiv w:val="1"/>
      <w:marLeft w:val="0"/>
      <w:marRight w:val="0"/>
      <w:marTop w:val="0"/>
      <w:marBottom w:val="0"/>
      <w:divBdr>
        <w:top w:val="none" w:sz="0" w:space="0" w:color="auto"/>
        <w:left w:val="none" w:sz="0" w:space="0" w:color="auto"/>
        <w:bottom w:val="none" w:sz="0" w:space="0" w:color="auto"/>
        <w:right w:val="none" w:sz="0" w:space="0" w:color="auto"/>
      </w:divBdr>
      <w:divsChild>
        <w:div w:id="1009790440">
          <w:marLeft w:val="0"/>
          <w:marRight w:val="0"/>
          <w:marTop w:val="0"/>
          <w:marBottom w:val="0"/>
          <w:divBdr>
            <w:top w:val="none" w:sz="0" w:space="0" w:color="auto"/>
            <w:left w:val="none" w:sz="0" w:space="0" w:color="auto"/>
            <w:bottom w:val="none" w:sz="0" w:space="0" w:color="auto"/>
            <w:right w:val="none" w:sz="0" w:space="0" w:color="auto"/>
          </w:divBdr>
        </w:div>
        <w:div w:id="1855223968">
          <w:marLeft w:val="0"/>
          <w:marRight w:val="0"/>
          <w:marTop w:val="0"/>
          <w:marBottom w:val="0"/>
          <w:divBdr>
            <w:top w:val="none" w:sz="0" w:space="0" w:color="auto"/>
            <w:left w:val="none" w:sz="0" w:space="0" w:color="auto"/>
            <w:bottom w:val="none" w:sz="0" w:space="0" w:color="auto"/>
            <w:right w:val="none" w:sz="0" w:space="0" w:color="auto"/>
          </w:divBdr>
        </w:div>
      </w:divsChild>
    </w:div>
    <w:div w:id="1534265912">
      <w:bodyDiv w:val="1"/>
      <w:marLeft w:val="0"/>
      <w:marRight w:val="0"/>
      <w:marTop w:val="0"/>
      <w:marBottom w:val="0"/>
      <w:divBdr>
        <w:top w:val="none" w:sz="0" w:space="0" w:color="auto"/>
        <w:left w:val="none" w:sz="0" w:space="0" w:color="auto"/>
        <w:bottom w:val="none" w:sz="0" w:space="0" w:color="auto"/>
        <w:right w:val="none" w:sz="0" w:space="0" w:color="auto"/>
      </w:divBdr>
    </w:div>
    <w:div w:id="1676686533">
      <w:bodyDiv w:val="1"/>
      <w:marLeft w:val="0"/>
      <w:marRight w:val="0"/>
      <w:marTop w:val="0"/>
      <w:marBottom w:val="0"/>
      <w:divBdr>
        <w:top w:val="none" w:sz="0" w:space="0" w:color="auto"/>
        <w:left w:val="none" w:sz="0" w:space="0" w:color="auto"/>
        <w:bottom w:val="none" w:sz="0" w:space="0" w:color="auto"/>
        <w:right w:val="none" w:sz="0" w:space="0" w:color="auto"/>
      </w:divBdr>
    </w:div>
    <w:div w:id="1929656716">
      <w:bodyDiv w:val="1"/>
      <w:marLeft w:val="0"/>
      <w:marRight w:val="0"/>
      <w:marTop w:val="0"/>
      <w:marBottom w:val="0"/>
      <w:divBdr>
        <w:top w:val="none" w:sz="0" w:space="0" w:color="auto"/>
        <w:left w:val="none" w:sz="0" w:space="0" w:color="auto"/>
        <w:bottom w:val="none" w:sz="0" w:space="0" w:color="auto"/>
        <w:right w:val="none" w:sz="0" w:space="0" w:color="auto"/>
      </w:divBdr>
    </w:div>
    <w:div w:id="20727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DCB7-AC21-4F74-B010-82887AB8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25702</Words>
  <Characters>14651</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Informatīvais ziņojumus par ēnu ekonomikas apkarošanas pasākumu īstenošanā iesaistīto institūciju darbības rezultātiem 2012.gada sešos mēnešos un šo pasākumu ietekmi uz nodokļu iekasēšanu</vt:lpstr>
    </vt:vector>
  </TitlesOfParts>
  <Company>VID</Company>
  <LinksUpToDate>false</LinksUpToDate>
  <CharactersWithSpaces>40273</CharactersWithSpaces>
  <SharedDoc>false</SharedDoc>
  <HLinks>
    <vt:vector size="6" baseType="variant">
      <vt:variant>
        <vt:i4>8061016</vt:i4>
      </vt:variant>
      <vt:variant>
        <vt:i4>3</vt:i4>
      </vt:variant>
      <vt:variant>
        <vt:i4>0</vt:i4>
      </vt:variant>
      <vt:variant>
        <vt:i4>5</vt:i4>
      </vt:variant>
      <vt:variant>
        <vt:lpwstr>mailto:Agnese.rudzite@vid.gov.lv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ziņojumus par ēnu ekonomikas apkarošanas pasākumu īstenošanā iesaistīto institūciju darbības rezultātiem 2012.gada sešos mēnešos un šo pasākumu ietekmi uz nodokļu iekasēšanu</dc:title>
  <dc:subject>Informatīvais ziņojums</dc:subject>
  <dc:creator>E.Šidlovskis</dc:creator>
  <dc:description>e-pasta adrese Edgars.Sidlovskis@fm.gov.lv
tālrunis 67083894</dc:description>
  <cp:lastModifiedBy>Finanšu Ministrija</cp:lastModifiedBy>
  <cp:revision>18</cp:revision>
  <cp:lastPrinted>2012-08-08T08:43:00Z</cp:lastPrinted>
  <dcterms:created xsi:type="dcterms:W3CDTF">2012-08-03T06:52:00Z</dcterms:created>
  <dcterms:modified xsi:type="dcterms:W3CDTF">2012-08-10T07:55:00Z</dcterms:modified>
  <cp:category>FM</cp:category>
</cp:coreProperties>
</file>