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70" w:rsidRPr="00425882" w:rsidRDefault="00661370" w:rsidP="00881223">
      <w:pPr>
        <w:jc w:val="center"/>
        <w:rPr>
          <w:b/>
        </w:rPr>
      </w:pPr>
      <w:r w:rsidRPr="00425882">
        <w:rPr>
          <w:b/>
        </w:rPr>
        <w:t>Informatīvais ziņojums</w:t>
      </w:r>
    </w:p>
    <w:p w:rsidR="0051656D" w:rsidRPr="00425882" w:rsidRDefault="00661370" w:rsidP="00881223">
      <w:pPr>
        <w:jc w:val="center"/>
        <w:rPr>
          <w:b/>
        </w:rPr>
      </w:pPr>
      <w:r w:rsidRPr="00425882">
        <w:rPr>
          <w:b/>
        </w:rPr>
        <w:t xml:space="preserve">par </w:t>
      </w:r>
      <w:r w:rsidR="006D77B6" w:rsidRPr="00425882">
        <w:rPr>
          <w:b/>
        </w:rPr>
        <w:t>ēnu ekonomikas apkarošanas pasākumu īstenošanā iesaistīto institūciju darbības rezultātiem 201</w:t>
      </w:r>
      <w:r w:rsidR="00425882" w:rsidRPr="00425882">
        <w:rPr>
          <w:b/>
        </w:rPr>
        <w:t>3</w:t>
      </w:r>
      <w:r w:rsidR="006D77B6" w:rsidRPr="00425882">
        <w:rPr>
          <w:b/>
        </w:rPr>
        <w:t xml:space="preserve">.gada </w:t>
      </w:r>
      <w:r w:rsidR="00425882" w:rsidRPr="00425882">
        <w:rPr>
          <w:b/>
        </w:rPr>
        <w:t>deviņos</w:t>
      </w:r>
      <w:r w:rsidR="006D77B6" w:rsidRPr="00425882">
        <w:rPr>
          <w:b/>
        </w:rPr>
        <w:t xml:space="preserve"> mēnešos un šo pasākumu ietekmi uz nodokļu iekasēšanu</w:t>
      </w:r>
    </w:p>
    <w:p w:rsidR="00661370" w:rsidRPr="00425882" w:rsidRDefault="00661370" w:rsidP="00C30096">
      <w:pPr>
        <w:pStyle w:val="Footer"/>
        <w:jc w:val="center"/>
        <w:rPr>
          <w:b/>
          <w:sz w:val="26"/>
          <w:szCs w:val="26"/>
        </w:rPr>
      </w:pPr>
    </w:p>
    <w:p w:rsidR="00B24409" w:rsidRPr="00425882" w:rsidRDefault="00B24409" w:rsidP="00881223">
      <w:pPr>
        <w:ind w:firstLine="720"/>
        <w:jc w:val="both"/>
      </w:pPr>
      <w:r w:rsidRPr="00425882">
        <w:t>L</w:t>
      </w:r>
      <w:r w:rsidR="00042DCC" w:rsidRPr="00425882">
        <w:t xml:space="preserve">ikuma </w:t>
      </w:r>
      <w:r w:rsidR="00881223" w:rsidRPr="00425882">
        <w:t>“</w:t>
      </w:r>
      <w:r w:rsidR="00042DCC" w:rsidRPr="00425882">
        <w:t>Par valsts budžetu 201</w:t>
      </w:r>
      <w:r w:rsidR="00425882" w:rsidRPr="00425882">
        <w:t>3</w:t>
      </w:r>
      <w:r w:rsidR="00042DCC" w:rsidRPr="00425882">
        <w:t>.gadam”</w:t>
      </w:r>
      <w:r w:rsidR="00453696" w:rsidRPr="00425882">
        <w:t xml:space="preserve"> </w:t>
      </w:r>
      <w:r w:rsidR="00425882" w:rsidRPr="00425882">
        <w:t>42</w:t>
      </w:r>
      <w:r w:rsidR="00453696" w:rsidRPr="00425882">
        <w:t>.pant</w:t>
      </w:r>
      <w:r w:rsidRPr="00425882">
        <w:t xml:space="preserve">s paredz, ka, ja </w:t>
      </w:r>
      <w:r w:rsidR="00425882" w:rsidRPr="00425882">
        <w:t>2013.gada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tad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 ja Saeimas Budžeta un finanšu (nodokļu) komisija piecu dienu laikā no attiecīgās informācijas saņemšanas ir izskatījusi to un nav iebildusi pret apropriācijas palielinājumu.</w:t>
      </w:r>
    </w:p>
    <w:p w:rsidR="007B7FE3" w:rsidRPr="00425882" w:rsidRDefault="007B7FE3" w:rsidP="00881223">
      <w:pPr>
        <w:ind w:firstLine="720"/>
        <w:jc w:val="both"/>
      </w:pPr>
      <w:r w:rsidRPr="00425882">
        <w:t>Finanšu ministrija ir apkopojusi Valsts ieņēmumu dienesta, Valsts darba inspekcijas, Valsts policijas, Valsts robežsardzes</w:t>
      </w:r>
      <w:r w:rsidR="005E7FF8" w:rsidRPr="00425882">
        <w:t>, Pārtikas un veterinārā dienesta, Valsts meža dienesta</w:t>
      </w:r>
      <w:r w:rsidR="00425882" w:rsidRPr="00425882">
        <w:t>,</w:t>
      </w:r>
      <w:r w:rsidR="005E7FF8" w:rsidRPr="00425882">
        <w:t xml:space="preserve"> Valsts augu aizsardzības dienesta </w:t>
      </w:r>
      <w:r w:rsidR="00425882" w:rsidRPr="00425882">
        <w:t xml:space="preserve">un Noziedzīgi iegūto līdzekļu legalizācijas novēršanas dienesta </w:t>
      </w:r>
      <w:r w:rsidR="005E7FF8" w:rsidRPr="00425882">
        <w:t>paveiktos pasākumus</w:t>
      </w:r>
      <w:r w:rsidRPr="00425882">
        <w:t xml:space="preserve"> </w:t>
      </w:r>
      <w:r w:rsidR="005E7FF8" w:rsidRPr="00425882">
        <w:t>ēnu ekonomikas apkarošanā un godīgas konkurences veicināšan</w:t>
      </w:r>
      <w:r w:rsidR="00B5777C" w:rsidRPr="00425882">
        <w:t>ā</w:t>
      </w:r>
      <w:r w:rsidR="005E7FF8" w:rsidRPr="00425882">
        <w:t xml:space="preserve"> </w:t>
      </w:r>
      <w:r w:rsidRPr="00425882">
        <w:t>201</w:t>
      </w:r>
      <w:r w:rsidR="00425882" w:rsidRPr="00425882">
        <w:t>3</w:t>
      </w:r>
      <w:r w:rsidRPr="00425882">
        <w:t xml:space="preserve">.gada </w:t>
      </w:r>
      <w:r w:rsidR="00425882" w:rsidRPr="00425882">
        <w:t>deviņos</w:t>
      </w:r>
      <w:r w:rsidRPr="00425882">
        <w:t xml:space="preserve"> mēneš</w:t>
      </w:r>
      <w:r w:rsidR="005E7FF8" w:rsidRPr="00425882">
        <w:t>os</w:t>
      </w:r>
      <w:r w:rsidR="006D77B6" w:rsidRPr="00425882">
        <w:t>, kā arī</w:t>
      </w:r>
      <w:r w:rsidR="00A76D7F" w:rsidRPr="00425882">
        <w:t xml:space="preserve"> izvērtēju</w:t>
      </w:r>
      <w:r w:rsidR="006D77B6" w:rsidRPr="00425882">
        <w:t>si</w:t>
      </w:r>
      <w:r w:rsidR="00A76D7F" w:rsidRPr="00425882">
        <w:t xml:space="preserve"> </w:t>
      </w:r>
      <w:r w:rsidR="006D77B6" w:rsidRPr="00425882">
        <w:t>ietekmi uz</w:t>
      </w:r>
      <w:r w:rsidR="00A76D7F" w:rsidRPr="00425882">
        <w:t xml:space="preserve"> nodokļu ieņēmumiem</w:t>
      </w:r>
      <w:r w:rsidR="005E7FF8" w:rsidRPr="00425882">
        <w:t>.</w:t>
      </w:r>
      <w:r w:rsidRPr="00425882">
        <w:t xml:space="preserve"> </w:t>
      </w:r>
    </w:p>
    <w:p w:rsidR="006A325C" w:rsidRPr="00425882" w:rsidRDefault="006A325C" w:rsidP="00881223">
      <w:pPr>
        <w:ind w:firstLine="720"/>
        <w:jc w:val="both"/>
      </w:pPr>
    </w:p>
    <w:p w:rsidR="006A0979" w:rsidRPr="00DB68C7" w:rsidRDefault="006A0979" w:rsidP="00BD1DEC">
      <w:pPr>
        <w:jc w:val="center"/>
        <w:rPr>
          <w:b/>
        </w:rPr>
      </w:pPr>
      <w:r w:rsidRPr="00DB68C7">
        <w:rPr>
          <w:b/>
        </w:rPr>
        <w:t>FINANŠU MINISTRIJA</w:t>
      </w:r>
    </w:p>
    <w:p w:rsidR="00042A1F" w:rsidRPr="00DB68C7" w:rsidRDefault="00042A1F" w:rsidP="00BD1DEC">
      <w:pPr>
        <w:pStyle w:val="ListParagraph"/>
        <w:ind w:left="0"/>
        <w:jc w:val="center"/>
        <w:rPr>
          <w:rFonts w:ascii="Times New Roman" w:hAnsi="Times New Roman"/>
          <w:b/>
          <w:sz w:val="24"/>
          <w:szCs w:val="24"/>
        </w:rPr>
      </w:pPr>
      <w:r w:rsidRPr="00DB68C7">
        <w:rPr>
          <w:rFonts w:ascii="Times New Roman" w:hAnsi="Times New Roman"/>
          <w:b/>
          <w:sz w:val="24"/>
          <w:szCs w:val="24"/>
        </w:rPr>
        <w:t>VALSTS IEŅĒMUMU DIENESTS</w:t>
      </w:r>
    </w:p>
    <w:p w:rsidR="00425882" w:rsidRPr="00DB68C7" w:rsidRDefault="00425882" w:rsidP="00425882">
      <w:pPr>
        <w:tabs>
          <w:tab w:val="center" w:pos="4153"/>
          <w:tab w:val="right" w:pos="8306"/>
        </w:tabs>
        <w:jc w:val="center"/>
      </w:pPr>
    </w:p>
    <w:p w:rsidR="00BC44F0" w:rsidRDefault="00BC44F0" w:rsidP="00BC44F0">
      <w:pPr>
        <w:ind w:firstLine="720"/>
        <w:jc w:val="both"/>
      </w:pPr>
      <w:r>
        <w:t>Kā liecina veiktie pētījumi ēnu ekonomikas apkarošanas jomā (t.i., Stokholmas Ekonomikas augstskolas Rīgā izstrādātie ikgadējie ziņojumi par ēnu ekonomikas indeksu Baltijas valstīs), ēnu ekonomikas līmenis jau otro gadu pēc kārtas strauji samazinās. Ēnu ekonomikas indekss Latvijā pagājušajā gadā ir samazinājies līdz 21,1 % no IKP, kas ir diezgan radikāls pavērsiens salīdzinājumā ar iepriekšējiem gadiem (2011.gadā - 30,2 %, 2010.gadā - 38,1 %). Arī pēc Austrijas Johanesa Keplera Universitātes profesora F.Šneidera pētījuma datiem ēnu ekonomikas apjoms Latvijā samazinās, t.i., 2012.gadā - 26,1 %, 2011.gadā - 26,5 %, 2010.gadā - 27,3 %, un tiek izteikta prognoze, ka 2013.gadā ēnu ekonomika samazināsies līdz 25,5 %.</w:t>
      </w:r>
    </w:p>
    <w:p w:rsidR="00BC44F0" w:rsidRDefault="00BC44F0" w:rsidP="00BC44F0">
      <w:pPr>
        <w:ind w:firstLine="720"/>
        <w:jc w:val="both"/>
      </w:pPr>
      <w:r>
        <w:t>Pētnieki secina, ka viens no iemesliem, kāpēc samazinās ēnu ekonomika, ir ekonomikas atveseļošanās (uzlabojumi vērojami gandrīz visās nozarēs, sevišķi mazumtirdzniecībā, pakalpojumos un celtniecībā), vienlaikus atzīmējot, ka svarīgs ir arī Finanšu ministrijas un VID veikums. Turklāt Latvijas uzņēmēju arvien pieaugošā apmierinātība ar VID arī zināmā mērā ir ietekmējusi ēnu ekonomikas lieluma samazināšanos. Pētnieki A.Sauka un T.J.Putniņš ikgadējā ziņojumā par ēnu ekonomikas indeksu Baltijas valstīs norāda, ka 2012.gadā 58,4 % aptaujāto uzņēmēju atzinuši, ka viņi ir apmierināti vai ļoti apmierināti ar VID darbu.</w:t>
      </w:r>
    </w:p>
    <w:p w:rsidR="00BC44F0" w:rsidRDefault="00BC44F0" w:rsidP="00BC44F0">
      <w:pPr>
        <w:ind w:firstLine="720"/>
        <w:jc w:val="both"/>
      </w:pPr>
    </w:p>
    <w:p w:rsidR="00425882" w:rsidRPr="00DB68C7" w:rsidRDefault="00425882" w:rsidP="00425882">
      <w:pPr>
        <w:ind w:firstLine="720"/>
        <w:jc w:val="both"/>
        <w:rPr>
          <w:bCs/>
        </w:rPr>
      </w:pPr>
      <w:r w:rsidRPr="00DB68C7">
        <w:t xml:space="preserve">Valsts ieņēmumu dienests (turpmāk – VID) 2013.gada pirmajos deviņos mēnešos iekasējis </w:t>
      </w:r>
      <w:r w:rsidRPr="00DB68C7">
        <w:rPr>
          <w:bCs/>
        </w:rPr>
        <w:t>3 586,67 milj. latu (1.attēls):</w:t>
      </w:r>
    </w:p>
    <w:p w:rsidR="00425882" w:rsidRPr="00DB68C7" w:rsidRDefault="00425882" w:rsidP="00425882">
      <w:pPr>
        <w:ind w:firstLine="720"/>
        <w:jc w:val="both"/>
        <w:rPr>
          <w:bCs/>
        </w:rPr>
      </w:pPr>
      <w:r w:rsidRPr="00DB68C7">
        <w:t xml:space="preserve">- pārsniedzot plānotos nodokļu ieņēmumus </w:t>
      </w:r>
      <w:r w:rsidRPr="00DB68C7">
        <w:rPr>
          <w:bCs/>
        </w:rPr>
        <w:t>par 137,26 milj. latu jeb 4,0 %;</w:t>
      </w:r>
    </w:p>
    <w:p w:rsidR="00425882" w:rsidRPr="00DB68C7" w:rsidRDefault="00425882" w:rsidP="00425882">
      <w:pPr>
        <w:ind w:firstLine="720"/>
        <w:jc w:val="both"/>
      </w:pPr>
      <w:r w:rsidRPr="00DB68C7">
        <w:lastRenderedPageBreak/>
        <w:t>- pārsniedzot 2012.gada pirmo deviņu mēnešu ieņēmumus par 197,04 milj. latu jeb 5,8 %.</w:t>
      </w:r>
    </w:p>
    <w:p w:rsidR="00425882" w:rsidRPr="0038753F" w:rsidRDefault="00425882" w:rsidP="00425882">
      <w:pPr>
        <w:jc w:val="center"/>
        <w:rPr>
          <w:sz w:val="26"/>
          <w:szCs w:val="26"/>
        </w:rPr>
      </w:pPr>
      <w:r>
        <w:rPr>
          <w:noProof/>
          <w:sz w:val="26"/>
          <w:szCs w:val="26"/>
        </w:rPr>
        <w:drawing>
          <wp:inline distT="0" distB="0" distL="0" distR="0" wp14:anchorId="7A054139" wp14:editId="36A43313">
            <wp:extent cx="5357004" cy="2656936"/>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5882" w:rsidRPr="005642C3" w:rsidRDefault="00425882" w:rsidP="00425882">
      <w:pPr>
        <w:ind w:firstLine="720"/>
        <w:jc w:val="center"/>
        <w:rPr>
          <w:sz w:val="22"/>
        </w:rPr>
      </w:pPr>
      <w:r w:rsidRPr="0038753F">
        <w:rPr>
          <w:sz w:val="22"/>
        </w:rPr>
        <w:t xml:space="preserve">1.attēls. </w:t>
      </w:r>
      <w:r w:rsidRPr="005642C3">
        <w:rPr>
          <w:sz w:val="22"/>
        </w:rPr>
        <w:t>VID administrētie budžeta ieņēmumi 2010.–2013.gada pirmajos deviņos mēnešos</w:t>
      </w:r>
    </w:p>
    <w:p w:rsidR="00425882" w:rsidRDefault="00425882" w:rsidP="00425882">
      <w:pPr>
        <w:ind w:firstLine="720"/>
        <w:jc w:val="both"/>
        <w:rPr>
          <w:sz w:val="26"/>
          <w:szCs w:val="26"/>
        </w:rPr>
      </w:pPr>
    </w:p>
    <w:p w:rsidR="00425882" w:rsidRPr="00DB68C7" w:rsidRDefault="00425882" w:rsidP="00425882">
      <w:pPr>
        <w:ind w:firstLine="720"/>
        <w:jc w:val="both"/>
      </w:pPr>
      <w:r w:rsidRPr="00DB68C7">
        <w:t>VID administrēto budžeta ieņēmumu rādītājus ir ietekmējusi gan VID administrējošo darbību rezultātu uzlabošana, gan ekonomiskās situācijas stabilizēšanās, gan izmaiņas saistošajos normatīvajos aktos. Būtiska nozīme nodokļu iekasēšanas uzlabošanā un rezultatīvo rādītāju paaugstināšanā prioritārajās darbības jomās ir arī VID darbinieku motivācijai – piemaksām un prēmijām par ieguldījumu un sekmīgu darbu ēnu ekonomikas mazināšanā un godīgas konkurences veicināšanā. Tiek prognozēts, ka kopējā VID administrēto valsts budžeta ieņēmumu plāna izpilde 2013.gadā būs 103,0% apmērā, virs plāna iekasējot 138,93 milj. latu.</w:t>
      </w:r>
    </w:p>
    <w:p w:rsidR="00425882" w:rsidRPr="00DB68C7" w:rsidRDefault="00425882" w:rsidP="00425882">
      <w:pPr>
        <w:ind w:firstLine="720"/>
        <w:jc w:val="both"/>
      </w:pPr>
      <w:r w:rsidRPr="00DB68C7">
        <w:t>Lai nodrošinātu likumā noteikto VID administrēto ieņēmumu plāna izpildi un VID darbības un attīstības stratēģijas 2011.–2013.gadam īstenošanu, īpaši pievēršot uzmanību ēnu ekonomikas apkarošanai un godīgas konkurences veicināšanai, tika apstiprinātas darbības prioritātes 2013.gadam:</w:t>
      </w:r>
    </w:p>
    <w:p w:rsidR="00425882" w:rsidRPr="00DB68C7" w:rsidRDefault="00425882" w:rsidP="00425882">
      <w:pPr>
        <w:ind w:firstLine="720"/>
        <w:jc w:val="both"/>
      </w:pPr>
      <w:r w:rsidRPr="00DB68C7">
        <w:t>1) pievienotās vērtības nodokļa ieņēmumu zudumu novēršana, ar nelegālo nodarbinātību saistīto nodokļu saistību izpildes pārkāpumu un algu izmaksas aploksnēs mazināšana, kā arī nereģistrētas saimnieciskās darbības ierobežošana, īstenojot uzraudzības pasākumu programmu;</w:t>
      </w:r>
    </w:p>
    <w:p w:rsidR="00425882" w:rsidRPr="00DB68C7" w:rsidRDefault="00425882" w:rsidP="00425882">
      <w:pPr>
        <w:ind w:firstLine="720"/>
        <w:jc w:val="both"/>
      </w:pPr>
      <w:r w:rsidRPr="00DB68C7">
        <w:t>2) nodokļu maksātāju apkalpošanas uzlabošana, pilnveidojot un vienkāršojot elektroniskās deklarēšanas sistēmu;</w:t>
      </w:r>
    </w:p>
    <w:p w:rsidR="00425882" w:rsidRPr="00DB68C7" w:rsidRDefault="00425882" w:rsidP="00425882">
      <w:pPr>
        <w:ind w:firstLine="720"/>
        <w:jc w:val="both"/>
      </w:pPr>
      <w:r w:rsidRPr="00DB68C7">
        <w:t>3) organizētās noziedzības un korupcijas apkarošana valsts ieņēmumu un muitas jomā;</w:t>
      </w:r>
    </w:p>
    <w:p w:rsidR="00425882" w:rsidRPr="00DB68C7" w:rsidRDefault="00425882" w:rsidP="00425882">
      <w:pPr>
        <w:ind w:firstLine="720"/>
        <w:jc w:val="both"/>
      </w:pPr>
      <w:r w:rsidRPr="00DB68C7">
        <w:t>4) muitas kontroles pasākumu īstenošana prioritārajās jomās – akcīzes preču kontrabandas ierobežošana, narkotisko un psihotropo vielu kontrabandas apkarošana.</w:t>
      </w:r>
    </w:p>
    <w:p w:rsidR="00425882" w:rsidRPr="00DB68C7" w:rsidRDefault="00425882" w:rsidP="00425882">
      <w:pPr>
        <w:ind w:firstLine="720"/>
        <w:jc w:val="both"/>
      </w:pPr>
    </w:p>
    <w:p w:rsidR="00425882" w:rsidRPr="00DB68C7" w:rsidRDefault="00425882" w:rsidP="00425882">
      <w:pPr>
        <w:jc w:val="center"/>
        <w:rPr>
          <w:rFonts w:eastAsia="Calibri"/>
          <w:b/>
        </w:rPr>
      </w:pPr>
      <w:r w:rsidRPr="00DB68C7">
        <w:rPr>
          <w:rFonts w:eastAsia="Calibri"/>
          <w:b/>
        </w:rPr>
        <w:t>1. Darbības rezultāti prioritātes – pievienotās vērtības nodokļa ieņēmumu zudumu novēršana, ar nelegālo nodarbinātību saistīto nodokļu saistību izpildes pārkāpumu un algu izmaksas aploksnēs mazināšana, kā arī nereģistrētas saimnieciskās darbības ierobežošana, īstenojot uzraudzības pasākumu programmu – īstenošanā</w:t>
      </w:r>
    </w:p>
    <w:p w:rsidR="00425882" w:rsidRPr="00DB68C7" w:rsidRDefault="00425882" w:rsidP="00425882">
      <w:pPr>
        <w:jc w:val="center"/>
      </w:pPr>
    </w:p>
    <w:p w:rsidR="00425882" w:rsidRPr="00DB68C7" w:rsidRDefault="00425882" w:rsidP="00425882">
      <w:pPr>
        <w:ind w:firstLine="720"/>
        <w:jc w:val="both"/>
        <w:rPr>
          <w:rFonts w:eastAsia="Calibri"/>
          <w:color w:val="000000"/>
        </w:rPr>
      </w:pPr>
      <w:r w:rsidRPr="00DB68C7">
        <w:rPr>
          <w:rFonts w:eastAsia="Calibri"/>
          <w:color w:val="000000"/>
        </w:rPr>
        <w:t xml:space="preserve">Lai sekmētu nodokļu saistību izpildi, viens no svarīgiem preventīvā darba aspektiem nodokļu ieņēmumu zudumu novēršanā ir arī konsultatīvā un informatīvā atbalsta nodrošināšana nodokļu maksātājiem: </w:t>
      </w:r>
      <w:r w:rsidRPr="00DB68C7">
        <w:rPr>
          <w:color w:val="000000"/>
        </w:rPr>
        <w:t>2013.gada pirmajos deviņos mēnešos</w:t>
      </w:r>
      <w:r w:rsidRPr="00DB68C7">
        <w:rPr>
          <w:rFonts w:eastAsia="Calibri"/>
          <w:color w:val="000000"/>
        </w:rPr>
        <w:t xml:space="preserve"> ir sniegtas 616 048 konsultācijas, tai skaitā 314 489 konsultācijas sniegtas pa VID informatīvo tālruni 1898, kā arī organizēti 535 informēšanas pasākumi – semināri, diskusijas.</w:t>
      </w:r>
    </w:p>
    <w:p w:rsidR="00425882" w:rsidRPr="00DB68C7" w:rsidRDefault="00425882" w:rsidP="00425882">
      <w:pPr>
        <w:ind w:firstLine="720"/>
        <w:jc w:val="both"/>
      </w:pPr>
      <w:r w:rsidRPr="00DB68C7">
        <w:rPr>
          <w:color w:val="000000"/>
        </w:rPr>
        <w:lastRenderedPageBreak/>
        <w:t xml:space="preserve">Kopš 2013.gada 2.janvāra VID ir centralizējis nodokļu deklarāciju datu ticamības novērtēšanas  un tā rezultātā veicamo preventīvo pasākumu procesu, kā rezultātā darbs tiek veikts efektīvāk un vienveidīgi visiem nodokļu maksātājiem, neatkarīgi no to atrašanās vietas. Viens no būtiskākajiem uzdevumiem šīm struktūrvienībām ir nodokļu pārmaksas atmaksas izvērtēšana. </w:t>
      </w:r>
      <w:r w:rsidRPr="00DB68C7">
        <w:t>Ja deklarēto pievienotās vērtības nodokļa (turpmāk – PVN), uzņēmumu ienākuma nodokļa (turpmāk – UIN) un iedzīvotāju ienākuma nodokļa (turpmāk – IIN) pārmaksu atmaksu ticamības novērtējumu rezultātā tiek konstatēts, ka atmaksa pieprasīta nepamatoti, tiek pieņemts lēmums neatmaksāt konkrētā nodokļa atmaksu, tādējādi novēršot nodokļu ieņēmumu zudumus.</w:t>
      </w:r>
    </w:p>
    <w:p w:rsidR="00425882" w:rsidRPr="00DB68C7" w:rsidRDefault="00425882" w:rsidP="00425882">
      <w:pPr>
        <w:ind w:firstLine="720"/>
        <w:jc w:val="both"/>
      </w:pPr>
      <w:r w:rsidRPr="00DB68C7">
        <w:t>2013.gada pirmajos deviņos mēnešos, īstenojot PVN, IIN un UIN pārmaksu atmaksu uzraudzību:</w:t>
      </w:r>
    </w:p>
    <w:p w:rsidR="00425882" w:rsidRPr="00DB68C7" w:rsidRDefault="00425882" w:rsidP="00425882">
      <w:pPr>
        <w:ind w:firstLine="720"/>
        <w:jc w:val="both"/>
        <w:rPr>
          <w:highlight w:val="yellow"/>
        </w:rPr>
      </w:pPr>
      <w:r w:rsidRPr="00DB68C7">
        <w:t>−</w:t>
      </w:r>
      <w:r w:rsidRPr="00DB68C7">
        <w:tab/>
        <w:t>atteikts atmaksāt nepamatoti pieprasītās PVN pārmaksas 10,86 milj. latu apmērā jeb 1,9 % no pieprasītās summas;</w:t>
      </w:r>
    </w:p>
    <w:p w:rsidR="00425882" w:rsidRPr="00DB68C7" w:rsidRDefault="00425882" w:rsidP="00425882">
      <w:pPr>
        <w:ind w:firstLine="720"/>
        <w:jc w:val="both"/>
      </w:pPr>
      <w:r w:rsidRPr="00DB68C7">
        <w:t>−</w:t>
      </w:r>
      <w:r w:rsidRPr="00DB68C7">
        <w:tab/>
        <w:t>atteikts atmaksāt nepamatoti pieprasītās IIN pārmaksas 0,96 milj. latu apmērā jeb 3,2 % no pieprasītās summas;</w:t>
      </w:r>
    </w:p>
    <w:p w:rsidR="00425882" w:rsidRPr="00DB68C7" w:rsidRDefault="00425882" w:rsidP="00425882">
      <w:pPr>
        <w:ind w:firstLine="720"/>
        <w:jc w:val="both"/>
      </w:pPr>
      <w:r w:rsidRPr="00DB68C7">
        <w:t>−</w:t>
      </w:r>
      <w:r w:rsidRPr="00DB68C7">
        <w:tab/>
        <w:t>atteikts atmaksāt nepamatoti pieprasītās UIN pārmaksas 0,61 milj. latu apmērā jeb 6,3 % no pieprasītās summas.</w:t>
      </w:r>
    </w:p>
    <w:p w:rsidR="00425882" w:rsidRPr="00DB68C7" w:rsidRDefault="00425882" w:rsidP="00425882">
      <w:pPr>
        <w:ind w:firstLine="720"/>
        <w:jc w:val="both"/>
        <w:rPr>
          <w:rFonts w:eastAsia="Calibri"/>
        </w:rPr>
      </w:pPr>
      <w:r w:rsidRPr="00DB68C7">
        <w:rPr>
          <w:rFonts w:eastAsia="Calibri"/>
        </w:rPr>
        <w:t xml:space="preserve">Īstenoto ar nelegālo nodarbinātību saistīto pārkāpumu un aplokšņu algu mazināšanas </w:t>
      </w:r>
      <w:r w:rsidRPr="00DB68C7">
        <w:rPr>
          <w:rFonts w:eastAsia="Calibri"/>
          <w:color w:val="000000"/>
        </w:rPr>
        <w:t xml:space="preserve">preventīvo </w:t>
      </w:r>
      <w:r w:rsidRPr="00DB68C7">
        <w:rPr>
          <w:rFonts w:eastAsia="Calibri"/>
        </w:rPr>
        <w:t>pasākumu rezultātus raksturo šādi rezultatīvie rādītāji (1.tabula):</w:t>
      </w:r>
    </w:p>
    <w:p w:rsidR="00425882" w:rsidRPr="0038753F" w:rsidRDefault="00425882" w:rsidP="00425882">
      <w:pPr>
        <w:ind w:firstLine="720"/>
        <w:jc w:val="right"/>
        <w:rPr>
          <w:rFonts w:eastAsia="Calibri"/>
          <w:sz w:val="16"/>
          <w:szCs w:val="16"/>
        </w:rPr>
      </w:pPr>
    </w:p>
    <w:p w:rsidR="00425882" w:rsidRPr="0038753F" w:rsidRDefault="00425882" w:rsidP="00425882">
      <w:pPr>
        <w:ind w:firstLine="720"/>
        <w:jc w:val="right"/>
        <w:rPr>
          <w:rFonts w:eastAsia="Calibri"/>
        </w:rPr>
      </w:pPr>
      <w:r w:rsidRPr="0038753F">
        <w:rPr>
          <w:rFonts w:eastAsia="Calibri"/>
        </w:rPr>
        <w:t>1.tabula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417"/>
      </w:tblGrid>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Nr.</w:t>
            </w:r>
          </w:p>
          <w:p w:rsidR="00425882" w:rsidRPr="0038753F" w:rsidRDefault="00425882" w:rsidP="00425882">
            <w:pPr>
              <w:jc w:val="center"/>
              <w:rPr>
                <w:rFonts w:eastAsia="Calibri"/>
                <w:sz w:val="20"/>
                <w:szCs w:val="20"/>
              </w:rPr>
            </w:pPr>
            <w:r w:rsidRPr="0038753F">
              <w:rPr>
                <w:rFonts w:eastAsia="Calibri"/>
                <w:sz w:val="20"/>
                <w:szCs w:val="20"/>
              </w:rPr>
              <w:t>p.k.</w:t>
            </w:r>
          </w:p>
        </w:tc>
        <w:tc>
          <w:tcPr>
            <w:tcW w:w="7230"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Rādītājs</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 xml:space="preserve">2013.gada </w:t>
            </w:r>
          </w:p>
          <w:p w:rsidR="00425882" w:rsidRPr="0038753F" w:rsidRDefault="00425882" w:rsidP="00425882">
            <w:pPr>
              <w:jc w:val="center"/>
              <w:rPr>
                <w:rFonts w:eastAsia="Calibri"/>
                <w:sz w:val="20"/>
                <w:szCs w:val="20"/>
              </w:rPr>
            </w:pPr>
            <w:r w:rsidRPr="0038753F">
              <w:rPr>
                <w:rFonts w:eastAsia="Calibri"/>
                <w:sz w:val="20"/>
                <w:szCs w:val="20"/>
              </w:rPr>
              <w:t>9 mēneši</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Veikto</w:t>
            </w:r>
            <w:r w:rsidRPr="0038753F">
              <w:rPr>
                <w:rFonts w:ascii="Calibri" w:eastAsia="Calibri" w:hAnsi="Calibri"/>
                <w:sz w:val="22"/>
              </w:rPr>
              <w:t xml:space="preserve"> d</w:t>
            </w:r>
            <w:r w:rsidRPr="0038753F">
              <w:rPr>
                <w:rFonts w:eastAsia="Calibri"/>
                <w:sz w:val="20"/>
                <w:szCs w:val="20"/>
              </w:rPr>
              <w:t xml:space="preserve">arba devēju ziņojumu datu ticamības novērtējumu rezultātā palielināts darba ņēmēju skaits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11 131</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2.</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Veikto </w:t>
            </w:r>
            <w:r w:rsidRPr="0038753F">
              <w:rPr>
                <w:rFonts w:ascii="Calibri" w:eastAsia="Calibri" w:hAnsi="Calibri"/>
                <w:sz w:val="22"/>
              </w:rPr>
              <w:t>d</w:t>
            </w:r>
            <w:r w:rsidRPr="0038753F">
              <w:rPr>
                <w:rFonts w:eastAsia="Calibri"/>
                <w:sz w:val="20"/>
                <w:szCs w:val="20"/>
              </w:rPr>
              <w:t xml:space="preserve">arba devēju ziņojumu datu ticamības novērtējumu rezultātā nodokļu maksātāji papildus aprēķinājuši valsts sociālās apdrošināšanas obligātās iemaksas (tūkst. latu) </w:t>
            </w:r>
          </w:p>
        </w:tc>
        <w:tc>
          <w:tcPr>
            <w:tcW w:w="141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1 662,13</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3.</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Veikto datu ticamības novērtējumu </w:t>
            </w:r>
            <w:r w:rsidRPr="0038753F">
              <w:rPr>
                <w:rFonts w:ascii="Calibri" w:eastAsia="Calibri" w:hAnsi="Calibri"/>
                <w:sz w:val="22"/>
              </w:rPr>
              <w:t>d</w:t>
            </w:r>
            <w:r w:rsidRPr="0038753F">
              <w:rPr>
                <w:rFonts w:eastAsia="Calibri"/>
                <w:sz w:val="20"/>
                <w:szCs w:val="20"/>
              </w:rPr>
              <w:t xml:space="preserve">arba devēju ziņojumos rezultātā nodokļu maksātāji papildus aprēķinājuši IIN (tūkst. latu)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534,65</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4.</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Pēc uzaicinājuma saņemšanas par nodokļu maksātājiem reģistrējās fiziskās personas (skaits)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413</w:t>
            </w:r>
          </w:p>
        </w:tc>
      </w:tr>
    </w:tbl>
    <w:p w:rsidR="00425882" w:rsidRPr="0038753F" w:rsidRDefault="00425882" w:rsidP="00425882">
      <w:pPr>
        <w:ind w:firstLine="720"/>
        <w:jc w:val="both"/>
        <w:rPr>
          <w:sz w:val="16"/>
          <w:szCs w:val="16"/>
        </w:rPr>
      </w:pPr>
    </w:p>
    <w:p w:rsidR="00425882" w:rsidRPr="00DB68C7" w:rsidRDefault="00425882" w:rsidP="00425882">
      <w:pPr>
        <w:ind w:firstLine="720"/>
        <w:jc w:val="both"/>
        <w:rPr>
          <w:rFonts w:eastAsia="Calibri"/>
        </w:rPr>
      </w:pPr>
      <w:r w:rsidRPr="00DB68C7">
        <w:rPr>
          <w:rFonts w:eastAsia="Calibri"/>
        </w:rPr>
        <w:t xml:space="preserve">Nodokļu maksātāju nodokļu un muitas saistību izpildes veicināšanai tiek turpināta komersantu brīvprātīga pārkāpumu novēršanas īstenošana </w:t>
      </w:r>
      <w:r w:rsidRPr="00DB68C7">
        <w:rPr>
          <w:rFonts w:eastAsia="Calibri"/>
          <w:color w:val="000000"/>
        </w:rPr>
        <w:t>arī</w:t>
      </w:r>
      <w:r w:rsidRPr="00DB68C7">
        <w:rPr>
          <w:rFonts w:eastAsia="Calibri"/>
        </w:rPr>
        <w:t xml:space="preserve"> kontroles pasākumu laikā vai pirms kontroles uzsākšanas, ko raksturo šādi rezultatīvie rādītāji (2.tabula):</w:t>
      </w:r>
    </w:p>
    <w:p w:rsidR="00425882" w:rsidRPr="0038753F" w:rsidRDefault="00425882" w:rsidP="00425882">
      <w:pPr>
        <w:jc w:val="right"/>
        <w:rPr>
          <w:rFonts w:eastAsia="Calibri"/>
          <w:sz w:val="8"/>
          <w:szCs w:val="8"/>
        </w:rPr>
      </w:pPr>
    </w:p>
    <w:p w:rsidR="00425882" w:rsidRPr="0038753F" w:rsidRDefault="00425882" w:rsidP="00425882">
      <w:pPr>
        <w:jc w:val="right"/>
        <w:rPr>
          <w:rFonts w:eastAsia="Calibri"/>
        </w:rPr>
      </w:pPr>
      <w:r w:rsidRPr="0038753F">
        <w:rPr>
          <w:rFonts w:eastAsia="Calibri"/>
        </w:rPr>
        <w:t>2.tabula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417"/>
      </w:tblGrid>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Nr.</w:t>
            </w:r>
          </w:p>
          <w:p w:rsidR="00425882" w:rsidRPr="0038753F" w:rsidRDefault="00425882" w:rsidP="00425882">
            <w:pPr>
              <w:jc w:val="center"/>
              <w:rPr>
                <w:rFonts w:eastAsia="Calibri"/>
                <w:sz w:val="20"/>
                <w:szCs w:val="20"/>
              </w:rPr>
            </w:pPr>
            <w:r w:rsidRPr="0038753F">
              <w:rPr>
                <w:rFonts w:eastAsia="Calibri"/>
                <w:sz w:val="20"/>
                <w:szCs w:val="20"/>
              </w:rPr>
              <w:t>p.k.</w:t>
            </w:r>
          </w:p>
        </w:tc>
        <w:tc>
          <w:tcPr>
            <w:tcW w:w="7230"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Rādītājs</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2013.gada</w:t>
            </w:r>
          </w:p>
          <w:p w:rsidR="00425882" w:rsidRPr="0038753F" w:rsidRDefault="00425882" w:rsidP="00425882">
            <w:pPr>
              <w:jc w:val="center"/>
              <w:rPr>
                <w:rFonts w:eastAsia="Calibri"/>
                <w:sz w:val="20"/>
                <w:szCs w:val="20"/>
              </w:rPr>
            </w:pPr>
            <w:r w:rsidRPr="0038753F">
              <w:rPr>
                <w:rFonts w:eastAsia="Calibri"/>
                <w:sz w:val="20"/>
                <w:szCs w:val="20"/>
              </w:rPr>
              <w:t xml:space="preserve"> 9 mēneši</w:t>
            </w:r>
          </w:p>
        </w:tc>
      </w:tr>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Nodokļu maksātāju skaits, kas uzsākto pārbaužu laikā paši precizējuši deklarācijas</w:t>
            </w:r>
            <w:r>
              <w:rPr>
                <w:rFonts w:eastAsia="Calibri"/>
                <w:sz w:val="20"/>
                <w:szCs w:val="20"/>
              </w:rPr>
              <w:t xml:space="preserve"> </w:t>
            </w:r>
          </w:p>
        </w:tc>
        <w:tc>
          <w:tcPr>
            <w:tcW w:w="141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3 285</w:t>
            </w:r>
          </w:p>
        </w:tc>
      </w:tr>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2.</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Datu atbilstības pārbaužu rezultātā nodokļu maksātāju pašu deklarētā summa (tūkst. latu), t.sk.</w:t>
            </w:r>
          </w:p>
        </w:tc>
        <w:tc>
          <w:tcPr>
            <w:tcW w:w="1417" w:type="dxa"/>
            <w:shd w:val="clear" w:color="auto" w:fill="auto"/>
          </w:tcPr>
          <w:p w:rsidR="00425882" w:rsidRPr="0038753F" w:rsidRDefault="00425882" w:rsidP="00425882">
            <w:pPr>
              <w:jc w:val="center"/>
              <w:rPr>
                <w:rFonts w:eastAsia="Calibri"/>
                <w:sz w:val="20"/>
                <w:szCs w:val="20"/>
                <w:highlight w:val="yellow"/>
              </w:rPr>
            </w:pPr>
            <w:r w:rsidRPr="0038753F">
              <w:rPr>
                <w:rFonts w:eastAsia="Calibri"/>
                <w:sz w:val="20"/>
                <w:szCs w:val="20"/>
              </w:rPr>
              <w:t>1 332,0</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papildus deklarēts PVN (tūkst. latu)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454,5</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papildus deklarēts UIN (tūkst. latu)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32,5</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papildus deklarēts IIN (tūkst. latu)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772,5</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papildus deklarēts akcīzes nodoklis (tūkst. latu) </w:t>
            </w:r>
          </w:p>
        </w:tc>
        <w:tc>
          <w:tcPr>
            <w:tcW w:w="1417"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13,87</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papildus deklarēts muitas nodoklis (tūkst. latu)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52,4</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papildus deklarēts muitas administrētais PVN (tūkst. latu) </w:t>
            </w:r>
          </w:p>
        </w:tc>
        <w:tc>
          <w:tcPr>
            <w:tcW w:w="141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6,2</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3.</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Datu atbilstības pārbaužu rezultātā nodokļu maksātāju pašu samazināto zaudējumu summa UIN deklarācijās (tūkst. latu) </w:t>
            </w:r>
          </w:p>
        </w:tc>
        <w:tc>
          <w:tcPr>
            <w:tcW w:w="1417"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1 359,3</w:t>
            </w:r>
          </w:p>
        </w:tc>
      </w:tr>
      <w:tr w:rsidR="00425882" w:rsidRPr="0038753F" w:rsidTr="00425882">
        <w:trPr>
          <w:trHeight w:val="215"/>
        </w:trPr>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4.</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Tematisko pārbaužu rezultātā nodokļu maksātāji paši veikuši precizējumus deklarācijās, papildus deklarējot (tūkst. latu) </w:t>
            </w:r>
          </w:p>
        </w:tc>
        <w:tc>
          <w:tcPr>
            <w:tcW w:w="1417"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1 953,4</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5.</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Līdz nodokļu audita uzsākšanai nodokļu maksātāji paši veikuši precizējumus nodokļu deklarācijās (tūkst. latu) </w:t>
            </w:r>
          </w:p>
        </w:tc>
        <w:tc>
          <w:tcPr>
            <w:tcW w:w="1417"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188,9</w:t>
            </w:r>
          </w:p>
        </w:tc>
      </w:tr>
    </w:tbl>
    <w:p w:rsidR="00425882" w:rsidRDefault="00425882" w:rsidP="00425882">
      <w:pPr>
        <w:ind w:left="284"/>
        <w:contextualSpacing/>
        <w:rPr>
          <w:sz w:val="16"/>
          <w:szCs w:val="16"/>
        </w:rPr>
      </w:pPr>
    </w:p>
    <w:p w:rsidR="00425882" w:rsidRPr="0038753F" w:rsidRDefault="00425882" w:rsidP="00425882">
      <w:pPr>
        <w:ind w:left="284"/>
        <w:contextualSpacing/>
        <w:rPr>
          <w:sz w:val="16"/>
          <w:szCs w:val="16"/>
        </w:rPr>
      </w:pPr>
    </w:p>
    <w:p w:rsidR="00425882" w:rsidRPr="00DB68C7" w:rsidRDefault="00425882" w:rsidP="00425882">
      <w:pPr>
        <w:ind w:firstLine="720"/>
        <w:jc w:val="both"/>
      </w:pPr>
      <w:r w:rsidRPr="00DB68C7">
        <w:lastRenderedPageBreak/>
        <w:t xml:space="preserve">VID veicis virkni kontroles pasākumu, kuru rezultātā sasniegts gan preventīvs efekts, gan represīva ietekme uz nodokļu maksātāju izturēšanos pret nodokļu saistību </w:t>
      </w:r>
      <w:r w:rsidRPr="00DB68C7">
        <w:rPr>
          <w:color w:val="000000"/>
        </w:rPr>
        <w:t>ne</w:t>
      </w:r>
      <w:r w:rsidRPr="00DB68C7">
        <w:t>izpildi.</w:t>
      </w:r>
    </w:p>
    <w:p w:rsidR="00425882" w:rsidRPr="00DB68C7" w:rsidRDefault="00425882" w:rsidP="00425882">
      <w:pPr>
        <w:ind w:firstLine="720"/>
        <w:jc w:val="both"/>
        <w:rPr>
          <w:rFonts w:eastAsia="Calibri"/>
        </w:rPr>
      </w:pPr>
      <w:r w:rsidRPr="00DB68C7">
        <w:rPr>
          <w:rFonts w:eastAsia="Calibri"/>
        </w:rPr>
        <w:t>Nodokļu un muitas kontroles darba rezultātus raksturo šādi rezultatīvie rādītāji (3.tabula):</w:t>
      </w:r>
    </w:p>
    <w:p w:rsidR="00425882" w:rsidRPr="0038753F" w:rsidRDefault="00425882" w:rsidP="00425882">
      <w:pPr>
        <w:ind w:firstLine="720"/>
        <w:jc w:val="right"/>
        <w:rPr>
          <w:rFonts w:eastAsia="Calibri"/>
          <w:sz w:val="16"/>
          <w:szCs w:val="16"/>
        </w:rPr>
      </w:pPr>
    </w:p>
    <w:p w:rsidR="00425882" w:rsidRPr="0038753F" w:rsidRDefault="00425882" w:rsidP="00425882">
      <w:pPr>
        <w:ind w:firstLine="720"/>
        <w:jc w:val="right"/>
        <w:rPr>
          <w:rFonts w:eastAsia="Calibri"/>
        </w:rPr>
      </w:pPr>
      <w:r w:rsidRPr="0038753F">
        <w:rPr>
          <w:rFonts w:eastAsia="Calibri"/>
        </w:rPr>
        <w:t>3.tabula</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418"/>
      </w:tblGrid>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Nr.</w:t>
            </w:r>
          </w:p>
          <w:p w:rsidR="00425882" w:rsidRPr="0038753F" w:rsidRDefault="00425882" w:rsidP="00425882">
            <w:pPr>
              <w:jc w:val="center"/>
              <w:rPr>
                <w:rFonts w:eastAsia="Calibri"/>
                <w:sz w:val="20"/>
                <w:szCs w:val="20"/>
              </w:rPr>
            </w:pPr>
            <w:r w:rsidRPr="0038753F">
              <w:rPr>
                <w:rFonts w:eastAsia="Calibri"/>
                <w:sz w:val="20"/>
                <w:szCs w:val="20"/>
              </w:rPr>
              <w:t>p.k.</w:t>
            </w:r>
          </w:p>
        </w:tc>
        <w:tc>
          <w:tcPr>
            <w:tcW w:w="7230"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Rādītājs</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2013.gada</w:t>
            </w:r>
          </w:p>
          <w:p w:rsidR="00425882" w:rsidRPr="0038753F" w:rsidRDefault="00425882" w:rsidP="00425882">
            <w:pPr>
              <w:jc w:val="center"/>
              <w:rPr>
                <w:rFonts w:eastAsia="Calibri"/>
                <w:sz w:val="20"/>
                <w:szCs w:val="20"/>
              </w:rPr>
            </w:pPr>
            <w:r w:rsidRPr="0038753F">
              <w:rPr>
                <w:rFonts w:eastAsia="Calibri"/>
                <w:sz w:val="20"/>
                <w:szCs w:val="20"/>
              </w:rPr>
              <w:t xml:space="preserve"> 9 mēneši</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Veikti nodokļu auditi (skaits) </w:t>
            </w:r>
          </w:p>
        </w:tc>
        <w:tc>
          <w:tcPr>
            <w:tcW w:w="1418"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1 314</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2.</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Nodokļu auditos papildus aprēķināti nodokļi, soda nauda un nokavējuma nauda (tūkst. latu) </w:t>
            </w:r>
          </w:p>
        </w:tc>
        <w:tc>
          <w:tcPr>
            <w:tcW w:w="1418"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107 480,7</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3.</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Veiktas datu atbilstības pārbaudes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7 220</w:t>
            </w:r>
          </w:p>
        </w:tc>
      </w:tr>
      <w:tr w:rsidR="00425882" w:rsidRPr="0038753F" w:rsidTr="00425882">
        <w:trPr>
          <w:trHeight w:val="215"/>
        </w:trPr>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4.</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Datu atbilstības pārbaužu rezultātā papildus aprēķināti nodokļi ( tūkst. latu)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7 709,99</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5.</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Veiktas tematiskās pārbaudes un apsekošanas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8 643</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6.</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Piemērots naudas sods tematiskajās pārbaudēs un apsekošanās (tūkst. latu)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 xml:space="preserve">1 </w:t>
            </w:r>
            <w:r>
              <w:rPr>
                <w:rFonts w:eastAsia="Calibri"/>
                <w:sz w:val="20"/>
                <w:szCs w:val="20"/>
              </w:rPr>
              <w:t>137</w:t>
            </w:r>
            <w:r w:rsidRPr="0038753F">
              <w:rPr>
                <w:rFonts w:eastAsia="Calibri"/>
                <w:sz w:val="20"/>
                <w:szCs w:val="20"/>
              </w:rPr>
              <w:t>,</w:t>
            </w:r>
            <w:r>
              <w:rPr>
                <w:rFonts w:eastAsia="Calibri"/>
                <w:sz w:val="20"/>
                <w:szCs w:val="20"/>
              </w:rPr>
              <w:t>6</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7.</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Pieņemti lēmumi par saimnieciskās darbības apturēšanu nodokļu maksātājiem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5 499</w:t>
            </w:r>
          </w:p>
        </w:tc>
      </w:tr>
      <w:tr w:rsidR="00425882" w:rsidRPr="0038753F" w:rsidTr="00425882">
        <w:tc>
          <w:tcPr>
            <w:tcW w:w="567" w:type="dxa"/>
            <w:shd w:val="clear" w:color="auto" w:fill="auto"/>
          </w:tcPr>
          <w:p w:rsidR="00425882" w:rsidRPr="0038753F" w:rsidRDefault="00425882" w:rsidP="00425882">
            <w:pPr>
              <w:jc w:val="both"/>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pēc brīdinājuma izteikšanas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3 694</w:t>
            </w:r>
          </w:p>
        </w:tc>
      </w:tr>
      <w:tr w:rsidR="00425882" w:rsidRPr="0038753F" w:rsidTr="00425882">
        <w:tc>
          <w:tcPr>
            <w:tcW w:w="567" w:type="dxa"/>
            <w:shd w:val="clear" w:color="auto" w:fill="auto"/>
          </w:tcPr>
          <w:p w:rsidR="00425882" w:rsidRPr="0038753F" w:rsidRDefault="00425882" w:rsidP="00425882">
            <w:pPr>
              <w:jc w:val="both"/>
              <w:rPr>
                <w:rFonts w:eastAsia="Calibri"/>
                <w:sz w:val="20"/>
                <w:szCs w:val="20"/>
              </w:rPr>
            </w:pP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 bez brīdinājuma uzsākšanas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1 805</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8.</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Komercsabiedrību amatpersonām piemēroto papildsodu </w:t>
            </w:r>
            <w:r w:rsidRPr="0038753F">
              <w:rPr>
                <w:rFonts w:eastAsia="Calibri"/>
                <w:sz w:val="20"/>
                <w:szCs w:val="20"/>
              </w:rPr>
              <w:sym w:font="Symbol" w:char="F02D"/>
            </w:r>
            <w:r w:rsidRPr="0038753F">
              <w:rPr>
                <w:rFonts w:eastAsia="Calibri"/>
                <w:sz w:val="20"/>
                <w:szCs w:val="20"/>
              </w:rPr>
              <w:t xml:space="preserve"> tiesību atņemšana ieņemt noteiktus amatus komercsabiedrībās </w:t>
            </w:r>
            <w:r>
              <w:rPr>
                <w:rFonts w:eastAsia="Calibri"/>
                <w:sz w:val="20"/>
                <w:szCs w:val="20"/>
              </w:rPr>
              <w:t>(</w:t>
            </w:r>
            <w:r w:rsidRPr="0038753F">
              <w:rPr>
                <w:rFonts w:eastAsia="Calibri"/>
                <w:sz w:val="20"/>
                <w:szCs w:val="20"/>
              </w:rPr>
              <w:t>skaits</w:t>
            </w:r>
            <w:r>
              <w:rPr>
                <w:rFonts w:eastAsia="Calibri"/>
                <w:sz w:val="20"/>
                <w:szCs w:val="20"/>
              </w:rPr>
              <w:t>)</w:t>
            </w:r>
            <w:r w:rsidRPr="0038753F">
              <w:rPr>
                <w:rFonts w:eastAsia="Calibri"/>
                <w:sz w:val="20"/>
                <w:szCs w:val="20"/>
              </w:rPr>
              <w:t xml:space="preserve"> </w:t>
            </w:r>
          </w:p>
        </w:tc>
        <w:tc>
          <w:tcPr>
            <w:tcW w:w="1418" w:type="dxa"/>
            <w:shd w:val="clear" w:color="auto" w:fill="auto"/>
            <w:vAlign w:val="center"/>
          </w:tcPr>
          <w:p w:rsidR="00425882" w:rsidRPr="0038753F" w:rsidRDefault="00425882" w:rsidP="00425882">
            <w:pPr>
              <w:jc w:val="center"/>
              <w:rPr>
                <w:rFonts w:eastAsia="Calibri"/>
                <w:sz w:val="20"/>
                <w:szCs w:val="20"/>
                <w:highlight w:val="yellow"/>
              </w:rPr>
            </w:pPr>
            <w:r>
              <w:rPr>
                <w:rFonts w:eastAsia="Calibri"/>
                <w:sz w:val="20"/>
                <w:szCs w:val="20"/>
              </w:rPr>
              <w:t>810</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9.</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No VID PVN maksātāju reģistra izslēgti nodokļu maksātāji pēc VID iniciatīvas sakarā ar konstatētajiem pārkāpumiem (skaits) </w:t>
            </w:r>
          </w:p>
        </w:tc>
        <w:tc>
          <w:tcPr>
            <w:tcW w:w="1418" w:type="dxa"/>
            <w:shd w:val="clear" w:color="auto" w:fill="auto"/>
          </w:tcPr>
          <w:p w:rsidR="00425882" w:rsidRPr="0038753F" w:rsidRDefault="00425882" w:rsidP="00425882">
            <w:pPr>
              <w:jc w:val="center"/>
              <w:rPr>
                <w:rFonts w:eastAsia="Calibri"/>
                <w:sz w:val="20"/>
                <w:szCs w:val="20"/>
                <w:highlight w:val="yellow"/>
              </w:rPr>
            </w:pPr>
            <w:r w:rsidRPr="0038753F">
              <w:rPr>
                <w:rFonts w:eastAsia="Calibri"/>
                <w:sz w:val="20"/>
                <w:szCs w:val="20"/>
              </w:rPr>
              <w:t>3 565</w:t>
            </w:r>
          </w:p>
        </w:tc>
      </w:tr>
      <w:tr w:rsidR="00425882" w:rsidRPr="0038753F" w:rsidTr="00425882">
        <w:tc>
          <w:tcPr>
            <w:tcW w:w="567"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10.</w:t>
            </w:r>
          </w:p>
        </w:tc>
        <w:tc>
          <w:tcPr>
            <w:tcW w:w="7230" w:type="dxa"/>
            <w:shd w:val="clear" w:color="auto" w:fill="auto"/>
          </w:tcPr>
          <w:p w:rsidR="00425882" w:rsidRPr="0038753F" w:rsidRDefault="00425882" w:rsidP="00425882">
            <w:pPr>
              <w:jc w:val="both"/>
              <w:rPr>
                <w:rFonts w:eastAsia="Calibri"/>
                <w:sz w:val="20"/>
                <w:szCs w:val="20"/>
                <w:highlight w:val="green"/>
              </w:rPr>
            </w:pPr>
            <w:r w:rsidRPr="0038753F">
              <w:rPr>
                <w:rFonts w:eastAsia="Calibri"/>
                <w:sz w:val="20"/>
                <w:szCs w:val="20"/>
              </w:rPr>
              <w:t xml:space="preserve">Veiktas muitas padziļinātās fiziskās pārbaudes (skaits) </w:t>
            </w:r>
          </w:p>
        </w:tc>
        <w:tc>
          <w:tcPr>
            <w:tcW w:w="1418" w:type="dxa"/>
            <w:shd w:val="clear" w:color="auto" w:fill="auto"/>
            <w:vAlign w:val="center"/>
          </w:tcPr>
          <w:p w:rsidR="00425882" w:rsidRPr="0038753F" w:rsidRDefault="00425882" w:rsidP="00425882">
            <w:pPr>
              <w:jc w:val="center"/>
              <w:rPr>
                <w:rFonts w:eastAsia="Calibri"/>
                <w:sz w:val="20"/>
                <w:szCs w:val="20"/>
                <w:highlight w:val="yellow"/>
              </w:rPr>
            </w:pPr>
            <w:r w:rsidRPr="0038753F">
              <w:rPr>
                <w:rFonts w:eastAsia="Calibri"/>
                <w:sz w:val="20"/>
                <w:szCs w:val="20"/>
              </w:rPr>
              <w:t>10 293</w:t>
            </w:r>
          </w:p>
        </w:tc>
      </w:tr>
      <w:tr w:rsidR="00425882" w:rsidRPr="0038753F" w:rsidTr="00425882">
        <w:tc>
          <w:tcPr>
            <w:tcW w:w="567"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11.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Muitas kontroles rezultātā atklātie pārkāpumi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3 054</w:t>
            </w:r>
          </w:p>
        </w:tc>
      </w:tr>
      <w:tr w:rsidR="00425882" w:rsidRPr="0038753F" w:rsidTr="00425882">
        <w:tc>
          <w:tcPr>
            <w:tcW w:w="567"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12.</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Piemērots naudas sods par muitas noteikumu pārkāpumiem (tūkst. latu) </w:t>
            </w:r>
          </w:p>
        </w:tc>
        <w:tc>
          <w:tcPr>
            <w:tcW w:w="1418" w:type="dxa"/>
            <w:shd w:val="clear" w:color="auto" w:fill="auto"/>
            <w:vAlign w:val="center"/>
          </w:tcPr>
          <w:p w:rsidR="00425882" w:rsidRPr="0038753F" w:rsidRDefault="00425882" w:rsidP="00425882">
            <w:pPr>
              <w:jc w:val="center"/>
              <w:rPr>
                <w:rFonts w:eastAsia="Calibri"/>
                <w:sz w:val="20"/>
                <w:szCs w:val="20"/>
                <w:highlight w:val="yellow"/>
              </w:rPr>
            </w:pPr>
            <w:r>
              <w:rPr>
                <w:rFonts w:eastAsia="Calibri"/>
                <w:sz w:val="20"/>
                <w:szCs w:val="20"/>
              </w:rPr>
              <w:t>189</w:t>
            </w:r>
            <w:r w:rsidRPr="0038753F">
              <w:rPr>
                <w:rFonts w:eastAsia="Calibri"/>
                <w:sz w:val="20"/>
                <w:szCs w:val="20"/>
              </w:rPr>
              <w:t>,</w:t>
            </w:r>
            <w:r>
              <w:rPr>
                <w:rFonts w:eastAsia="Calibri"/>
                <w:sz w:val="20"/>
                <w:szCs w:val="20"/>
              </w:rPr>
              <w:t>33</w:t>
            </w:r>
          </w:p>
        </w:tc>
      </w:tr>
    </w:tbl>
    <w:p w:rsidR="00425882" w:rsidRPr="0038753F" w:rsidRDefault="00425882" w:rsidP="00425882">
      <w:pPr>
        <w:jc w:val="both"/>
        <w:rPr>
          <w:rFonts w:eastAsia="Calibri"/>
          <w:sz w:val="6"/>
          <w:szCs w:val="6"/>
        </w:rPr>
      </w:pPr>
    </w:p>
    <w:p w:rsidR="00425882" w:rsidRPr="0038753F" w:rsidRDefault="00425882" w:rsidP="00425882">
      <w:pPr>
        <w:ind w:firstLine="720"/>
        <w:jc w:val="both"/>
        <w:rPr>
          <w:rFonts w:eastAsia="Calibri"/>
          <w:sz w:val="26"/>
          <w:szCs w:val="26"/>
        </w:rPr>
      </w:pPr>
    </w:p>
    <w:p w:rsidR="00425882" w:rsidRPr="00DB68C7" w:rsidRDefault="00425882" w:rsidP="00425882">
      <w:pPr>
        <w:ind w:firstLine="720"/>
        <w:jc w:val="both"/>
        <w:rPr>
          <w:rFonts w:eastAsia="Calibri"/>
        </w:rPr>
      </w:pPr>
      <w:r w:rsidRPr="00DB68C7">
        <w:rPr>
          <w:rFonts w:eastAsia="Calibri"/>
          <w:color w:val="000000"/>
        </w:rPr>
        <w:t>Centralizējot nodokļu piedziņas darbu un nosakot prioritāri vispirms strādāt ar jaunajiem nodokļu parādniekiem,</w:t>
      </w:r>
      <w:r w:rsidRPr="00DB68C7">
        <w:rPr>
          <w:rFonts w:eastAsia="Calibri"/>
        </w:rPr>
        <w:t xml:space="preserve"> piedziņas darba rezultātā 2013.gada pirmajos deviņos mēnešos iekasēti 215,57 milj. latu, kas ir par 51,65 milj. latu jeb 32 % vairāk nekā 2012.gada pirmajos deviņos mēnešos. </w:t>
      </w:r>
    </w:p>
    <w:p w:rsidR="00425882" w:rsidRPr="00DB68C7" w:rsidRDefault="00425882" w:rsidP="00425882">
      <w:pPr>
        <w:ind w:left="426"/>
        <w:rPr>
          <w:rFonts w:eastAsia="Calibri"/>
        </w:rPr>
      </w:pPr>
    </w:p>
    <w:p w:rsidR="00425882" w:rsidRPr="00DB68C7" w:rsidRDefault="00425882" w:rsidP="00425882">
      <w:pPr>
        <w:jc w:val="center"/>
        <w:rPr>
          <w:rFonts w:eastAsia="Calibri"/>
          <w:b/>
        </w:rPr>
      </w:pPr>
      <w:r w:rsidRPr="00DB68C7">
        <w:rPr>
          <w:rFonts w:eastAsia="Calibri"/>
          <w:b/>
        </w:rPr>
        <w:t>2. Darbības rezultāti prioritātes – organizētās noziedzības un korupcijas apkarošana valsts ieņēmumu un muitas jomā – īstenošanā</w:t>
      </w:r>
    </w:p>
    <w:p w:rsidR="00425882" w:rsidRPr="00DB68C7" w:rsidRDefault="00425882" w:rsidP="00425882">
      <w:pPr>
        <w:ind w:firstLine="720"/>
        <w:jc w:val="both"/>
      </w:pPr>
    </w:p>
    <w:p w:rsidR="00425882" w:rsidRPr="00DB68C7" w:rsidRDefault="00425882" w:rsidP="00425882">
      <w:pPr>
        <w:ind w:firstLine="720"/>
        <w:jc w:val="both"/>
      </w:pPr>
      <w:r w:rsidRPr="00DB68C7">
        <w:t>Organizētās noziedzības apkarošana nodokļu un muitas jomā ir būtiska ēnu ekonomikas īpatsvara mazināšanā.</w:t>
      </w:r>
    </w:p>
    <w:p w:rsidR="00425882" w:rsidRPr="00DB68C7" w:rsidRDefault="00425882" w:rsidP="00425882">
      <w:pPr>
        <w:ind w:firstLine="720"/>
      </w:pPr>
      <w:r w:rsidRPr="00DB68C7">
        <w:t>Darbības rezultāti organizētās noziedzības apkarošanā valsts ieņēmumu jomā (4.tabula):</w:t>
      </w:r>
    </w:p>
    <w:p w:rsidR="00425882" w:rsidRPr="0038753F" w:rsidRDefault="00425882" w:rsidP="00425882">
      <w:pPr>
        <w:ind w:firstLine="720"/>
        <w:jc w:val="right"/>
        <w:rPr>
          <w:sz w:val="16"/>
          <w:szCs w:val="16"/>
        </w:rPr>
      </w:pPr>
    </w:p>
    <w:p w:rsidR="00425882" w:rsidRPr="0038753F" w:rsidRDefault="00425882" w:rsidP="00425882">
      <w:pPr>
        <w:ind w:firstLine="720"/>
        <w:jc w:val="right"/>
      </w:pPr>
      <w:r w:rsidRPr="0038753F">
        <w:t>4.tabula</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418"/>
      </w:tblGrid>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Nr.</w:t>
            </w:r>
          </w:p>
          <w:p w:rsidR="00425882" w:rsidRPr="0038753F" w:rsidRDefault="00425882" w:rsidP="00425882">
            <w:pPr>
              <w:jc w:val="center"/>
              <w:rPr>
                <w:rFonts w:eastAsia="Calibri"/>
                <w:sz w:val="20"/>
                <w:szCs w:val="20"/>
              </w:rPr>
            </w:pPr>
            <w:r w:rsidRPr="0038753F">
              <w:rPr>
                <w:rFonts w:eastAsia="Calibri"/>
                <w:sz w:val="20"/>
                <w:szCs w:val="20"/>
              </w:rPr>
              <w:t>p.k.</w:t>
            </w:r>
          </w:p>
        </w:tc>
        <w:tc>
          <w:tcPr>
            <w:tcW w:w="7230"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Rādītājs</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2013.gada</w:t>
            </w:r>
          </w:p>
          <w:p w:rsidR="00425882" w:rsidRPr="0038753F" w:rsidRDefault="00425882" w:rsidP="00425882">
            <w:pPr>
              <w:jc w:val="center"/>
              <w:rPr>
                <w:rFonts w:eastAsia="Calibri"/>
                <w:sz w:val="20"/>
                <w:szCs w:val="20"/>
              </w:rPr>
            </w:pPr>
            <w:r w:rsidRPr="0038753F">
              <w:rPr>
                <w:rFonts w:eastAsia="Calibri"/>
                <w:sz w:val="20"/>
                <w:szCs w:val="20"/>
              </w:rPr>
              <w:t xml:space="preserve"> 9 mēneši</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Uzsākti kriminālprocesi valsts ieņēmumu jomā (skaits) </w:t>
            </w:r>
          </w:p>
        </w:tc>
        <w:tc>
          <w:tcPr>
            <w:tcW w:w="1418"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203</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2.</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Uzsākto un saņemto kriminālprocesu ietvaros konstatētais valstij nodarītais zaudējumu apmērs (milj. latu)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35,56</w:t>
            </w:r>
          </w:p>
        </w:tc>
      </w:tr>
      <w:tr w:rsidR="00425882" w:rsidRPr="0038753F" w:rsidTr="00425882">
        <w:trPr>
          <w:trHeight w:val="215"/>
        </w:trPr>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3.</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Kriminālvajāšanas uzsākšanai nosūtīti kriminālprocesi (skaits) </w:t>
            </w:r>
          </w:p>
        </w:tc>
        <w:tc>
          <w:tcPr>
            <w:tcW w:w="1418"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117</w:t>
            </w:r>
          </w:p>
        </w:tc>
      </w:tr>
      <w:tr w:rsidR="00425882" w:rsidRPr="0038753F" w:rsidTr="00425882">
        <w:trPr>
          <w:trHeight w:val="215"/>
        </w:trPr>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4.</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Kriminālvajāšanas uzsākšanai nosūtītajos kriminālprocesos konstatēto valstij nodarīto zaudējumu apmērs (milj. latu) </w:t>
            </w:r>
          </w:p>
        </w:tc>
        <w:tc>
          <w:tcPr>
            <w:tcW w:w="1418"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11,64</w:t>
            </w:r>
          </w:p>
        </w:tc>
      </w:tr>
      <w:tr w:rsidR="00425882" w:rsidRPr="0038753F" w:rsidTr="00425882">
        <w:trPr>
          <w:trHeight w:val="215"/>
        </w:trPr>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5.</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Atklāta un pārtraukta organizētās noziedzības grupējumu darbība (skaits) </w:t>
            </w:r>
          </w:p>
        </w:tc>
        <w:tc>
          <w:tcPr>
            <w:tcW w:w="1418"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9</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6.</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Manta, kas atzīta par noziedzīgi iegūtu un ieskaitīta valsts budžetā (milj. latu) </w:t>
            </w:r>
          </w:p>
        </w:tc>
        <w:tc>
          <w:tcPr>
            <w:tcW w:w="1418"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0,25</w:t>
            </w:r>
          </w:p>
        </w:tc>
      </w:tr>
    </w:tbl>
    <w:p w:rsidR="00425882" w:rsidRPr="0038753F" w:rsidRDefault="00425882" w:rsidP="00425882">
      <w:pPr>
        <w:contextualSpacing/>
        <w:rPr>
          <w:sz w:val="26"/>
          <w:szCs w:val="26"/>
        </w:rPr>
      </w:pPr>
    </w:p>
    <w:p w:rsidR="00425882" w:rsidRPr="00DB68C7" w:rsidRDefault="00425882" w:rsidP="00425882">
      <w:pPr>
        <w:ind w:firstLine="720"/>
        <w:contextualSpacing/>
        <w:jc w:val="both"/>
      </w:pPr>
      <w:r w:rsidRPr="00DB68C7">
        <w:t>Korupcijas atklāšanas un novēršanas darbu valsts ieņēmumu un muitas jomā, novēršot negodprātīgu VID ierēdņu un darbinieku nelikumīgu rīcību, raksturo šādi rezultatīvie rādītāji (5.tabula):</w:t>
      </w:r>
    </w:p>
    <w:p w:rsidR="00425882" w:rsidRPr="0038753F" w:rsidRDefault="00425882" w:rsidP="00425882">
      <w:pPr>
        <w:ind w:firstLine="720"/>
        <w:contextualSpacing/>
        <w:jc w:val="both"/>
        <w:rPr>
          <w:sz w:val="26"/>
          <w:szCs w:val="26"/>
        </w:rPr>
      </w:pPr>
    </w:p>
    <w:p w:rsidR="00425882" w:rsidRPr="0038753F" w:rsidRDefault="00425882" w:rsidP="00425882">
      <w:pPr>
        <w:ind w:firstLine="720"/>
        <w:contextualSpacing/>
        <w:jc w:val="right"/>
      </w:pPr>
      <w:r w:rsidRPr="0038753F">
        <w:t>5.tabula</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418"/>
      </w:tblGrid>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lastRenderedPageBreak/>
              <w:t>Nr.</w:t>
            </w:r>
          </w:p>
          <w:p w:rsidR="00425882" w:rsidRPr="0038753F" w:rsidRDefault="00425882" w:rsidP="00425882">
            <w:pPr>
              <w:jc w:val="center"/>
              <w:rPr>
                <w:rFonts w:eastAsia="Calibri"/>
                <w:sz w:val="20"/>
                <w:szCs w:val="20"/>
              </w:rPr>
            </w:pPr>
            <w:r w:rsidRPr="0038753F">
              <w:rPr>
                <w:rFonts w:eastAsia="Calibri"/>
                <w:sz w:val="20"/>
                <w:szCs w:val="20"/>
              </w:rPr>
              <w:t>p.k.</w:t>
            </w:r>
          </w:p>
        </w:tc>
        <w:tc>
          <w:tcPr>
            <w:tcW w:w="7230"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Rādītājs</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 xml:space="preserve">2013.gada </w:t>
            </w:r>
          </w:p>
          <w:p w:rsidR="00425882" w:rsidRPr="0038753F" w:rsidRDefault="00425882" w:rsidP="00425882">
            <w:pPr>
              <w:jc w:val="center"/>
              <w:rPr>
                <w:rFonts w:eastAsia="Calibri"/>
                <w:sz w:val="20"/>
                <w:szCs w:val="20"/>
              </w:rPr>
            </w:pPr>
            <w:r w:rsidRPr="0038753F">
              <w:rPr>
                <w:rFonts w:eastAsia="Calibri"/>
                <w:sz w:val="20"/>
                <w:szCs w:val="20"/>
              </w:rPr>
              <w:t>9 mēneši</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Nodrošinot korupcijas apkarošanu VID amatpersonu vidū, uzsākti kriminālprocesi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12</w:t>
            </w:r>
          </w:p>
        </w:tc>
      </w:tr>
      <w:tr w:rsidR="00425882" w:rsidRPr="0038753F" w:rsidTr="00425882">
        <w:trPr>
          <w:trHeight w:val="530"/>
        </w:trPr>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2.</w:t>
            </w:r>
          </w:p>
        </w:tc>
        <w:tc>
          <w:tcPr>
            <w:tcW w:w="7230" w:type="dxa"/>
            <w:shd w:val="clear" w:color="auto" w:fill="auto"/>
          </w:tcPr>
          <w:p w:rsidR="00425882" w:rsidRPr="0038753F" w:rsidRDefault="00425882" w:rsidP="00425882">
            <w:pPr>
              <w:rPr>
                <w:rFonts w:eastAsia="Calibri"/>
                <w:sz w:val="20"/>
                <w:szCs w:val="20"/>
              </w:rPr>
            </w:pPr>
            <w:r w:rsidRPr="0038753F">
              <w:rPr>
                <w:rFonts w:eastAsia="Calibri"/>
                <w:sz w:val="20"/>
                <w:szCs w:val="20"/>
              </w:rPr>
              <w:t xml:space="preserve">Veikta izmeklēšana disciplinārlietās saistībā ar nelikumīgu VID darbinieku rīcību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48</w:t>
            </w:r>
          </w:p>
        </w:tc>
      </w:tr>
    </w:tbl>
    <w:p w:rsidR="00425882" w:rsidRPr="0038753F" w:rsidRDefault="00425882" w:rsidP="00425882">
      <w:pPr>
        <w:ind w:firstLine="720"/>
        <w:jc w:val="both"/>
        <w:rPr>
          <w:sz w:val="26"/>
          <w:szCs w:val="26"/>
        </w:rPr>
      </w:pPr>
    </w:p>
    <w:p w:rsidR="00425882" w:rsidRPr="00DB68C7" w:rsidRDefault="00425882" w:rsidP="00425882">
      <w:pPr>
        <w:jc w:val="center"/>
        <w:rPr>
          <w:rFonts w:eastAsia="Calibri"/>
          <w:b/>
        </w:rPr>
      </w:pPr>
      <w:r w:rsidRPr="00DB68C7">
        <w:rPr>
          <w:rFonts w:eastAsia="Calibri"/>
          <w:b/>
        </w:rPr>
        <w:t>3. Darbības rezultāti prioritātes − muitas kontroles pasākumu īstenošana prioritārajās jomās − akcīzes preču kontrabandas ierobežošana, narkotisko un psihotropo vielu kontrabandas apkarošana</w:t>
      </w:r>
      <w:r w:rsidRPr="00DB68C7">
        <w:rPr>
          <w:rFonts w:eastAsia="Calibri"/>
          <w:b/>
          <w:i/>
        </w:rPr>
        <w:t xml:space="preserve"> </w:t>
      </w:r>
      <w:r w:rsidRPr="00DB68C7">
        <w:rPr>
          <w:rFonts w:eastAsia="Calibri"/>
          <w:b/>
        </w:rPr>
        <w:t>– īstenošanā</w:t>
      </w:r>
    </w:p>
    <w:p w:rsidR="00425882" w:rsidRPr="00DB68C7" w:rsidRDefault="00425882" w:rsidP="00425882">
      <w:pPr>
        <w:ind w:firstLine="720"/>
        <w:jc w:val="both"/>
      </w:pPr>
    </w:p>
    <w:p w:rsidR="00425882" w:rsidRPr="00DB68C7" w:rsidRDefault="00425882" w:rsidP="00425882">
      <w:pPr>
        <w:ind w:firstLine="720"/>
        <w:jc w:val="both"/>
      </w:pPr>
      <w:r w:rsidRPr="00DB68C7">
        <w:t>Lai novērstu kontrabandas preču ievešanu valstī, pastiprināti tiek veikti akcīzes preču nelikumīgas pārvietošanas un muitas noteikumu pārkāpumu kontroles pasākumi (6.tabula):</w:t>
      </w:r>
    </w:p>
    <w:p w:rsidR="00425882" w:rsidRPr="0038753F" w:rsidRDefault="00425882" w:rsidP="00425882">
      <w:pPr>
        <w:ind w:firstLine="720"/>
        <w:jc w:val="both"/>
        <w:rPr>
          <w:sz w:val="16"/>
          <w:szCs w:val="16"/>
        </w:rPr>
      </w:pPr>
    </w:p>
    <w:p w:rsidR="00425882" w:rsidRPr="0038753F" w:rsidRDefault="00425882" w:rsidP="00425882">
      <w:pPr>
        <w:ind w:firstLine="720"/>
        <w:jc w:val="right"/>
      </w:pPr>
      <w:r w:rsidRPr="0038753F">
        <w:t>6.tabula</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230"/>
        <w:gridCol w:w="1418"/>
      </w:tblGrid>
      <w:tr w:rsidR="00425882" w:rsidRPr="0038753F" w:rsidTr="00425882">
        <w:tc>
          <w:tcPr>
            <w:tcW w:w="567"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Nr.</w:t>
            </w:r>
          </w:p>
          <w:p w:rsidR="00425882" w:rsidRPr="0038753F" w:rsidRDefault="00425882" w:rsidP="00425882">
            <w:pPr>
              <w:jc w:val="center"/>
              <w:rPr>
                <w:rFonts w:eastAsia="Calibri"/>
                <w:sz w:val="20"/>
                <w:szCs w:val="20"/>
              </w:rPr>
            </w:pPr>
            <w:r w:rsidRPr="0038753F">
              <w:rPr>
                <w:rFonts w:eastAsia="Calibri"/>
                <w:sz w:val="20"/>
                <w:szCs w:val="20"/>
              </w:rPr>
              <w:t>p.k.</w:t>
            </w:r>
          </w:p>
        </w:tc>
        <w:tc>
          <w:tcPr>
            <w:tcW w:w="7230"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Rādītājs</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 xml:space="preserve">2013.gada </w:t>
            </w:r>
          </w:p>
          <w:p w:rsidR="00425882" w:rsidRPr="0038753F" w:rsidRDefault="00425882" w:rsidP="00425882">
            <w:pPr>
              <w:jc w:val="center"/>
              <w:rPr>
                <w:rFonts w:eastAsia="Calibri"/>
                <w:sz w:val="20"/>
                <w:szCs w:val="20"/>
              </w:rPr>
            </w:pPr>
            <w:r w:rsidRPr="0038753F">
              <w:rPr>
                <w:rFonts w:eastAsia="Calibri"/>
                <w:sz w:val="20"/>
                <w:szCs w:val="20"/>
              </w:rPr>
              <w:t>9 mēneši</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1.</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Uzsākti kriminālprocesi muitas jomā (skaits),</w:t>
            </w:r>
          </w:p>
          <w:p w:rsidR="00425882" w:rsidRPr="0038753F" w:rsidRDefault="00425882" w:rsidP="00425882">
            <w:pPr>
              <w:jc w:val="both"/>
              <w:rPr>
                <w:rFonts w:eastAsia="Calibri"/>
                <w:sz w:val="20"/>
                <w:szCs w:val="20"/>
              </w:rPr>
            </w:pPr>
            <w:r w:rsidRPr="0038753F">
              <w:rPr>
                <w:rFonts w:eastAsia="Calibri"/>
                <w:sz w:val="20"/>
                <w:szCs w:val="20"/>
              </w:rPr>
              <w:t xml:space="preserve">t.sk. uzsākti kriminālprocesi par narkotisko un psihotropo vielu nelikumīgu apriti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133</w:t>
            </w:r>
          </w:p>
          <w:p w:rsidR="00425882" w:rsidRPr="0038753F" w:rsidRDefault="00425882" w:rsidP="00425882">
            <w:pPr>
              <w:jc w:val="center"/>
              <w:rPr>
                <w:rFonts w:eastAsia="Calibri"/>
                <w:sz w:val="20"/>
                <w:szCs w:val="20"/>
              </w:rPr>
            </w:pPr>
            <w:r w:rsidRPr="0038753F">
              <w:rPr>
                <w:rFonts w:eastAsia="Calibri"/>
                <w:sz w:val="20"/>
                <w:szCs w:val="20"/>
              </w:rPr>
              <w:t>64</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2.</w:t>
            </w:r>
          </w:p>
        </w:tc>
        <w:tc>
          <w:tcPr>
            <w:tcW w:w="7230" w:type="dxa"/>
            <w:shd w:val="clear" w:color="auto" w:fill="auto"/>
          </w:tcPr>
          <w:p w:rsidR="00425882" w:rsidRPr="0038753F" w:rsidRDefault="00425882" w:rsidP="00425882">
            <w:pPr>
              <w:rPr>
                <w:rFonts w:eastAsia="Calibri"/>
                <w:sz w:val="20"/>
                <w:szCs w:val="20"/>
              </w:rPr>
            </w:pPr>
            <w:r w:rsidRPr="0038753F">
              <w:rPr>
                <w:rFonts w:eastAsia="Calibri"/>
                <w:sz w:val="20"/>
                <w:szCs w:val="20"/>
              </w:rPr>
              <w:t xml:space="preserve">Kriminālvajāšanas uzsākšanai nosūtīti kriminālprocesi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64</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3.</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Atklāto likumpārkāpumu rezultātā novērstais kaitējums muitas jomā (milj. latu)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4,38</w:t>
            </w:r>
          </w:p>
        </w:tc>
      </w:tr>
      <w:tr w:rsidR="00425882" w:rsidRPr="0038753F" w:rsidTr="00425882">
        <w:tc>
          <w:tcPr>
            <w:tcW w:w="567" w:type="dxa"/>
            <w:shd w:val="clear" w:color="auto" w:fill="auto"/>
          </w:tcPr>
          <w:p w:rsidR="00425882" w:rsidRPr="0038753F" w:rsidRDefault="00425882" w:rsidP="00425882">
            <w:pPr>
              <w:jc w:val="center"/>
              <w:rPr>
                <w:rFonts w:eastAsia="Calibri"/>
                <w:sz w:val="20"/>
                <w:szCs w:val="20"/>
              </w:rPr>
            </w:pPr>
            <w:r w:rsidRPr="0038753F">
              <w:rPr>
                <w:rFonts w:eastAsia="Calibri"/>
                <w:sz w:val="20"/>
                <w:szCs w:val="20"/>
              </w:rPr>
              <w:t>4.</w:t>
            </w:r>
          </w:p>
        </w:tc>
        <w:tc>
          <w:tcPr>
            <w:tcW w:w="7230" w:type="dxa"/>
            <w:shd w:val="clear" w:color="auto" w:fill="auto"/>
          </w:tcPr>
          <w:p w:rsidR="00425882" w:rsidRPr="0038753F" w:rsidRDefault="00425882" w:rsidP="00425882">
            <w:pPr>
              <w:jc w:val="both"/>
              <w:rPr>
                <w:rFonts w:eastAsia="Calibri"/>
                <w:sz w:val="20"/>
                <w:szCs w:val="20"/>
              </w:rPr>
            </w:pPr>
            <w:r w:rsidRPr="0038753F">
              <w:rPr>
                <w:rFonts w:eastAsia="Calibri"/>
                <w:sz w:val="20"/>
                <w:szCs w:val="20"/>
              </w:rPr>
              <w:t xml:space="preserve">Atklāta un pārtraukta organizētās noziedzības grupējumu darbība (skaits) </w:t>
            </w:r>
          </w:p>
        </w:tc>
        <w:tc>
          <w:tcPr>
            <w:tcW w:w="1418" w:type="dxa"/>
            <w:shd w:val="clear" w:color="auto" w:fill="auto"/>
            <w:vAlign w:val="center"/>
          </w:tcPr>
          <w:p w:rsidR="00425882" w:rsidRPr="0038753F" w:rsidRDefault="00425882" w:rsidP="00425882">
            <w:pPr>
              <w:jc w:val="center"/>
              <w:rPr>
                <w:rFonts w:eastAsia="Calibri"/>
                <w:sz w:val="20"/>
                <w:szCs w:val="20"/>
              </w:rPr>
            </w:pPr>
            <w:r w:rsidRPr="0038753F">
              <w:rPr>
                <w:rFonts w:eastAsia="Calibri"/>
                <w:sz w:val="20"/>
                <w:szCs w:val="20"/>
              </w:rPr>
              <w:t>9</w:t>
            </w:r>
          </w:p>
        </w:tc>
      </w:tr>
    </w:tbl>
    <w:p w:rsidR="00425882" w:rsidRPr="0038753F" w:rsidRDefault="00425882" w:rsidP="00425882">
      <w:pPr>
        <w:ind w:firstLine="720"/>
        <w:jc w:val="both"/>
        <w:rPr>
          <w:sz w:val="20"/>
          <w:szCs w:val="20"/>
        </w:rPr>
      </w:pPr>
    </w:p>
    <w:p w:rsidR="00425882" w:rsidRPr="00DB68C7" w:rsidRDefault="00425882" w:rsidP="00425882">
      <w:pPr>
        <w:ind w:firstLine="720"/>
        <w:jc w:val="both"/>
      </w:pPr>
      <w:r w:rsidRPr="00DB68C7">
        <w:t>VID struktūrvienību darbības rezultātā 2013.gada pirmajos deviņos mēnešos:</w:t>
      </w:r>
    </w:p>
    <w:p w:rsidR="00425882" w:rsidRPr="00DB68C7" w:rsidRDefault="00425882" w:rsidP="00425882">
      <w:pPr>
        <w:ind w:firstLine="720"/>
        <w:jc w:val="both"/>
      </w:pPr>
      <w:r w:rsidRPr="00DB68C7">
        <w:t>−</w:t>
      </w:r>
      <w:r w:rsidRPr="00DB68C7">
        <w:tab/>
        <w:t xml:space="preserve">veikti 928 akcīzes nodokļa auditi un nodokļu aprēķini par konfiscētajām akcīzes precēm un tajos aprēķināti 971,64 tūkst. latu; </w:t>
      </w:r>
    </w:p>
    <w:p w:rsidR="00425882" w:rsidRPr="00DB68C7" w:rsidRDefault="00425882" w:rsidP="00425882">
      <w:pPr>
        <w:ind w:firstLine="720"/>
        <w:jc w:val="both"/>
      </w:pPr>
      <w:r w:rsidRPr="00DB68C7">
        <w:t>−</w:t>
      </w:r>
      <w:r w:rsidRPr="00DB68C7">
        <w:tab/>
        <w:t xml:space="preserve">anulētas 197 speciālās atļaujas (licences), izziņas un sertifikāti komercdarbībai ar akcīzes precēm; </w:t>
      </w:r>
    </w:p>
    <w:p w:rsidR="00425882" w:rsidRPr="00DB68C7" w:rsidRDefault="00425882" w:rsidP="00425882">
      <w:pPr>
        <w:ind w:firstLine="720"/>
        <w:jc w:val="both"/>
      </w:pPr>
      <w:r w:rsidRPr="00DB68C7">
        <w:t>−</w:t>
      </w:r>
      <w:r w:rsidRPr="00DB68C7">
        <w:tab/>
        <w:t xml:space="preserve">apturētas 59 speciālās atļaujas (licences), izziņas un sertifikāti komercdarbībai ar akcīzes precēm; </w:t>
      </w:r>
    </w:p>
    <w:p w:rsidR="00425882" w:rsidRPr="00DB68C7" w:rsidRDefault="00425882" w:rsidP="00425882">
      <w:pPr>
        <w:ind w:firstLine="720"/>
        <w:jc w:val="both"/>
      </w:pPr>
      <w:r w:rsidRPr="00DB68C7">
        <w:t>−</w:t>
      </w:r>
      <w:r w:rsidRPr="00DB68C7">
        <w:tab/>
        <w:t xml:space="preserve">izņemtas akcīzes preces: 40 595 953 gab. cigaretes, 48 721,5 litri degvielas, 9 545,7 litri alkohola; </w:t>
      </w:r>
    </w:p>
    <w:p w:rsidR="00425882" w:rsidRPr="00DB68C7" w:rsidRDefault="00425882" w:rsidP="00425882">
      <w:pPr>
        <w:ind w:firstLine="720"/>
        <w:jc w:val="both"/>
      </w:pPr>
      <w:r w:rsidRPr="00DB68C7">
        <w:t>−</w:t>
      </w:r>
      <w:r w:rsidRPr="00DB68C7">
        <w:tab/>
        <w:t xml:space="preserve">izņemti 118 519,86 grami narkotisko un psihotropo vielu. </w:t>
      </w:r>
    </w:p>
    <w:p w:rsidR="00425882" w:rsidRPr="00DB68C7" w:rsidRDefault="00425882" w:rsidP="00425882">
      <w:pPr>
        <w:ind w:firstLine="720"/>
        <w:jc w:val="both"/>
      </w:pPr>
    </w:p>
    <w:p w:rsidR="00425882" w:rsidRPr="00DB68C7" w:rsidRDefault="00425882" w:rsidP="00425882">
      <w:pPr>
        <w:jc w:val="center"/>
        <w:rPr>
          <w:b/>
        </w:rPr>
      </w:pPr>
      <w:r w:rsidRPr="00DB68C7">
        <w:rPr>
          <w:b/>
        </w:rPr>
        <w:t>4. VID īstenoto ēnu ekonomikas apkarošanas pasākumu ietekme uz nodokļu iekasēšanu 2013.gada pirmajos deviņos mēnešos</w:t>
      </w:r>
    </w:p>
    <w:p w:rsidR="00425882" w:rsidRPr="00DB68C7" w:rsidRDefault="00425882" w:rsidP="00425882">
      <w:pPr>
        <w:jc w:val="center"/>
        <w:rPr>
          <w:rFonts w:eastAsia="Calibri"/>
        </w:rPr>
      </w:pPr>
    </w:p>
    <w:p w:rsidR="00425882" w:rsidRPr="00DB68C7" w:rsidRDefault="00425882" w:rsidP="00425882">
      <w:pPr>
        <w:ind w:firstLine="709"/>
        <w:jc w:val="both"/>
      </w:pPr>
      <w:r w:rsidRPr="00DB68C7">
        <w:t>Viens no būtiskiem faktoriem ēnu ekonomikas mazināšanā ir nodokļu maksātāju attieksme pret izvairīšanos no nodokļu maksāšanas.</w:t>
      </w:r>
    </w:p>
    <w:p w:rsidR="00425882" w:rsidRPr="00DB68C7" w:rsidRDefault="00425882" w:rsidP="00425882">
      <w:pPr>
        <w:ind w:firstLine="709"/>
        <w:jc w:val="both"/>
      </w:pPr>
      <w:r w:rsidRPr="00DB68C7">
        <w:t xml:space="preserve">Ekonomikai atveseļojoties, kā arī VID veiktā darba rezultātā ir palielinājies reģistrēto nodokļu maksātāju skaits visās nodokļu maksātāju grupās (2.attēls). </w:t>
      </w:r>
    </w:p>
    <w:p w:rsidR="00425882" w:rsidRPr="0038753F" w:rsidRDefault="00425882" w:rsidP="00425882">
      <w:pPr>
        <w:jc w:val="center"/>
      </w:pPr>
    </w:p>
    <w:p w:rsidR="00425882" w:rsidRPr="0038753F" w:rsidRDefault="00425882" w:rsidP="00425882">
      <w:pPr>
        <w:jc w:val="center"/>
      </w:pPr>
      <w:r>
        <w:rPr>
          <w:noProof/>
        </w:rPr>
        <w:lastRenderedPageBreak/>
        <w:drawing>
          <wp:inline distT="0" distB="0" distL="0" distR="0" wp14:anchorId="5448340C" wp14:editId="71018985">
            <wp:extent cx="5762446" cy="3191774"/>
            <wp:effectExtent l="0" t="0" r="0" b="889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882" w:rsidRPr="0038753F" w:rsidRDefault="00425882" w:rsidP="00425882">
      <w:pPr>
        <w:jc w:val="center"/>
      </w:pPr>
    </w:p>
    <w:p w:rsidR="00425882" w:rsidRPr="0038753F" w:rsidRDefault="00425882" w:rsidP="00425882">
      <w:pPr>
        <w:jc w:val="center"/>
      </w:pPr>
    </w:p>
    <w:p w:rsidR="00425882" w:rsidRPr="0038753F" w:rsidRDefault="00425882" w:rsidP="00425882">
      <w:pPr>
        <w:jc w:val="center"/>
        <w:rPr>
          <w:b/>
          <w:sz w:val="22"/>
        </w:rPr>
      </w:pPr>
      <w:r w:rsidRPr="0038753F">
        <w:rPr>
          <w:sz w:val="22"/>
        </w:rPr>
        <w:t xml:space="preserve">2.attēls. </w:t>
      </w:r>
      <w:r w:rsidRPr="005642C3">
        <w:rPr>
          <w:sz w:val="22"/>
        </w:rPr>
        <w:t>Nodokļu maksātāju skaita dinamika</w:t>
      </w:r>
    </w:p>
    <w:p w:rsidR="00425882" w:rsidRPr="0038753F" w:rsidRDefault="00425882" w:rsidP="00425882">
      <w:pPr>
        <w:ind w:firstLine="720"/>
        <w:jc w:val="both"/>
        <w:rPr>
          <w:rFonts w:eastAsia="Calibri"/>
          <w:sz w:val="22"/>
        </w:rPr>
      </w:pPr>
    </w:p>
    <w:p w:rsidR="00425882" w:rsidRPr="00DB68C7" w:rsidRDefault="00425882" w:rsidP="00425882">
      <w:pPr>
        <w:ind w:firstLine="720"/>
        <w:jc w:val="both"/>
        <w:rPr>
          <w:rFonts w:eastAsia="Calibri"/>
          <w:bCs/>
        </w:rPr>
      </w:pPr>
      <w:r w:rsidRPr="00DB68C7">
        <w:rPr>
          <w:rFonts w:eastAsia="Calibri"/>
        </w:rPr>
        <w:t xml:space="preserve">Salīdzinājumā ar iepriekšējā gada attiecīgo periodu 2013.gada augustā ir par 1,7 % vairāk deklarētas </w:t>
      </w:r>
      <w:r w:rsidRPr="00DB68C7">
        <w:rPr>
          <w:rFonts w:eastAsia="Calibri"/>
          <w:color w:val="000000"/>
        </w:rPr>
        <w:t>nodarbinātās personas</w:t>
      </w:r>
      <w:r w:rsidRPr="00DB68C7">
        <w:rPr>
          <w:rFonts w:eastAsia="Calibri"/>
        </w:rPr>
        <w:t xml:space="preserve"> </w:t>
      </w:r>
      <w:r w:rsidRPr="00DB68C7">
        <w:rPr>
          <w:rFonts w:eastAsia="Calibri"/>
          <w:bCs/>
        </w:rPr>
        <w:t xml:space="preserve">(3.attēls) un uz 2013.gada 1.oktobri par 10,6 % vairāk reģistrēti saimnieciskās darbības veicēji (2.attēls). </w:t>
      </w:r>
    </w:p>
    <w:p w:rsidR="00425882" w:rsidRPr="0038753F" w:rsidRDefault="00425882" w:rsidP="00425882">
      <w:pPr>
        <w:ind w:firstLine="720"/>
        <w:jc w:val="both"/>
        <w:rPr>
          <w:rFonts w:eastAsia="Calibri"/>
          <w:bCs/>
          <w:sz w:val="26"/>
          <w:szCs w:val="26"/>
        </w:rPr>
      </w:pPr>
    </w:p>
    <w:p w:rsidR="00425882" w:rsidRPr="0038753F" w:rsidRDefault="00425882" w:rsidP="00425882">
      <w:pPr>
        <w:ind w:firstLine="142"/>
        <w:jc w:val="both"/>
        <w:rPr>
          <w:rFonts w:eastAsia="Calibri"/>
          <w:bCs/>
          <w:sz w:val="26"/>
          <w:szCs w:val="26"/>
        </w:rPr>
      </w:pPr>
      <w:r>
        <w:rPr>
          <w:noProof/>
        </w:rPr>
        <w:drawing>
          <wp:inline distT="0" distB="0" distL="0" distR="0" wp14:anchorId="6305B95C" wp14:editId="6DA4FCF9">
            <wp:extent cx="5434642" cy="3209026"/>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882" w:rsidRPr="0038753F" w:rsidRDefault="00425882" w:rsidP="00425882">
      <w:pPr>
        <w:ind w:firstLine="720"/>
        <w:jc w:val="both"/>
        <w:rPr>
          <w:rFonts w:eastAsia="Calibri"/>
          <w:bCs/>
          <w:sz w:val="26"/>
          <w:szCs w:val="26"/>
        </w:rPr>
      </w:pPr>
    </w:p>
    <w:p w:rsidR="00425882" w:rsidRPr="0038753F" w:rsidRDefault="00425882" w:rsidP="00425882">
      <w:pPr>
        <w:ind w:left="720"/>
        <w:jc w:val="center"/>
        <w:rPr>
          <w:rFonts w:eastAsia="Calibri"/>
          <w:b/>
          <w:sz w:val="22"/>
        </w:rPr>
      </w:pPr>
      <w:r w:rsidRPr="0038753F">
        <w:rPr>
          <w:rFonts w:eastAsia="Calibri"/>
          <w:sz w:val="22"/>
        </w:rPr>
        <w:t xml:space="preserve">3.attēls. </w:t>
      </w:r>
      <w:r w:rsidRPr="005642C3">
        <w:rPr>
          <w:rFonts w:eastAsia="Calibri"/>
          <w:sz w:val="22"/>
        </w:rPr>
        <w:t>Nodarbināto personu skaita dinamika</w:t>
      </w:r>
    </w:p>
    <w:p w:rsidR="00425882" w:rsidRPr="0038753F" w:rsidRDefault="00425882" w:rsidP="00425882">
      <w:pPr>
        <w:ind w:left="720"/>
        <w:jc w:val="both"/>
        <w:rPr>
          <w:rFonts w:eastAsia="Calibri"/>
          <w:sz w:val="26"/>
          <w:szCs w:val="26"/>
        </w:rPr>
      </w:pPr>
    </w:p>
    <w:p w:rsidR="00425882" w:rsidRPr="00DB68C7" w:rsidRDefault="00425882" w:rsidP="00425882">
      <w:pPr>
        <w:ind w:firstLine="709"/>
        <w:jc w:val="both"/>
      </w:pPr>
      <w:r w:rsidRPr="00DB68C7">
        <w:t xml:space="preserve">Kā pozitīva tendence uzskatāms fakts, ka, salīdzinot nodarbināto personu skaitu 2013.gada augustā ar 2012.gada augustu, par 2,4 procentpunktiem ir palielinājies nodarbināto personu īpatsvars, kurām darba samaksa ir virs Ls 500. </w:t>
      </w:r>
    </w:p>
    <w:p w:rsidR="00425882" w:rsidRPr="0038753F" w:rsidRDefault="00425882" w:rsidP="00425882">
      <w:pPr>
        <w:tabs>
          <w:tab w:val="left" w:pos="709"/>
        </w:tabs>
        <w:jc w:val="both"/>
        <w:rPr>
          <w:sz w:val="26"/>
          <w:szCs w:val="26"/>
        </w:rPr>
      </w:pPr>
    </w:p>
    <w:p w:rsidR="00425882" w:rsidRPr="0038753F" w:rsidRDefault="00425882" w:rsidP="00425882">
      <w:pPr>
        <w:jc w:val="both"/>
        <w:rPr>
          <w:sz w:val="26"/>
          <w:szCs w:val="26"/>
        </w:rPr>
      </w:pPr>
      <w:r>
        <w:rPr>
          <w:noProof/>
        </w:rPr>
        <w:lastRenderedPageBreak/>
        <w:drawing>
          <wp:inline distT="0" distB="0" distL="0" distR="0" wp14:anchorId="6D89D4A4" wp14:editId="5BAF7EE7">
            <wp:extent cx="5795010" cy="257556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882" w:rsidRPr="0038753F" w:rsidRDefault="00425882" w:rsidP="00425882">
      <w:pPr>
        <w:jc w:val="center"/>
        <w:rPr>
          <w:b/>
          <w:sz w:val="22"/>
        </w:rPr>
      </w:pPr>
      <w:r w:rsidRPr="0038753F">
        <w:rPr>
          <w:sz w:val="22"/>
        </w:rPr>
        <w:t>4.attēls.</w:t>
      </w:r>
      <w:r w:rsidRPr="0038753F">
        <w:rPr>
          <w:b/>
          <w:sz w:val="22"/>
        </w:rPr>
        <w:t xml:space="preserve"> </w:t>
      </w:r>
      <w:r w:rsidRPr="005642C3">
        <w:rPr>
          <w:sz w:val="22"/>
        </w:rPr>
        <w:t>Nodarbināto personu skaits darba samaksas grupā virs 500 latiem</w:t>
      </w:r>
    </w:p>
    <w:p w:rsidR="00425882" w:rsidRPr="0038753F" w:rsidRDefault="00425882" w:rsidP="00425882">
      <w:pPr>
        <w:jc w:val="both"/>
        <w:rPr>
          <w:rFonts w:eastAsia="Calibri"/>
          <w:sz w:val="26"/>
          <w:szCs w:val="26"/>
        </w:rPr>
      </w:pPr>
    </w:p>
    <w:p w:rsidR="00425882" w:rsidRPr="00DB68C7" w:rsidRDefault="00425882" w:rsidP="00425882">
      <w:pPr>
        <w:ind w:firstLine="709"/>
        <w:jc w:val="both"/>
        <w:rPr>
          <w:noProof/>
        </w:rPr>
      </w:pPr>
      <w:r w:rsidRPr="00DB68C7">
        <w:rPr>
          <w:noProof/>
        </w:rPr>
        <w:t>VID administrēto budžeta ieņēmumu un iekšzemes kopprodukta pieauguma dinamika ir parādīta 5.attēlā.</w:t>
      </w:r>
    </w:p>
    <w:p w:rsidR="00425882" w:rsidRPr="0038753F" w:rsidRDefault="00425882" w:rsidP="00425882">
      <w:pPr>
        <w:jc w:val="both"/>
        <w:rPr>
          <w:noProof/>
          <w:sz w:val="26"/>
          <w:szCs w:val="26"/>
        </w:rPr>
      </w:pPr>
      <w:r>
        <w:rPr>
          <w:noProof/>
          <w:sz w:val="26"/>
          <w:szCs w:val="26"/>
        </w:rPr>
        <w:drawing>
          <wp:inline distT="0" distB="0" distL="0" distR="0" wp14:anchorId="76A45056" wp14:editId="18AAED14">
            <wp:extent cx="5486400" cy="2605177"/>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5882" w:rsidRPr="005642C3" w:rsidRDefault="00425882" w:rsidP="00425882">
      <w:pPr>
        <w:jc w:val="center"/>
        <w:rPr>
          <w:rFonts w:eastAsia="Calibri"/>
          <w:sz w:val="22"/>
        </w:rPr>
      </w:pPr>
      <w:r w:rsidRPr="0038753F">
        <w:rPr>
          <w:rFonts w:eastAsia="Calibri"/>
          <w:sz w:val="22"/>
        </w:rPr>
        <w:t xml:space="preserve">5.attēls. </w:t>
      </w:r>
      <w:r w:rsidRPr="005642C3">
        <w:rPr>
          <w:rFonts w:eastAsia="Calibri"/>
          <w:sz w:val="22"/>
        </w:rPr>
        <w:t>VID administrēto budžeta ieņēmumu un iekšzemes kopprodukta</w:t>
      </w:r>
    </w:p>
    <w:p w:rsidR="00425882" w:rsidRPr="0038753F" w:rsidRDefault="00425882" w:rsidP="00425882">
      <w:pPr>
        <w:jc w:val="center"/>
        <w:rPr>
          <w:rFonts w:eastAsia="Calibri"/>
          <w:b/>
          <w:sz w:val="22"/>
        </w:rPr>
      </w:pPr>
      <w:r w:rsidRPr="005642C3">
        <w:rPr>
          <w:rFonts w:eastAsia="Calibri"/>
          <w:sz w:val="22"/>
        </w:rPr>
        <w:t>pieauguma dinamika no 2009.-2013.g. pa deviņiem mēnešiem</w:t>
      </w:r>
    </w:p>
    <w:p w:rsidR="00425882" w:rsidRPr="0038753F" w:rsidRDefault="00425882" w:rsidP="00425882">
      <w:pPr>
        <w:ind w:firstLine="709"/>
        <w:jc w:val="both"/>
        <w:rPr>
          <w:sz w:val="26"/>
          <w:szCs w:val="26"/>
        </w:rPr>
      </w:pPr>
    </w:p>
    <w:p w:rsidR="00425882" w:rsidRPr="00DB68C7" w:rsidRDefault="00425882" w:rsidP="00425882">
      <w:pPr>
        <w:ind w:firstLine="709"/>
        <w:jc w:val="both"/>
      </w:pPr>
      <w:r w:rsidRPr="00DB68C7">
        <w:t xml:space="preserve">Kaut gan ir vērojamas ekonomikas </w:t>
      </w:r>
      <w:r w:rsidRPr="00DB68C7">
        <w:rPr>
          <w:color w:val="000000"/>
        </w:rPr>
        <w:t xml:space="preserve">stabilizācijas pazīmes, </w:t>
      </w:r>
      <w:r w:rsidRPr="00DB68C7">
        <w:t>VID administrēto budžeta ieņēmumu pieauguma tempi, tāpat kā</w:t>
      </w:r>
      <w:r w:rsidRPr="00DB68C7">
        <w:rPr>
          <w:color w:val="000000"/>
        </w:rPr>
        <w:t xml:space="preserve"> i</w:t>
      </w:r>
      <w:r w:rsidRPr="00DB68C7">
        <w:t>ekšzemes kopprodukta pieauguma tempi, ir samazinājušies, tomēr VID administrētie budžeta ieņēmumi ir pieauguši straujāk nekā iekšzemes kopprodukts.</w:t>
      </w:r>
    </w:p>
    <w:p w:rsidR="00425882" w:rsidRPr="00DB68C7" w:rsidRDefault="00425882" w:rsidP="00425882">
      <w:pPr>
        <w:ind w:firstLine="709"/>
        <w:jc w:val="both"/>
      </w:pPr>
      <w:r w:rsidRPr="00DB68C7">
        <w:rPr>
          <w:bCs/>
        </w:rPr>
        <w:t>VID darba rezultāti liecina, ka ir panākts būtisks nodokļu ieņēmumu pieaugums gan salīdzinājumā ar plānoto, gan salīdzinājumā ar iepriekšēja gada attiecīgo periodu, kurā savs devums ir arī īstenotajiem ēnu ekonomikas apkarošanas pasākumiem.</w:t>
      </w:r>
    </w:p>
    <w:p w:rsidR="00425882" w:rsidRPr="00DB68C7" w:rsidRDefault="00425882" w:rsidP="00425882"/>
    <w:p w:rsidR="006A0979" w:rsidRPr="00DB68C7" w:rsidRDefault="006A0979" w:rsidP="007B7FE3">
      <w:pPr>
        <w:jc w:val="center"/>
        <w:rPr>
          <w:b/>
          <w:bCs/>
        </w:rPr>
      </w:pPr>
      <w:r w:rsidRPr="00DB68C7">
        <w:rPr>
          <w:b/>
          <w:bCs/>
        </w:rPr>
        <w:t>IEKŠLIETU MINISTRIJA</w:t>
      </w:r>
    </w:p>
    <w:p w:rsidR="00042A1F" w:rsidRPr="00DB68C7" w:rsidRDefault="00042A1F" w:rsidP="007B7FE3">
      <w:pPr>
        <w:pStyle w:val="ListParagraph"/>
        <w:tabs>
          <w:tab w:val="left" w:pos="-4536"/>
        </w:tabs>
        <w:ind w:left="0"/>
        <w:jc w:val="center"/>
        <w:rPr>
          <w:rFonts w:ascii="Times New Roman" w:hAnsi="Times New Roman"/>
          <w:b/>
          <w:sz w:val="24"/>
          <w:szCs w:val="24"/>
        </w:rPr>
      </w:pPr>
      <w:r w:rsidRPr="00DB68C7">
        <w:rPr>
          <w:rFonts w:ascii="Times New Roman" w:hAnsi="Times New Roman"/>
          <w:b/>
          <w:sz w:val="24"/>
          <w:szCs w:val="24"/>
        </w:rPr>
        <w:t>VALSTS POLICIJA</w:t>
      </w:r>
    </w:p>
    <w:p w:rsidR="00DF2D71" w:rsidRPr="00DB68C7" w:rsidRDefault="00DF2D71" w:rsidP="007B7FE3">
      <w:pPr>
        <w:pStyle w:val="ListParagraph"/>
        <w:tabs>
          <w:tab w:val="left" w:pos="-4536"/>
        </w:tabs>
        <w:ind w:left="0"/>
        <w:jc w:val="center"/>
        <w:rPr>
          <w:rFonts w:ascii="Times New Roman" w:hAnsi="Times New Roman"/>
          <w:b/>
          <w:sz w:val="24"/>
          <w:szCs w:val="24"/>
        </w:rPr>
      </w:pPr>
    </w:p>
    <w:p w:rsidR="000902D7" w:rsidRPr="00DB68C7" w:rsidRDefault="000902D7" w:rsidP="000902D7">
      <w:pPr>
        <w:ind w:firstLine="709"/>
        <w:jc w:val="both"/>
      </w:pPr>
      <w:r w:rsidRPr="00DB68C7">
        <w:t xml:space="preserve">Valsts policijas (turpmāk – VP) Galvenās kriminālpolicijas pārvaldes (turpmāk – GKrPP) darbības rezultātā 2013.gada 9 mēnešos pārtraukta 76 organizēto un noziedzīgo grupu darbība, t.sk. saistībā ar narkotisko un psihotropo vielu nelegālo apriti – 20; cilvēku tirdzniecību, personu nosūtīšanu seksuālai izmantošanai, sutenerismu – 7; dažādām zādzībām </w:t>
      </w:r>
      <w:r w:rsidRPr="00DB68C7">
        <w:lastRenderedPageBreak/>
        <w:t xml:space="preserve">– 25; akcīzes preču nelegālo apriti – 2; nelikumīgām darbībām ar finanšu instrumentiem un maksāšanas līdzekļiem – 1; laupīšanām – 13; izspiešanu – 1; ES fondu līdzekļu izkrāpšanu – 1 u.c. Jānorāda, ka organizētās noziedzības darbība aizvien vairāk tiek saistīta ar legālo biznesu un finanšu līdzekļu novirzīšanu legālā biznesa attīstībai. </w:t>
      </w:r>
    </w:p>
    <w:p w:rsidR="000902D7" w:rsidRPr="00DB68C7" w:rsidRDefault="000902D7" w:rsidP="000902D7">
      <w:pPr>
        <w:ind w:firstLine="709"/>
        <w:jc w:val="both"/>
      </w:pPr>
      <w:r w:rsidRPr="00DB68C7">
        <w:t>Vienlaikus VP GKrPP darbības rezultātā izņemtas, arestētas un konfiscētas materiālas vērtības, kustamais un nekustamais īpašums, dažādas preces u.c., ierobežojot noziedzīgo personu, tai skaitā organizētās noziedzības pārstāvju, noziedzīgo darbību. Tā, piemēram, 2013.gada 9 mēnešos VP GKrPP Organizētās noziedzības apkarošanas pārvaldes (turpmāk – ONAP) amatpersonas, veicot pirmstiesas izmeklēšanu kriminālprocesos, lai nodrošinātu iespējamo mantas konfiskāciju, uzlika arestus naudai – Ls 541 553 apmērā, 3 dzīvokļiem (to katra aptuvenā cena 38 000 - 60 000 Ls), 9 automašīnām, uzņēmuma 165 kapitāldaļām Ls 16 500 vērtībā.</w:t>
      </w:r>
    </w:p>
    <w:p w:rsidR="000902D7" w:rsidRPr="00DB68C7" w:rsidRDefault="000902D7" w:rsidP="000902D7">
      <w:pPr>
        <w:ind w:firstLine="709"/>
        <w:jc w:val="both"/>
      </w:pPr>
      <w:r w:rsidRPr="00DB68C7">
        <w:t>VP uzsākti 20 kriminālprocesi par  noziedzīgi iegūtu līdzekļu legalizēšanu (Krimināllikuma (turpmāk -  KL) 195.pants), no tiem VP GKrPP Ekonomisko noziegumu apkarošanas pārvaldē (turpmāk - ENAP) uzsākti 9 kriminālprocesi par noziedzīgi iegūtu līdzekļu legalizāciju lielā apmērā (izdarot PVN izkrāpšanu Francijā, izmantojot bankas kontus Latvijas bankās; par Nīderlandē iegūtu līdzekļu legalizēšanu, izmantojot Latvijas SIA bankas kontu; par Šveicē, Dānijā, Itālijā, Kiprā iegūtu (izkrāptu) līdzekļu legalizēšanu).</w:t>
      </w:r>
    </w:p>
    <w:p w:rsidR="000902D7" w:rsidRPr="00DB68C7" w:rsidRDefault="000902D7" w:rsidP="000902D7">
      <w:pPr>
        <w:ind w:firstLine="709"/>
        <w:jc w:val="both"/>
      </w:pPr>
      <w:r w:rsidRPr="00DB68C7">
        <w:t>VP GKrPP ENAP, izmeklējot noziedzīgos nodarījumus noziedzīgi iegūtu līdzekļu legalizācijas jomā, 2013.gada 9 mēnešos uzsākto kriminālprocesu ietvaros atzīti par noziedzīgi iegūtu mantu un ieskaitīti valsts budžetā Ls 1 407 424,47; EUR 180 383,39; USD 130 960,37; CHF 2 819,70. Papildus tam par bezīpašnieka mantu tika atzīti un ieskaitīti valsts budžetā Ls 60 568,62; GBP 401,46, atzīti par noziedzīgi iegūtiem un atgriezti cietušajām: Ls 111 788,49; EUR 15 620,02; USD 359 252,03. Uzlikts arests naudas līdzekļiem: Ls 34 853,28; EUR 3 645 969,96; USD 258 767,68; PLN 1 318,61; CAD 2 247,36; RUB 365,45.</w:t>
      </w:r>
    </w:p>
    <w:p w:rsidR="000902D7" w:rsidRPr="00DB68C7" w:rsidRDefault="000902D7" w:rsidP="000902D7">
      <w:pPr>
        <w:ind w:firstLine="709"/>
        <w:jc w:val="both"/>
      </w:pPr>
      <w:r w:rsidRPr="00DB68C7">
        <w:t>2013.gada 9 mēnešos VP struktūrvienībās tika turpināta dažāda rakstura un līmeņa pasākumu veikšana akcīzes preču nelegālās aprites ierobežošanā, izpildot Valsts tiesību aizsardzības iestāžu rīcības plānā 2013.gadam, lai aktivizētu cīņu pret akcīzes preču nelikumīgu apriti Latvijā, iekļauto pasākumu izpildi.</w:t>
      </w:r>
    </w:p>
    <w:p w:rsidR="000902D7" w:rsidRPr="00DB68C7" w:rsidRDefault="000902D7" w:rsidP="000902D7">
      <w:pPr>
        <w:ind w:firstLine="709"/>
        <w:jc w:val="both"/>
      </w:pPr>
      <w:r w:rsidRPr="00DB68C7">
        <w:t>2013.gada 9 mēnešos VP izņēmusi:</w:t>
      </w:r>
    </w:p>
    <w:p w:rsidR="000902D7" w:rsidRPr="00DB68C7" w:rsidRDefault="000902D7" w:rsidP="000902D7">
      <w:pPr>
        <w:ind w:firstLine="709"/>
        <w:jc w:val="both"/>
      </w:pPr>
      <w:r w:rsidRPr="00DB68C7">
        <w:t>- 59983,52 (2012.gada 9 mēnešos – 81762,89) litrus alkoholisko dzērienu;</w:t>
      </w:r>
    </w:p>
    <w:p w:rsidR="000902D7" w:rsidRPr="00DB68C7" w:rsidRDefault="000902D7" w:rsidP="000902D7">
      <w:pPr>
        <w:ind w:firstLine="709"/>
        <w:jc w:val="both"/>
      </w:pPr>
      <w:r w:rsidRPr="00DB68C7">
        <w:t>- 23566481 (2012.gada 9 mēnešos – 17159952) gab. cigarešu;</w:t>
      </w:r>
    </w:p>
    <w:p w:rsidR="000902D7" w:rsidRPr="00DB68C7" w:rsidRDefault="000902D7" w:rsidP="000902D7">
      <w:pPr>
        <w:ind w:firstLine="709"/>
        <w:jc w:val="both"/>
      </w:pPr>
      <w:r w:rsidRPr="00DB68C7">
        <w:t>- 168681 (2012.gada 9 mēnešos – 276093) litrus degvielas un naftas produktu.</w:t>
      </w:r>
    </w:p>
    <w:p w:rsidR="000902D7" w:rsidRPr="00DB68C7" w:rsidRDefault="000902D7" w:rsidP="000902D7">
      <w:pPr>
        <w:ind w:firstLine="709"/>
        <w:jc w:val="both"/>
      </w:pPr>
      <w:r w:rsidRPr="00DB68C7">
        <w:t>2013.gada 9 mēnešos Valsts policijas amatpersonas sastādīja administratīvā pārkāpuma protokolus:</w:t>
      </w:r>
    </w:p>
    <w:p w:rsidR="000902D7" w:rsidRPr="00DB68C7" w:rsidRDefault="000902D7" w:rsidP="000902D7">
      <w:pPr>
        <w:ind w:firstLine="709"/>
        <w:jc w:val="both"/>
      </w:pPr>
      <w:r w:rsidRPr="00DB68C7">
        <w:t>- 2083 (2012.gada 9 mēnešos – 1691) pēc LAPK 169.</w:t>
      </w:r>
      <w:r w:rsidRPr="00DB68C7">
        <w:rPr>
          <w:vertAlign w:val="superscript"/>
        </w:rPr>
        <w:t>3</w:t>
      </w:r>
      <w:r w:rsidRPr="00DB68C7">
        <w:t xml:space="preserve"> panta (ar akcīzes nodokli apliekamo preču aprites noteikumu pārkāpšana);</w:t>
      </w:r>
    </w:p>
    <w:p w:rsidR="000902D7" w:rsidRPr="00DB68C7" w:rsidRDefault="000902D7" w:rsidP="000902D7">
      <w:pPr>
        <w:ind w:firstLine="709"/>
        <w:jc w:val="both"/>
      </w:pPr>
      <w:r w:rsidRPr="00DB68C7">
        <w:t>- 642 (2012.gada 9 mēnešos – 565) pēc LAPK 170.</w:t>
      </w:r>
      <w:r w:rsidRPr="00DB68C7">
        <w:rPr>
          <w:vertAlign w:val="superscript"/>
        </w:rPr>
        <w:t>1</w:t>
      </w:r>
      <w:r w:rsidRPr="00DB68C7">
        <w:t xml:space="preserve"> panta (nelikumīgu alkoholisko dzērienu un spirta iegādāšanās);</w:t>
      </w:r>
    </w:p>
    <w:p w:rsidR="000902D7" w:rsidRPr="00DB68C7" w:rsidRDefault="000902D7" w:rsidP="000902D7">
      <w:pPr>
        <w:ind w:firstLine="709"/>
        <w:jc w:val="both"/>
      </w:pPr>
      <w:r w:rsidRPr="00DB68C7">
        <w:t>- 666 (2012.gada 9 mēnešos – 560) pēc LAPK 170.</w:t>
      </w:r>
      <w:r w:rsidRPr="00DB68C7">
        <w:rPr>
          <w:vertAlign w:val="superscript"/>
        </w:rPr>
        <w:t>2</w:t>
      </w:r>
      <w:r w:rsidRPr="00DB68C7">
        <w:t xml:space="preserve"> panta (nelikumīgu alkoholisko dzērienu izgatavošana (ražošana), glabāšana un pārvietošana);</w:t>
      </w:r>
    </w:p>
    <w:p w:rsidR="000902D7" w:rsidRPr="00DB68C7" w:rsidRDefault="000902D7" w:rsidP="000902D7">
      <w:pPr>
        <w:ind w:firstLine="709"/>
        <w:jc w:val="both"/>
      </w:pPr>
      <w:r w:rsidRPr="00DB68C7">
        <w:t>- 1 (2012.gada 9 mēnešos – 1) pēc LAPK 170.</w:t>
      </w:r>
      <w:r w:rsidRPr="00DB68C7">
        <w:rPr>
          <w:vertAlign w:val="superscript"/>
        </w:rPr>
        <w:t>3</w:t>
      </w:r>
      <w:r w:rsidRPr="00DB68C7">
        <w:t xml:space="preserve"> panta (telpu nodošana nelikumīgu alkoholisko dzērienu izgatavošanai (ražošanai), glabāšanai un realizācijai).</w:t>
      </w:r>
    </w:p>
    <w:p w:rsidR="000902D7" w:rsidRPr="00DB68C7" w:rsidRDefault="000902D7" w:rsidP="000902D7">
      <w:pPr>
        <w:ind w:firstLine="709"/>
        <w:jc w:val="both"/>
      </w:pPr>
      <w:r w:rsidRPr="00DB68C7">
        <w:t>Lielākā daļa pārkāpumu konstatēta Rīgas un Latgales reģionos.</w:t>
      </w:r>
    </w:p>
    <w:p w:rsidR="000902D7" w:rsidRPr="00DB68C7" w:rsidRDefault="000902D7" w:rsidP="000902D7">
      <w:pPr>
        <w:ind w:firstLine="709"/>
        <w:jc w:val="both"/>
      </w:pPr>
      <w:r w:rsidRPr="00DB68C7">
        <w:t>2013.gada 9 mēnešos uzsākti/nodoti kriminālprocesi kriminālvajāšanas uzsākšanai:</w:t>
      </w:r>
    </w:p>
    <w:p w:rsidR="000902D7" w:rsidRPr="00DB68C7" w:rsidRDefault="000902D7" w:rsidP="000902D7">
      <w:pPr>
        <w:ind w:firstLine="709"/>
        <w:jc w:val="both"/>
      </w:pPr>
      <w:r w:rsidRPr="00DB68C7">
        <w:t>- 2/0 (2012.gada 9 mēnešos – 2/0) pēc KL 190.panta (kontrabanda);</w:t>
      </w:r>
    </w:p>
    <w:p w:rsidR="000902D7" w:rsidRPr="00DB68C7" w:rsidRDefault="000902D7" w:rsidP="00292170">
      <w:pPr>
        <w:ind w:firstLine="709"/>
        <w:jc w:val="both"/>
      </w:pPr>
      <w:r w:rsidRPr="00DB68C7">
        <w:t>- 1/1 (2012.gada 9 mēnešos – 0/0) pēc KL 191.panta (neatļautas darbības ar muitošanai pakļautām precēm un citām vērtībām);</w:t>
      </w:r>
    </w:p>
    <w:p w:rsidR="000902D7" w:rsidRPr="00DB68C7" w:rsidRDefault="000902D7" w:rsidP="000902D7">
      <w:pPr>
        <w:ind w:firstLine="709"/>
        <w:jc w:val="both"/>
      </w:pPr>
      <w:r w:rsidRPr="00DB68C7">
        <w:t>- 14/0 (2012.gada 9 mēnešos – 8/2) pēc KL 220.</w:t>
      </w:r>
      <w:r w:rsidRPr="00DB68C7">
        <w:rPr>
          <w:vertAlign w:val="superscript"/>
        </w:rPr>
        <w:t>1</w:t>
      </w:r>
      <w:r w:rsidRPr="00DB68C7">
        <w:t xml:space="preserve"> panta (nelikumīga naftas produktu uzglabāšana, pārvietošana (pārvadāšana) un realizācija);</w:t>
      </w:r>
    </w:p>
    <w:p w:rsidR="000902D7" w:rsidRPr="00DB68C7" w:rsidRDefault="000902D7" w:rsidP="000902D7">
      <w:pPr>
        <w:ind w:firstLine="709"/>
        <w:jc w:val="both"/>
      </w:pPr>
      <w:r w:rsidRPr="00DB68C7">
        <w:t>- 143/52 (2012.gada 9 mēnešos – 94/31) pēc KL 221.panta (alkoholisko dzērienu un tabakas izstrādājumu nelikumīga uzglabāšana, pārvietošana (pārvadāšana) un realizācija);</w:t>
      </w:r>
    </w:p>
    <w:p w:rsidR="000902D7" w:rsidRPr="00DB68C7" w:rsidRDefault="000902D7" w:rsidP="000902D7">
      <w:pPr>
        <w:ind w:firstLine="709"/>
        <w:jc w:val="both"/>
      </w:pPr>
      <w:r w:rsidRPr="00DB68C7">
        <w:lastRenderedPageBreak/>
        <w:t>- 275/112 (2012.gada 9 mēnešos – 260/121) pēc KL 221.</w:t>
      </w:r>
      <w:r w:rsidRPr="00DB68C7">
        <w:rPr>
          <w:vertAlign w:val="superscript"/>
        </w:rPr>
        <w:t>1</w:t>
      </w:r>
      <w:r w:rsidRPr="00DB68C7">
        <w:t xml:space="preserve"> panta (nelikumīgu alkoholisko dzērienu realizācija); </w:t>
      </w:r>
    </w:p>
    <w:p w:rsidR="000902D7" w:rsidRPr="00DB68C7" w:rsidRDefault="000902D7" w:rsidP="000902D7">
      <w:pPr>
        <w:ind w:firstLine="709"/>
        <w:jc w:val="both"/>
      </w:pPr>
      <w:r w:rsidRPr="00DB68C7">
        <w:t>- 83/54 (2012.gada 9 mēnešos – 58/38) pēc KL 221.</w:t>
      </w:r>
      <w:r w:rsidRPr="00DB68C7">
        <w:rPr>
          <w:vertAlign w:val="superscript"/>
        </w:rPr>
        <w:t>2</w:t>
      </w:r>
      <w:r w:rsidRPr="00DB68C7">
        <w:t xml:space="preserve"> panta (nelikumīgu alkoholisko dzērienu izgatavošana (ražošana), glabāšana un pārvietošana); </w:t>
      </w:r>
    </w:p>
    <w:p w:rsidR="000902D7" w:rsidRPr="00DB68C7" w:rsidRDefault="000902D7" w:rsidP="000902D7">
      <w:pPr>
        <w:ind w:firstLine="709"/>
        <w:jc w:val="both"/>
      </w:pPr>
      <w:r w:rsidRPr="00DB68C7">
        <w:t>- 10/6 (2012.gada 9 mēnešos – 31/24) pēc KL 221.</w:t>
      </w:r>
      <w:r w:rsidRPr="00DB68C7">
        <w:rPr>
          <w:vertAlign w:val="superscript"/>
        </w:rPr>
        <w:t>3</w:t>
      </w:r>
      <w:r w:rsidRPr="00DB68C7">
        <w:t xml:space="preserve"> panta (nelikumīgu alkoholisko dzērienu iegādāšanās);</w:t>
      </w:r>
    </w:p>
    <w:p w:rsidR="000902D7" w:rsidRPr="00DB68C7" w:rsidRDefault="000902D7" w:rsidP="000902D7">
      <w:pPr>
        <w:ind w:firstLine="709"/>
        <w:jc w:val="both"/>
      </w:pPr>
      <w:r w:rsidRPr="00DB68C7">
        <w:t>- 1/0 (2012.gada 9 mēnešos – 0/0) pēc KL 221.</w:t>
      </w:r>
      <w:r w:rsidRPr="00DB68C7">
        <w:rPr>
          <w:vertAlign w:val="superscript"/>
        </w:rPr>
        <w:t>5</w:t>
      </w:r>
      <w:r w:rsidRPr="00DB68C7">
        <w:t xml:space="preserve"> panta (telpu nodošana nelikumīgu alkoholisko dzērienu izgatavošanai (ražošanai), glabāšanai un realizācijai).</w:t>
      </w:r>
    </w:p>
    <w:p w:rsidR="000902D7" w:rsidRPr="00DB68C7" w:rsidRDefault="000902D7" w:rsidP="000902D7">
      <w:pPr>
        <w:ind w:firstLine="709"/>
        <w:jc w:val="both"/>
      </w:pPr>
      <w:r w:rsidRPr="00DB68C7">
        <w:t xml:space="preserve">2013.gada 9 mēnešos VP turpināja veikt darbu saistībā ar zādzību novēršanu no naftas produktu maģistrālā cauruļvada Polocka-Ventspils, veicot dažāda rakstura pasākumus naftas vada tuvumā un rajonos, kur minētā veida noziedzīgie nodarījumi ir aktuāli. Kopumā konstatēts, ka VP Zemgales un Kurzemes reģiona pārvalžu apkalpojamajā teritorijā noziedzīgi nodarījumi saistībā ar zādzībām no naftas vada ir samazinājušies (attiecīgi atskaites periodā uzsākti 13 (-16) un 48 (-30) kriminālprocesi). Jānorāda, ka pārskata periodā tika pārtraukta vienas organizētās grupas darbība, kas veica noziedzīgus nodarījumus saistībā ar zādzībām no maģistrālā naftas vada Polocka – Ventspils. </w:t>
      </w:r>
    </w:p>
    <w:p w:rsidR="000902D7" w:rsidRPr="00DB68C7" w:rsidRDefault="000902D7" w:rsidP="000902D7">
      <w:pPr>
        <w:ind w:firstLine="709"/>
        <w:jc w:val="both"/>
      </w:pPr>
      <w:r w:rsidRPr="00DB68C7">
        <w:t xml:space="preserve">2013.gadā par vienu no VP noteiktajām prioritātēm tika noteikta cīņa ar ES struktūrfondu līdzekļu izkrāpšanu. 2013. gada 9 mēnešos valstī uzsākti 7 (-2) kriminālprocesi par šāda veida krāpšanu (visi kriminālprocesi uzsākti VP GKrPP ENAP pēc KL 177.panta 3.daļas). Kopējā apdraudējuma summa šajos noziedzīgajos nodarījumos ir </w:t>
      </w:r>
      <w:r w:rsidR="00125FC1" w:rsidRPr="00DB68C7">
        <w:t xml:space="preserve">Ls  </w:t>
      </w:r>
      <w:r w:rsidRPr="00DB68C7">
        <w:t>3 444 303 un 4 900 795.00 EUR. 2013.gada 9 mēnešos VP GKrPP ENAP aizturēja organizētu grupu (5 personas), kas veica noziedzīgas darbības, lai izkrāptu ES fondu līdzekļus. Par šāda veida noziedzīgām darbībām kopumā 2013.gadā aizturētas 9 personas.</w:t>
      </w:r>
    </w:p>
    <w:p w:rsidR="000902D7" w:rsidRPr="00DB68C7" w:rsidRDefault="000902D7" w:rsidP="000902D7">
      <w:pPr>
        <w:ind w:firstLine="709"/>
        <w:jc w:val="both"/>
      </w:pPr>
      <w:r w:rsidRPr="00DB68C7">
        <w:t>2013.gada 9 mēnešos VP  reģistrēti  7 (+2) pilnvaru ļaunprātīgas izmantošanas un pārsniegšanas (KL 196.pants) gadījumi, kā arī 95 (+19) kukuļdošanas (KL 323.pants) gadījumi. Jānorāda, ka atskaites periodā VP pastiprināta uzmanība tika pievērsta saņemtajai informācijai un iesniegumiem saistībā ar sertificēto maksātnespējas administratoru rīcību un šķēršļu likšanu maksātnespējas procesā. Minētajā darbības jomā organizētas VP GKrPP ENAP un Maksātnespējas administrācijas pārstāvju tikšanās, kurās apspriesti arī jautājumi par administratora lomu fiziskas personas maksātnespējas procesā, kā arī nodrošināta dalība Tieslietu ministrijas organizētajā sanāksmē, kurā tika pārrunāts par atbildības piemērošanu ar maksātnespējas situācijām saistītajos problēmjautājumos, izvērtējot šo problēmu cēloņus un rodot to iespējamos risinājumus.</w:t>
      </w:r>
    </w:p>
    <w:p w:rsidR="000902D7" w:rsidRPr="00DB68C7" w:rsidRDefault="000902D7" w:rsidP="000902D7">
      <w:pPr>
        <w:ind w:firstLine="709"/>
        <w:jc w:val="both"/>
      </w:pPr>
      <w:r w:rsidRPr="00DB68C7">
        <w:t>2013.gada 9 mēnešos VP par pārkāpumiem autortiesību un blakustiesību aizsardzības jomā pēc KL 148.panta (Autortiesību un blakustiesību pārkāpšana) uzsākti 36 (-12) kriminālprocesi.</w:t>
      </w:r>
    </w:p>
    <w:p w:rsidR="000902D7" w:rsidRPr="00DB68C7" w:rsidRDefault="000902D7" w:rsidP="000902D7">
      <w:pPr>
        <w:ind w:firstLine="709"/>
        <w:jc w:val="both"/>
      </w:pPr>
      <w:r w:rsidRPr="00DB68C7">
        <w:t>2013.gada 9 mēnešos nav būtiski mainījies noziedzīgo nodarījumu skaits par svešu personu datu izmantošanu, lai piekļūtu internetbankai, saņemtu ātros kredītus un naudas līdzekļus pārskaitītu tālāk uz citu personu kontiem vai, izmantojot maksājumu karti, tos izņemtu bankomātos. Tā, saistībā ar kredīta un citu aizdevumu negodprātīgu saņemšanu (KL 210.pants (Kredīta un citu aizdevumu negodprātīga saņemšana un izmantošana)) VP uzsākti 26 kriminālprocesi.</w:t>
      </w:r>
    </w:p>
    <w:p w:rsidR="000902D7" w:rsidRPr="00DB68C7" w:rsidRDefault="000902D7" w:rsidP="000902D7">
      <w:pPr>
        <w:ind w:firstLine="709"/>
        <w:jc w:val="both"/>
      </w:pPr>
      <w:r w:rsidRPr="00DB68C7">
        <w:t>2013.gada 9 mēnešos pēc KL 193.panta (Nelikumīgas darbības ar finanšu instrumentiem un maksāšanas līdzekļiem) VP uzsākti 802 (+266) kriminālprocesi. Jāatzīmē, ka vairāki noziedzīgi nodarījumi reģistrēti VP Vidzemes RP par personu internetbankas izmantošanu un nepatiesu ziņu sniegšanu SMS ātrā kredīta saņemšanai (Soho, E-lats, Vivus, Smscredit). Atskaites periodā joprojām aktuāla problēma ir arī svešu zagtu/nozaudētu karšu izmantošana norēķinos tirdzniecības vietās un naudas noņemšanai bankomātos. Tāpat joprojām tiek saņemta informācija par POS/ATM/Ecomm krāpšanām, kurās izmanto Austrālijā, ASV u.c. valstīs izdotas kartes un to informāciju.</w:t>
      </w:r>
    </w:p>
    <w:p w:rsidR="000902D7" w:rsidRPr="00DB68C7" w:rsidRDefault="000902D7" w:rsidP="000902D7">
      <w:pPr>
        <w:ind w:firstLine="709"/>
        <w:jc w:val="both"/>
      </w:pPr>
      <w:r w:rsidRPr="00DB68C7">
        <w:t>2013.gada 9 mēnešos būtiski ir pieaudzis pēc KL 193.</w:t>
      </w:r>
      <w:r w:rsidRPr="00DB68C7">
        <w:rPr>
          <w:vertAlign w:val="superscript"/>
        </w:rPr>
        <w:t>1</w:t>
      </w:r>
      <w:r w:rsidR="00125FC1" w:rsidRPr="00DB68C7">
        <w:t xml:space="preserve"> </w:t>
      </w:r>
      <w:r w:rsidRPr="00DB68C7">
        <w:t xml:space="preserve">panta (Datu, programmatūras un iekārtu iegūšana, izgatavošana, izplatīšana, izmantošana un glabāšana nelikumīgām </w:t>
      </w:r>
      <w:r w:rsidRPr="00DB68C7">
        <w:lastRenderedPageBreak/>
        <w:t>darbībām ar finanšu instrumentiem un maksāšanas līdzekļiem) VP uzsākto kriminālprocesu skaits – 162 (+73). Jānorāda, ka lielākā daļa VP izmeklējamie kibernoziegumi ar mantkārīgu nolūku ir saistāmi ar svešu maksājumu līdzekļu datu izmantošanu grupā. Tāpat ir jāatzīmē, ka paralēli Latvijas interneta segmenta attīstībai arī turpmāk pieaugs to noziegumu skaits, kur noziedzīgu darbību plānošanai, gatavošanai vai realizēšanai tiks pielietotas informācijas tehnoloģijas.</w:t>
      </w:r>
    </w:p>
    <w:p w:rsidR="000902D7" w:rsidRPr="00DB68C7" w:rsidRDefault="000902D7" w:rsidP="000902D7">
      <w:pPr>
        <w:ind w:firstLine="709"/>
        <w:jc w:val="both"/>
      </w:pPr>
      <w:r w:rsidRPr="00DB68C7">
        <w:t>2013.gada 9 mēnešos salīdzinājumā ar 2012.gada attiecīgo laika periodu ir pieaudzis uzsākto pēc  KL 192.panta (Viltotas naudas un valsts finanšu instrumentu izgatavošana, izplatīšana, pārvadāšana, pārsūtīšana, iegādāšanās un glabāšana) kriminālprocesu skaits – 1008 (+33). Atskaites periodā izņemtas 3615 viltotas 2 (divu) eiro monētas (2012.gada 9 mēnešos šādu monētu izņemšanas nav bijušas) VP Rīgas RP uzsāktā kriminālprocesa ietvaros, aizturot organizētas grupas dalībniekus (3 personas) par viltotu Latvijas bankas 1 lata monētu un Eiropas Centrālās bankas 2 eiro monētu izgatavošanu un izplatīšanu.</w:t>
      </w:r>
    </w:p>
    <w:p w:rsidR="000902D7" w:rsidRPr="00DB68C7" w:rsidRDefault="000902D7" w:rsidP="000902D7">
      <w:pPr>
        <w:ind w:firstLine="709"/>
        <w:jc w:val="both"/>
      </w:pPr>
      <w:r w:rsidRPr="00DB68C7">
        <w:t>2013.gada 9 mēnešos pēc KL 109.pantā (Patvaļīga koku ciršana un bojāšana) paredzētajām noziedzīga nodarījuma sastāva pazīmēm VP uzsākti 349 (+29) kriminālprocesi.</w:t>
      </w:r>
    </w:p>
    <w:p w:rsidR="000902D7" w:rsidRPr="00DB68C7" w:rsidRDefault="000902D7" w:rsidP="000902D7">
      <w:pPr>
        <w:ind w:firstLine="709"/>
        <w:jc w:val="both"/>
      </w:pPr>
      <w:r w:rsidRPr="00DB68C7">
        <w:t xml:space="preserve">2013.gada 9 mēnešos  VP struktūrvienību darbības rezultātā no nelegālās aprites izņemtas narkotiskās un psihotropās vielas, kuru aptuvenā vērtība ir </w:t>
      </w:r>
      <w:r w:rsidR="00125FC1" w:rsidRPr="00DB68C7">
        <w:t xml:space="preserve">Ls </w:t>
      </w:r>
      <w:r w:rsidRPr="00DB68C7">
        <w:t xml:space="preserve">964 100 (VP sadarbības ar ārvalstīm rezultātā kopā aptuveni </w:t>
      </w:r>
      <w:r w:rsidR="00125FC1" w:rsidRPr="00DB68C7">
        <w:t xml:space="preserve">Ls </w:t>
      </w:r>
      <w:r w:rsidRPr="00DB68C7">
        <w:t xml:space="preserve">1 151 130). Savukārt VP GKrPP ONAP veikto pasākumu rezultātā, tostarp sadarbībā ar  VID Muitu, no nelegālās aprites izņemtas narkotiskās un psihotropās vielas, kuru aptuvenā vērtība ir 916 700 Ls (997 600 Ls kopā ar ārvalstīs izņemtajām narkotiskajām un psihotropajām vielām). </w:t>
      </w:r>
    </w:p>
    <w:p w:rsidR="000902D7" w:rsidRPr="00DB68C7" w:rsidRDefault="000902D7" w:rsidP="000902D7">
      <w:pPr>
        <w:ind w:firstLine="709"/>
        <w:jc w:val="both"/>
      </w:pPr>
      <w:r w:rsidRPr="00DB68C7">
        <w:t>VP pārstāvji turpina piedalīties Tieslietu ministrijas pastāvīgās Krimināllikuma pilnveidošanas darba grupas sēdēs, kurās 2013.gadā notika diskusijas par nepieciešamajiem grozījumiem likuma „Par Krimināllikuma spēkā stāšanās un piemērošanas kārtība” 23.pantā un Krimināllikumā saistībā ar kvalificējošo pazīmi – būtiskais kaitējums. Kvalificējošā pazīme būtisks kaitējums ir iekļauta daudzu noziedzīgo nodarījumu dispozīcijās, liela daļa no tiem ir ēnu ekonomikas jomā, piemēram:</w:t>
      </w:r>
    </w:p>
    <w:p w:rsidR="000902D7" w:rsidRPr="00DB68C7" w:rsidRDefault="000902D7" w:rsidP="00125FC1">
      <w:pPr>
        <w:tabs>
          <w:tab w:val="left" w:pos="993"/>
        </w:tabs>
        <w:ind w:firstLine="709"/>
        <w:jc w:val="both"/>
      </w:pPr>
      <w:r w:rsidRPr="00DB68C7">
        <w:t xml:space="preserve">- </w:t>
      </w:r>
      <w:r w:rsidR="00125FC1" w:rsidRPr="00DB68C7">
        <w:tab/>
        <w:t xml:space="preserve"> </w:t>
      </w:r>
      <w:r w:rsidRPr="00DB68C7">
        <w:t>noziedzīgie nodarījumi pret dabas vidi;</w:t>
      </w:r>
    </w:p>
    <w:p w:rsidR="000902D7" w:rsidRPr="00DB68C7" w:rsidRDefault="000902D7" w:rsidP="00125FC1">
      <w:pPr>
        <w:tabs>
          <w:tab w:val="left" w:pos="993"/>
        </w:tabs>
        <w:ind w:firstLine="709"/>
        <w:jc w:val="both"/>
      </w:pPr>
      <w:r w:rsidRPr="00DB68C7">
        <w:t xml:space="preserve">- </w:t>
      </w:r>
      <w:r w:rsidR="00125FC1" w:rsidRPr="00DB68C7">
        <w:tab/>
        <w:t xml:space="preserve"> </w:t>
      </w:r>
      <w:r w:rsidRPr="00DB68C7">
        <w:t>148.pants „Autortiesību un blakustiesību pārkāpšana”;</w:t>
      </w:r>
    </w:p>
    <w:p w:rsidR="000902D7" w:rsidRPr="00DB68C7" w:rsidRDefault="000902D7" w:rsidP="00125FC1">
      <w:pPr>
        <w:tabs>
          <w:tab w:val="left" w:pos="851"/>
          <w:tab w:val="left" w:pos="1418"/>
        </w:tabs>
        <w:ind w:firstLine="709"/>
        <w:jc w:val="both"/>
      </w:pPr>
      <w:r w:rsidRPr="00DB68C7">
        <w:t xml:space="preserve">- 166.pants „Pornogrāfiska vai erotiska rakstura materiālu ievešanas, izgatavošanas un izplatīšanas noteikumu pārkāpšana”; </w:t>
      </w:r>
    </w:p>
    <w:p w:rsidR="000902D7" w:rsidRPr="00DB68C7" w:rsidRDefault="000902D7" w:rsidP="000902D7">
      <w:pPr>
        <w:ind w:firstLine="709"/>
        <w:jc w:val="both"/>
      </w:pPr>
      <w:r w:rsidRPr="00DB68C7">
        <w:t>- noziedzīgi nodarījumi tautsaimniecībā, t.sk. 190.pants „Kontrabanda”, 191.pants „Neatļautas darbības ar muitošanai pakļautām precēm un citām vērtībām”, 193.pants „Nelikumīgas darbības ar finanšu instrumentiem un maksāšanas līdzekļiem”, 205.pants „Tirdzniecības noteikumu pārkāpšana”, 206.pants „Preču zīmes, citas atšķirības zīmes un dizainparauga nelikumīga izmantošana”, 220.</w:t>
      </w:r>
      <w:r w:rsidRPr="00DB68C7">
        <w:rPr>
          <w:vertAlign w:val="superscript"/>
        </w:rPr>
        <w:t>1</w:t>
      </w:r>
      <w:r w:rsidRPr="00DB68C7">
        <w:t xml:space="preserve"> pants „Nelikumīga naftas produktu uzglabāšana, pārvietošana (pārvadāšana) un realizācija”, 221.pants „Alkoholisko dzērienu un tabakas izstrādājumu nelikumīga uzglabāšana, pārvietošana (pārvadāšana) un realizācija” (attiecībā uz tabakas izstrādājumiem);</w:t>
      </w:r>
    </w:p>
    <w:p w:rsidR="000902D7" w:rsidRPr="00DB68C7" w:rsidRDefault="000902D7" w:rsidP="000902D7">
      <w:pPr>
        <w:ind w:firstLine="709"/>
        <w:jc w:val="both"/>
      </w:pPr>
      <w:r w:rsidRPr="00DB68C7">
        <w:t>- 237.</w:t>
      </w:r>
      <w:r w:rsidRPr="00DB68C7">
        <w:rPr>
          <w:vertAlign w:val="superscript"/>
        </w:rPr>
        <w:t>1</w:t>
      </w:r>
      <w:r w:rsidRPr="00DB68C7">
        <w:t xml:space="preserve"> pants „Stratēģiskas nozīmes preču aprites noteikumu pārkāpšana”;</w:t>
      </w:r>
    </w:p>
    <w:p w:rsidR="000902D7" w:rsidRPr="00DB68C7" w:rsidRDefault="000902D7" w:rsidP="000902D7">
      <w:pPr>
        <w:ind w:firstLine="709"/>
        <w:jc w:val="both"/>
      </w:pPr>
      <w:r w:rsidRPr="00DB68C7">
        <w:t>- 275.pants „Dokumenta, zīmoga un spiedoga viltošana un viltota dokumenta, zīmoga un spiedoga realizēšana un izmantošana”.</w:t>
      </w:r>
    </w:p>
    <w:p w:rsidR="000902D7" w:rsidRPr="00DB68C7" w:rsidRDefault="000902D7" w:rsidP="000902D7">
      <w:pPr>
        <w:ind w:firstLine="709"/>
        <w:jc w:val="both"/>
      </w:pPr>
      <w:r w:rsidRPr="00DB68C7">
        <w:t>VP pārstāvis ir deleģēts arī Tieslietu ministrijas pastāvīgajā Kriminālprocesa likuma pilnveidošanas darba grupā, kurās atskaites periodā tika veikts darbs pie noziedzīgi iegūtas mantas identificēšanas un konfiscēšanas pilnveidošanas. Minētais jautājums izskatīts arī Tieslietu ministrijas pastāvīgajā Krimināllikuma darba grupā.</w:t>
      </w:r>
    </w:p>
    <w:p w:rsidR="000902D7" w:rsidRPr="00DB68C7" w:rsidRDefault="000902D7" w:rsidP="000902D7">
      <w:pPr>
        <w:ind w:firstLine="709"/>
        <w:jc w:val="both"/>
      </w:pPr>
      <w:r w:rsidRPr="00DB68C7">
        <w:t xml:space="preserve">Iekšlietu ministrijas pārstāvji piedalās Saeimas Aizsardzības, </w:t>
      </w:r>
      <w:r w:rsidR="00125FC1" w:rsidRPr="00DB68C7">
        <w:t>iekšlietu</w:t>
      </w:r>
      <w:r w:rsidRPr="00DB68C7">
        <w:t xml:space="preserve"> un korupcijas novēršanas komisijas Operatīvās darbības likuma pilnveidošanas apakškomisijas sēdēs un ar iekšlietu ministra 2012.gada 6.februāra rīkojumu Nr.1-12/213 „Par darba grupas izveidi operatīvās darbības regulējuma izvērtēšanai” izveidotajā tiesību aizsardzības iestāžu darba grupā. </w:t>
      </w:r>
    </w:p>
    <w:p w:rsidR="000902D7" w:rsidRPr="00DB68C7" w:rsidRDefault="000902D7" w:rsidP="000902D7">
      <w:pPr>
        <w:ind w:firstLine="709"/>
        <w:jc w:val="both"/>
      </w:pPr>
      <w:r w:rsidRPr="00DB68C7">
        <w:lastRenderedPageBreak/>
        <w:t>Saskaņošanas stadijā atrodas VP un VID starpresoru vienošanās par VID Transporta līdzekļu un konteineru automātiskās identificēšanas sistēmas izmantošanu tiešsaistē, kas turpmāk VP ļaus operatīvi identificēt robežu šķērsojošos transporta līdzekļus un konteinerus un tieši ietekmēs ēnu ekonomikas apkarošanas rezultātu uzlabošanu.</w:t>
      </w:r>
    </w:p>
    <w:p w:rsidR="000902D7" w:rsidRPr="00DB68C7" w:rsidRDefault="000902D7" w:rsidP="000902D7">
      <w:pPr>
        <w:ind w:firstLine="709"/>
        <w:jc w:val="both"/>
      </w:pPr>
    </w:p>
    <w:p w:rsidR="00311FC2" w:rsidRPr="00DB68C7" w:rsidRDefault="00311FC2" w:rsidP="007B7FE3">
      <w:pPr>
        <w:jc w:val="center"/>
        <w:rPr>
          <w:b/>
        </w:rPr>
      </w:pPr>
      <w:r w:rsidRPr="00DB68C7">
        <w:rPr>
          <w:b/>
        </w:rPr>
        <w:t>VALSTS ROBEŽSARDZE</w:t>
      </w:r>
    </w:p>
    <w:p w:rsidR="00042A1F" w:rsidRPr="00DB68C7" w:rsidRDefault="00042A1F" w:rsidP="00042A1F">
      <w:pPr>
        <w:ind w:firstLine="709"/>
        <w:jc w:val="both"/>
        <w:rPr>
          <w:bCs/>
        </w:rPr>
      </w:pPr>
    </w:p>
    <w:p w:rsidR="00DB68C7" w:rsidRPr="00DB68C7" w:rsidRDefault="00DB68C7" w:rsidP="00DB68C7">
      <w:pPr>
        <w:ind w:firstLine="720"/>
        <w:jc w:val="both"/>
      </w:pPr>
      <w:r w:rsidRPr="00DB68C7">
        <w:t>Valsts robežsardze 2013.gada deviņos mēnešos, izpildot normatīvajos aktos noteiktos uzdevumus, gan uz valsts robežas, gan arī savas kompetences ietvaros valsts iekšienē patstāvīgi vai sadarbībā ar citām tiesībsargājošām iestādēm veica pasākumus cīņā pret cigarešu un alkohola kontrabandu un to nelegālu tirdzniecību Latvijā, kā arī nelegālo nodarbinātību.</w:t>
      </w:r>
    </w:p>
    <w:p w:rsidR="00DB68C7" w:rsidRPr="00DB68C7" w:rsidRDefault="00DB68C7" w:rsidP="00DB68C7">
      <w:pPr>
        <w:ind w:firstLine="720"/>
        <w:jc w:val="both"/>
      </w:pPr>
      <w:r w:rsidRPr="00DB68C7">
        <w:t xml:space="preserve">Pārskata periodā Valsts robežsardzes amatpersonas konstatēja 222 </w:t>
      </w:r>
      <w:r w:rsidRPr="00DB68C7">
        <w:rPr>
          <w:i/>
        </w:rPr>
        <w:t>(2012.gada deviņos mēnešos – 153)</w:t>
      </w:r>
      <w:r w:rsidRPr="00DB68C7">
        <w:t xml:space="preserve"> nelikumīgas preču pārvietošanas gadījumus. Lielākā daļa no atklātajām kontrabandas precēm bija tabakas izstrādājumi.</w:t>
      </w:r>
    </w:p>
    <w:p w:rsidR="00DB68C7" w:rsidRPr="00DB68C7" w:rsidRDefault="00DB68C7" w:rsidP="00DB68C7">
      <w:pPr>
        <w:ind w:firstLine="720"/>
        <w:jc w:val="both"/>
      </w:pPr>
      <w:r w:rsidRPr="00DB68C7">
        <w:t>2013.gada deviņos mēnešos Valsts robežsardze patstāvīgi vai sadarbībā ar citām tiesībsargājošām iestādēm aizturēja un izņēma:</w:t>
      </w:r>
    </w:p>
    <w:p w:rsidR="00DB68C7" w:rsidRPr="00DB68C7" w:rsidRDefault="00DB68C7" w:rsidP="00DB68C7">
      <w:pPr>
        <w:ind w:firstLine="720"/>
        <w:jc w:val="both"/>
      </w:pPr>
      <w:r w:rsidRPr="00DB68C7">
        <w:t xml:space="preserve">1) 7 525 012 </w:t>
      </w:r>
      <w:r w:rsidRPr="00DB68C7">
        <w:rPr>
          <w:i/>
        </w:rPr>
        <w:t>(2012.gada 9 mēnešos – 9 902 055)</w:t>
      </w:r>
      <w:r w:rsidRPr="00DB68C7">
        <w:t xml:space="preserve"> dažādu marku cigaretes;</w:t>
      </w:r>
    </w:p>
    <w:p w:rsidR="00DB68C7" w:rsidRPr="00DB68C7" w:rsidRDefault="00DB68C7" w:rsidP="00DB68C7">
      <w:pPr>
        <w:ind w:firstLine="720"/>
        <w:jc w:val="both"/>
      </w:pPr>
      <w:r w:rsidRPr="00DB68C7">
        <w:t xml:space="preserve">2) 1 070 </w:t>
      </w:r>
      <w:r w:rsidRPr="00DB68C7">
        <w:rPr>
          <w:i/>
        </w:rPr>
        <w:t>(2012.gada 9 mēnešos –  22 251)</w:t>
      </w:r>
      <w:r w:rsidRPr="00DB68C7">
        <w:t xml:space="preserve"> litrus degvielas un naftas produktu;</w:t>
      </w:r>
    </w:p>
    <w:p w:rsidR="00DB68C7" w:rsidRPr="00DB68C7" w:rsidRDefault="00DB68C7" w:rsidP="00DB68C7">
      <w:pPr>
        <w:ind w:firstLine="720"/>
        <w:jc w:val="both"/>
      </w:pPr>
      <w:r w:rsidRPr="00DB68C7">
        <w:t xml:space="preserve">3) 206,8 </w:t>
      </w:r>
      <w:r w:rsidRPr="00DB68C7">
        <w:rPr>
          <w:i/>
        </w:rPr>
        <w:t>(2012.gada 9 mēnešos – 763)</w:t>
      </w:r>
      <w:r w:rsidRPr="00DB68C7">
        <w:t xml:space="preserve"> litrus alkoholisko dzērienu.</w:t>
      </w:r>
    </w:p>
    <w:p w:rsidR="00DB68C7" w:rsidRPr="00DB68C7" w:rsidRDefault="00DB68C7" w:rsidP="00DB68C7">
      <w:pPr>
        <w:ind w:firstLine="720"/>
        <w:jc w:val="both"/>
      </w:pPr>
      <w:r w:rsidRPr="00DB68C7">
        <w:t>Kontrabandas gadījumi valsts robežas šķērsošanas vietās un uz „zaļās robežas” tiek atklāti, veicot ne tikai regulāros ikdienas robežuzraudzības un robežpārbaudes pasākumus, bet arī īstenojot operatīvās darbības pasākumus. Šo pasākumu rezultātā 2013.gada deviņos mēnešos Valsts robežsardze uzsāka:</w:t>
      </w:r>
    </w:p>
    <w:p w:rsidR="00DB68C7" w:rsidRPr="00DB68C7" w:rsidRDefault="00DB68C7" w:rsidP="00DB68C7">
      <w:pPr>
        <w:ind w:firstLine="720"/>
        <w:jc w:val="both"/>
      </w:pPr>
      <w:r w:rsidRPr="00DB68C7">
        <w:t>1) 54 administratīvo pārkāpumu lietas;</w:t>
      </w:r>
    </w:p>
    <w:p w:rsidR="00DB68C7" w:rsidRPr="00DB68C7" w:rsidRDefault="00DB68C7" w:rsidP="00DB68C7">
      <w:pPr>
        <w:ind w:firstLine="720"/>
        <w:jc w:val="both"/>
      </w:pPr>
      <w:r w:rsidRPr="00DB68C7">
        <w:t xml:space="preserve">2) 13 </w:t>
      </w:r>
      <w:r w:rsidRPr="005642C3">
        <w:t>(2</w:t>
      </w:r>
      <w:r w:rsidRPr="00DB68C7">
        <w:t>012.gada 9 mēnešos – 11</w:t>
      </w:r>
      <w:r w:rsidRPr="00DB68C7">
        <w:rPr>
          <w:i/>
        </w:rPr>
        <w:t>)</w:t>
      </w:r>
      <w:r w:rsidRPr="00DB68C7">
        <w:t xml:space="preserve"> kriminālprocesus, no tiem 12 pēc Krimināllikuma 190.panta – „Kontrabanda” un 1 pēc Krimināllikuma 221.panta „Alkoholisko dzērienu un tabakas izstrādājumu nelikumīga uzglabāšana, pārvietošana (pārvadāšana) vai realizācija”. Norādītajos kriminālprocesos kriminālprocesuālo darbību rezultātā izņemtas 2 588 620 cigaretes.</w:t>
      </w:r>
    </w:p>
    <w:p w:rsidR="00DB68C7" w:rsidRPr="00DB68C7" w:rsidRDefault="00DB68C7" w:rsidP="00DB68C7">
      <w:pPr>
        <w:ind w:firstLine="720"/>
        <w:jc w:val="both"/>
        <w:rPr>
          <w:color w:val="000000"/>
        </w:rPr>
      </w:pPr>
      <w:r w:rsidRPr="00DB68C7">
        <w:rPr>
          <w:color w:val="000000"/>
        </w:rPr>
        <w:t>No kopējā konstatēto kontrabandas gadījumu skaita 160 gadījumi atklāti uz Latvijas</w:t>
      </w:r>
      <w:r>
        <w:rPr>
          <w:color w:val="000000"/>
        </w:rPr>
        <w:t xml:space="preserve"> </w:t>
      </w:r>
      <w:r w:rsidRPr="00DB68C7">
        <w:rPr>
          <w:color w:val="000000"/>
        </w:rPr>
        <w:t>-Krievijas robežas, 44 gadījumi uz Latvijas-Baltkrievijas robežas.</w:t>
      </w:r>
    </w:p>
    <w:p w:rsidR="00DB68C7" w:rsidRPr="00DB68C7" w:rsidRDefault="00DB68C7" w:rsidP="00DB68C7">
      <w:pPr>
        <w:ind w:firstLine="720"/>
        <w:jc w:val="both"/>
        <w:rPr>
          <w:color w:val="000000"/>
        </w:rPr>
      </w:pPr>
      <w:r w:rsidRPr="00DB68C7">
        <w:rPr>
          <w:color w:val="000000"/>
        </w:rPr>
        <w:t>Uz „zaļās” robežas nelikumīga preču pārvietošana atklāta 10 gadījumos. No tiem 5 gadījumi uz Latvijas – Baltkrievijas robežas un 5 gadījumi uz Latvijas</w:t>
      </w:r>
      <w:r>
        <w:rPr>
          <w:color w:val="000000"/>
        </w:rPr>
        <w:t xml:space="preserve"> </w:t>
      </w:r>
      <w:r w:rsidRPr="00DB68C7">
        <w:rPr>
          <w:color w:val="000000"/>
        </w:rPr>
        <w:t>-</w:t>
      </w:r>
      <w:r>
        <w:rPr>
          <w:color w:val="000000"/>
        </w:rPr>
        <w:t xml:space="preserve"> </w:t>
      </w:r>
      <w:r w:rsidRPr="00DB68C7">
        <w:rPr>
          <w:color w:val="000000"/>
        </w:rPr>
        <w:t xml:space="preserve">Krievijas robežas. Kopā atklāta </w:t>
      </w:r>
      <w:r w:rsidRPr="00DB68C7">
        <w:t>2 150 000</w:t>
      </w:r>
      <w:r w:rsidRPr="00DB68C7">
        <w:rPr>
          <w:color w:val="000000"/>
        </w:rPr>
        <w:t xml:space="preserve"> gab. cigarešu nelikumīga pārvietošana. </w:t>
      </w:r>
      <w:r>
        <w:rPr>
          <w:color w:val="000000"/>
        </w:rPr>
        <w:t>Divos</w:t>
      </w:r>
      <w:r w:rsidRPr="00DB68C7">
        <w:rPr>
          <w:color w:val="000000"/>
        </w:rPr>
        <w:t xml:space="preserve"> gadījumos atklāta kontrabandas preces – cigarešu pārvietošana pāri Daugavas upei ar plostiem (kopā 1 050 000 gab. cigarešu). </w:t>
      </w:r>
    </w:p>
    <w:p w:rsidR="00DB68C7" w:rsidRPr="00DB68C7" w:rsidRDefault="00DB68C7" w:rsidP="00DB68C7">
      <w:pPr>
        <w:ind w:firstLine="720"/>
        <w:jc w:val="both"/>
      </w:pPr>
      <w:r w:rsidRPr="00DB68C7">
        <w:t>Arī kopumā vislielākais nelikumīgi pārvietotās preces apjoms tika konstatēts uz Latvijas – Baltkrievijas robežas: gan robežas šķērsošanas vietās, gan uz „zaļās” robežas (aizturēja un izņēma 5 930 000 dažādu marku cigaretes).</w:t>
      </w:r>
    </w:p>
    <w:p w:rsidR="00DB68C7" w:rsidRPr="00DB68C7" w:rsidRDefault="00DB68C7" w:rsidP="00DB68C7">
      <w:pPr>
        <w:ind w:firstLine="720"/>
        <w:jc w:val="both"/>
      </w:pPr>
      <w:r w:rsidRPr="00DB68C7">
        <w:t>Vērtējot atklātos akcīzes preču kontrabandas gadījumus 2013.gada 9 mēnešos un 2012.gadā, var secināt, ka vislielākais kontrabandas risks saglabājās gadalaika aukstajos mēnešos. Atklāto kontrabandas cigarešu gadījumu skaits RKP lielāks bija uz Latvijas -  Krievijas robežas – 147 gadījumi, bet atklāto cigarešu daudzums mazāks - izņemtas 328 632 cigaretes, savukārt atklāto kontrabandas cigarešu gadījumu skaits uz  Latvijas</w:t>
      </w:r>
      <w:r>
        <w:t xml:space="preserve"> </w:t>
      </w:r>
      <w:r w:rsidRPr="00DB68C7">
        <w:t>-</w:t>
      </w:r>
      <w:r>
        <w:t xml:space="preserve"> </w:t>
      </w:r>
      <w:r w:rsidRPr="00DB68C7">
        <w:t>Baltkrievijas robežas bija mazāks – 25 gadījumi, bet izņemto kontrabandas cigarešu daudzums bija lielāks - izņemts 2 551 380 cigaretes.</w:t>
      </w:r>
    </w:p>
    <w:p w:rsidR="00DB68C7" w:rsidRDefault="00DB68C7" w:rsidP="00DB68C7">
      <w:pPr>
        <w:ind w:firstLine="720"/>
        <w:jc w:val="both"/>
      </w:pPr>
      <w:r w:rsidRPr="00DB68C7">
        <w:t xml:space="preserve">2013. gada 9 mēnešos robežas šķērsošanas vietās vislielākais tabakas kontrabandas izstrādājumu skaits konstatēts VRS Daugavpils pārvaldes Indras DzRKP: konstatēti 10 nelikumīgas tabakas ievešanas mēģinājumi, kopā atklāti 3 487 600 pārvietotu cigarešu. Vislielākais ievesto cigarešu skaits atklāts 2013.gada 17.maijā, kad Valsts robežsardzes </w:t>
      </w:r>
      <w:r w:rsidRPr="00DB68C7">
        <w:lastRenderedPageBreak/>
        <w:t>amatpersonas sadarbībā ar Valsts policijas un Muitas amatpersonām Daugavpilī izņēma caur Indras DzRKP ievestās ogļu vagonos paslēptās 115 kastes ar ci</w:t>
      </w:r>
      <w:r w:rsidR="00951083">
        <w:t>garetēm (1 150 000 cigarešu).</w:t>
      </w:r>
    </w:p>
    <w:p w:rsidR="00951083" w:rsidRDefault="00951083" w:rsidP="00951083">
      <w:pPr>
        <w:jc w:val="right"/>
      </w:pPr>
    </w:p>
    <w:p w:rsidR="00DB68C7" w:rsidRPr="00DB68C7" w:rsidRDefault="00951083" w:rsidP="00951083">
      <w:pPr>
        <w:jc w:val="right"/>
      </w:pPr>
      <w:r>
        <w:t>7.tabula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7"/>
        <w:gridCol w:w="1858"/>
        <w:gridCol w:w="1858"/>
      </w:tblGrid>
      <w:tr w:rsidR="00DB68C7" w:rsidRPr="00BE7E34" w:rsidTr="001E5904">
        <w:tc>
          <w:tcPr>
            <w:tcW w:w="1857" w:type="dxa"/>
          </w:tcPr>
          <w:p w:rsidR="00DB68C7" w:rsidRPr="00BE7E34" w:rsidRDefault="00DB68C7" w:rsidP="001E5904">
            <w:pPr>
              <w:jc w:val="both"/>
            </w:pPr>
          </w:p>
        </w:tc>
        <w:tc>
          <w:tcPr>
            <w:tcW w:w="1857" w:type="dxa"/>
          </w:tcPr>
          <w:p w:rsidR="00DB68C7" w:rsidRPr="00BE7E34" w:rsidRDefault="00DB68C7" w:rsidP="001E5904">
            <w:pPr>
              <w:jc w:val="both"/>
            </w:pPr>
            <w:r w:rsidRPr="00BE7E34">
              <w:t>2012.g. gadījumi</w:t>
            </w:r>
          </w:p>
        </w:tc>
        <w:tc>
          <w:tcPr>
            <w:tcW w:w="1857" w:type="dxa"/>
          </w:tcPr>
          <w:p w:rsidR="00DB68C7" w:rsidRPr="00BE7E34" w:rsidRDefault="00DB68C7" w:rsidP="001E5904">
            <w:pPr>
              <w:jc w:val="both"/>
            </w:pPr>
            <w:r w:rsidRPr="00BE7E34">
              <w:t>2012.g. cigaretes</w:t>
            </w:r>
          </w:p>
        </w:tc>
        <w:tc>
          <w:tcPr>
            <w:tcW w:w="1858" w:type="dxa"/>
          </w:tcPr>
          <w:p w:rsidR="00DB68C7" w:rsidRPr="00BE7E34" w:rsidRDefault="00DB68C7" w:rsidP="001E5904">
            <w:pPr>
              <w:jc w:val="both"/>
            </w:pPr>
            <w:r w:rsidRPr="00BE7E34">
              <w:t>2013.g. gadījumi</w:t>
            </w:r>
          </w:p>
        </w:tc>
        <w:tc>
          <w:tcPr>
            <w:tcW w:w="1858" w:type="dxa"/>
          </w:tcPr>
          <w:p w:rsidR="00DB68C7" w:rsidRPr="00BE7E34" w:rsidRDefault="00DB68C7" w:rsidP="001E5904">
            <w:pPr>
              <w:jc w:val="both"/>
            </w:pPr>
            <w:r w:rsidRPr="00BE7E34">
              <w:t>2013.g. cigaretes</w:t>
            </w:r>
          </w:p>
        </w:tc>
      </w:tr>
      <w:tr w:rsidR="00DB68C7" w:rsidRPr="00BE7E34" w:rsidTr="001E5904">
        <w:tc>
          <w:tcPr>
            <w:tcW w:w="1857" w:type="dxa"/>
          </w:tcPr>
          <w:p w:rsidR="00DB68C7" w:rsidRPr="00BE7E34" w:rsidRDefault="00DB68C7" w:rsidP="001E5904">
            <w:pPr>
              <w:jc w:val="both"/>
            </w:pPr>
            <w:r w:rsidRPr="00BE7E34">
              <w:t>I ceturksnis</w:t>
            </w:r>
          </w:p>
        </w:tc>
        <w:tc>
          <w:tcPr>
            <w:tcW w:w="1857" w:type="dxa"/>
          </w:tcPr>
          <w:p w:rsidR="00DB68C7" w:rsidRPr="00BE7E34" w:rsidRDefault="00DB68C7" w:rsidP="001E5904">
            <w:pPr>
              <w:jc w:val="both"/>
            </w:pPr>
            <w:r w:rsidRPr="00BE7E34">
              <w:t>44</w:t>
            </w:r>
          </w:p>
        </w:tc>
        <w:tc>
          <w:tcPr>
            <w:tcW w:w="1857" w:type="dxa"/>
          </w:tcPr>
          <w:p w:rsidR="00DB68C7" w:rsidRPr="00BE7E34" w:rsidRDefault="00DB68C7" w:rsidP="001E5904">
            <w:pPr>
              <w:jc w:val="both"/>
            </w:pPr>
            <w:r w:rsidRPr="00BE7E34">
              <w:t>3 576 440</w:t>
            </w:r>
          </w:p>
        </w:tc>
        <w:tc>
          <w:tcPr>
            <w:tcW w:w="1858" w:type="dxa"/>
          </w:tcPr>
          <w:p w:rsidR="00DB68C7" w:rsidRPr="00BE7E34" w:rsidRDefault="00DB68C7" w:rsidP="001E5904">
            <w:pPr>
              <w:jc w:val="both"/>
            </w:pPr>
            <w:r w:rsidRPr="00BE7E34">
              <w:t>90</w:t>
            </w:r>
          </w:p>
        </w:tc>
        <w:tc>
          <w:tcPr>
            <w:tcW w:w="1858" w:type="dxa"/>
          </w:tcPr>
          <w:p w:rsidR="00DB68C7" w:rsidRPr="00BE7E34" w:rsidRDefault="00DB68C7" w:rsidP="001E5904">
            <w:pPr>
              <w:jc w:val="both"/>
            </w:pPr>
            <w:r w:rsidRPr="00BE7E34">
              <w:t>968 240</w:t>
            </w:r>
          </w:p>
        </w:tc>
      </w:tr>
      <w:tr w:rsidR="00DB68C7" w:rsidRPr="00BE7E34" w:rsidTr="001E5904">
        <w:tc>
          <w:tcPr>
            <w:tcW w:w="1857" w:type="dxa"/>
          </w:tcPr>
          <w:p w:rsidR="00DB68C7" w:rsidRPr="00BE7E34" w:rsidRDefault="00DB68C7" w:rsidP="001E5904">
            <w:pPr>
              <w:jc w:val="both"/>
            </w:pPr>
            <w:r w:rsidRPr="00BE7E34">
              <w:t>II ceturksnis</w:t>
            </w:r>
          </w:p>
        </w:tc>
        <w:tc>
          <w:tcPr>
            <w:tcW w:w="1857" w:type="dxa"/>
          </w:tcPr>
          <w:p w:rsidR="00DB68C7" w:rsidRPr="00BE7E34" w:rsidRDefault="00DB68C7" w:rsidP="001E5904">
            <w:pPr>
              <w:jc w:val="both"/>
            </w:pPr>
            <w:r w:rsidRPr="00BE7E34">
              <w:t>55</w:t>
            </w:r>
          </w:p>
        </w:tc>
        <w:tc>
          <w:tcPr>
            <w:tcW w:w="1857" w:type="dxa"/>
          </w:tcPr>
          <w:p w:rsidR="00DB68C7" w:rsidRPr="00BE7E34" w:rsidRDefault="00DB68C7" w:rsidP="001E5904">
            <w:pPr>
              <w:jc w:val="both"/>
            </w:pPr>
            <w:r w:rsidRPr="00BE7E34">
              <w:t>1 336 000</w:t>
            </w:r>
          </w:p>
        </w:tc>
        <w:tc>
          <w:tcPr>
            <w:tcW w:w="1858" w:type="dxa"/>
          </w:tcPr>
          <w:p w:rsidR="00DB68C7" w:rsidRPr="00BE7E34" w:rsidRDefault="00DB68C7" w:rsidP="001E5904">
            <w:pPr>
              <w:jc w:val="both"/>
            </w:pPr>
            <w:r w:rsidRPr="00BE7E34">
              <w:t>77</w:t>
            </w:r>
          </w:p>
        </w:tc>
        <w:tc>
          <w:tcPr>
            <w:tcW w:w="1858" w:type="dxa"/>
          </w:tcPr>
          <w:p w:rsidR="00DB68C7" w:rsidRPr="00BE7E34" w:rsidRDefault="00DB68C7" w:rsidP="001E5904">
            <w:pPr>
              <w:jc w:val="both"/>
            </w:pPr>
            <w:r w:rsidRPr="00BE7E34">
              <w:t>5 534 862</w:t>
            </w:r>
          </w:p>
        </w:tc>
      </w:tr>
      <w:tr w:rsidR="00DB68C7" w:rsidRPr="00BE7E34" w:rsidTr="001E5904">
        <w:tc>
          <w:tcPr>
            <w:tcW w:w="1857" w:type="dxa"/>
          </w:tcPr>
          <w:p w:rsidR="00DB68C7" w:rsidRPr="00BE7E34" w:rsidRDefault="00DB68C7" w:rsidP="001E5904">
            <w:pPr>
              <w:jc w:val="both"/>
            </w:pPr>
            <w:r w:rsidRPr="00BE7E34">
              <w:t>III ceturksnis</w:t>
            </w:r>
          </w:p>
        </w:tc>
        <w:tc>
          <w:tcPr>
            <w:tcW w:w="1857" w:type="dxa"/>
          </w:tcPr>
          <w:p w:rsidR="00DB68C7" w:rsidRPr="00BE7E34" w:rsidRDefault="00DB68C7" w:rsidP="001E5904">
            <w:pPr>
              <w:jc w:val="both"/>
            </w:pPr>
            <w:r w:rsidRPr="00BE7E34">
              <w:t>54</w:t>
            </w:r>
          </w:p>
        </w:tc>
        <w:tc>
          <w:tcPr>
            <w:tcW w:w="1857" w:type="dxa"/>
          </w:tcPr>
          <w:p w:rsidR="00DB68C7" w:rsidRPr="00BE7E34" w:rsidRDefault="00DB68C7" w:rsidP="001E5904">
            <w:pPr>
              <w:jc w:val="both"/>
            </w:pPr>
            <w:r w:rsidRPr="00BE7E34">
              <w:t>4 989 615</w:t>
            </w:r>
          </w:p>
        </w:tc>
        <w:tc>
          <w:tcPr>
            <w:tcW w:w="1858" w:type="dxa"/>
          </w:tcPr>
          <w:p w:rsidR="00DB68C7" w:rsidRPr="00BE7E34" w:rsidRDefault="00DB68C7" w:rsidP="001E5904">
            <w:pPr>
              <w:jc w:val="both"/>
            </w:pPr>
            <w:r w:rsidRPr="00BE7E34">
              <w:t>55</w:t>
            </w:r>
          </w:p>
        </w:tc>
        <w:tc>
          <w:tcPr>
            <w:tcW w:w="1858" w:type="dxa"/>
          </w:tcPr>
          <w:p w:rsidR="00DB68C7" w:rsidRPr="00BE7E34" w:rsidRDefault="00DB68C7" w:rsidP="001E5904">
            <w:pPr>
              <w:jc w:val="both"/>
            </w:pPr>
            <w:r w:rsidRPr="00BE7E34">
              <w:t>1 021 910</w:t>
            </w:r>
          </w:p>
        </w:tc>
      </w:tr>
      <w:tr w:rsidR="00DB68C7" w:rsidRPr="00BE7E34" w:rsidTr="001E5904">
        <w:tc>
          <w:tcPr>
            <w:tcW w:w="1857" w:type="dxa"/>
          </w:tcPr>
          <w:p w:rsidR="00DB68C7" w:rsidRPr="00BE7E34" w:rsidRDefault="00DB68C7" w:rsidP="001E5904">
            <w:pPr>
              <w:jc w:val="both"/>
            </w:pPr>
            <w:r>
              <w:t>IV ceturksnis</w:t>
            </w:r>
          </w:p>
        </w:tc>
        <w:tc>
          <w:tcPr>
            <w:tcW w:w="1857" w:type="dxa"/>
          </w:tcPr>
          <w:p w:rsidR="00DB68C7" w:rsidRPr="00BE7E34" w:rsidRDefault="00DB68C7" w:rsidP="001E5904">
            <w:pPr>
              <w:jc w:val="both"/>
            </w:pPr>
            <w:r>
              <w:t>75</w:t>
            </w:r>
          </w:p>
        </w:tc>
        <w:tc>
          <w:tcPr>
            <w:tcW w:w="1857" w:type="dxa"/>
          </w:tcPr>
          <w:p w:rsidR="00DB68C7" w:rsidRPr="00BE7E34" w:rsidRDefault="00DB68C7" w:rsidP="001E5904">
            <w:pPr>
              <w:jc w:val="both"/>
            </w:pPr>
            <w:r>
              <w:t>10 415 308</w:t>
            </w:r>
          </w:p>
        </w:tc>
        <w:tc>
          <w:tcPr>
            <w:tcW w:w="1858" w:type="dxa"/>
          </w:tcPr>
          <w:p w:rsidR="00DB68C7" w:rsidRPr="00BE7E34" w:rsidRDefault="00DB68C7" w:rsidP="001E5904">
            <w:pPr>
              <w:jc w:val="center"/>
            </w:pPr>
            <w:r>
              <w:t>-</w:t>
            </w:r>
          </w:p>
        </w:tc>
        <w:tc>
          <w:tcPr>
            <w:tcW w:w="1858" w:type="dxa"/>
          </w:tcPr>
          <w:p w:rsidR="00DB68C7" w:rsidRPr="00BE7E34" w:rsidRDefault="00DB68C7" w:rsidP="001E5904">
            <w:pPr>
              <w:jc w:val="center"/>
            </w:pPr>
            <w:r>
              <w:t>-</w:t>
            </w:r>
          </w:p>
        </w:tc>
      </w:tr>
      <w:tr w:rsidR="00DB68C7" w:rsidRPr="00BE7E34" w:rsidTr="001E5904">
        <w:tc>
          <w:tcPr>
            <w:tcW w:w="1857" w:type="dxa"/>
          </w:tcPr>
          <w:p w:rsidR="00DB68C7" w:rsidRPr="00BE7E34" w:rsidRDefault="00DB68C7" w:rsidP="001E5904">
            <w:r w:rsidRPr="00BE7E34">
              <w:t>Kopā</w:t>
            </w:r>
          </w:p>
        </w:tc>
        <w:tc>
          <w:tcPr>
            <w:tcW w:w="1857" w:type="dxa"/>
          </w:tcPr>
          <w:p w:rsidR="00DB68C7" w:rsidRPr="00BE7E34" w:rsidRDefault="00DB68C7" w:rsidP="001E5904">
            <w:r>
              <w:t>228</w:t>
            </w:r>
          </w:p>
        </w:tc>
        <w:tc>
          <w:tcPr>
            <w:tcW w:w="1857" w:type="dxa"/>
          </w:tcPr>
          <w:p w:rsidR="00DB68C7" w:rsidRPr="00BE7E34" w:rsidRDefault="00DB68C7" w:rsidP="001E5904">
            <w:r>
              <w:t>20 317 363</w:t>
            </w:r>
          </w:p>
        </w:tc>
        <w:tc>
          <w:tcPr>
            <w:tcW w:w="1858" w:type="dxa"/>
          </w:tcPr>
          <w:p w:rsidR="00DB68C7" w:rsidRPr="00BE7E34" w:rsidRDefault="00DB68C7" w:rsidP="001E5904">
            <w:r w:rsidRPr="00BE7E34">
              <w:t>222</w:t>
            </w:r>
            <w:r>
              <w:t>(2013.g. 9.mēn.)</w:t>
            </w:r>
          </w:p>
        </w:tc>
        <w:tc>
          <w:tcPr>
            <w:tcW w:w="1858" w:type="dxa"/>
          </w:tcPr>
          <w:p w:rsidR="00DB68C7" w:rsidRPr="00BE7E34" w:rsidRDefault="00DB68C7" w:rsidP="001E5904">
            <w:r w:rsidRPr="00BE7E34">
              <w:t>7 525</w:t>
            </w:r>
            <w:r>
              <w:t> </w:t>
            </w:r>
            <w:r w:rsidRPr="00BE7E34">
              <w:t>012</w:t>
            </w:r>
            <w:r>
              <w:t xml:space="preserve"> (2013.g. 9.mēn.)</w:t>
            </w:r>
          </w:p>
        </w:tc>
      </w:tr>
    </w:tbl>
    <w:p w:rsidR="00DB68C7" w:rsidRDefault="00DB68C7" w:rsidP="00DB68C7">
      <w:pPr>
        <w:jc w:val="both"/>
        <w:rPr>
          <w:sz w:val="28"/>
          <w:szCs w:val="28"/>
        </w:rPr>
      </w:pPr>
      <w:r>
        <w:rPr>
          <w:sz w:val="28"/>
          <w:szCs w:val="28"/>
        </w:rPr>
        <w:tab/>
      </w:r>
    </w:p>
    <w:p w:rsidR="00DB68C7" w:rsidRPr="00DB68C7" w:rsidRDefault="00DB68C7" w:rsidP="00DB68C7">
      <w:pPr>
        <w:ind w:firstLine="709"/>
        <w:jc w:val="both"/>
      </w:pPr>
      <w:r w:rsidRPr="00DB68C7">
        <w:t>Valsts robežsardze atbilstoši kompetencei, sadarbojoties ar Pilsonības un migrācijas lietu pārvaldi, Valsts policiju un Labklājības ministrijas Valsts darba inspekciju, veic pasākumus, lai konstatētu ārzemnieku nodarbināšanas normu pārkāpumus. Valsts robežsardze regulāri atklāj un soda darba devējus par ārzemnieku nodarbināšanu bez darba atļaujas saskaņā ar LAPK 189.</w:t>
      </w:r>
      <w:r w:rsidRPr="00DB68C7">
        <w:rPr>
          <w:vertAlign w:val="superscript"/>
        </w:rPr>
        <w:t xml:space="preserve">2 </w:t>
      </w:r>
      <w:r w:rsidRPr="00DB68C7">
        <w:t>panta pirmo otro un trešo daļu, kā arī darba ņēmējus – ārzemniekus par strādāšanu bez darba atļaujas saskaņā ar LAPK 189.</w:t>
      </w:r>
      <w:r w:rsidRPr="00DB68C7">
        <w:rPr>
          <w:vertAlign w:val="superscript"/>
        </w:rPr>
        <w:t>1</w:t>
      </w:r>
      <w:r w:rsidR="00951083">
        <w:rPr>
          <w:vertAlign w:val="superscript"/>
        </w:rPr>
        <w:t xml:space="preserve"> </w:t>
      </w:r>
      <w:r w:rsidRPr="00DB68C7">
        <w:t xml:space="preserve">pantu. </w:t>
      </w:r>
    </w:p>
    <w:p w:rsidR="00DB68C7" w:rsidRPr="00DB68C7" w:rsidRDefault="00DB68C7" w:rsidP="00DB68C7">
      <w:pPr>
        <w:ind w:firstLine="709"/>
        <w:jc w:val="both"/>
        <w:rPr>
          <w:bCs/>
          <w:color w:val="000000"/>
        </w:rPr>
      </w:pPr>
      <w:r w:rsidRPr="00DB68C7">
        <w:rPr>
          <w:bCs/>
          <w:color w:val="000000"/>
        </w:rPr>
        <w:t xml:space="preserve">Jāatzīmē, ka ievērojami pieauga Valsts robežsardzes struktūrvienībās konstatēto pārkāpumu skaits, kas saistīts ar ārzemnieku nelegālu strādāšanu un nodarbināšanu.  2013. gada 9 mēnešos Valsts robežsardzē uzsāktas  113 administratīvās lietas pēc LAPK </w:t>
      </w:r>
      <w:r w:rsidRPr="00DB68C7">
        <w:t>189.</w:t>
      </w:r>
      <w:r w:rsidRPr="00DB68C7">
        <w:rPr>
          <w:vertAlign w:val="superscript"/>
        </w:rPr>
        <w:t>1</w:t>
      </w:r>
      <w:r w:rsidRPr="00DB68C7">
        <w:t>panta par strādāšanu bez darba atļaujas</w:t>
      </w:r>
      <w:r w:rsidRPr="00DB68C7">
        <w:rPr>
          <w:bCs/>
          <w:color w:val="000000"/>
        </w:rPr>
        <w:t xml:space="preserve"> (2012.gada 9 mēnešos – 46).</w:t>
      </w:r>
    </w:p>
    <w:p w:rsidR="00DB68C7" w:rsidRPr="00DB68C7" w:rsidRDefault="00DB68C7" w:rsidP="00DB68C7">
      <w:pPr>
        <w:ind w:firstLine="567"/>
        <w:jc w:val="both"/>
      </w:pPr>
      <w:r w:rsidRPr="00DB68C7">
        <w:t>Vērtējot ekonomisko situāciju Latvijā, joprojām augsta varbūtība saglabāsies noziedzīgiem nodarījumiem saistītiem ar akcizēto preču, īpaši cigarešu, kontrabandu. Cigarešu un degvielas krasā cenu atšķirība, abās kaimiņvalstīs, padara šo preču ievešanu un to tālāku pārdošanu par ļoti ienesīgu nelegālo biznesu. Šī iemesla dēļ riskē un to veic gan salīdzinoši labi situētas personas, gan mazāk nodrošinātas personas.</w:t>
      </w:r>
    </w:p>
    <w:p w:rsidR="00DB68C7" w:rsidRPr="00DB68C7" w:rsidRDefault="00DB68C7" w:rsidP="00DB68C7">
      <w:pPr>
        <w:ind w:firstLine="567"/>
        <w:jc w:val="both"/>
      </w:pPr>
      <w:r w:rsidRPr="00DB68C7">
        <w:t>Prognozējams, ka vislielākais kontrabandas risks saglabāsies lielākajās robežšķērsošanas vietās uz Latvijas – Baltkrievijas robežas - Indras DzRKP - ievedot, kā arī Rīgas ostā – izvedot. Analizējot 2011. un 2012. gada IV ceturkšņa rezultātus kontrabandas novēršanā, ņemot vērā riska analīzes rezultātus un iezīmējušos dinamiku prognozējams, ka konstatēto akcīzes preču kontrabandas gadījumu skaits palielināsies gan 2013.gada nogalē, gan 2014.gada sākumā.</w:t>
      </w:r>
    </w:p>
    <w:p w:rsidR="00311FC2" w:rsidRPr="00DB68C7" w:rsidRDefault="00DB68C7" w:rsidP="00DB68C7">
      <w:pPr>
        <w:ind w:firstLine="720"/>
        <w:jc w:val="both"/>
        <w:rPr>
          <w:b/>
          <w:color w:val="FF0000"/>
        </w:rPr>
      </w:pPr>
      <w:r w:rsidRPr="00DB68C7">
        <w:t xml:space="preserve">Konstatētie un atklātie akcīzes preču kontrabandas, noziedzīgi iegūtu līdzekļu legalizācijas, nelegālās nodarbinātības, kā arī </w:t>
      </w:r>
      <w:r w:rsidRPr="00DB68C7">
        <w:rPr>
          <w:bCs/>
        </w:rPr>
        <w:t xml:space="preserve">no nelegālās aprites izņemto narkotisko un psihotropo vielu </w:t>
      </w:r>
      <w:r w:rsidRPr="00DB68C7">
        <w:t>gadījumi 2013.gada 9 mēnešos, to analīze, kā arī ekonomiskā situācija Latvijā, liecina, ka noziedzīgi nodarījumi ēnu ekonomikā turpināsies gan valsts teritorijā, gan robežšķērsošanas vietās, gan ārpus tām, taču izvērtējot Valsts robežsardzes un Valsts policijas rezultatīvos rādītājus 2013.gada 9 mēnešos var secināt, ka sasniegtie rezultāti pozitīvi ietekmē ēnu ekonomikas apkarošanu un godīgas konkurences veicināšanu 2013.gadā kopumā.</w:t>
      </w:r>
    </w:p>
    <w:p w:rsidR="00DB68C7" w:rsidRDefault="00DB68C7" w:rsidP="007B7FE3">
      <w:pPr>
        <w:jc w:val="center"/>
        <w:rPr>
          <w:b/>
          <w:bCs/>
          <w:color w:val="FF0000"/>
        </w:rPr>
      </w:pPr>
    </w:p>
    <w:p w:rsidR="00311FC2" w:rsidRPr="007235F0" w:rsidRDefault="00D16A2D" w:rsidP="007B7FE3">
      <w:pPr>
        <w:jc w:val="center"/>
        <w:rPr>
          <w:b/>
          <w:bCs/>
        </w:rPr>
      </w:pPr>
      <w:r w:rsidRPr="007235F0">
        <w:rPr>
          <w:b/>
          <w:bCs/>
        </w:rPr>
        <w:t>LABKLĀJĪBAS MINISTRIJA</w:t>
      </w:r>
    </w:p>
    <w:p w:rsidR="00D16A2D" w:rsidRPr="007235F0" w:rsidRDefault="006A0979" w:rsidP="007B7FE3">
      <w:pPr>
        <w:jc w:val="center"/>
        <w:rPr>
          <w:b/>
          <w:bCs/>
        </w:rPr>
      </w:pPr>
      <w:r w:rsidRPr="007235F0">
        <w:rPr>
          <w:b/>
          <w:bCs/>
        </w:rPr>
        <w:t>VALSTS DARBA INSPEKCIJA</w:t>
      </w:r>
    </w:p>
    <w:p w:rsidR="006A0979" w:rsidRPr="007235F0" w:rsidRDefault="006A0979" w:rsidP="00D16A2D">
      <w:pPr>
        <w:ind w:firstLine="709"/>
        <w:jc w:val="center"/>
        <w:rPr>
          <w:b/>
          <w:bCs/>
        </w:rPr>
      </w:pPr>
    </w:p>
    <w:p w:rsidR="001E5904" w:rsidRPr="001E5904" w:rsidRDefault="001E5904" w:rsidP="001E5904">
      <w:pPr>
        <w:ind w:firstLine="709"/>
        <w:jc w:val="both"/>
      </w:pPr>
      <w:r w:rsidRPr="001E5904">
        <w:t>Saskaņā ar Pasākumu plānu nereģistrētās nodarbinātības mazināšanai 2010.-2013.gadam un Valsts darba inspekcijas (turpmāk - Darba inspekcija) Darba plānu 2013.gadam Darba inspekcijai tika noteikts veikt 4500 uzņēmumu pārbaudes (2012.gadā - 3000 pārbaudes), kuru saimnieciskajā darbībā ir paaugstināts nereģistrētas nodarbinātības risks, no kuriem 25% pārbaudes ir rezultatīvas, t.i., 25% pārbaužu tiek konstatēti nereģistrēti vai uz „pirmās dienas” darba līguma pamata nodarbinātie.</w:t>
      </w:r>
    </w:p>
    <w:p w:rsidR="001E5904" w:rsidRPr="00620AB9" w:rsidRDefault="001E5904" w:rsidP="001E5904">
      <w:pPr>
        <w:ind w:firstLine="709"/>
        <w:jc w:val="both"/>
      </w:pPr>
      <w:r w:rsidRPr="001E5904">
        <w:lastRenderedPageBreak/>
        <w:t>2013.gada 9 mēnešos Darba inspekcija kopumā veica 7803 pārbaudes, tai skaitā 2690 uzņēmumu pārbaudes saistībā ar nereģistrētās nodarbinātības pārkāpumu atklāšanu (2012.gadā - 2252 pārbaudes), no tām 23,12% pārbaudes bija rezultatīvas (gadā  plānots  -  25%). Atskaites  periodā tika konstatētas 1261 nereģistrēti nodarbinātas personas. Pēc pārbaudes veikšanas ar 262 personām tika noslēgti rakstveida darba līgumi un minētās personas tika reģistrētas Valsts ieņēmumu dienestā kā darba ņēmēji, savukārt par 999 konstatēto nereģistrēti nodarbināto</w:t>
      </w:r>
      <w:r>
        <w:t xml:space="preserve"> </w:t>
      </w:r>
      <w:r w:rsidRPr="00620AB9">
        <w:t>personu Valsts ieņēmumu dienestā ziņu nav. Jāatzīmē tomēr pozitīva tendence, jo salīdzinot ar iepriekšējo gadu proporcionāli ir pieaudzis to gadījumu skaits, kad pēc Darba inspekcijas pārbaudes tiek noslēgti darba līgumi un darba attiecības tiek reģistrētas (2013.gadā darba līgumi pēc Darba inspekcijas pārbaudes ir noslēgts ar 21% nereģistrēti nodarbināto, 2012.gadā - ar 16%). 2013.gada 9 mēnešos 119 uzņēmumos konstatētas 174 personas, kuras darba attiecības uzsākušas pārbaudes dienā vai dienu pirms tās (uz „pirmās dienas" darba līguma pamata nodarbinātie).</w:t>
      </w:r>
    </w:p>
    <w:p w:rsidR="001E5904" w:rsidRPr="00620AB9" w:rsidRDefault="001E5904" w:rsidP="001E5904">
      <w:pPr>
        <w:ind w:firstLine="709"/>
        <w:jc w:val="both"/>
      </w:pPr>
      <w:r w:rsidRPr="00620AB9">
        <w:t>Jāatzīmē, ka 2013.gadā, veicot nereģistrētās nodarbinātības uzraudzību, kopumā</w:t>
      </w:r>
      <w:r w:rsidR="00620AB9" w:rsidRPr="00620AB9">
        <w:t xml:space="preserve"> </w:t>
      </w:r>
      <w:r w:rsidRPr="00620AB9">
        <w:t>uzņēmējdarbības vidē Darba inspekcija konstatē zemāku nereģistrētās</w:t>
      </w:r>
      <w:r w:rsidR="00620AB9" w:rsidRPr="00620AB9">
        <w:t xml:space="preserve"> </w:t>
      </w:r>
      <w:r w:rsidRPr="00620AB9">
        <w:t>nodarbinātības īpatsvaru nekā 2012.gadā, proti, ja 2012.gadā Darba inspekcija</w:t>
      </w:r>
      <w:r w:rsidR="00620AB9" w:rsidRPr="00620AB9">
        <w:t xml:space="preserve"> </w:t>
      </w:r>
      <w:r w:rsidRPr="00620AB9">
        <w:t>nereģistrēto nodarbinātību konstatēja katrā trešajā uzņēmumā, tad šogad nereģistrētā nodarbinātība tiek konstatēta katrā ceturtajā. Iespējams, ka iepriekš minētā tendence - nereģistrētās nodarbinātības samazināšanās, lielā mērā ir saistīta ar to, ka valstī kopumā uzlabojas ekonomiskā situācija, kā arī tas, ka darbinieki kļūst arvien informētāki par savām tiesībām. Tāpat arī par zemāku nereģistrētās nodarbinātības īpatsvaru liecina tas, ka ir samazinājies to ziņojumu skaits, kad sabiedrība Darba inspekcijai sniedz informāciju par iespējamiem nereģistrētās nodarbinātības gadījumiem (2013.gada 9 mēnešos 185 ziņojumi, kamēr 2012.gadā - 285).</w:t>
      </w:r>
    </w:p>
    <w:p w:rsidR="001E5904" w:rsidRPr="00620AB9" w:rsidRDefault="001E5904" w:rsidP="001E5904">
      <w:pPr>
        <w:ind w:firstLine="709"/>
        <w:jc w:val="both"/>
      </w:pPr>
      <w:r w:rsidRPr="00620AB9">
        <w:t>Saskaņā ar Pasākumu plānu nereģistrētās nodarbinātības mazināšanai 2010.-2013.gadam 11.punktu Darba inspekcijai tika noteikts, ka katru gadu tiek atkārtoti apsekoti vismaz 5% augsta nereģistrētās nodarbinātības riska nozaru uzņēmumu. 2013.gada periodā tika veikti 172 atkārtoti apsekojumi, t.</w:t>
      </w:r>
      <w:r w:rsidR="00620AB9" w:rsidRPr="00620AB9">
        <w:t>i.</w:t>
      </w:r>
      <w:r w:rsidRPr="00620AB9">
        <w:t>, atkārtoti tika apsekoti 6,4% uzņēmumu.</w:t>
      </w:r>
    </w:p>
    <w:p w:rsidR="001E5904" w:rsidRPr="00620AB9" w:rsidRDefault="001E5904" w:rsidP="001E5904">
      <w:pPr>
        <w:ind w:firstLine="709"/>
        <w:jc w:val="both"/>
      </w:pPr>
      <w:r w:rsidRPr="00620AB9">
        <w:t>Par konstatētajiem pārkāpumiem (par darba līguma nenoslēgšanu rakstveida formā vai par personas nodarbināšanu bez rakstveidā noslēgta darba līguma, nodokļu normatīvajos aktos noteiktajā termiņā neiesniedzot par šo personu informatīvo deklarāciju par darba ņēmējiem, kas iesniedzama par personām, kuras uzsāk darbu, vai par informatīvās deklarācijas par darba ņēmējiem, kura tiek iesniegta par personām, kuras uzsāk darbu, neiesniegšanu nodokļu normatīvajos aktos noteiktajā termiņā) saskaņā ar Latvijas Administratīvo pārkāpumu kodeksa normām Darba inspekcijas amatpersonas 2013.gada 9 mēnešos kopumā piemēroja naudas sodus 407 606 LVL apmērā.</w:t>
      </w:r>
    </w:p>
    <w:p w:rsidR="001E5904" w:rsidRPr="00620AB9" w:rsidRDefault="001E5904" w:rsidP="001E5904">
      <w:pPr>
        <w:ind w:firstLine="709"/>
        <w:jc w:val="both"/>
      </w:pPr>
      <w:r w:rsidRPr="00620AB9">
        <w:t xml:space="preserve">Attiecībā uz konkrētās tautsaimniecības nozarēs konstatētajiem nereģistrētās nodarbinātības gadījumiem, jānorāda, ka kopumā visaugstākais atklāto nereģistrēti nodarbināto personu skaits ir būvniecības nozarē. </w:t>
      </w:r>
      <w:r w:rsidR="00292170">
        <w:t>Š</w:t>
      </w:r>
      <w:r w:rsidRPr="00620AB9">
        <w:t xml:space="preserve">ī gada 9 mēnešos tajā atklātas 247 nereģistrēti nodarbinātas personas jeb 19,6% no kopējā Darba inspekcijas konstatētā nereģistrēti nodarbināto skaita, sekojoši tirdzniecības nozarē - 197 nereģistrēti nodarbinātas personas jeb 15,6% no kopējā nereģistrē skaita un lauksaimniecības nozarē - 159 nereģistrēti nodarbinātas 12,6%. Iepriekš minētais parāda, ka minēto nozaru uzņēmumu darbībā augsta nereģistrētās nodarbinātības riska pazīmes. Tomēr vēršam 2013.gadā saglabājas tendence, ka turpina izlīdzināties nereģistrētās </w:t>
      </w:r>
      <w:r w:rsidR="00620AB9" w:rsidRPr="00620AB9">
        <w:t>no</w:t>
      </w:r>
      <w:r w:rsidRPr="00620AB9">
        <w:t>darbinātības īpatsvars tautsaimniecības nozaru griezumā, t.i., ja iepriekšējos gad</w:t>
      </w:r>
      <w:r w:rsidR="00620AB9" w:rsidRPr="00620AB9">
        <w:t>o</w:t>
      </w:r>
      <w:r w:rsidRPr="00620AB9">
        <w:t>s būvniecības nozarē tika konstatēts aptuveni 50% no kopumā konstatētaji</w:t>
      </w:r>
      <w:r w:rsidR="00620AB9" w:rsidRPr="00620AB9">
        <w:t>em</w:t>
      </w:r>
      <w:r w:rsidRPr="00620AB9">
        <w:t xml:space="preserve"> nereģistrēti nodarbinātajām personām, tad 2013.gadā (līdzīga tendence jau bija 2012.gada) būvniecības nozare sastāda vien 19,6% no kopējā nodarbinātības īpatsvara nozaru griezumā.</w:t>
      </w:r>
    </w:p>
    <w:p w:rsidR="001E5904" w:rsidRPr="00620AB9" w:rsidRDefault="001E5904" w:rsidP="001E5904">
      <w:pPr>
        <w:ind w:firstLine="709"/>
        <w:jc w:val="both"/>
      </w:pPr>
      <w:r w:rsidRPr="00620AB9">
        <w:t>Attiecībā uz „pirmās dienas</w:t>
      </w:r>
      <w:r w:rsidR="00620AB9" w:rsidRPr="00620AB9">
        <w:t>”</w:t>
      </w:r>
      <w:r w:rsidRPr="00620AB9">
        <w:t xml:space="preserve"> darba līgumu īpatsvaru konkrētās tautsaimniecības nozarēs, joprojām visaugstākais konstatēto nodarbināto uz „pirmās līgumu pamata ir būvniecības nozarē - 35%, sekojoši - apstrādes rūp</w:t>
      </w:r>
      <w:r w:rsidR="00620AB9" w:rsidRPr="00620AB9">
        <w:t>nie</w:t>
      </w:r>
      <w:r w:rsidRPr="00620AB9">
        <w:t>cībā un tirdzniecības nozarē - 11%.</w:t>
      </w:r>
    </w:p>
    <w:p w:rsidR="001E5904" w:rsidRPr="00620AB9" w:rsidRDefault="001E5904" w:rsidP="001E5904">
      <w:pPr>
        <w:ind w:firstLine="709"/>
        <w:jc w:val="both"/>
      </w:pPr>
      <w:r w:rsidRPr="00620AB9">
        <w:lastRenderedPageBreak/>
        <w:t>Jāatzīmē, ka 2013.gadā (šajā gadījumā informācija tiek sniegta periodu, jo šobrīd 2013.gada dati ir apkopoti par 7 mēnešiem), 2012.gadu, ir samazinājies to gadījumu skaits, kad tiek konstatēti tāli nereģistrēti nodarbinātie, kuri nereģistrēti strādā un vienlaicīgi atrodas bezdarbnieka statusā. Ja</w:t>
      </w:r>
      <w:r w:rsidR="00620AB9" w:rsidRPr="00620AB9">
        <w:t xml:space="preserve"> </w:t>
      </w:r>
      <w:r w:rsidRPr="00620AB9">
        <w:t>2012.gada 7 mēnešos tika konstatētas 144 šādas personas, tad 2013.gadā tādas ir 48 (no tiem, bezdarbnieka pabalstu vai citu labumu saņēmēji -</w:t>
      </w:r>
      <w:r w:rsidR="00620AB9" w:rsidRPr="00620AB9">
        <w:t xml:space="preserve"> </w:t>
      </w:r>
      <w:r w:rsidRPr="00620AB9">
        <w:t>27), kas ir trīs reizes mazāk nekā attiecīgajā periodā pērn. Kā vienu no iemesliem šādam konstatēto strādājošo bezdarbnieku skaita samazinājumam varētu minēt to, ka valstī kopumā samazinājies reģistrētā bezdarba līmenis (11% 2012.gadā pret 9,6% 2013.gadā), un Nodarbinātības valsts aģentūra sadarbībā ar Darba inspekciju organizē seminārus bezdarbniekiem, kuros tiek skaidrota darba līguma slēgšanas nepieciešamība, kā arī sniegta informācija par sekām, ja darba attiecības tiek noformētas neatbilstoši normatīvo aktu prasībām, kā arī ir sagatavoti un sadarbībā ar citām valsts institūcijām tiek izplatīta izglītojoša informācija darbiniekiem un darba devējiem par nereģistrētās nodarbinātības negatīvajiem aspektiem.</w:t>
      </w:r>
    </w:p>
    <w:p w:rsidR="001E5904" w:rsidRPr="00620AB9" w:rsidRDefault="001E5904" w:rsidP="001E5904">
      <w:pPr>
        <w:ind w:firstLine="709"/>
        <w:jc w:val="both"/>
      </w:pPr>
      <w:r w:rsidRPr="00620AB9">
        <w:t>Papildus norādām, ka Darba inspekcija savā interneta mājas lapā www.vdi.gov.lv publicē informāciju par uzņēmumiem, kuros konstatētas nereģistrēti nodarbinātas personas. Darba inspekcija uzskata, ka rūpes par savu reputāciju ir viens no darba devēju motivācijas mehānismiem, lai atbalstītu normatīvajiem aktiem atbilstošu nodarbinātību, no otras puses - darba meklētājiem ir tiesības iepazīties ar uzņēmumiem, kuros līdz šim nereģistrēti nodarbināti darbinieki. Turklāt minēto informāciju ir iespējas iegūt un izmantot institūcijām, kuras atbilstoši Publisko iepirkumu likuma nosacījumiem organizē iepirkuma procedūras.</w:t>
      </w:r>
    </w:p>
    <w:p w:rsidR="001E5904" w:rsidRPr="00620AB9" w:rsidRDefault="001E5904" w:rsidP="001E5904">
      <w:pPr>
        <w:ind w:firstLine="709"/>
        <w:jc w:val="both"/>
      </w:pPr>
      <w:r w:rsidRPr="00620AB9">
        <w:t>Kopumā 2013.gada 9 mēnešos Darba inspekcijas darbība ēnu ekonomikas apkarošanā ir devusi valsts budžetā vismaz L</w:t>
      </w:r>
      <w:r w:rsidR="00620AB9" w:rsidRPr="00620AB9">
        <w:t>s</w:t>
      </w:r>
      <w:r w:rsidRPr="00620AB9">
        <w:t xml:space="preserve"> 434 421, ko veido piemēroto soda naudu summa L</w:t>
      </w:r>
      <w:r w:rsidR="00620AB9" w:rsidRPr="00620AB9">
        <w:t>s</w:t>
      </w:r>
      <w:r w:rsidRPr="00620AB9">
        <w:t xml:space="preserve"> 407 606 apmērā un nodokļu ieņēmumi L</w:t>
      </w:r>
      <w:r w:rsidR="00620AB9" w:rsidRPr="00620AB9">
        <w:t>s</w:t>
      </w:r>
      <w:r w:rsidRPr="00620AB9">
        <w:t xml:space="preserve"> 26 815 apmērā no noslēgtajiem darba līgumiem, pieņemot, ka tie tiek noslēgti vismaz par minimālo mēneša darba algu un vismaz uz 1 mēnesi. Bet noteikti arī jāatzīmē Darba inspekcijas darbības preventīvais efekts, ko nevar izteikt konkrētos skaitļos, bet kas ir palīdzējis mazināt nereģistrēto nodarbinātību, atturot uzņēmējus un darbiniekus no šādu attiecību dibināšanas. Proti, gan Darba inspekcijas pārbaudes (arī tās, kurās nereģistrētā nodarbinātība netika atklāta), gan veiktie sabiedrības informēšanas pasākumi jau paši par sevi preventīvi iedarbojas uz nereģistrētās nodarbinātības mazināšanu.</w:t>
      </w:r>
    </w:p>
    <w:p w:rsidR="0095016C" w:rsidRPr="00620AB9" w:rsidRDefault="0095016C" w:rsidP="00EA095C">
      <w:pPr>
        <w:ind w:firstLine="709"/>
        <w:jc w:val="both"/>
        <w:rPr>
          <w:rFonts w:eastAsia="TimesNewRomanPSMT"/>
          <w:sz w:val="26"/>
          <w:szCs w:val="26"/>
        </w:rPr>
      </w:pPr>
    </w:p>
    <w:p w:rsidR="004C4007" w:rsidRPr="00620AB9" w:rsidRDefault="004C4007" w:rsidP="007B7FE3">
      <w:pPr>
        <w:jc w:val="center"/>
        <w:rPr>
          <w:rFonts w:eastAsia="TimesNewRomanPSMT"/>
          <w:b/>
        </w:rPr>
      </w:pPr>
      <w:r w:rsidRPr="00620AB9">
        <w:rPr>
          <w:rFonts w:eastAsia="TimesNewRomanPSMT"/>
          <w:b/>
        </w:rPr>
        <w:t>ZEMKOPĪBAS MINISTRIJA</w:t>
      </w:r>
    </w:p>
    <w:p w:rsidR="004C4007" w:rsidRPr="00620AB9" w:rsidRDefault="004C4007" w:rsidP="007B7FE3">
      <w:pPr>
        <w:jc w:val="center"/>
        <w:rPr>
          <w:rFonts w:eastAsia="TimesNewRomanPSMT"/>
          <w:b/>
        </w:rPr>
      </w:pPr>
      <w:r w:rsidRPr="00620AB9">
        <w:rPr>
          <w:rFonts w:eastAsia="TimesNewRomanPSMT"/>
          <w:b/>
        </w:rPr>
        <w:t>PĀRTIKAS UN VETERINĀRAIS DIENESTS</w:t>
      </w:r>
    </w:p>
    <w:p w:rsidR="004D0A50" w:rsidRPr="00620AB9" w:rsidRDefault="004D0A50" w:rsidP="004D0A50">
      <w:pPr>
        <w:rPr>
          <w:rFonts w:ascii="Arial Narrow" w:hAnsi="Arial Narrow"/>
          <w:b/>
          <w:sz w:val="32"/>
          <w:szCs w:val="32"/>
        </w:rPr>
      </w:pPr>
    </w:p>
    <w:p w:rsidR="00ED5BCB" w:rsidRPr="00ED5BCB" w:rsidRDefault="005F6E89" w:rsidP="00ED5BCB">
      <w:pPr>
        <w:jc w:val="both"/>
      </w:pPr>
      <w:r w:rsidRPr="00ED5BCB">
        <w:tab/>
      </w:r>
      <w:r w:rsidR="00ED5BCB" w:rsidRPr="00ED5BCB">
        <w:t>Pārtikas un veterinārais dienests (turpmāk – PVD), lai novērstu negodīgas komercprakses īstenošanu LR teritorijā, no 2013.gada 1.janvāra PVD tika izveidota Informācijas analīzes un ātrās reaģēšanas daļa, kas darbu koncentrē uz nelegālas komercprakses apkarošanu, tādējādi pasargājot legālās komercprakses īstenotājus no negodīgas konkurences vietējā tirgū. PVD Informācijas analīzes un ātrās reaģēšanas daļas inspektori veikuši informācijas apkopošanu un analīzi, un ēnu ekonomikas apkarošanas pasākumu ietvaros veikuši pārbaudes pārtikas aprites uzņēmumos, kā arī veterinārās uzraudzības objektos, ar mērķi atklāt un minimizēt negodīgas, nelegālas komercprakses īstenošanu LR teritorijā.</w:t>
      </w:r>
    </w:p>
    <w:p w:rsidR="00ED5BCB" w:rsidRPr="00ED5BCB" w:rsidRDefault="00ED5BCB" w:rsidP="00ED5BCB">
      <w:pPr>
        <w:ind w:firstLine="720"/>
        <w:jc w:val="both"/>
      </w:pPr>
      <w:r w:rsidRPr="00ED5BCB">
        <w:t xml:space="preserve">Kopumā 2013.gada 9 mēnešos PVD veica 30913 pārbaudes pārtikas uzņēmumos. Pārbaudēs konstatēts: </w:t>
      </w:r>
    </w:p>
    <w:p w:rsidR="00ED5BCB" w:rsidRPr="00ED5BCB" w:rsidRDefault="00ED5BCB" w:rsidP="00ED5BCB">
      <w:pPr>
        <w:ind w:firstLine="709"/>
        <w:jc w:val="both"/>
      </w:pPr>
      <w:r w:rsidRPr="00ED5BCB">
        <w:t>• Pārtikas ražošana bez normatīvajos aktos noteiktās reģistrācijas, atzīšanas PVD (zivju šķirošanas līnijas darbība, cūku novietnes, dzīvnieku kaušana, gaļas realizācija, kūpinātu zivju fasēšana un realizācija ārpus LV teritorijas, augu izcelsmes produktu ražošana - fasēšana, dārzeņu fasēšana, dzīvnieku izcelsmes produkcijas uzglabāšana) - 9 gadījumi;</w:t>
      </w:r>
    </w:p>
    <w:p w:rsidR="00ED5BCB" w:rsidRPr="00ED5BCB" w:rsidRDefault="00ED5BCB" w:rsidP="00ED5BCB">
      <w:pPr>
        <w:ind w:firstLine="709"/>
        <w:jc w:val="both"/>
      </w:pPr>
      <w:r w:rsidRPr="00ED5BCB">
        <w:t xml:space="preserve">• Iesaistīšanās pārtikas apritē bez normatīvajos aktos noteiktās reģistrācijas PVD (starpniecība, vairumtirdzniecība) - 34 gadījumi; </w:t>
      </w:r>
    </w:p>
    <w:p w:rsidR="00ED5BCB" w:rsidRPr="00ED5BCB" w:rsidRDefault="00ED5BCB" w:rsidP="00ED5BCB">
      <w:pPr>
        <w:ind w:firstLine="709"/>
        <w:jc w:val="both"/>
      </w:pPr>
      <w:r w:rsidRPr="00ED5BCB">
        <w:lastRenderedPageBreak/>
        <w:t>• Patērētāju maldināšana (piena produktu kontrolē - siera izstrādājums tiek realizēts kā siers, dārzeņu aprites kontrolē - izcelsmes valsts norādes) - 5 gadījumi;</w:t>
      </w:r>
    </w:p>
    <w:p w:rsidR="00ED5BCB" w:rsidRPr="00ED5BCB" w:rsidRDefault="00ED5BCB" w:rsidP="00ED5BCB">
      <w:pPr>
        <w:ind w:firstLine="709"/>
        <w:jc w:val="both"/>
      </w:pPr>
      <w:r w:rsidRPr="00ED5BCB">
        <w:t>• Nelegālas, bez izcelsmi apliecinošiem dokumentiem, ar beigušos realizācijas derīgumu termiņiem, pārtikas pro</w:t>
      </w:r>
      <w:r w:rsidR="00C6246B">
        <w:t>duktu realizācija - 14 gadījumi.</w:t>
      </w:r>
    </w:p>
    <w:p w:rsidR="00ED5BCB" w:rsidRPr="00ED5BCB" w:rsidRDefault="00ED5BCB" w:rsidP="00ED5BCB">
      <w:pPr>
        <w:ind w:firstLine="720"/>
        <w:jc w:val="both"/>
      </w:pPr>
      <w:r w:rsidRPr="00ED5BCB">
        <w:t>Pamatojoties uz veikto pārbaužu rezultātiem 881 gadījumā apturēta 27500 kg dažādu pārtikas preču izplatīšana, no realizācijas izņemti 16465 kg pārtikas preču.</w:t>
      </w:r>
    </w:p>
    <w:p w:rsidR="00ED5BCB" w:rsidRPr="00ED5BCB" w:rsidRDefault="00ED5BCB" w:rsidP="00ED5BCB">
      <w:pPr>
        <w:ind w:firstLine="720"/>
        <w:jc w:val="both"/>
      </w:pPr>
      <w:r w:rsidRPr="00ED5BCB">
        <w:t>Veicot informācijas atlasi, apstrādi, analīzi, iegūto faktu padziļinātu izpēti, t.sk. veicot pārbaudes objektos, konstatēti iespējami normatīvo aktu pārkāpumi, kas nav PVD kompetencē. Par savstarpējo darījumu ķēdēs iesaistītiem uzņēmumiem, kuri, iespējams, darbojas ar mērķi izvairīties no nodokļu nomaksas, tādejādi radot zaudējumus valsts budžetam, ir apkopota un nosūtīta informācija izvērtēšanai Valsts ieņēmumu dienestam - kopumā par 9 uzņēmumiem.</w:t>
      </w:r>
    </w:p>
    <w:p w:rsidR="00ED5BCB" w:rsidRPr="00ED5BCB" w:rsidRDefault="00ED5BCB" w:rsidP="00ED5BCB">
      <w:pPr>
        <w:ind w:firstLine="720"/>
        <w:jc w:val="both"/>
      </w:pPr>
      <w:r w:rsidRPr="00ED5BCB">
        <w:t>Par obligāto veselības pārbaužu ierakstu viltošanas gadījumiem informācija ir nosūtīta Valsts policijas Kriminālpolicijas pārvaldei - 2 gadījumos uzsākts kriminālprocess.</w:t>
      </w:r>
    </w:p>
    <w:p w:rsidR="00ED5BCB" w:rsidRPr="00ED5BCB" w:rsidRDefault="00ED5BCB" w:rsidP="00ED5BCB">
      <w:pPr>
        <w:ind w:firstLine="720"/>
        <w:jc w:val="both"/>
      </w:pPr>
      <w:r w:rsidRPr="00ED5BCB">
        <w:t>Par konstatētajiem pārkāpumiem 1305 gadījumos piemēroti naudas sodi 89 849 latu apmērā.</w:t>
      </w:r>
    </w:p>
    <w:p w:rsidR="00ED5BCB" w:rsidRPr="00ED5BCB" w:rsidRDefault="00ED5BCB" w:rsidP="00ED5BCB">
      <w:pPr>
        <w:ind w:firstLine="720"/>
        <w:jc w:val="both"/>
      </w:pPr>
      <w:r w:rsidRPr="00ED5BCB">
        <w:t>Veterinārās uzraudzības jomā veikta virkne pasākumu, kas ietvērusi pastiprinātas pārbaudes lauksaimniecības dzīvnieku novietnēs ar nelegālas dzīvnieku un pārtikas aprites riska pazīmēm.</w:t>
      </w:r>
    </w:p>
    <w:p w:rsidR="00ED5BCB" w:rsidRPr="00ED5BCB" w:rsidRDefault="00ED5BCB" w:rsidP="00ED5BCB">
      <w:pPr>
        <w:ind w:firstLine="720"/>
        <w:jc w:val="both"/>
      </w:pPr>
      <w:r w:rsidRPr="00ED5BCB">
        <w:t>Kopumā 2013.gada deviņos mēnešos veiktas 7628 lauksaimniecības dzīvnieku novietņu pārbaudes. Piena ražošanas saimniecībās neatbilstības konstatētas 64% gadījumos, tai skaitā 37 saimniecībās konstatēti pārkāpumi piena kvotu uzskaites jomā, 18 saimniecībās piena realizācija notikusi bez piena realizācijas nelielos apjomos atļaujas un 21 saimniecībā konstatēta ražošanas jaudas neatbilstība realizācijai.</w:t>
      </w:r>
    </w:p>
    <w:p w:rsidR="00ED5BCB" w:rsidRPr="00ED5BCB" w:rsidRDefault="00ED5BCB" w:rsidP="00ED5BCB">
      <w:pPr>
        <w:ind w:firstLine="720"/>
        <w:jc w:val="both"/>
      </w:pPr>
      <w:r w:rsidRPr="00ED5BCB">
        <w:t>2013.gadā pastiprinātas kontroles tika veiktas cūku audzēšanas saimniecībās – kopā inspicētas 3062 novietnes. Liela daļa saimniecību - 1532, kuras nodarbojas ar cūku audzēšanu nelielos apjomos (1-10 dzīvnieki), datus par cūku skaitu un to izsekojamību neiesūta Lauksaimniecības datu centram, tādējādi rupji pārkāpjot normatīvo aktu prasības par dzīvnieku reģistrēšanu. Daļa šo saimniecību cūkas audzē izmantošanai savā uzturā, bet daļa, iespējams, piedalās nelegālajā pārtikas apritē.</w:t>
      </w:r>
    </w:p>
    <w:p w:rsidR="00ED5BCB" w:rsidRPr="00ED5BCB" w:rsidRDefault="00ED5BCB" w:rsidP="00ED5BCB">
      <w:pPr>
        <w:ind w:firstLine="720"/>
        <w:jc w:val="both"/>
      </w:pPr>
      <w:r w:rsidRPr="00ED5BCB">
        <w:t>No pārbaudītajām 409 aitu un kazu novietnēm 103 konstatēti pārkāpumi, kas saistīti ar tajās turēto dzīvnieku skaitu, kustību un izsekojamību.</w:t>
      </w:r>
    </w:p>
    <w:p w:rsidR="00ED5BCB" w:rsidRPr="00ED5BCB" w:rsidRDefault="00ED5BCB" w:rsidP="00ED5BCB">
      <w:pPr>
        <w:jc w:val="both"/>
      </w:pPr>
      <w:r w:rsidRPr="00ED5BCB">
        <w:t>Par pārkāpumiem lauksaimniecības dzīvnieku novietnēs ierosinātas 96 administratīvās lietas, 119 gadījumos noteikts visu dzīvnieku pārvietošanas aizliegums, 94 gadījumos produkcijas realizācijas aizliegums līdz neatbilstību novēršanai, un 1 gadījumā materiāli nosūtīti krimināllietas ierosināšanai.</w:t>
      </w:r>
    </w:p>
    <w:p w:rsidR="00ED5BCB" w:rsidRPr="00ED5BCB" w:rsidRDefault="00ED5BCB" w:rsidP="00ED5BCB">
      <w:pPr>
        <w:ind w:firstLine="720"/>
        <w:jc w:val="both"/>
      </w:pPr>
      <w:r w:rsidRPr="00ED5BCB">
        <w:t xml:space="preserve">Veterināro zāļu aprites uzņēmumos kopumā veiktas 217 pārbaudes. 11 gadījumos uzsākta administratīvo pārkāpumu lietvedība; visvairāk veterinārajās aptiekās – 8 gadījumos. Divos gadījumos atklāta veterināro zāļu izplatīšana bez nepieciešamās speciālās atļaujas (licence) veterinārfarmaceitiskajai darbībai. Galvenie trūkumi konstatēti veterināro zāļu aprites dokumentācijā un normatīvajiem aktiem atbilstošā izplatīšanā. </w:t>
      </w:r>
    </w:p>
    <w:p w:rsidR="00ED5BCB" w:rsidRPr="00ED5BCB" w:rsidRDefault="00ED5BCB" w:rsidP="00ED5BCB">
      <w:pPr>
        <w:ind w:firstLine="720"/>
        <w:jc w:val="both"/>
      </w:pPr>
      <w:r w:rsidRPr="00ED5BCB">
        <w:t>Dzīvnieku barības aprites objektos veiktas 666 pārbaudes. Piecos gadījumos barības ražošanas, pārpakošanas uzņēmumi sodīti, piemērojot naudas sodu Ls 350 apmērā. Savukārt dzīvnieku barības mazumtirdzniecībā 13 uzņēmumiem piemērots naudas sods Ls 860 apmērā. Galvenie trūkumi, kas konstatēti barības aprites uzņēmumos, ir: barības kvalitātes kontrole, darbības reģistrācija, barības marķējums un barības dokumentāla izsekojamība.</w:t>
      </w:r>
    </w:p>
    <w:p w:rsidR="00ED5BCB" w:rsidRPr="00ED5BCB" w:rsidRDefault="00ED5BCB" w:rsidP="00ED5BCB">
      <w:pPr>
        <w:ind w:firstLine="720"/>
        <w:jc w:val="both"/>
      </w:pPr>
      <w:r w:rsidRPr="00ED5BCB">
        <w:t xml:space="preserve">Dzīvnieku tirdzniecības vietās veikta 61 pārbaude, kurās 2 gadījumos piemēroti naudas sodi. Pasākumos ar dzīvnieku piedalīšanos veiktas 20 pārbaudes, no kurām 1 gadījumā piemērots naudas sods. Dzīvnieku patversmēs/viesnīcās veiktas 5 pārbaudes, izmēģinājumos izmantoto dzīvnieku turēšanas vietās veiktas 2 pārbaudes. </w:t>
      </w:r>
    </w:p>
    <w:p w:rsidR="00ED5BCB" w:rsidRPr="00ED5BCB" w:rsidRDefault="00ED5BCB" w:rsidP="00ED5BCB">
      <w:pPr>
        <w:ind w:firstLine="720"/>
        <w:jc w:val="both"/>
      </w:pPr>
      <w:r w:rsidRPr="00ED5BCB">
        <w:lastRenderedPageBreak/>
        <w:t>Galvenās neatbilstības konstatētas dzīvnieku turēšanas apstākļu ievērošanā, veterinārmedicīniskās palīdzības sniegšanā slimiem dzīvniekiem un dzīvnieku legālo izcelsmi apliecinošu dokumentu trūkums.</w:t>
      </w:r>
    </w:p>
    <w:p w:rsidR="00ED5BCB" w:rsidRPr="00ED5BCB" w:rsidRDefault="00ED5BCB" w:rsidP="00ED5BCB">
      <w:pPr>
        <w:ind w:firstLine="720"/>
        <w:jc w:val="both"/>
      </w:pPr>
      <w:r w:rsidRPr="00ED5BCB">
        <w:t>Veicot importa un tranzīta kravu kontroli uz Eiropas Savienības ārējas robežas, PVD robežinspektori 2013. gada deviņos mēnešos ir veikuši 41 270 preču pārbaudes 12 robežkontroles punktos. No visām veiktajām kontrolēm pārtikas nekaitīguma kontrole veikta 13 322 (32,3%), fitosanitārā kontrole – 12 364 (30%), veterinārā kontrole - 9 898 (24%),  dzīvnieku barības un barības piedevu kontrole – 3 823 (9,2%), svaigu augļu un dārzeņu kvalitātes kontrole – 1 355 (3,3%), nepārtikas preču drošuma kontrole - 508 (1,2%) kravām.</w:t>
      </w:r>
    </w:p>
    <w:p w:rsidR="00ED5BCB" w:rsidRPr="00ED5BCB" w:rsidRDefault="00ED5BCB" w:rsidP="00ED5BCB">
      <w:pPr>
        <w:ind w:firstLine="720"/>
        <w:jc w:val="both"/>
      </w:pPr>
      <w:r w:rsidRPr="00ED5BCB">
        <w:t>No visām pārbaudītajām preču kravām 960 jeb 2.3% tika atzītas par neatbilstošām, t.sk. 389 nosūtītas iznīcināšanai, bet 289 nosūtītas atpakaļ uz eksportētājvalsti vai izcelsmes valsti. Īslaicīgi, līdz lēmuma pieņemšanai par tālāku rīcību, kā arī līdz laboratorisko vai cita veida kontroles rezultātu saņemšanai, robežkontroles inspektori aizturējuši 282 preces.</w:t>
      </w:r>
    </w:p>
    <w:p w:rsidR="00ED5BCB" w:rsidRPr="00ED5BCB" w:rsidRDefault="00ED5BCB" w:rsidP="00ED5BCB">
      <w:pPr>
        <w:ind w:firstLine="720"/>
        <w:jc w:val="both"/>
      </w:pPr>
      <w:r w:rsidRPr="00ED5BCB">
        <w:t>Iepriekšminētie pasākumi, kuru īstenošanā piedalījās gan PVD centrālā aparāta darbinieki, gan struktūrvienību inspektori, ir devuši valstij būtisku ekonomisku efektu (piemēram, iekasēto soda naudu apmērs sasniedz 108 tūkst. latu), kā arī ieguldījumu ēnu ekonomikas apkarošanā un godīgas konkurences veicināšanā.</w:t>
      </w:r>
    </w:p>
    <w:p w:rsidR="00ED5BCB" w:rsidRPr="000C1464" w:rsidRDefault="00ED5BCB" w:rsidP="00ED5BCB">
      <w:pPr>
        <w:jc w:val="both"/>
      </w:pPr>
    </w:p>
    <w:p w:rsidR="004D0A50" w:rsidRPr="000C1464" w:rsidRDefault="001E0D32" w:rsidP="006245AC">
      <w:pPr>
        <w:jc w:val="center"/>
        <w:rPr>
          <w:b/>
        </w:rPr>
      </w:pPr>
      <w:r w:rsidRPr="000C1464">
        <w:rPr>
          <w:b/>
        </w:rPr>
        <w:t>VALSTS MEŽA DIENESTS</w:t>
      </w:r>
    </w:p>
    <w:p w:rsidR="004D0A50" w:rsidRPr="000C1464" w:rsidRDefault="004D0A50" w:rsidP="004D0A50">
      <w:pPr>
        <w:ind w:firstLine="720"/>
        <w:jc w:val="both"/>
      </w:pPr>
    </w:p>
    <w:p w:rsidR="004D0A50" w:rsidRDefault="000C1464" w:rsidP="004D0A50">
      <w:pPr>
        <w:ind w:firstLine="709"/>
        <w:jc w:val="both"/>
      </w:pPr>
      <w:r w:rsidRPr="000C1464">
        <w:t>Valsts meža dienests (turpmāk – VMD) 2013.gada deviņos mēnešos administrējošo darbību rezultātā īstenojis pasākumus ēnu ekonomikas apkarošanā un godīgas konkurences veicināšanā, kā rezultātā samazinājusies iznīcinātā un bojātā meža platība attiecīgi par 44% un 33%, salīdzinot ar 2012.gada deviņiem mēnešiem. Tāpat par 7% palielinājies to pārkāpumu gadījumu skaits, kad mežam nav tikuši nodarīti zaudējumi, kas liecina par efektīvu iestādes darbu lielu pārkāpumu novēršanā. Lai arī kopējais pārkāpumu skaits, salīdzinot ar 2012.gada deviņiem mēnešiem, palielinājies par 5%, šādas pārkāpumu skaita izmaiņas vērtējamas kā nebūtiskas, uzsverot to, ka kopumā meža apsaimniekošanu un izmantošanu reglamentējošo normatīvo aktu pārkāpumi kļu</w:t>
      </w:r>
      <w:r w:rsidR="00FD3928">
        <w:t>vuši sabiedriski mazāk bīstami.</w:t>
      </w:r>
    </w:p>
    <w:p w:rsidR="00FD3928" w:rsidRPr="000C1464" w:rsidRDefault="00FD3928" w:rsidP="004D0A50">
      <w:pPr>
        <w:ind w:firstLine="709"/>
        <w:jc w:val="both"/>
      </w:pPr>
    </w:p>
    <w:p w:rsidR="005E7A81" w:rsidRPr="00951083" w:rsidRDefault="00951083" w:rsidP="005E7A81">
      <w:pPr>
        <w:jc w:val="right"/>
      </w:pPr>
      <w:r w:rsidRPr="00951083">
        <w:t>8</w:t>
      </w:r>
      <w:r w:rsidR="005E7A81" w:rsidRPr="00951083">
        <w:t>.tabula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110"/>
        <w:gridCol w:w="1276"/>
        <w:gridCol w:w="1701"/>
      </w:tblGrid>
      <w:tr w:rsidR="003222AF" w:rsidRPr="003222AF" w:rsidTr="00951083">
        <w:tc>
          <w:tcPr>
            <w:tcW w:w="2014" w:type="dxa"/>
            <w:shd w:val="clear" w:color="auto" w:fill="auto"/>
          </w:tcPr>
          <w:p w:rsidR="003222AF" w:rsidRPr="00951083" w:rsidRDefault="003222AF" w:rsidP="00417398">
            <w:pPr>
              <w:rPr>
                <w:sz w:val="20"/>
                <w:szCs w:val="20"/>
              </w:rPr>
            </w:pPr>
            <w:r w:rsidRPr="00951083">
              <w:rPr>
                <w:sz w:val="20"/>
                <w:szCs w:val="20"/>
              </w:rPr>
              <w:t>Darbības rezultāts</w:t>
            </w:r>
          </w:p>
        </w:tc>
        <w:tc>
          <w:tcPr>
            <w:tcW w:w="4110" w:type="dxa"/>
            <w:shd w:val="clear" w:color="auto" w:fill="auto"/>
          </w:tcPr>
          <w:p w:rsidR="003222AF" w:rsidRPr="00951083" w:rsidRDefault="003222AF" w:rsidP="00417398">
            <w:pPr>
              <w:rPr>
                <w:sz w:val="20"/>
                <w:szCs w:val="20"/>
              </w:rPr>
            </w:pPr>
            <w:r w:rsidRPr="00951083">
              <w:rPr>
                <w:sz w:val="20"/>
                <w:szCs w:val="20"/>
              </w:rPr>
              <w:t>Rezultatīvie rādītāji</w:t>
            </w:r>
          </w:p>
        </w:tc>
        <w:tc>
          <w:tcPr>
            <w:tcW w:w="1276" w:type="dxa"/>
            <w:shd w:val="clear" w:color="auto" w:fill="auto"/>
          </w:tcPr>
          <w:p w:rsidR="003222AF" w:rsidRPr="00951083" w:rsidRDefault="003222AF" w:rsidP="00417398">
            <w:pPr>
              <w:rPr>
                <w:sz w:val="20"/>
                <w:szCs w:val="20"/>
              </w:rPr>
            </w:pPr>
            <w:r w:rsidRPr="00951083">
              <w:rPr>
                <w:sz w:val="20"/>
                <w:szCs w:val="20"/>
              </w:rPr>
              <w:t>Rādītāji pārskata periodā (9 mēneši)</w:t>
            </w:r>
          </w:p>
        </w:tc>
        <w:tc>
          <w:tcPr>
            <w:tcW w:w="1701" w:type="dxa"/>
            <w:shd w:val="clear" w:color="auto" w:fill="auto"/>
          </w:tcPr>
          <w:p w:rsidR="003222AF" w:rsidRPr="00951083" w:rsidRDefault="003222AF" w:rsidP="00417398">
            <w:pPr>
              <w:rPr>
                <w:sz w:val="20"/>
                <w:szCs w:val="20"/>
              </w:rPr>
            </w:pPr>
            <w:r w:rsidRPr="00951083">
              <w:rPr>
                <w:sz w:val="20"/>
                <w:szCs w:val="20"/>
              </w:rPr>
              <w:t>Rādītāju izmaiņas salīdzinājumā pret iepriekšējo periodu %</w:t>
            </w:r>
          </w:p>
        </w:tc>
      </w:tr>
      <w:tr w:rsidR="003222AF" w:rsidRPr="003222AF" w:rsidTr="003222AF">
        <w:tc>
          <w:tcPr>
            <w:tcW w:w="2014" w:type="dxa"/>
          </w:tcPr>
          <w:p w:rsidR="003222AF" w:rsidRPr="003222AF" w:rsidRDefault="003222AF" w:rsidP="00417398">
            <w:pPr>
              <w:rPr>
                <w:sz w:val="20"/>
                <w:szCs w:val="20"/>
              </w:rPr>
            </w:pPr>
            <w:r w:rsidRPr="003222AF">
              <w:rPr>
                <w:sz w:val="20"/>
                <w:szCs w:val="20"/>
              </w:rPr>
              <w:t>Atklāta augošu koku patvaļīga izciršana</w:t>
            </w:r>
          </w:p>
        </w:tc>
        <w:tc>
          <w:tcPr>
            <w:tcW w:w="4110" w:type="dxa"/>
          </w:tcPr>
          <w:p w:rsidR="003222AF" w:rsidRPr="003222AF" w:rsidRDefault="003222AF" w:rsidP="00417398">
            <w:pPr>
              <w:rPr>
                <w:sz w:val="20"/>
                <w:szCs w:val="20"/>
              </w:rPr>
            </w:pPr>
            <w:r w:rsidRPr="003222AF">
              <w:rPr>
                <w:sz w:val="20"/>
                <w:szCs w:val="20"/>
              </w:rPr>
              <w:t xml:space="preserve">gadījumu </w:t>
            </w:r>
            <w:r w:rsidRPr="003222AF">
              <w:rPr>
                <w:i/>
                <w:sz w:val="20"/>
                <w:szCs w:val="20"/>
              </w:rPr>
              <w:t>skaits</w:t>
            </w:r>
          </w:p>
        </w:tc>
        <w:tc>
          <w:tcPr>
            <w:tcW w:w="1276" w:type="dxa"/>
          </w:tcPr>
          <w:p w:rsidR="003222AF" w:rsidRPr="003222AF" w:rsidRDefault="003222AF" w:rsidP="00417398">
            <w:pPr>
              <w:rPr>
                <w:sz w:val="20"/>
                <w:szCs w:val="20"/>
              </w:rPr>
            </w:pPr>
            <w:r w:rsidRPr="003222AF">
              <w:rPr>
                <w:sz w:val="20"/>
                <w:szCs w:val="20"/>
              </w:rPr>
              <w:t>475</w:t>
            </w:r>
          </w:p>
        </w:tc>
        <w:tc>
          <w:tcPr>
            <w:tcW w:w="1701" w:type="dxa"/>
          </w:tcPr>
          <w:p w:rsidR="003222AF" w:rsidRPr="003222AF" w:rsidRDefault="003222AF" w:rsidP="00417398">
            <w:pPr>
              <w:jc w:val="center"/>
              <w:rPr>
                <w:sz w:val="20"/>
                <w:szCs w:val="20"/>
              </w:rPr>
            </w:pPr>
            <w:r w:rsidRPr="003222AF">
              <w:rPr>
                <w:sz w:val="20"/>
                <w:szCs w:val="20"/>
              </w:rPr>
              <w:t>5</w:t>
            </w:r>
          </w:p>
        </w:tc>
      </w:tr>
      <w:tr w:rsidR="003222AF" w:rsidRPr="003222AF" w:rsidTr="003222AF">
        <w:tc>
          <w:tcPr>
            <w:tcW w:w="2014" w:type="dxa"/>
          </w:tcPr>
          <w:p w:rsidR="003222AF" w:rsidRPr="003222AF" w:rsidRDefault="003222AF" w:rsidP="00417398">
            <w:pPr>
              <w:rPr>
                <w:sz w:val="20"/>
                <w:szCs w:val="20"/>
              </w:rPr>
            </w:pPr>
          </w:p>
        </w:tc>
        <w:tc>
          <w:tcPr>
            <w:tcW w:w="4110" w:type="dxa"/>
          </w:tcPr>
          <w:p w:rsidR="003222AF" w:rsidRPr="003222AF" w:rsidRDefault="003222AF" w:rsidP="00417398">
            <w:pPr>
              <w:rPr>
                <w:sz w:val="20"/>
                <w:szCs w:val="20"/>
              </w:rPr>
            </w:pPr>
            <w:r w:rsidRPr="003222AF">
              <w:rPr>
                <w:sz w:val="20"/>
                <w:szCs w:val="20"/>
              </w:rPr>
              <w:t xml:space="preserve">faktiski izcirstais apjoms, </w:t>
            </w:r>
            <w:r w:rsidRPr="003222AF">
              <w:rPr>
                <w:i/>
                <w:sz w:val="20"/>
                <w:szCs w:val="20"/>
              </w:rPr>
              <w:t>m3</w:t>
            </w:r>
          </w:p>
        </w:tc>
        <w:tc>
          <w:tcPr>
            <w:tcW w:w="1276" w:type="dxa"/>
          </w:tcPr>
          <w:p w:rsidR="003222AF" w:rsidRPr="003222AF" w:rsidRDefault="003222AF" w:rsidP="00417398">
            <w:pPr>
              <w:rPr>
                <w:sz w:val="20"/>
                <w:szCs w:val="20"/>
              </w:rPr>
            </w:pPr>
            <w:r w:rsidRPr="003222AF">
              <w:rPr>
                <w:sz w:val="20"/>
                <w:szCs w:val="20"/>
              </w:rPr>
              <w:t>15213,77</w:t>
            </w:r>
          </w:p>
        </w:tc>
        <w:tc>
          <w:tcPr>
            <w:tcW w:w="1701" w:type="dxa"/>
          </w:tcPr>
          <w:p w:rsidR="003222AF" w:rsidRPr="003222AF" w:rsidRDefault="003222AF" w:rsidP="00417398">
            <w:pPr>
              <w:jc w:val="center"/>
              <w:rPr>
                <w:sz w:val="20"/>
                <w:szCs w:val="20"/>
              </w:rPr>
            </w:pPr>
            <w:r w:rsidRPr="003222AF">
              <w:rPr>
                <w:sz w:val="20"/>
                <w:szCs w:val="20"/>
              </w:rPr>
              <w:t>19</w:t>
            </w:r>
          </w:p>
        </w:tc>
      </w:tr>
      <w:tr w:rsidR="003222AF" w:rsidRPr="003222AF" w:rsidTr="003222AF">
        <w:tc>
          <w:tcPr>
            <w:tcW w:w="2014" w:type="dxa"/>
          </w:tcPr>
          <w:p w:rsidR="003222AF" w:rsidRPr="003222AF" w:rsidRDefault="003222AF" w:rsidP="00417398">
            <w:pPr>
              <w:rPr>
                <w:sz w:val="20"/>
                <w:szCs w:val="20"/>
              </w:rPr>
            </w:pPr>
          </w:p>
        </w:tc>
        <w:tc>
          <w:tcPr>
            <w:tcW w:w="4110" w:type="dxa"/>
          </w:tcPr>
          <w:p w:rsidR="003222AF" w:rsidRPr="003222AF" w:rsidRDefault="003222AF" w:rsidP="00417398">
            <w:pPr>
              <w:rPr>
                <w:sz w:val="20"/>
                <w:szCs w:val="20"/>
              </w:rPr>
            </w:pPr>
            <w:r w:rsidRPr="003222AF">
              <w:rPr>
                <w:sz w:val="20"/>
                <w:szCs w:val="20"/>
              </w:rPr>
              <w:t xml:space="preserve">gadījumu </w:t>
            </w:r>
            <w:r w:rsidRPr="003222AF">
              <w:rPr>
                <w:i/>
                <w:sz w:val="20"/>
                <w:szCs w:val="20"/>
              </w:rPr>
              <w:t>skaits</w:t>
            </w:r>
            <w:r w:rsidRPr="003222AF">
              <w:rPr>
                <w:sz w:val="20"/>
                <w:szCs w:val="20"/>
              </w:rPr>
              <w:t xml:space="preserve"> bez zaudējumiem mežam</w:t>
            </w:r>
          </w:p>
        </w:tc>
        <w:tc>
          <w:tcPr>
            <w:tcW w:w="1276" w:type="dxa"/>
          </w:tcPr>
          <w:p w:rsidR="003222AF" w:rsidRPr="003222AF" w:rsidRDefault="003222AF" w:rsidP="00417398">
            <w:pPr>
              <w:rPr>
                <w:sz w:val="20"/>
                <w:szCs w:val="20"/>
              </w:rPr>
            </w:pPr>
            <w:r w:rsidRPr="003222AF">
              <w:rPr>
                <w:sz w:val="20"/>
                <w:szCs w:val="20"/>
              </w:rPr>
              <w:t>380</w:t>
            </w:r>
          </w:p>
        </w:tc>
        <w:tc>
          <w:tcPr>
            <w:tcW w:w="1701" w:type="dxa"/>
          </w:tcPr>
          <w:p w:rsidR="003222AF" w:rsidRPr="003222AF" w:rsidRDefault="003222AF" w:rsidP="00417398">
            <w:pPr>
              <w:jc w:val="center"/>
              <w:rPr>
                <w:sz w:val="20"/>
                <w:szCs w:val="20"/>
              </w:rPr>
            </w:pPr>
            <w:r w:rsidRPr="003222AF">
              <w:rPr>
                <w:sz w:val="20"/>
                <w:szCs w:val="20"/>
              </w:rPr>
              <w:t>7</w:t>
            </w:r>
          </w:p>
        </w:tc>
      </w:tr>
      <w:tr w:rsidR="003222AF" w:rsidRPr="003222AF" w:rsidTr="003222AF">
        <w:tc>
          <w:tcPr>
            <w:tcW w:w="2014" w:type="dxa"/>
          </w:tcPr>
          <w:p w:rsidR="003222AF" w:rsidRPr="003222AF" w:rsidRDefault="003222AF" w:rsidP="00417398">
            <w:pPr>
              <w:rPr>
                <w:sz w:val="20"/>
                <w:szCs w:val="20"/>
              </w:rPr>
            </w:pPr>
          </w:p>
        </w:tc>
        <w:tc>
          <w:tcPr>
            <w:tcW w:w="4110" w:type="dxa"/>
          </w:tcPr>
          <w:p w:rsidR="003222AF" w:rsidRPr="003222AF" w:rsidRDefault="003222AF" w:rsidP="00417398">
            <w:pPr>
              <w:rPr>
                <w:sz w:val="20"/>
                <w:szCs w:val="20"/>
              </w:rPr>
            </w:pPr>
            <w:r w:rsidRPr="003222AF">
              <w:rPr>
                <w:sz w:val="20"/>
                <w:szCs w:val="20"/>
              </w:rPr>
              <w:t xml:space="preserve">gadījumu </w:t>
            </w:r>
            <w:r w:rsidRPr="003222AF">
              <w:rPr>
                <w:i/>
                <w:sz w:val="20"/>
                <w:szCs w:val="20"/>
              </w:rPr>
              <w:t>skaits</w:t>
            </w:r>
            <w:r w:rsidRPr="003222AF">
              <w:rPr>
                <w:sz w:val="20"/>
                <w:szCs w:val="20"/>
              </w:rPr>
              <w:t xml:space="preserve"> ar zaudējumiem mežam</w:t>
            </w:r>
          </w:p>
        </w:tc>
        <w:tc>
          <w:tcPr>
            <w:tcW w:w="1276" w:type="dxa"/>
          </w:tcPr>
          <w:p w:rsidR="003222AF" w:rsidRPr="003222AF" w:rsidRDefault="003222AF" w:rsidP="00417398">
            <w:pPr>
              <w:rPr>
                <w:sz w:val="20"/>
                <w:szCs w:val="20"/>
              </w:rPr>
            </w:pPr>
            <w:r w:rsidRPr="003222AF">
              <w:rPr>
                <w:sz w:val="20"/>
                <w:szCs w:val="20"/>
              </w:rPr>
              <w:t>95</w:t>
            </w:r>
          </w:p>
        </w:tc>
        <w:tc>
          <w:tcPr>
            <w:tcW w:w="1701" w:type="dxa"/>
          </w:tcPr>
          <w:p w:rsidR="003222AF" w:rsidRPr="003222AF" w:rsidRDefault="003222AF" w:rsidP="00417398">
            <w:pPr>
              <w:jc w:val="center"/>
              <w:rPr>
                <w:sz w:val="20"/>
                <w:szCs w:val="20"/>
              </w:rPr>
            </w:pPr>
            <w:r w:rsidRPr="003222AF">
              <w:rPr>
                <w:sz w:val="20"/>
                <w:szCs w:val="20"/>
              </w:rPr>
              <w:t>-1</w:t>
            </w:r>
          </w:p>
        </w:tc>
      </w:tr>
      <w:tr w:rsidR="003222AF" w:rsidRPr="003222AF" w:rsidTr="003222AF">
        <w:tc>
          <w:tcPr>
            <w:tcW w:w="2014" w:type="dxa"/>
          </w:tcPr>
          <w:p w:rsidR="003222AF" w:rsidRPr="003222AF" w:rsidRDefault="003222AF" w:rsidP="00417398">
            <w:pPr>
              <w:rPr>
                <w:sz w:val="20"/>
                <w:szCs w:val="20"/>
              </w:rPr>
            </w:pPr>
          </w:p>
        </w:tc>
        <w:tc>
          <w:tcPr>
            <w:tcW w:w="4110" w:type="dxa"/>
          </w:tcPr>
          <w:p w:rsidR="003222AF" w:rsidRPr="003222AF" w:rsidRDefault="003222AF" w:rsidP="00417398">
            <w:pPr>
              <w:rPr>
                <w:sz w:val="20"/>
                <w:szCs w:val="20"/>
              </w:rPr>
            </w:pPr>
            <w:r w:rsidRPr="003222AF">
              <w:rPr>
                <w:sz w:val="20"/>
                <w:szCs w:val="20"/>
              </w:rPr>
              <w:t xml:space="preserve">platība, kurā mežaudze iznīcināta, </w:t>
            </w:r>
            <w:r w:rsidRPr="003222AF">
              <w:rPr>
                <w:i/>
                <w:sz w:val="20"/>
                <w:szCs w:val="20"/>
              </w:rPr>
              <w:t>ha</w:t>
            </w:r>
          </w:p>
        </w:tc>
        <w:tc>
          <w:tcPr>
            <w:tcW w:w="1276" w:type="dxa"/>
          </w:tcPr>
          <w:p w:rsidR="003222AF" w:rsidRPr="003222AF" w:rsidRDefault="003222AF" w:rsidP="00417398">
            <w:pPr>
              <w:rPr>
                <w:sz w:val="20"/>
                <w:szCs w:val="20"/>
              </w:rPr>
            </w:pPr>
            <w:r w:rsidRPr="003222AF">
              <w:rPr>
                <w:sz w:val="20"/>
                <w:szCs w:val="20"/>
              </w:rPr>
              <w:t>44,2</w:t>
            </w:r>
          </w:p>
        </w:tc>
        <w:tc>
          <w:tcPr>
            <w:tcW w:w="1701" w:type="dxa"/>
          </w:tcPr>
          <w:p w:rsidR="003222AF" w:rsidRPr="003222AF" w:rsidRDefault="003222AF" w:rsidP="00417398">
            <w:pPr>
              <w:jc w:val="center"/>
              <w:rPr>
                <w:sz w:val="20"/>
                <w:szCs w:val="20"/>
              </w:rPr>
            </w:pPr>
            <w:r w:rsidRPr="003222AF">
              <w:rPr>
                <w:sz w:val="20"/>
                <w:szCs w:val="20"/>
              </w:rPr>
              <w:t>-44</w:t>
            </w:r>
          </w:p>
        </w:tc>
      </w:tr>
      <w:tr w:rsidR="003222AF" w:rsidRPr="003222AF" w:rsidTr="00951083">
        <w:tc>
          <w:tcPr>
            <w:tcW w:w="2014" w:type="dxa"/>
            <w:tcBorders>
              <w:bottom w:val="single" w:sz="4" w:space="0" w:color="auto"/>
            </w:tcBorders>
          </w:tcPr>
          <w:p w:rsidR="003222AF" w:rsidRPr="003222AF" w:rsidRDefault="003222AF" w:rsidP="00417398">
            <w:pPr>
              <w:rPr>
                <w:sz w:val="20"/>
                <w:szCs w:val="20"/>
              </w:rPr>
            </w:pPr>
          </w:p>
        </w:tc>
        <w:tc>
          <w:tcPr>
            <w:tcW w:w="4110" w:type="dxa"/>
            <w:tcBorders>
              <w:bottom w:val="single" w:sz="4" w:space="0" w:color="auto"/>
            </w:tcBorders>
          </w:tcPr>
          <w:p w:rsidR="003222AF" w:rsidRPr="003222AF" w:rsidRDefault="003222AF" w:rsidP="00417398">
            <w:pPr>
              <w:rPr>
                <w:sz w:val="20"/>
                <w:szCs w:val="20"/>
              </w:rPr>
            </w:pPr>
            <w:r w:rsidRPr="003222AF">
              <w:rPr>
                <w:sz w:val="20"/>
                <w:szCs w:val="20"/>
              </w:rPr>
              <w:t xml:space="preserve">platība, kurā mežaudze bojāta, </w:t>
            </w:r>
            <w:r w:rsidRPr="003222AF">
              <w:rPr>
                <w:i/>
                <w:sz w:val="20"/>
                <w:szCs w:val="20"/>
              </w:rPr>
              <w:t>ha</w:t>
            </w:r>
          </w:p>
        </w:tc>
        <w:tc>
          <w:tcPr>
            <w:tcW w:w="1276" w:type="dxa"/>
            <w:tcBorders>
              <w:bottom w:val="single" w:sz="4" w:space="0" w:color="auto"/>
            </w:tcBorders>
          </w:tcPr>
          <w:p w:rsidR="003222AF" w:rsidRPr="003222AF" w:rsidRDefault="003222AF" w:rsidP="00417398">
            <w:pPr>
              <w:rPr>
                <w:sz w:val="20"/>
                <w:szCs w:val="20"/>
              </w:rPr>
            </w:pPr>
            <w:r w:rsidRPr="003222AF">
              <w:rPr>
                <w:sz w:val="20"/>
                <w:szCs w:val="20"/>
              </w:rPr>
              <w:t>35,69</w:t>
            </w:r>
          </w:p>
        </w:tc>
        <w:tc>
          <w:tcPr>
            <w:tcW w:w="1701" w:type="dxa"/>
            <w:tcBorders>
              <w:bottom w:val="single" w:sz="4" w:space="0" w:color="auto"/>
            </w:tcBorders>
          </w:tcPr>
          <w:p w:rsidR="003222AF" w:rsidRPr="003222AF" w:rsidRDefault="003222AF" w:rsidP="00417398">
            <w:pPr>
              <w:jc w:val="center"/>
              <w:rPr>
                <w:sz w:val="20"/>
                <w:szCs w:val="20"/>
              </w:rPr>
            </w:pPr>
            <w:r w:rsidRPr="003222AF">
              <w:rPr>
                <w:sz w:val="20"/>
                <w:szCs w:val="20"/>
              </w:rPr>
              <w:t>-33</w:t>
            </w:r>
          </w:p>
        </w:tc>
      </w:tr>
      <w:tr w:rsidR="003222AF" w:rsidRPr="003222AF" w:rsidTr="00951083">
        <w:tc>
          <w:tcPr>
            <w:tcW w:w="2014" w:type="dxa"/>
            <w:tcBorders>
              <w:top w:val="single" w:sz="4" w:space="0" w:color="auto"/>
              <w:left w:val="single" w:sz="4" w:space="0" w:color="auto"/>
              <w:bottom w:val="single" w:sz="4" w:space="0" w:color="auto"/>
              <w:right w:val="single" w:sz="4" w:space="0" w:color="auto"/>
            </w:tcBorders>
          </w:tcPr>
          <w:p w:rsidR="003222AF" w:rsidRPr="003222AF" w:rsidRDefault="003222AF" w:rsidP="00417398">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3222AF" w:rsidRPr="003222AF" w:rsidRDefault="003222AF" w:rsidP="00417398">
            <w:pPr>
              <w:rPr>
                <w:sz w:val="20"/>
                <w:szCs w:val="20"/>
              </w:rPr>
            </w:pPr>
            <w:r w:rsidRPr="003222AF">
              <w:rPr>
                <w:sz w:val="20"/>
                <w:szCs w:val="20"/>
              </w:rPr>
              <w:t>aprēķinātie mežam nodarītie zaudējumi</w:t>
            </w:r>
            <w:r w:rsidRPr="003222AF">
              <w:rPr>
                <w:i/>
                <w:sz w:val="20"/>
                <w:szCs w:val="20"/>
              </w:rPr>
              <w:t>, Ls</w:t>
            </w:r>
          </w:p>
        </w:tc>
        <w:tc>
          <w:tcPr>
            <w:tcW w:w="1276" w:type="dxa"/>
            <w:tcBorders>
              <w:top w:val="single" w:sz="4" w:space="0" w:color="auto"/>
              <w:left w:val="single" w:sz="4" w:space="0" w:color="auto"/>
              <w:bottom w:val="single" w:sz="4" w:space="0" w:color="auto"/>
              <w:right w:val="single" w:sz="4" w:space="0" w:color="auto"/>
            </w:tcBorders>
          </w:tcPr>
          <w:p w:rsidR="003222AF" w:rsidRPr="003222AF" w:rsidRDefault="003222AF" w:rsidP="00417398">
            <w:pPr>
              <w:rPr>
                <w:sz w:val="20"/>
                <w:szCs w:val="20"/>
              </w:rPr>
            </w:pPr>
            <w:r w:rsidRPr="003222AF">
              <w:rPr>
                <w:sz w:val="20"/>
                <w:szCs w:val="20"/>
              </w:rPr>
              <w:t>811441,38</w:t>
            </w:r>
          </w:p>
        </w:tc>
        <w:tc>
          <w:tcPr>
            <w:tcW w:w="1701" w:type="dxa"/>
            <w:tcBorders>
              <w:top w:val="single" w:sz="4" w:space="0" w:color="auto"/>
              <w:left w:val="single" w:sz="4" w:space="0" w:color="auto"/>
              <w:bottom w:val="single" w:sz="4" w:space="0" w:color="auto"/>
              <w:right w:val="single" w:sz="4" w:space="0" w:color="auto"/>
            </w:tcBorders>
          </w:tcPr>
          <w:p w:rsidR="003222AF" w:rsidRPr="003222AF" w:rsidRDefault="003222AF" w:rsidP="00417398">
            <w:pPr>
              <w:jc w:val="center"/>
              <w:rPr>
                <w:sz w:val="20"/>
                <w:szCs w:val="20"/>
              </w:rPr>
            </w:pPr>
            <w:r w:rsidRPr="003222AF">
              <w:rPr>
                <w:sz w:val="20"/>
                <w:szCs w:val="20"/>
              </w:rPr>
              <w:t>11</w:t>
            </w:r>
          </w:p>
        </w:tc>
      </w:tr>
    </w:tbl>
    <w:p w:rsidR="00FD3928" w:rsidRPr="00951083" w:rsidRDefault="00FD3928" w:rsidP="00FD3928">
      <w:pPr>
        <w:ind w:firstLine="709"/>
        <w:jc w:val="both"/>
      </w:pPr>
      <w:r w:rsidRPr="00951083">
        <w:t>Lai arī pārkāpumu skaits nedaudz ir palielinājies, tas noticis uz to gadījumu rēķina, kad mežam nav tikuši nodarīti zaudējumi, kas nozīmē, ka šie pārkāpumi pēc savas būtības ir radījuši mazāku kaitējumu videi.</w:t>
      </w:r>
    </w:p>
    <w:p w:rsidR="00951083" w:rsidRPr="00951083" w:rsidRDefault="00951083" w:rsidP="00FD3928">
      <w:pPr>
        <w:ind w:firstLine="709"/>
        <w:jc w:val="both"/>
      </w:pPr>
      <w:r w:rsidRPr="00951083">
        <w:t>Pārskata periodā ieņēmumi no zaudējumu atlīdzības par meža resursiem nodarītajiem kaitējumiem ir Ls 465 204 no plānotajiem Ls 600 000 (2012.gada deviņos mēnešos Ls 489 764 no Ls 600 000 plānotajiem).</w:t>
      </w:r>
    </w:p>
    <w:p w:rsidR="00951083" w:rsidRDefault="00951083" w:rsidP="00FD3928">
      <w:pPr>
        <w:ind w:firstLine="709"/>
        <w:jc w:val="both"/>
      </w:pPr>
    </w:p>
    <w:p w:rsidR="00843DA4" w:rsidRDefault="00843DA4" w:rsidP="00FD3928">
      <w:pPr>
        <w:ind w:firstLine="709"/>
        <w:jc w:val="both"/>
      </w:pPr>
    </w:p>
    <w:p w:rsidR="00843DA4" w:rsidRDefault="00843DA4" w:rsidP="00FD3928">
      <w:pPr>
        <w:ind w:firstLine="709"/>
        <w:jc w:val="both"/>
      </w:pPr>
    </w:p>
    <w:p w:rsidR="00843DA4" w:rsidRPr="00951083" w:rsidRDefault="00843DA4" w:rsidP="00FD3928">
      <w:pPr>
        <w:ind w:firstLine="709"/>
        <w:jc w:val="both"/>
      </w:pPr>
    </w:p>
    <w:p w:rsidR="004D0A50" w:rsidRPr="008A0488" w:rsidRDefault="001E0D32" w:rsidP="001E0D32">
      <w:pPr>
        <w:jc w:val="center"/>
        <w:rPr>
          <w:b/>
        </w:rPr>
      </w:pPr>
      <w:r w:rsidRPr="008A0488">
        <w:rPr>
          <w:b/>
        </w:rPr>
        <w:lastRenderedPageBreak/>
        <w:t>VALSTS AUGU AIZSARDZĪBAS DIENESTS</w:t>
      </w:r>
    </w:p>
    <w:p w:rsidR="00843DA4" w:rsidRDefault="00843DA4" w:rsidP="00132378">
      <w:pPr>
        <w:ind w:firstLine="709"/>
        <w:jc w:val="both"/>
      </w:pPr>
    </w:p>
    <w:p w:rsidR="00132378" w:rsidRPr="007449F8" w:rsidRDefault="00132378" w:rsidP="00132378">
      <w:pPr>
        <w:ind w:firstLine="709"/>
        <w:jc w:val="both"/>
      </w:pPr>
      <w:r w:rsidRPr="007449F8">
        <w:t xml:space="preserve">Valsts augu aizsardzības dienests (turpmāk – </w:t>
      </w:r>
      <w:r>
        <w:t>VAAD</w:t>
      </w:r>
      <w:r w:rsidRPr="007449F8">
        <w:t xml:space="preserve">) nodrošina tirgus uzraudzību četrās </w:t>
      </w:r>
      <w:r w:rsidRPr="00132378">
        <w:t xml:space="preserve">VAAD </w:t>
      </w:r>
      <w:r w:rsidRPr="007449F8">
        <w:t>atbildības sfērās – augu aizsardzības līdzekļu, mēslošanas līdzekļu, sēklu un fitosanitārai kontrolei pakļauto augu un augu pr</w:t>
      </w:r>
      <w:r>
        <w:t>oduktu tirdzniecībā. Nodrošinot</w:t>
      </w:r>
      <w:r w:rsidRPr="007449F8">
        <w:t xml:space="preserve"> tirgus uzraudzība šajās sfērās</w:t>
      </w:r>
      <w:r>
        <w:t>, tā</w:t>
      </w:r>
      <w:r w:rsidRPr="007449F8">
        <w:t xml:space="preserve"> dod savu ieguldījumu</w:t>
      </w:r>
      <w:r>
        <w:t>, gan ēnu ekonomikas apkarošanā</w:t>
      </w:r>
      <w:r w:rsidRPr="007449F8">
        <w:t xml:space="preserve">, gan godīgas konkurences nodrošināšanā. Līdz ar to </w:t>
      </w:r>
      <w:r w:rsidRPr="00132378">
        <w:t xml:space="preserve">VAAD </w:t>
      </w:r>
      <w:r w:rsidRPr="007449F8">
        <w:t>uzskata, ka ne tikai nelegālo augu aizsardzības līdzekļu apkarošana, bet arī šīs tirgus uzraudzības kontroles būtu atspoguļojamas informatīvajā ziņojumā. 2013.gada 9 mēnešos dienests ir veicis sekojošas tirgus uzraudzības pārbaudes ar sekojošiem rezultātiem:</w:t>
      </w:r>
    </w:p>
    <w:p w:rsidR="00132378" w:rsidRPr="007449F8" w:rsidRDefault="00132378" w:rsidP="00132378">
      <w:pPr>
        <w:ind w:firstLine="709"/>
        <w:jc w:val="both"/>
      </w:pPr>
    </w:p>
    <w:p w:rsidR="00132378" w:rsidRPr="007449F8" w:rsidRDefault="00132378" w:rsidP="00132378">
      <w:pPr>
        <w:ind w:firstLine="709"/>
        <w:jc w:val="right"/>
      </w:pPr>
      <w:r w:rsidRPr="00951083">
        <w:t>Tabula Nr.</w:t>
      </w:r>
      <w:r w:rsidR="00951083" w:rsidRPr="00951083">
        <w:t>9</w:t>
      </w:r>
    </w:p>
    <w:tbl>
      <w:tblPr>
        <w:tblW w:w="9072" w:type="dxa"/>
        <w:tblInd w:w="108" w:type="dxa"/>
        <w:tblLayout w:type="fixed"/>
        <w:tblLook w:val="04A0" w:firstRow="1" w:lastRow="0" w:firstColumn="1" w:lastColumn="0" w:noHBand="0" w:noVBand="1"/>
      </w:tblPr>
      <w:tblGrid>
        <w:gridCol w:w="2552"/>
        <w:gridCol w:w="1559"/>
        <w:gridCol w:w="1701"/>
        <w:gridCol w:w="1701"/>
        <w:gridCol w:w="1559"/>
      </w:tblGrid>
      <w:tr w:rsidR="00132378" w:rsidRPr="007449F8" w:rsidTr="00951083">
        <w:trPr>
          <w:trHeight w:val="102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378" w:rsidRPr="007449F8" w:rsidRDefault="00132378" w:rsidP="00417398">
            <w:pPr>
              <w:jc w:val="center"/>
              <w:rPr>
                <w:color w:val="000000"/>
              </w:rPr>
            </w:pPr>
            <w:r w:rsidRPr="007449F8">
              <w:rPr>
                <w:color w:val="000000"/>
              </w:rPr>
              <w:t>Joma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2378" w:rsidRPr="007449F8" w:rsidRDefault="00132378" w:rsidP="00417398">
            <w:pPr>
              <w:jc w:val="center"/>
              <w:rPr>
                <w:color w:val="000000"/>
              </w:rPr>
            </w:pPr>
            <w:r w:rsidRPr="007449F8">
              <w:rPr>
                <w:color w:val="000000"/>
              </w:rPr>
              <w:t>Tirdzniecības vietu pārbaudes</w:t>
            </w:r>
            <w:r>
              <w:rPr>
                <w:color w:val="000000"/>
              </w:rPr>
              <w:t xml:space="preserve">, </w:t>
            </w:r>
            <w:r w:rsidRPr="007449F8">
              <w:rPr>
                <w:i/>
                <w:color w:val="000000"/>
              </w:rPr>
              <w:t>skaits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2378" w:rsidRPr="007449F8" w:rsidRDefault="00132378" w:rsidP="00417398">
            <w:pPr>
              <w:jc w:val="center"/>
              <w:rPr>
                <w:color w:val="000000"/>
              </w:rPr>
            </w:pPr>
            <w:r w:rsidRPr="007449F8">
              <w:rPr>
                <w:color w:val="000000"/>
              </w:rPr>
              <w:t>Konstatētie maznozīmīgie pārkāpumi</w:t>
            </w:r>
            <w:r>
              <w:rPr>
                <w:color w:val="000000"/>
              </w:rPr>
              <w:t xml:space="preserve">, </w:t>
            </w:r>
            <w:r w:rsidRPr="007449F8">
              <w:rPr>
                <w:i/>
                <w:color w:val="000000"/>
              </w:rPr>
              <w:t>skaits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2378" w:rsidRPr="007449F8" w:rsidRDefault="00132378" w:rsidP="00417398">
            <w:pPr>
              <w:jc w:val="center"/>
            </w:pPr>
            <w:r w:rsidRPr="007449F8">
              <w:t>Ierosinātās administratīvo pārkāpumu lietas</w:t>
            </w:r>
            <w:r>
              <w:t xml:space="preserve">, </w:t>
            </w:r>
            <w:r w:rsidRPr="007449F8">
              <w:rPr>
                <w:i/>
              </w:rPr>
              <w:t>skaits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32378" w:rsidRPr="007449F8" w:rsidRDefault="00132378" w:rsidP="00417398">
            <w:pPr>
              <w:jc w:val="center"/>
            </w:pPr>
            <w:r w:rsidRPr="007449F8">
              <w:t xml:space="preserve">Naudas sodi, </w:t>
            </w:r>
            <w:r w:rsidRPr="007449F8">
              <w:rPr>
                <w:i/>
              </w:rPr>
              <w:t>Ls</w:t>
            </w:r>
          </w:p>
        </w:tc>
      </w:tr>
      <w:tr w:rsidR="00132378" w:rsidRPr="007449F8" w:rsidTr="00951083">
        <w:trPr>
          <w:trHeight w:val="52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132378" w:rsidRPr="007449F8" w:rsidRDefault="00132378" w:rsidP="00417398">
            <w:r w:rsidRPr="007449F8">
              <w:t>Augu aizsardzības līdzekļu tirdzniecība</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175</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13</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3</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280</w:t>
            </w:r>
          </w:p>
        </w:tc>
      </w:tr>
      <w:tr w:rsidR="00132378" w:rsidRPr="007449F8" w:rsidTr="00951083">
        <w:trPr>
          <w:trHeight w:val="525"/>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132378" w:rsidRPr="007449F8" w:rsidRDefault="00132378" w:rsidP="00417398">
            <w:r w:rsidRPr="007449F8">
              <w:t>Mēslošanas līdzekļu tirdzniecība</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144</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28</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10</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740</w:t>
            </w:r>
          </w:p>
        </w:tc>
      </w:tr>
      <w:tr w:rsidR="00132378" w:rsidRPr="007449F8" w:rsidTr="00951083">
        <w:trPr>
          <w:trHeight w:val="30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132378" w:rsidRPr="007449F8" w:rsidRDefault="00132378" w:rsidP="00417398">
            <w:r w:rsidRPr="007449F8">
              <w:t>Sēklu tirdzniecība</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7</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0</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3</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280</w:t>
            </w:r>
          </w:p>
        </w:tc>
      </w:tr>
      <w:tr w:rsidR="00132378" w:rsidRPr="007449F8" w:rsidTr="00951083">
        <w:trPr>
          <w:trHeight w:val="780"/>
        </w:trPr>
        <w:tc>
          <w:tcPr>
            <w:tcW w:w="2552" w:type="dxa"/>
            <w:tcBorders>
              <w:top w:val="nil"/>
              <w:left w:val="single" w:sz="4" w:space="0" w:color="auto"/>
              <w:bottom w:val="single" w:sz="4" w:space="0" w:color="auto"/>
              <w:right w:val="single" w:sz="4" w:space="0" w:color="auto"/>
            </w:tcBorders>
            <w:shd w:val="clear" w:color="000000" w:fill="FFFFFF"/>
            <w:vAlign w:val="bottom"/>
            <w:hideMark/>
          </w:tcPr>
          <w:p w:rsidR="00132378" w:rsidRPr="007449F8" w:rsidRDefault="00132378" w:rsidP="00417398">
            <w:r w:rsidRPr="007449F8">
              <w:t>Fitosanitārai kontrolei pakļauto augu un augu produktu tirdzniecība</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311</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25</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0</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0</w:t>
            </w:r>
          </w:p>
        </w:tc>
      </w:tr>
      <w:tr w:rsidR="00132378" w:rsidRPr="007449F8" w:rsidTr="00951083">
        <w:trPr>
          <w:trHeight w:val="300"/>
        </w:trPr>
        <w:tc>
          <w:tcPr>
            <w:tcW w:w="2552" w:type="dxa"/>
            <w:tcBorders>
              <w:top w:val="nil"/>
              <w:left w:val="single" w:sz="4" w:space="0" w:color="auto"/>
              <w:bottom w:val="single" w:sz="4" w:space="0" w:color="auto"/>
              <w:right w:val="single" w:sz="4" w:space="0" w:color="auto"/>
            </w:tcBorders>
            <w:shd w:val="clear" w:color="000000" w:fill="FFFFFF"/>
            <w:noWrap/>
            <w:vAlign w:val="bottom"/>
            <w:hideMark/>
          </w:tcPr>
          <w:p w:rsidR="00132378" w:rsidRPr="007449F8" w:rsidRDefault="00132378" w:rsidP="00417398">
            <w:r w:rsidRPr="007449F8">
              <w:t>Kopā</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637</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66</w:t>
            </w:r>
          </w:p>
        </w:tc>
        <w:tc>
          <w:tcPr>
            <w:tcW w:w="1701"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16</w:t>
            </w:r>
          </w:p>
        </w:tc>
        <w:tc>
          <w:tcPr>
            <w:tcW w:w="1559" w:type="dxa"/>
            <w:tcBorders>
              <w:top w:val="nil"/>
              <w:left w:val="nil"/>
              <w:bottom w:val="single" w:sz="4" w:space="0" w:color="auto"/>
              <w:right w:val="single" w:sz="4" w:space="0" w:color="auto"/>
            </w:tcBorders>
            <w:shd w:val="clear" w:color="000000" w:fill="FFFFFF"/>
            <w:noWrap/>
            <w:vAlign w:val="center"/>
            <w:hideMark/>
          </w:tcPr>
          <w:p w:rsidR="00132378" w:rsidRPr="007449F8" w:rsidRDefault="00132378" w:rsidP="00417398">
            <w:pPr>
              <w:jc w:val="center"/>
            </w:pPr>
            <w:r w:rsidRPr="007449F8">
              <w:t>1300</w:t>
            </w:r>
          </w:p>
        </w:tc>
      </w:tr>
    </w:tbl>
    <w:p w:rsidR="00132378" w:rsidRDefault="00132378" w:rsidP="00132378">
      <w:pPr>
        <w:ind w:firstLine="709"/>
        <w:jc w:val="both"/>
      </w:pPr>
    </w:p>
    <w:p w:rsidR="00132378" w:rsidRPr="007449F8" w:rsidRDefault="00132378" w:rsidP="00132378">
      <w:pPr>
        <w:ind w:firstLine="709"/>
        <w:jc w:val="both"/>
      </w:pPr>
      <w:r>
        <w:t xml:space="preserve">Lai novērstu nelegālo augu aizsardzības līdzekļu (turpmāk – AAL) tirdzniecību, </w:t>
      </w:r>
      <w:r w:rsidRPr="00132378">
        <w:t xml:space="preserve">VAAD </w:t>
      </w:r>
      <w:r w:rsidRPr="007449F8">
        <w:t xml:space="preserve">seko līdzi informācijai, kas tiek ievietota sludinājumos par AAL tirdzniecību, pārbaudot šo informāciju, kā arī pārbauda lauksaimnieku sniegto informāciju par iespējami viltotu AAL tirdzniecību. Tāpat 2013.gadā turpinājām sadarbību ar Valsts ieņēmuma dienesta Muitas pārvaldi un informējām par AAL kravām, kurās ir iespējami AAL viltojumi, lai aizturētu šīs kravas un veiktu attiecīgās pārbaudes un nepieļautu to ievešanu Eiropas Kopienas teritorijā. Informācija par šīm kravām tika saņemta no citu valstu Augu aizsardzības dienestiem. </w:t>
      </w:r>
    </w:p>
    <w:p w:rsidR="00132378" w:rsidRPr="007449F8" w:rsidRDefault="00132378" w:rsidP="00132378">
      <w:pPr>
        <w:ind w:firstLine="709"/>
        <w:jc w:val="both"/>
      </w:pPr>
      <w:r w:rsidRPr="00132378">
        <w:t xml:space="preserve">VAAD </w:t>
      </w:r>
      <w:r w:rsidRPr="007449F8">
        <w:t xml:space="preserve">2013.gadā ir ierosinājis 2 administratīvā pārkāpuma lietas par Latvijā </w:t>
      </w:r>
      <w:r>
        <w:t xml:space="preserve">par </w:t>
      </w:r>
      <w:r w:rsidRPr="007449F8">
        <w:t>nereģistrētu AAL tirdzniecību:</w:t>
      </w:r>
    </w:p>
    <w:p w:rsidR="00132378" w:rsidRPr="007449F8" w:rsidRDefault="00132378" w:rsidP="00132378">
      <w:pPr>
        <w:ind w:firstLine="709"/>
        <w:jc w:val="both"/>
      </w:pPr>
      <w:r w:rsidRPr="007449F8">
        <w:t xml:space="preserve">1) </w:t>
      </w:r>
      <w:r w:rsidR="004A2421">
        <w:t xml:space="preserve">Š.g. </w:t>
      </w:r>
      <w:r w:rsidRPr="007449F8">
        <w:t>3.</w:t>
      </w:r>
      <w:r w:rsidR="004A2421">
        <w:t>maijā</w:t>
      </w:r>
      <w:r w:rsidRPr="007449F8">
        <w:t xml:space="preserve"> tika ierosināta admin</w:t>
      </w:r>
      <w:r w:rsidR="004A2421">
        <w:t>istratīvā pārkāpuma lieta pret fizisku personu</w:t>
      </w:r>
      <w:r w:rsidRPr="007449F8">
        <w:t xml:space="preserve">, par Latvijā nereģistrēta AAL tirdzniecību (Krievijā ražoti AAL) un AAL tirdzniecību bez licences. </w:t>
      </w:r>
      <w:r w:rsidR="004A2421">
        <w:t>Fiziskajai personai</w:t>
      </w:r>
      <w:r w:rsidRPr="007449F8">
        <w:t xml:space="preserve"> uzlikts naudas sods Ls 40 apmērā un piemērota izņemtās mantas konfiskācija;</w:t>
      </w:r>
    </w:p>
    <w:p w:rsidR="00132378" w:rsidRPr="007449F8" w:rsidRDefault="00132378" w:rsidP="00132378">
      <w:pPr>
        <w:ind w:firstLine="709"/>
        <w:jc w:val="both"/>
      </w:pPr>
      <w:r w:rsidRPr="007449F8">
        <w:t xml:space="preserve">2) </w:t>
      </w:r>
      <w:r w:rsidR="004A2421">
        <w:t xml:space="preserve">Š.g. </w:t>
      </w:r>
      <w:r w:rsidRPr="007449F8">
        <w:t>20.</w:t>
      </w:r>
      <w:r w:rsidR="004A2421">
        <w:t xml:space="preserve">jūnijā </w:t>
      </w:r>
      <w:r w:rsidRPr="007449F8">
        <w:t xml:space="preserve">tika ierosināta administratīvā pārkāpuma lieta pret IK </w:t>
      </w:r>
      <w:r>
        <w:t>„</w:t>
      </w:r>
      <w:r w:rsidRPr="007449F8">
        <w:t>Adanaja</w:t>
      </w:r>
      <w:r>
        <w:t>”</w:t>
      </w:r>
      <w:r w:rsidRPr="007449F8">
        <w:t>, (Puškina iela 92-27, Daugavpils) par Latvijā nereģistrēta AAL tirdzniecību (Krievijā ražoti AAL) un AAL tirdzniecību bez licences. IK „Adajana” uzlikts naudas sods Ls 120 un piemērota izņemtās mantas konfiskācija.</w:t>
      </w:r>
    </w:p>
    <w:p w:rsidR="00132378" w:rsidRPr="007449F8" w:rsidRDefault="00132378" w:rsidP="00132378">
      <w:pPr>
        <w:ind w:firstLine="709"/>
        <w:jc w:val="both"/>
      </w:pPr>
      <w:r w:rsidRPr="007449F8">
        <w:t xml:space="preserve">Īpaši būtu uzsverams, ka dienests </w:t>
      </w:r>
      <w:r>
        <w:t xml:space="preserve">sadarbībā ar Valsts policiju un Rīgas pašvaldības policiju </w:t>
      </w:r>
      <w:r w:rsidRPr="007449F8">
        <w:t>devis savu ieguldījumu „legālo” narkotiku apkarošanā, ierosinot lietas par tā saucamo „augu mēslojumu” tirdzniecību, jo firmas kas izplata „legālās narkotikas” meklē „caurumus” likumdošanā, kurus izmanot šo vielu tirdzniecībai. Pateicoties dienesta aktivitātēm, izmantot formulējumu šīm vielām „augu mēslojums”, būs apgrūtināts:</w:t>
      </w:r>
    </w:p>
    <w:p w:rsidR="00132378" w:rsidRPr="007449F8" w:rsidRDefault="00132378" w:rsidP="00132378">
      <w:pPr>
        <w:ind w:firstLine="709"/>
        <w:jc w:val="both"/>
      </w:pPr>
      <w:r w:rsidRPr="007449F8">
        <w:t xml:space="preserve">1) </w:t>
      </w:r>
      <w:r>
        <w:t xml:space="preserve">Š.g. </w:t>
      </w:r>
      <w:r w:rsidRPr="007449F8">
        <w:t>19.</w:t>
      </w:r>
      <w:r>
        <w:t xml:space="preserve">augustā </w:t>
      </w:r>
      <w:r w:rsidRPr="007449F8">
        <w:t xml:space="preserve">tika ierosināta administratīvā pārkāpuma lieta pret SIA </w:t>
      </w:r>
      <w:r>
        <w:t>„</w:t>
      </w:r>
      <w:r w:rsidRPr="007449F8">
        <w:t>Nadin</w:t>
      </w:r>
      <w:r>
        <w:t>”</w:t>
      </w:r>
      <w:r w:rsidRPr="007449F8">
        <w:t xml:space="preserve"> (Slēpotāju iela 51, Rīga). Tirdzniecības vietā tika tirgoti mēslošanas līdzekļu valsts reģistrā </w:t>
      </w:r>
      <w:r w:rsidRPr="007449F8">
        <w:lastRenderedPageBreak/>
        <w:t>nereģistrēti ML. ML tirdzniecība tika apturēta un par šo pārkāpumu SIA „Nadin” uzlikts naudas sods Ls 100 apmērā;</w:t>
      </w:r>
      <w:r w:rsidRPr="007449F8">
        <w:tab/>
      </w:r>
    </w:p>
    <w:p w:rsidR="00132378" w:rsidRDefault="00132378" w:rsidP="00132378">
      <w:pPr>
        <w:ind w:firstLine="709"/>
        <w:jc w:val="both"/>
      </w:pPr>
      <w:r w:rsidRPr="007449F8">
        <w:t xml:space="preserve">2) </w:t>
      </w:r>
      <w:r w:rsidRPr="00132378">
        <w:t>Š.g. 19.augustā</w:t>
      </w:r>
      <w:r>
        <w:t xml:space="preserve"> </w:t>
      </w:r>
      <w:r w:rsidRPr="007449F8">
        <w:t xml:space="preserve">tika ierosināta administratīvā pārkāpuma lieta pret SIA </w:t>
      </w:r>
      <w:r>
        <w:t>„</w:t>
      </w:r>
      <w:r w:rsidRPr="007449F8">
        <w:t>Aroma S</w:t>
      </w:r>
      <w:r>
        <w:t>”</w:t>
      </w:r>
      <w:r w:rsidRPr="007449F8">
        <w:t xml:space="preserve">, </w:t>
      </w:r>
      <w:r>
        <w:t xml:space="preserve">(Lomonosova iela 1, k-8, Rīga). </w:t>
      </w:r>
      <w:r w:rsidRPr="007449F8">
        <w:t xml:space="preserve">Tirdzniecības vietā tika tirgoti mēslošanas līdzekļu valsts reģistrā nereģistrēti ML. ML tirdzniecība tika apturēta un par šo pārkāpumu SIA </w:t>
      </w:r>
      <w:r>
        <w:t>„</w:t>
      </w:r>
      <w:r w:rsidRPr="007449F8">
        <w:t>Aroma S” uzlikts naudas sods Ls 200 apmērā;</w:t>
      </w:r>
    </w:p>
    <w:p w:rsidR="00132378" w:rsidRDefault="00132378" w:rsidP="00132378">
      <w:pPr>
        <w:ind w:firstLine="709"/>
        <w:jc w:val="both"/>
      </w:pPr>
      <w:r w:rsidRPr="007449F8">
        <w:t xml:space="preserve">3) </w:t>
      </w:r>
      <w:r>
        <w:t>Š.g. 5.septembrī</w:t>
      </w:r>
      <w:r w:rsidRPr="007449F8">
        <w:t xml:space="preserve"> tika ierosināta administratīvā pārkāpuma lieta pret SIA </w:t>
      </w:r>
      <w:r>
        <w:t>„</w:t>
      </w:r>
      <w:r w:rsidRPr="007449F8">
        <w:t>Kostendo</w:t>
      </w:r>
      <w:r>
        <w:t>”</w:t>
      </w:r>
      <w:r w:rsidRPr="007449F8">
        <w:t xml:space="preserve"> (Kaivas iela 50 k-5-47, Rīga). Tirdzniecības vietā tika tirgoti mēslošanas līdzekļu valsts reģistrā nereģistrēti ML. ML tirdzniecība tika apturēta un par šo pārkāpumu SIA </w:t>
      </w:r>
      <w:r>
        <w:t>„</w:t>
      </w:r>
      <w:r w:rsidRPr="007449F8">
        <w:t>Kostendo</w:t>
      </w:r>
      <w:r>
        <w:t>”</w:t>
      </w:r>
      <w:r w:rsidRPr="007449F8">
        <w:t xml:space="preserve"> uzlikts naudas sods Ls 20 apmērā.</w:t>
      </w:r>
    </w:p>
    <w:p w:rsidR="00132378" w:rsidRDefault="00132378" w:rsidP="00132378">
      <w:pPr>
        <w:ind w:firstLine="709"/>
        <w:jc w:val="both"/>
      </w:pPr>
    </w:p>
    <w:p w:rsidR="004A2421" w:rsidRDefault="004A2421" w:rsidP="004A2421">
      <w:pPr>
        <w:ind w:firstLine="709"/>
        <w:jc w:val="right"/>
      </w:pPr>
      <w:r>
        <w:t>10.tabula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731"/>
        <w:gridCol w:w="3686"/>
        <w:gridCol w:w="1417"/>
        <w:gridCol w:w="1559"/>
      </w:tblGrid>
      <w:tr w:rsidR="00132378" w:rsidRPr="00132378" w:rsidTr="00132378">
        <w:tc>
          <w:tcPr>
            <w:tcW w:w="674" w:type="dxa"/>
          </w:tcPr>
          <w:p w:rsidR="00132378" w:rsidRPr="00132378" w:rsidRDefault="00132378" w:rsidP="00417398">
            <w:pPr>
              <w:rPr>
                <w:sz w:val="20"/>
                <w:szCs w:val="20"/>
              </w:rPr>
            </w:pPr>
            <w:r w:rsidRPr="00132378">
              <w:rPr>
                <w:sz w:val="20"/>
                <w:szCs w:val="20"/>
              </w:rPr>
              <w:t>Nr. p. k.</w:t>
            </w:r>
          </w:p>
        </w:tc>
        <w:tc>
          <w:tcPr>
            <w:tcW w:w="1731" w:type="dxa"/>
          </w:tcPr>
          <w:p w:rsidR="00132378" w:rsidRPr="00132378" w:rsidRDefault="00132378" w:rsidP="00417398">
            <w:pPr>
              <w:jc w:val="center"/>
              <w:rPr>
                <w:sz w:val="20"/>
                <w:szCs w:val="20"/>
              </w:rPr>
            </w:pPr>
            <w:r w:rsidRPr="00132378">
              <w:rPr>
                <w:sz w:val="20"/>
                <w:szCs w:val="20"/>
              </w:rPr>
              <w:t>Darbības rezultāts</w:t>
            </w:r>
          </w:p>
        </w:tc>
        <w:tc>
          <w:tcPr>
            <w:tcW w:w="3686" w:type="dxa"/>
          </w:tcPr>
          <w:p w:rsidR="00132378" w:rsidRPr="00132378" w:rsidRDefault="00132378" w:rsidP="00417398">
            <w:pPr>
              <w:jc w:val="center"/>
              <w:rPr>
                <w:sz w:val="20"/>
                <w:szCs w:val="20"/>
              </w:rPr>
            </w:pPr>
            <w:r w:rsidRPr="00132378">
              <w:rPr>
                <w:sz w:val="20"/>
                <w:szCs w:val="20"/>
              </w:rPr>
              <w:t>Rezultatīvie rādītāji</w:t>
            </w:r>
          </w:p>
        </w:tc>
        <w:tc>
          <w:tcPr>
            <w:tcW w:w="1417" w:type="dxa"/>
          </w:tcPr>
          <w:p w:rsidR="00132378" w:rsidRPr="00132378" w:rsidRDefault="00132378" w:rsidP="00417398">
            <w:pPr>
              <w:jc w:val="center"/>
              <w:rPr>
                <w:sz w:val="20"/>
                <w:szCs w:val="20"/>
              </w:rPr>
            </w:pPr>
            <w:r w:rsidRPr="00132378">
              <w:rPr>
                <w:sz w:val="20"/>
                <w:szCs w:val="20"/>
              </w:rPr>
              <w:t>Rādītāji pārskata periodā</w:t>
            </w:r>
          </w:p>
        </w:tc>
        <w:tc>
          <w:tcPr>
            <w:tcW w:w="1559" w:type="dxa"/>
          </w:tcPr>
          <w:p w:rsidR="00132378" w:rsidRPr="00132378" w:rsidRDefault="00132378" w:rsidP="00417398">
            <w:pPr>
              <w:jc w:val="center"/>
              <w:rPr>
                <w:sz w:val="20"/>
                <w:szCs w:val="20"/>
              </w:rPr>
            </w:pPr>
            <w:r w:rsidRPr="00132378">
              <w:rPr>
                <w:sz w:val="20"/>
                <w:szCs w:val="20"/>
              </w:rPr>
              <w:t>Rādītāju izmaiņas salīdzinājumā pret iepriekšējo periodu %</w:t>
            </w:r>
          </w:p>
        </w:tc>
      </w:tr>
      <w:tr w:rsidR="00132378" w:rsidRPr="00132378" w:rsidTr="00132378">
        <w:tc>
          <w:tcPr>
            <w:tcW w:w="9067" w:type="dxa"/>
            <w:gridSpan w:val="5"/>
            <w:shd w:val="clear" w:color="auto" w:fill="auto"/>
          </w:tcPr>
          <w:p w:rsidR="00132378" w:rsidRPr="00132378" w:rsidRDefault="00132378" w:rsidP="00417398">
            <w:pPr>
              <w:rPr>
                <w:sz w:val="20"/>
                <w:szCs w:val="20"/>
              </w:rPr>
            </w:pPr>
            <w:r w:rsidRPr="00132378">
              <w:rPr>
                <w:sz w:val="20"/>
                <w:szCs w:val="20"/>
              </w:rPr>
              <w:t>Valsts augu aizsardzības dienestā</w:t>
            </w:r>
          </w:p>
        </w:tc>
      </w:tr>
      <w:tr w:rsidR="00132378" w:rsidRPr="00132378" w:rsidTr="00132378">
        <w:tc>
          <w:tcPr>
            <w:tcW w:w="674" w:type="dxa"/>
            <w:vMerge w:val="restart"/>
            <w:shd w:val="clear" w:color="auto" w:fill="auto"/>
          </w:tcPr>
          <w:p w:rsidR="00132378" w:rsidRPr="00132378" w:rsidRDefault="00132378" w:rsidP="00417398">
            <w:pPr>
              <w:rPr>
                <w:sz w:val="20"/>
                <w:szCs w:val="20"/>
              </w:rPr>
            </w:pPr>
            <w:r w:rsidRPr="00132378">
              <w:rPr>
                <w:sz w:val="20"/>
                <w:szCs w:val="20"/>
              </w:rPr>
              <w:t>1.</w:t>
            </w:r>
          </w:p>
        </w:tc>
        <w:tc>
          <w:tcPr>
            <w:tcW w:w="1731" w:type="dxa"/>
            <w:vMerge w:val="restart"/>
            <w:shd w:val="clear" w:color="auto" w:fill="auto"/>
          </w:tcPr>
          <w:p w:rsidR="00132378" w:rsidRPr="00132378" w:rsidRDefault="00132378" w:rsidP="00417398">
            <w:pPr>
              <w:rPr>
                <w:sz w:val="20"/>
                <w:szCs w:val="20"/>
              </w:rPr>
            </w:pPr>
            <w:r w:rsidRPr="00132378">
              <w:rPr>
                <w:sz w:val="20"/>
                <w:szCs w:val="20"/>
              </w:rPr>
              <w:t>Veikta nelegālo augu aizsardzības līdzekļu (AAL) tirdzniecības apkarošana</w:t>
            </w:r>
          </w:p>
        </w:tc>
        <w:tc>
          <w:tcPr>
            <w:tcW w:w="3686" w:type="dxa"/>
            <w:shd w:val="clear" w:color="auto" w:fill="auto"/>
          </w:tcPr>
          <w:p w:rsidR="00132378" w:rsidRPr="00132378" w:rsidRDefault="00132378" w:rsidP="00417398">
            <w:pPr>
              <w:rPr>
                <w:sz w:val="20"/>
                <w:szCs w:val="20"/>
              </w:rPr>
            </w:pPr>
            <w:r w:rsidRPr="00132378">
              <w:rPr>
                <w:sz w:val="20"/>
                <w:szCs w:val="20"/>
              </w:rPr>
              <w:t>konfiscēto nelegālo tirgotāju augu aizsardzības līdzekļi</w:t>
            </w:r>
            <w:r w:rsidRPr="00132378">
              <w:rPr>
                <w:i/>
                <w:sz w:val="20"/>
                <w:szCs w:val="20"/>
              </w:rPr>
              <w:t xml:space="preserve"> kg</w:t>
            </w:r>
          </w:p>
        </w:tc>
        <w:tc>
          <w:tcPr>
            <w:tcW w:w="1417" w:type="dxa"/>
            <w:shd w:val="clear" w:color="auto" w:fill="auto"/>
          </w:tcPr>
          <w:p w:rsidR="00132378" w:rsidRPr="00132378" w:rsidRDefault="00132378" w:rsidP="00417398">
            <w:pPr>
              <w:jc w:val="center"/>
              <w:rPr>
                <w:sz w:val="20"/>
                <w:szCs w:val="20"/>
              </w:rPr>
            </w:pPr>
            <w:r w:rsidRPr="00132378">
              <w:rPr>
                <w:sz w:val="20"/>
                <w:szCs w:val="20"/>
              </w:rPr>
              <w:t xml:space="preserve">0,490 </w:t>
            </w:r>
          </w:p>
        </w:tc>
        <w:tc>
          <w:tcPr>
            <w:tcW w:w="1559" w:type="dxa"/>
            <w:shd w:val="clear" w:color="auto" w:fill="auto"/>
          </w:tcPr>
          <w:p w:rsidR="00132378" w:rsidRPr="00132378" w:rsidRDefault="00132378" w:rsidP="00417398">
            <w:pPr>
              <w:jc w:val="center"/>
              <w:rPr>
                <w:sz w:val="20"/>
                <w:szCs w:val="20"/>
              </w:rPr>
            </w:pPr>
            <w:r w:rsidRPr="00132378">
              <w:rPr>
                <w:sz w:val="20"/>
                <w:szCs w:val="20"/>
              </w:rPr>
              <w:t>-90% (5 l)</w:t>
            </w:r>
          </w:p>
        </w:tc>
      </w:tr>
      <w:tr w:rsidR="00132378" w:rsidRPr="00132378" w:rsidTr="00132378">
        <w:tc>
          <w:tcPr>
            <w:tcW w:w="674" w:type="dxa"/>
            <w:vMerge/>
            <w:shd w:val="clear" w:color="auto" w:fill="auto"/>
          </w:tcPr>
          <w:p w:rsidR="00132378" w:rsidRPr="00132378" w:rsidRDefault="00132378" w:rsidP="00417398">
            <w:pPr>
              <w:rPr>
                <w:sz w:val="20"/>
                <w:szCs w:val="20"/>
              </w:rPr>
            </w:pPr>
          </w:p>
        </w:tc>
        <w:tc>
          <w:tcPr>
            <w:tcW w:w="1731" w:type="dxa"/>
            <w:vMerge/>
            <w:shd w:val="clear" w:color="auto" w:fill="auto"/>
          </w:tcPr>
          <w:p w:rsidR="00132378" w:rsidRPr="00132378" w:rsidRDefault="00132378" w:rsidP="00417398">
            <w:pPr>
              <w:rPr>
                <w:sz w:val="20"/>
                <w:szCs w:val="20"/>
              </w:rPr>
            </w:pPr>
          </w:p>
        </w:tc>
        <w:tc>
          <w:tcPr>
            <w:tcW w:w="3686" w:type="dxa"/>
            <w:shd w:val="clear" w:color="auto" w:fill="auto"/>
          </w:tcPr>
          <w:p w:rsidR="00132378" w:rsidRPr="00132378" w:rsidRDefault="00132378" w:rsidP="00417398">
            <w:pPr>
              <w:rPr>
                <w:sz w:val="20"/>
                <w:szCs w:val="20"/>
              </w:rPr>
            </w:pPr>
            <w:r w:rsidRPr="00132378">
              <w:rPr>
                <w:sz w:val="20"/>
                <w:szCs w:val="20"/>
              </w:rPr>
              <w:t xml:space="preserve">ierosināto administratīvo lietu </w:t>
            </w:r>
            <w:r w:rsidRPr="00132378">
              <w:rPr>
                <w:i/>
                <w:sz w:val="20"/>
                <w:szCs w:val="20"/>
              </w:rPr>
              <w:t>skaits</w:t>
            </w:r>
            <w:r w:rsidRPr="00132378">
              <w:rPr>
                <w:sz w:val="20"/>
                <w:szCs w:val="20"/>
              </w:rPr>
              <w:t xml:space="preserve"> (saskaņā ar LAPK par AAL tirdzniecību bez licences)</w:t>
            </w:r>
          </w:p>
        </w:tc>
        <w:tc>
          <w:tcPr>
            <w:tcW w:w="1417" w:type="dxa"/>
            <w:shd w:val="clear" w:color="auto" w:fill="auto"/>
          </w:tcPr>
          <w:p w:rsidR="00132378" w:rsidRPr="00132378" w:rsidRDefault="00132378" w:rsidP="00417398">
            <w:pPr>
              <w:jc w:val="center"/>
              <w:rPr>
                <w:sz w:val="20"/>
                <w:szCs w:val="20"/>
              </w:rPr>
            </w:pPr>
            <w:r w:rsidRPr="00132378">
              <w:rPr>
                <w:sz w:val="20"/>
                <w:szCs w:val="20"/>
              </w:rPr>
              <w:t>2</w:t>
            </w:r>
          </w:p>
        </w:tc>
        <w:tc>
          <w:tcPr>
            <w:tcW w:w="1559" w:type="dxa"/>
            <w:shd w:val="clear" w:color="auto" w:fill="auto"/>
          </w:tcPr>
          <w:p w:rsidR="00132378" w:rsidRPr="00132378" w:rsidRDefault="00132378" w:rsidP="00417398">
            <w:pPr>
              <w:ind w:left="405"/>
              <w:rPr>
                <w:sz w:val="20"/>
                <w:szCs w:val="20"/>
              </w:rPr>
            </w:pPr>
            <w:r w:rsidRPr="00132378">
              <w:rPr>
                <w:sz w:val="20"/>
                <w:szCs w:val="20"/>
              </w:rPr>
              <w:t>-33% (3 lietas)</w:t>
            </w:r>
          </w:p>
        </w:tc>
      </w:tr>
      <w:tr w:rsidR="00132378" w:rsidRPr="00132378" w:rsidTr="00132378">
        <w:tc>
          <w:tcPr>
            <w:tcW w:w="674" w:type="dxa"/>
            <w:vMerge/>
            <w:shd w:val="clear" w:color="auto" w:fill="auto"/>
          </w:tcPr>
          <w:p w:rsidR="00132378" w:rsidRPr="00132378" w:rsidRDefault="00132378" w:rsidP="00417398">
            <w:pPr>
              <w:rPr>
                <w:sz w:val="20"/>
                <w:szCs w:val="20"/>
              </w:rPr>
            </w:pPr>
          </w:p>
        </w:tc>
        <w:tc>
          <w:tcPr>
            <w:tcW w:w="1731" w:type="dxa"/>
            <w:vMerge/>
            <w:shd w:val="clear" w:color="auto" w:fill="auto"/>
          </w:tcPr>
          <w:p w:rsidR="00132378" w:rsidRPr="00132378" w:rsidRDefault="00132378" w:rsidP="00417398">
            <w:pPr>
              <w:rPr>
                <w:sz w:val="20"/>
                <w:szCs w:val="20"/>
              </w:rPr>
            </w:pPr>
          </w:p>
        </w:tc>
        <w:tc>
          <w:tcPr>
            <w:tcW w:w="3686" w:type="dxa"/>
            <w:shd w:val="clear" w:color="auto" w:fill="auto"/>
          </w:tcPr>
          <w:p w:rsidR="00132378" w:rsidRPr="00132378" w:rsidRDefault="00132378" w:rsidP="00417398">
            <w:pPr>
              <w:rPr>
                <w:sz w:val="20"/>
                <w:szCs w:val="20"/>
              </w:rPr>
            </w:pPr>
            <w:r w:rsidRPr="00132378">
              <w:rPr>
                <w:sz w:val="20"/>
                <w:szCs w:val="20"/>
              </w:rPr>
              <w:t xml:space="preserve">iekasētās soda naudas </w:t>
            </w:r>
            <w:r w:rsidRPr="00132378">
              <w:rPr>
                <w:i/>
                <w:sz w:val="20"/>
                <w:szCs w:val="20"/>
              </w:rPr>
              <w:t>latos</w:t>
            </w:r>
            <w:r w:rsidRPr="00132378">
              <w:rPr>
                <w:sz w:val="20"/>
                <w:szCs w:val="20"/>
              </w:rPr>
              <w:t xml:space="preserve"> (saskaņā ar LAPK par AAL tirdzniecību bez licences)</w:t>
            </w:r>
          </w:p>
        </w:tc>
        <w:tc>
          <w:tcPr>
            <w:tcW w:w="1417" w:type="dxa"/>
            <w:shd w:val="clear" w:color="auto" w:fill="auto"/>
          </w:tcPr>
          <w:p w:rsidR="00132378" w:rsidRPr="00132378" w:rsidRDefault="00132378" w:rsidP="00132378">
            <w:pPr>
              <w:ind w:left="-108"/>
              <w:jc w:val="center"/>
              <w:rPr>
                <w:sz w:val="20"/>
                <w:szCs w:val="20"/>
              </w:rPr>
            </w:pPr>
            <w:r w:rsidRPr="00132378">
              <w:rPr>
                <w:sz w:val="20"/>
                <w:szCs w:val="20"/>
              </w:rPr>
              <w:t>160</w:t>
            </w:r>
          </w:p>
        </w:tc>
        <w:tc>
          <w:tcPr>
            <w:tcW w:w="1559" w:type="dxa"/>
            <w:shd w:val="clear" w:color="auto" w:fill="auto"/>
          </w:tcPr>
          <w:p w:rsidR="00132378" w:rsidRPr="00132378" w:rsidRDefault="00132378" w:rsidP="00417398">
            <w:pPr>
              <w:ind w:left="405"/>
              <w:rPr>
                <w:sz w:val="20"/>
                <w:szCs w:val="20"/>
              </w:rPr>
            </w:pPr>
            <w:r w:rsidRPr="00132378">
              <w:rPr>
                <w:sz w:val="20"/>
                <w:szCs w:val="20"/>
              </w:rPr>
              <w:t>-36% ( 250 Ls)</w:t>
            </w:r>
          </w:p>
        </w:tc>
      </w:tr>
      <w:tr w:rsidR="00132378" w:rsidRPr="00132378" w:rsidTr="00132378">
        <w:tc>
          <w:tcPr>
            <w:tcW w:w="674" w:type="dxa"/>
            <w:vMerge/>
            <w:shd w:val="clear" w:color="auto" w:fill="auto"/>
          </w:tcPr>
          <w:p w:rsidR="00132378" w:rsidRPr="00132378" w:rsidRDefault="00132378" w:rsidP="00417398">
            <w:pPr>
              <w:rPr>
                <w:sz w:val="20"/>
                <w:szCs w:val="20"/>
              </w:rPr>
            </w:pPr>
          </w:p>
        </w:tc>
        <w:tc>
          <w:tcPr>
            <w:tcW w:w="1731" w:type="dxa"/>
            <w:vMerge/>
            <w:shd w:val="clear" w:color="auto" w:fill="auto"/>
          </w:tcPr>
          <w:p w:rsidR="00132378" w:rsidRPr="00132378" w:rsidRDefault="00132378" w:rsidP="00417398">
            <w:pPr>
              <w:rPr>
                <w:sz w:val="20"/>
                <w:szCs w:val="20"/>
              </w:rPr>
            </w:pPr>
          </w:p>
        </w:tc>
        <w:tc>
          <w:tcPr>
            <w:tcW w:w="3686" w:type="dxa"/>
            <w:shd w:val="clear" w:color="auto" w:fill="auto"/>
          </w:tcPr>
          <w:p w:rsidR="00132378" w:rsidRPr="00132378" w:rsidRDefault="00132378" w:rsidP="00417398">
            <w:pPr>
              <w:rPr>
                <w:sz w:val="20"/>
                <w:szCs w:val="20"/>
              </w:rPr>
            </w:pPr>
            <w:r w:rsidRPr="00132378">
              <w:rPr>
                <w:sz w:val="20"/>
                <w:szCs w:val="20"/>
              </w:rPr>
              <w:t xml:space="preserve">iznīcinātais viltotu AAL daudzums </w:t>
            </w:r>
            <w:r w:rsidRPr="00132378">
              <w:rPr>
                <w:i/>
                <w:sz w:val="20"/>
                <w:szCs w:val="20"/>
              </w:rPr>
              <w:t>kg</w:t>
            </w:r>
          </w:p>
        </w:tc>
        <w:tc>
          <w:tcPr>
            <w:tcW w:w="1417" w:type="dxa"/>
            <w:shd w:val="clear" w:color="auto" w:fill="auto"/>
          </w:tcPr>
          <w:p w:rsidR="00132378" w:rsidRPr="00132378" w:rsidRDefault="00132378" w:rsidP="00417398">
            <w:pPr>
              <w:jc w:val="center"/>
              <w:rPr>
                <w:sz w:val="20"/>
                <w:szCs w:val="20"/>
              </w:rPr>
            </w:pPr>
            <w:r w:rsidRPr="00132378">
              <w:rPr>
                <w:sz w:val="20"/>
                <w:szCs w:val="20"/>
              </w:rPr>
              <w:t>-</w:t>
            </w:r>
          </w:p>
        </w:tc>
        <w:tc>
          <w:tcPr>
            <w:tcW w:w="1559" w:type="dxa"/>
            <w:shd w:val="clear" w:color="auto" w:fill="auto"/>
          </w:tcPr>
          <w:p w:rsidR="00132378" w:rsidRPr="00132378" w:rsidRDefault="00132378" w:rsidP="00417398">
            <w:pPr>
              <w:jc w:val="center"/>
              <w:rPr>
                <w:sz w:val="20"/>
                <w:szCs w:val="20"/>
              </w:rPr>
            </w:pPr>
            <w:r w:rsidRPr="00132378">
              <w:rPr>
                <w:sz w:val="20"/>
                <w:szCs w:val="20"/>
              </w:rPr>
              <w:t>-</w:t>
            </w:r>
          </w:p>
        </w:tc>
      </w:tr>
      <w:tr w:rsidR="00132378" w:rsidRPr="00132378" w:rsidTr="00132378">
        <w:trPr>
          <w:trHeight w:val="552"/>
        </w:trPr>
        <w:tc>
          <w:tcPr>
            <w:tcW w:w="674" w:type="dxa"/>
            <w:vMerge w:val="restart"/>
            <w:shd w:val="clear" w:color="auto" w:fill="auto"/>
          </w:tcPr>
          <w:p w:rsidR="00132378" w:rsidRPr="00132378" w:rsidRDefault="00132378" w:rsidP="00417398">
            <w:pPr>
              <w:rPr>
                <w:sz w:val="20"/>
                <w:szCs w:val="20"/>
              </w:rPr>
            </w:pPr>
            <w:r w:rsidRPr="00132378">
              <w:rPr>
                <w:sz w:val="20"/>
                <w:szCs w:val="20"/>
              </w:rPr>
              <w:t>2.</w:t>
            </w:r>
          </w:p>
        </w:tc>
        <w:tc>
          <w:tcPr>
            <w:tcW w:w="1731" w:type="dxa"/>
            <w:vMerge w:val="restart"/>
            <w:shd w:val="clear" w:color="auto" w:fill="auto"/>
          </w:tcPr>
          <w:p w:rsidR="00132378" w:rsidRPr="00132378" w:rsidRDefault="00132378" w:rsidP="00417398">
            <w:pPr>
              <w:rPr>
                <w:sz w:val="20"/>
                <w:szCs w:val="20"/>
              </w:rPr>
            </w:pPr>
            <w:r w:rsidRPr="00132378">
              <w:rPr>
                <w:sz w:val="20"/>
                <w:szCs w:val="20"/>
              </w:rPr>
              <w:t>Veikta nereģistrētu mēslošanas līdzekļu (ML) tirdzniecības apkarošana</w:t>
            </w:r>
          </w:p>
        </w:tc>
        <w:tc>
          <w:tcPr>
            <w:tcW w:w="3686" w:type="dxa"/>
            <w:shd w:val="clear" w:color="auto" w:fill="auto"/>
          </w:tcPr>
          <w:p w:rsidR="00132378" w:rsidRPr="00132378" w:rsidRDefault="00132378" w:rsidP="00417398">
            <w:pPr>
              <w:rPr>
                <w:sz w:val="20"/>
                <w:szCs w:val="20"/>
              </w:rPr>
            </w:pPr>
            <w:r w:rsidRPr="00132378">
              <w:rPr>
                <w:sz w:val="20"/>
                <w:szCs w:val="20"/>
              </w:rPr>
              <w:t xml:space="preserve">ierosināto administratīvo lietu </w:t>
            </w:r>
            <w:r w:rsidRPr="00132378">
              <w:rPr>
                <w:i/>
                <w:sz w:val="20"/>
                <w:szCs w:val="20"/>
              </w:rPr>
              <w:t>skaits</w:t>
            </w:r>
            <w:r w:rsidRPr="00132378">
              <w:rPr>
                <w:sz w:val="20"/>
                <w:szCs w:val="20"/>
              </w:rPr>
              <w:t xml:space="preserve"> (saskaņā ar LAPK par nereģistrētu ML tirdzniecību)</w:t>
            </w:r>
          </w:p>
        </w:tc>
        <w:tc>
          <w:tcPr>
            <w:tcW w:w="1417" w:type="dxa"/>
            <w:shd w:val="clear" w:color="auto" w:fill="auto"/>
          </w:tcPr>
          <w:p w:rsidR="00132378" w:rsidRPr="00132378" w:rsidRDefault="00132378" w:rsidP="00417398">
            <w:pPr>
              <w:jc w:val="center"/>
              <w:rPr>
                <w:sz w:val="20"/>
                <w:szCs w:val="20"/>
              </w:rPr>
            </w:pPr>
            <w:r w:rsidRPr="00132378">
              <w:rPr>
                <w:sz w:val="20"/>
                <w:szCs w:val="20"/>
              </w:rPr>
              <w:t xml:space="preserve">6 </w:t>
            </w:r>
          </w:p>
        </w:tc>
        <w:tc>
          <w:tcPr>
            <w:tcW w:w="1559" w:type="dxa"/>
            <w:shd w:val="clear" w:color="auto" w:fill="auto"/>
          </w:tcPr>
          <w:p w:rsidR="00132378" w:rsidRPr="00132378" w:rsidRDefault="00132378" w:rsidP="00417398">
            <w:pPr>
              <w:jc w:val="center"/>
              <w:rPr>
                <w:sz w:val="20"/>
                <w:szCs w:val="20"/>
              </w:rPr>
            </w:pPr>
            <w:r w:rsidRPr="00132378">
              <w:rPr>
                <w:sz w:val="20"/>
                <w:szCs w:val="20"/>
              </w:rPr>
              <w:t>-</w:t>
            </w:r>
          </w:p>
        </w:tc>
      </w:tr>
      <w:tr w:rsidR="00132378" w:rsidRPr="00132378" w:rsidTr="00132378">
        <w:trPr>
          <w:trHeight w:val="552"/>
        </w:trPr>
        <w:tc>
          <w:tcPr>
            <w:tcW w:w="674" w:type="dxa"/>
            <w:vMerge/>
            <w:shd w:val="clear" w:color="auto" w:fill="auto"/>
          </w:tcPr>
          <w:p w:rsidR="00132378" w:rsidRPr="00132378" w:rsidRDefault="00132378" w:rsidP="00417398">
            <w:pPr>
              <w:rPr>
                <w:sz w:val="20"/>
                <w:szCs w:val="20"/>
              </w:rPr>
            </w:pPr>
          </w:p>
        </w:tc>
        <w:tc>
          <w:tcPr>
            <w:tcW w:w="1731" w:type="dxa"/>
            <w:vMerge/>
            <w:shd w:val="clear" w:color="auto" w:fill="auto"/>
          </w:tcPr>
          <w:p w:rsidR="00132378" w:rsidRPr="00132378" w:rsidRDefault="00132378" w:rsidP="00417398">
            <w:pPr>
              <w:rPr>
                <w:sz w:val="20"/>
                <w:szCs w:val="20"/>
              </w:rPr>
            </w:pPr>
          </w:p>
        </w:tc>
        <w:tc>
          <w:tcPr>
            <w:tcW w:w="3686" w:type="dxa"/>
            <w:shd w:val="clear" w:color="auto" w:fill="auto"/>
          </w:tcPr>
          <w:p w:rsidR="00132378" w:rsidRPr="00132378" w:rsidRDefault="00132378" w:rsidP="00417398">
            <w:pPr>
              <w:rPr>
                <w:sz w:val="20"/>
                <w:szCs w:val="20"/>
              </w:rPr>
            </w:pPr>
            <w:r w:rsidRPr="00132378">
              <w:rPr>
                <w:sz w:val="20"/>
                <w:szCs w:val="20"/>
              </w:rPr>
              <w:t xml:space="preserve">iekasētās soda naudas </w:t>
            </w:r>
            <w:r w:rsidRPr="00132378">
              <w:rPr>
                <w:i/>
                <w:sz w:val="20"/>
                <w:szCs w:val="20"/>
              </w:rPr>
              <w:t>latos</w:t>
            </w:r>
            <w:r w:rsidRPr="00132378">
              <w:rPr>
                <w:sz w:val="20"/>
                <w:szCs w:val="20"/>
              </w:rPr>
              <w:t xml:space="preserve"> (saskaņā ar LAPK par nereģistrētu ML tirdzniecību)</w:t>
            </w:r>
          </w:p>
        </w:tc>
        <w:tc>
          <w:tcPr>
            <w:tcW w:w="1417" w:type="dxa"/>
            <w:shd w:val="clear" w:color="auto" w:fill="auto"/>
          </w:tcPr>
          <w:p w:rsidR="00132378" w:rsidRPr="00132378" w:rsidRDefault="00132378" w:rsidP="00417398">
            <w:pPr>
              <w:jc w:val="center"/>
              <w:rPr>
                <w:sz w:val="20"/>
                <w:szCs w:val="20"/>
              </w:rPr>
            </w:pPr>
            <w:r w:rsidRPr="00132378">
              <w:rPr>
                <w:sz w:val="20"/>
                <w:szCs w:val="20"/>
              </w:rPr>
              <w:t>550</w:t>
            </w:r>
          </w:p>
        </w:tc>
        <w:tc>
          <w:tcPr>
            <w:tcW w:w="1559" w:type="dxa"/>
            <w:shd w:val="clear" w:color="auto" w:fill="auto"/>
          </w:tcPr>
          <w:p w:rsidR="00132378" w:rsidRPr="00132378" w:rsidRDefault="00132378" w:rsidP="00417398">
            <w:pPr>
              <w:jc w:val="center"/>
              <w:rPr>
                <w:sz w:val="20"/>
                <w:szCs w:val="20"/>
              </w:rPr>
            </w:pPr>
            <w:r w:rsidRPr="00132378">
              <w:rPr>
                <w:sz w:val="20"/>
                <w:szCs w:val="20"/>
              </w:rPr>
              <w:t>-</w:t>
            </w:r>
          </w:p>
        </w:tc>
      </w:tr>
    </w:tbl>
    <w:p w:rsidR="00132378" w:rsidRPr="00622E34" w:rsidRDefault="00132378" w:rsidP="00132378">
      <w:pPr>
        <w:ind w:firstLine="709"/>
        <w:jc w:val="both"/>
      </w:pPr>
    </w:p>
    <w:p w:rsidR="00132378" w:rsidRPr="00622E34" w:rsidRDefault="00132378" w:rsidP="00830CEF">
      <w:pPr>
        <w:pStyle w:val="ListParagraph"/>
        <w:ind w:left="0"/>
        <w:jc w:val="center"/>
        <w:rPr>
          <w:rFonts w:ascii="Times New Roman" w:hAnsi="Times New Roman"/>
          <w:b/>
          <w:sz w:val="24"/>
          <w:szCs w:val="24"/>
        </w:rPr>
      </w:pPr>
      <w:r w:rsidRPr="00622E34">
        <w:rPr>
          <w:rFonts w:ascii="Times New Roman" w:hAnsi="Times New Roman"/>
          <w:b/>
          <w:sz w:val="24"/>
          <w:szCs w:val="24"/>
        </w:rPr>
        <w:t>Prokuratūra</w:t>
      </w:r>
    </w:p>
    <w:p w:rsidR="00132378" w:rsidRPr="00622E34" w:rsidRDefault="00132378" w:rsidP="00830CEF">
      <w:pPr>
        <w:pStyle w:val="ListParagraph"/>
        <w:ind w:left="0"/>
        <w:jc w:val="center"/>
        <w:rPr>
          <w:rFonts w:ascii="Times New Roman" w:hAnsi="Times New Roman"/>
          <w:b/>
          <w:sz w:val="24"/>
          <w:szCs w:val="24"/>
        </w:rPr>
      </w:pPr>
      <w:r w:rsidRPr="00622E34">
        <w:rPr>
          <w:rFonts w:ascii="Times New Roman" w:hAnsi="Times New Roman"/>
          <w:b/>
          <w:sz w:val="24"/>
          <w:szCs w:val="24"/>
        </w:rPr>
        <w:t>Noziedzīgi iegūtu līdzekļu legalizācijas novēršanas dienests</w:t>
      </w:r>
    </w:p>
    <w:p w:rsidR="00132378" w:rsidRPr="00622E34" w:rsidRDefault="00132378" w:rsidP="00132378">
      <w:pPr>
        <w:pStyle w:val="ListParagraph"/>
        <w:ind w:left="0"/>
        <w:jc w:val="both"/>
        <w:rPr>
          <w:rFonts w:ascii="Times New Roman" w:hAnsi="Times New Roman"/>
          <w:sz w:val="24"/>
          <w:szCs w:val="24"/>
        </w:rPr>
      </w:pPr>
    </w:p>
    <w:p w:rsidR="00132378" w:rsidRDefault="00132378" w:rsidP="0089357E">
      <w:pPr>
        <w:spacing w:line="100" w:lineRule="atLeast"/>
        <w:ind w:firstLine="720"/>
        <w:jc w:val="both"/>
      </w:pPr>
      <w:r w:rsidRPr="00622E34">
        <w:t>Noziedzīgi iegūtu līdzekļu legalizācijas novēršanas dienests (turpmā</w:t>
      </w:r>
      <w:r w:rsidR="0089357E" w:rsidRPr="00622E34">
        <w:t xml:space="preserve">k tekstā – </w:t>
      </w:r>
      <w:r w:rsidR="0089357E">
        <w:t xml:space="preserve">Kontroles dienests) </w:t>
      </w:r>
      <w:r>
        <w:t>2013.gada deviņos mēnešos no likuma subjektiem ir saņēmis un apstrādājis 12 455 ziņojumus par neparastiem un aizdomīgiem finanšu darījumiem.</w:t>
      </w:r>
    </w:p>
    <w:p w:rsidR="00132378" w:rsidRDefault="00132378" w:rsidP="00622E34">
      <w:pPr>
        <w:spacing w:line="100" w:lineRule="atLeast"/>
        <w:ind w:firstLine="709"/>
        <w:jc w:val="both"/>
      </w:pPr>
      <w:r>
        <w:t>Ziņojumu apstrādes procesā, it īpaši lietās par izvairīšanos no PVN nomaksas, liels daudzums nepieciešamās informācijas (tajā skaitā par komersantu kontiem ārvalstu bankās un finanšu līdzekļu plūsmām) tiek iegūts starptautiskās sadarbības rezultātā ar analoģiskiem citu valstu dienestiem. Šis Kontroles dienesta darbības virziens iegūst arvien lielāku nozīmību, jo lielās legalizācijas darījumu shēmas vienā to daļā iespiežas arī ārvalstu finanšu sistēmās.</w:t>
      </w:r>
    </w:p>
    <w:p w:rsidR="00132378" w:rsidRDefault="00132378" w:rsidP="00132378">
      <w:pPr>
        <w:spacing w:line="100" w:lineRule="atLeast"/>
        <w:ind w:firstLine="709"/>
        <w:jc w:val="both"/>
      </w:pPr>
      <w:r>
        <w:t xml:space="preserve"> Attēlā parādītā statistika par starptautiskās sadarbības apjomu skaidri parāda, ka šī gada deviņu mēnešu darba kopapjoms jau ir lielāks nekā visā iepriekšējā gadā paveiktais. Pie tam jāņem vērā, ka nereti viena sarakste sastāv no daudzām dažāda rakstura vēstulēm angļu valodā.</w:t>
      </w:r>
    </w:p>
    <w:p w:rsidR="00132378" w:rsidRDefault="00132378" w:rsidP="00132378">
      <w:pPr>
        <w:spacing w:line="100" w:lineRule="atLeast"/>
        <w:jc w:val="both"/>
      </w:pPr>
    </w:p>
    <w:p w:rsidR="00132378" w:rsidRDefault="00132378" w:rsidP="00132378">
      <w:pPr>
        <w:spacing w:line="100" w:lineRule="atLeast"/>
        <w:jc w:val="both"/>
      </w:pPr>
      <w:r w:rsidRPr="00CE1FE6">
        <w:rPr>
          <w:noProof/>
        </w:rPr>
        <w:lastRenderedPageBreak/>
        <w:drawing>
          <wp:inline distT="0" distB="0" distL="0" distR="0">
            <wp:extent cx="5934075" cy="2781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781300"/>
                    </a:xfrm>
                    <a:prstGeom prst="rect">
                      <a:avLst/>
                    </a:prstGeom>
                    <a:noFill/>
                    <a:ln>
                      <a:noFill/>
                    </a:ln>
                  </pic:spPr>
                </pic:pic>
              </a:graphicData>
            </a:graphic>
          </wp:inline>
        </w:drawing>
      </w:r>
    </w:p>
    <w:p w:rsidR="00132378" w:rsidRPr="004A2421" w:rsidRDefault="004A2421" w:rsidP="004A2421">
      <w:pPr>
        <w:spacing w:line="100" w:lineRule="atLeast"/>
        <w:ind w:firstLine="709"/>
        <w:jc w:val="center"/>
        <w:rPr>
          <w:sz w:val="22"/>
          <w:szCs w:val="22"/>
        </w:rPr>
      </w:pPr>
      <w:r w:rsidRPr="004A2421">
        <w:rPr>
          <w:sz w:val="22"/>
          <w:szCs w:val="22"/>
        </w:rPr>
        <w:t>6.attēls. Statistika par Kontroles dienesta paveikto darbu starptautiskās sadarbības jomā</w:t>
      </w:r>
    </w:p>
    <w:p w:rsidR="00843DA4" w:rsidRDefault="00843DA4" w:rsidP="00132378">
      <w:pPr>
        <w:spacing w:line="100" w:lineRule="atLeast"/>
        <w:ind w:firstLine="709"/>
        <w:jc w:val="both"/>
      </w:pPr>
    </w:p>
    <w:p w:rsidR="00132378" w:rsidRDefault="00132378" w:rsidP="00132378">
      <w:pPr>
        <w:spacing w:line="100" w:lineRule="atLeast"/>
        <w:ind w:firstLine="709"/>
        <w:jc w:val="both"/>
      </w:pPr>
      <w:r>
        <w:t>Dienesta darbinieku ieguldītā darba rezultātā dažādām tiesību aizsardzības iestādēm ir tikuši sagatavoti un nosūtīti 175 materiāli, lai tiktu lemts jautājums par kriminālprocesa uzsākšanu. Tajā skaitā Valsts ieņēmumu dienesta Finanšu policijas pārvaldei ir nosūtīti 64 materiāli (pēc Krimināllikuma 218.p.-izvairīšanās no nodokļu nomaksas, 217.p.- grāmatvedības dokumentu slēpšana vai viltošana, 195.p.- noziedzīgi iegūtu līdzekļu legalizācija), no kuriem savukārt 51 materiālā figurē lielas shēmas ar darījumu dalībnieku skaitu vairāk par 20 personām. Atsevišķos gadījumos to skaits pārsniedz  pat 100.</w:t>
      </w:r>
    </w:p>
    <w:p w:rsidR="00132378" w:rsidRDefault="00132378" w:rsidP="00622E34">
      <w:pPr>
        <w:spacing w:line="100" w:lineRule="atLeast"/>
        <w:ind w:firstLine="709"/>
        <w:jc w:val="both"/>
      </w:pPr>
      <w:r>
        <w:t>Ir pamats izteikt prognozi, ka 12 mēnešu rezultāti būs lielāki nekā iepriekšējā gadā.</w:t>
      </w:r>
    </w:p>
    <w:p w:rsidR="00132378" w:rsidRPr="004A2421" w:rsidRDefault="00132378" w:rsidP="004A2421">
      <w:pPr>
        <w:spacing w:line="100" w:lineRule="atLeast"/>
        <w:jc w:val="center"/>
        <w:rPr>
          <w:sz w:val="22"/>
          <w:szCs w:val="22"/>
        </w:rPr>
      </w:pPr>
      <w:r w:rsidRPr="004A2421">
        <w:rPr>
          <w:noProof/>
          <w:sz w:val="20"/>
        </w:rPr>
        <w:drawing>
          <wp:inline distT="0" distB="0" distL="0" distR="0">
            <wp:extent cx="5718810" cy="297180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A2421">
        <w:rPr>
          <w:sz w:val="22"/>
          <w:szCs w:val="22"/>
        </w:rPr>
        <w:t xml:space="preserve">7.attēls. </w:t>
      </w:r>
      <w:r w:rsidR="004A2421" w:rsidRPr="004A2421">
        <w:rPr>
          <w:sz w:val="22"/>
          <w:szCs w:val="22"/>
        </w:rPr>
        <w:t>Lielo shēmu skaits materiālos par izvairīšanos no nodokļu nomaksas/legalizāciju</w:t>
      </w:r>
    </w:p>
    <w:p w:rsidR="00132378" w:rsidRDefault="00132378" w:rsidP="00132378">
      <w:pPr>
        <w:spacing w:line="100" w:lineRule="atLeast"/>
        <w:jc w:val="both"/>
      </w:pPr>
    </w:p>
    <w:p w:rsidR="00132378" w:rsidRDefault="00132378" w:rsidP="00132378">
      <w:pPr>
        <w:spacing w:line="100" w:lineRule="atLeast"/>
        <w:ind w:firstLine="709"/>
        <w:jc w:val="both"/>
      </w:pPr>
      <w:r>
        <w:t>Kā otrs izpildes rādītājs ir minams tādu materiālu skaits, kuros darījumu summa ir lielāka par vismaz 1 miljonu latu.</w:t>
      </w:r>
    </w:p>
    <w:p w:rsidR="00843DA4" w:rsidRDefault="00843DA4" w:rsidP="00132378">
      <w:pPr>
        <w:spacing w:line="100" w:lineRule="atLeast"/>
        <w:ind w:firstLine="709"/>
        <w:jc w:val="both"/>
      </w:pPr>
    </w:p>
    <w:p w:rsidR="00843DA4" w:rsidRDefault="00843DA4" w:rsidP="00132378">
      <w:pPr>
        <w:spacing w:line="100" w:lineRule="atLeast"/>
        <w:ind w:firstLine="709"/>
        <w:jc w:val="both"/>
      </w:pPr>
    </w:p>
    <w:p w:rsidR="00843DA4" w:rsidRDefault="00843DA4" w:rsidP="00132378">
      <w:pPr>
        <w:spacing w:line="100" w:lineRule="atLeast"/>
        <w:ind w:firstLine="709"/>
        <w:jc w:val="both"/>
      </w:pPr>
    </w:p>
    <w:p w:rsidR="00843DA4" w:rsidRDefault="00843DA4" w:rsidP="00132378">
      <w:pPr>
        <w:spacing w:line="100" w:lineRule="atLeast"/>
        <w:ind w:firstLine="709"/>
        <w:jc w:val="both"/>
      </w:pPr>
    </w:p>
    <w:p w:rsidR="00843DA4" w:rsidRDefault="00843DA4" w:rsidP="00132378">
      <w:pPr>
        <w:spacing w:line="100" w:lineRule="atLeast"/>
        <w:ind w:firstLine="709"/>
        <w:jc w:val="both"/>
      </w:pPr>
    </w:p>
    <w:p w:rsidR="00622E34" w:rsidRDefault="007C2B08" w:rsidP="00132378">
      <w:pPr>
        <w:spacing w:line="100" w:lineRule="atLeast"/>
        <w:jc w:val="both"/>
      </w:pPr>
      <w:r>
        <w:rPr>
          <w:noProof/>
        </w:rPr>
        <w:lastRenderedPageBreak/>
        <w:drawing>
          <wp:anchor distT="0" distB="0" distL="114300" distR="114300" simplePos="0" relativeHeight="251657216" behindDoc="0" locked="0" layoutInCell="1" allowOverlap="1" wp14:anchorId="7E312C1F" wp14:editId="3F76A716">
            <wp:simplePos x="0" y="0"/>
            <wp:positionH relativeFrom="column">
              <wp:posOffset>-118110</wp:posOffset>
            </wp:positionH>
            <wp:positionV relativeFrom="paragraph">
              <wp:posOffset>82550</wp:posOffset>
            </wp:positionV>
            <wp:extent cx="6175375" cy="2981325"/>
            <wp:effectExtent l="0" t="0" r="0" b="0"/>
            <wp:wrapNone/>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622E34" w:rsidRDefault="00622E34" w:rsidP="00132378">
      <w:pPr>
        <w:spacing w:line="100" w:lineRule="atLeast"/>
        <w:jc w:val="both"/>
      </w:pPr>
    </w:p>
    <w:p w:rsidR="008A0488" w:rsidRDefault="008A0488" w:rsidP="00132378">
      <w:pPr>
        <w:spacing w:line="100" w:lineRule="atLeast"/>
        <w:jc w:val="both"/>
      </w:pPr>
    </w:p>
    <w:p w:rsidR="008A0488" w:rsidRDefault="008A048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Default="00132378" w:rsidP="00132378">
      <w:pPr>
        <w:spacing w:line="100" w:lineRule="atLeast"/>
        <w:jc w:val="both"/>
      </w:pPr>
    </w:p>
    <w:p w:rsidR="00132378" w:rsidRPr="007C2B08" w:rsidRDefault="007C2B08" w:rsidP="007C2B08">
      <w:pPr>
        <w:spacing w:line="100" w:lineRule="atLeast"/>
        <w:jc w:val="center"/>
        <w:rPr>
          <w:sz w:val="22"/>
          <w:szCs w:val="22"/>
        </w:rPr>
      </w:pPr>
      <w:r w:rsidRPr="007C2B08">
        <w:rPr>
          <w:sz w:val="22"/>
          <w:szCs w:val="22"/>
        </w:rPr>
        <w:t>8.attēls. Statistika par materiālu īpatsvaru ar lielām darījumu summām virs 1 milj. latu.</w:t>
      </w:r>
    </w:p>
    <w:p w:rsidR="007C2B08" w:rsidRDefault="007C2B08" w:rsidP="007C2B08">
      <w:pPr>
        <w:spacing w:line="100" w:lineRule="atLeast"/>
        <w:jc w:val="center"/>
      </w:pPr>
    </w:p>
    <w:p w:rsidR="00132378" w:rsidRDefault="00132378" w:rsidP="00622E34">
      <w:pPr>
        <w:spacing w:line="100" w:lineRule="atLeast"/>
        <w:ind w:firstLine="720"/>
        <w:jc w:val="both"/>
      </w:pPr>
      <w:r w:rsidRPr="00392E2C">
        <w:t>Ja</w:t>
      </w:r>
      <w:r>
        <w:t xml:space="preserve"> visā </w:t>
      </w:r>
      <w:r w:rsidRPr="00392E2C">
        <w:t>2012.gadā Kontroles dienests izdeva 66 rīkojumus par noziedzīgi iegūtu līdzekļu iesaldēšanu</w:t>
      </w:r>
      <w:r>
        <w:t xml:space="preserve">, tad  2013.gada deviņos mēnešos jau 78 šādus rīkojumus, iesaldējot </w:t>
      </w:r>
      <w:r w:rsidR="00622E34">
        <w:t xml:space="preserve">Ls </w:t>
      </w:r>
      <w:r>
        <w:t>1 689 725.</w:t>
      </w:r>
    </w:p>
    <w:p w:rsidR="00132378" w:rsidRDefault="00132378" w:rsidP="00622E34">
      <w:pPr>
        <w:spacing w:line="100" w:lineRule="atLeast"/>
        <w:ind w:firstLine="720"/>
        <w:jc w:val="both"/>
      </w:pPr>
      <w:r>
        <w:t xml:space="preserve">64 materiālos, kuri nosūtīti izskatīšanai Finanšu policijas pārvaldei par ļaunprātīgu izvairīšanos no nodokļu nomaksas, ir izdots 21 rīkojums, ar kuriem kopumā iesaldēti </w:t>
      </w:r>
      <w:r w:rsidR="00622E34">
        <w:t xml:space="preserve">Ls </w:t>
      </w:r>
      <w:r>
        <w:t>528 521. Pēc aresta uzlikšanas šiem finanšu līdzekļiem tos ar tiesas spriedumu varēs konfiscēt valsts budžeta labā.</w:t>
      </w:r>
    </w:p>
    <w:p w:rsidR="00132378" w:rsidRDefault="00132378" w:rsidP="00622E34">
      <w:pPr>
        <w:spacing w:line="100" w:lineRule="atLeast"/>
        <w:ind w:firstLine="720"/>
        <w:jc w:val="both"/>
      </w:pPr>
      <w:r>
        <w:t>Minētā statistika parāda, ka arī šajā jomā Kontroles dienests 2013.gada deviņos mēnešos ir paveicis vairāk nekā visā iepriekšējā gadā.</w:t>
      </w:r>
    </w:p>
    <w:p w:rsidR="00622E34" w:rsidRDefault="007C2B08" w:rsidP="00622E34">
      <w:pPr>
        <w:spacing w:line="100" w:lineRule="atLeast"/>
        <w:ind w:firstLine="720"/>
        <w:jc w:val="both"/>
      </w:pPr>
      <w:r>
        <w:rPr>
          <w:noProof/>
        </w:rPr>
        <w:drawing>
          <wp:anchor distT="0" distB="0" distL="114300" distR="114300" simplePos="0" relativeHeight="251659264" behindDoc="0" locked="0" layoutInCell="1" allowOverlap="1" wp14:anchorId="4454DCF1" wp14:editId="06ACE08C">
            <wp:simplePos x="0" y="0"/>
            <wp:positionH relativeFrom="column">
              <wp:posOffset>-51435</wp:posOffset>
            </wp:positionH>
            <wp:positionV relativeFrom="paragraph">
              <wp:posOffset>176531</wp:posOffset>
            </wp:positionV>
            <wp:extent cx="6109970" cy="2419350"/>
            <wp:effectExtent l="0" t="0" r="5080" b="0"/>
            <wp:wrapNone/>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32378" w:rsidRDefault="00132378" w:rsidP="00132378">
      <w:pPr>
        <w:spacing w:line="100" w:lineRule="atLeast"/>
        <w:jc w:val="both"/>
      </w:pPr>
    </w:p>
    <w:p w:rsidR="00132378" w:rsidRDefault="00132378" w:rsidP="00132378">
      <w:pPr>
        <w:spacing w:line="100" w:lineRule="atLeast"/>
        <w:jc w:val="both"/>
      </w:pPr>
      <w:r>
        <w:t xml:space="preserve">   </w:t>
      </w:r>
    </w:p>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7C2B08" w:rsidRDefault="007C2B08" w:rsidP="007C2B08">
      <w:pPr>
        <w:ind w:firstLine="709"/>
        <w:jc w:val="center"/>
        <w:rPr>
          <w:sz w:val="22"/>
          <w:szCs w:val="22"/>
        </w:rPr>
      </w:pPr>
    </w:p>
    <w:p w:rsidR="007C2B08" w:rsidRPr="007C2B08" w:rsidRDefault="007C2B08" w:rsidP="007C2B08">
      <w:pPr>
        <w:ind w:firstLine="709"/>
        <w:jc w:val="center"/>
        <w:rPr>
          <w:sz w:val="22"/>
          <w:szCs w:val="22"/>
        </w:rPr>
      </w:pPr>
      <w:r>
        <w:rPr>
          <w:sz w:val="22"/>
          <w:szCs w:val="22"/>
        </w:rPr>
        <w:t xml:space="preserve">9.attēls. </w:t>
      </w:r>
      <w:r w:rsidRPr="007C2B08">
        <w:rPr>
          <w:sz w:val="22"/>
          <w:szCs w:val="22"/>
        </w:rPr>
        <w:t>Kontroles dienesta izdoto rīkojumu skaits</w:t>
      </w:r>
      <w:r>
        <w:rPr>
          <w:sz w:val="22"/>
          <w:szCs w:val="22"/>
        </w:rPr>
        <w:t xml:space="preserve"> </w:t>
      </w:r>
      <w:r w:rsidRPr="007C2B08">
        <w:rPr>
          <w:sz w:val="22"/>
          <w:szCs w:val="22"/>
        </w:rPr>
        <w:t>materiālos par izvairīšanos no nodokļu nomaksas</w:t>
      </w:r>
    </w:p>
    <w:p w:rsidR="007C2B08" w:rsidRDefault="007C2B08" w:rsidP="00132378">
      <w:pPr>
        <w:ind w:firstLine="709"/>
        <w:jc w:val="both"/>
      </w:pPr>
    </w:p>
    <w:p w:rsidR="00132378" w:rsidRDefault="00132378" w:rsidP="00132378">
      <w:pPr>
        <w:ind w:firstLine="709"/>
        <w:jc w:val="both"/>
      </w:pPr>
      <w:r>
        <w:t>Novērtējot izdoto rīkojumu skaitu par noziedzīgi iegūtu līdzekļu iesaldēšanu, svarīgs rādītājs ir iegūtais finanšu līdzekļu apjoms.</w:t>
      </w:r>
    </w:p>
    <w:p w:rsidR="00132378" w:rsidRDefault="00132378" w:rsidP="00622E34">
      <w:pPr>
        <w:ind w:firstLine="709"/>
        <w:jc w:val="both"/>
      </w:pPr>
      <w:r>
        <w:t xml:space="preserve">Pildot noteiktās prioritātes, Kontroles dienesta darbinieki savā darbā galveno uzmanību pievērš ne tikai nodokļu (ne)nomaksas jautājumiem, bet arī šāda rakstura finanšu līdzekļu plūsmām, lai atrastu noziedzīgo līdzekļu atrašanās vietas un nekavējoties tos </w:t>
      </w:r>
      <w:r>
        <w:lastRenderedPageBreak/>
        <w:t>iesaldētu likumā noteiktajā kārtībā.  Jāatzīst, ka noziedzīgā pasaule pārzina arī Kontroles dienesta pilnvaras līdzekļu iesaldēšanā un tāpēc darījumu shēmas parasti darbojas tikai dažus mēnešus un vienlaicīgi tiek pārvestas relatīvi mazas finanšu līdzekļu summas, kas tādējādi jau daudzus gadus praktiski padara neiespējamu ļoti lielu summu iesaldēšanu.</w:t>
      </w:r>
    </w:p>
    <w:p w:rsidR="00622E34" w:rsidRPr="0066750F" w:rsidRDefault="007C2B08" w:rsidP="00622E34">
      <w:pPr>
        <w:ind w:firstLine="709"/>
        <w:jc w:val="both"/>
      </w:pPr>
      <w:r>
        <w:rPr>
          <w:noProof/>
        </w:rPr>
        <w:drawing>
          <wp:anchor distT="0" distB="0" distL="114300" distR="114300" simplePos="0" relativeHeight="251660288" behindDoc="0" locked="0" layoutInCell="1" allowOverlap="1" wp14:anchorId="594EC4ED" wp14:editId="3DE5A498">
            <wp:simplePos x="0" y="0"/>
            <wp:positionH relativeFrom="column">
              <wp:posOffset>-80010</wp:posOffset>
            </wp:positionH>
            <wp:positionV relativeFrom="paragraph">
              <wp:posOffset>47625</wp:posOffset>
            </wp:positionV>
            <wp:extent cx="6099175" cy="2686050"/>
            <wp:effectExtent l="0" t="0" r="0" b="0"/>
            <wp:wrapNone/>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Pr="0066750F" w:rsidRDefault="00132378" w:rsidP="00132378"/>
    <w:p w:rsidR="00132378" w:rsidRDefault="00132378" w:rsidP="00132378"/>
    <w:p w:rsidR="00132378" w:rsidRDefault="00132378" w:rsidP="00132378">
      <w:pPr>
        <w:jc w:val="both"/>
      </w:pPr>
      <w:r>
        <w:tab/>
      </w:r>
    </w:p>
    <w:p w:rsidR="00132378" w:rsidRPr="007C2B08" w:rsidRDefault="007C2B08" w:rsidP="007C2B08">
      <w:pPr>
        <w:jc w:val="center"/>
        <w:rPr>
          <w:sz w:val="22"/>
          <w:szCs w:val="22"/>
        </w:rPr>
      </w:pPr>
      <w:r>
        <w:rPr>
          <w:sz w:val="22"/>
          <w:szCs w:val="22"/>
        </w:rPr>
        <w:t xml:space="preserve">10.attēls. </w:t>
      </w:r>
      <w:r w:rsidRPr="007C2B08">
        <w:rPr>
          <w:sz w:val="22"/>
          <w:szCs w:val="22"/>
        </w:rPr>
        <w:t>Iesaldēto finanšu līdzekļu apjoms materiālos par izvairīšanos no nodokļu nomaksas (miljonos eiro)</w:t>
      </w:r>
    </w:p>
    <w:p w:rsidR="007C2B08" w:rsidRDefault="007C2B08" w:rsidP="00132378">
      <w:pPr>
        <w:jc w:val="both"/>
      </w:pPr>
    </w:p>
    <w:p w:rsidR="00132378" w:rsidRDefault="00132378" w:rsidP="00132378">
      <w:pPr>
        <w:ind w:firstLine="709"/>
        <w:jc w:val="both"/>
      </w:pPr>
      <w:r>
        <w:t>Kā jau tika minēts 2013.gada deviņos mēnešos Finanšu policijas pārvaldei Kontroles dienests ir nosūtījis 64 materiālus, par kuriem līdz š.g. 30. septembrim sniegta atgriezeniskās saites informācija, ka pozitīvi lēmumi pieņemti par 32 materiāliem – uzsākti 14 jauni kriminālprocesi un 18 materiāli pievienoti jau agrāk uzsāktiem kriminālprocesiem. Citi materiāli vēl atrodas izskatīšanas stadijā.</w:t>
      </w:r>
    </w:p>
    <w:p w:rsidR="00132378" w:rsidRDefault="00132378" w:rsidP="00622E34">
      <w:pPr>
        <w:ind w:firstLine="709"/>
        <w:jc w:val="both"/>
      </w:pPr>
      <w:r>
        <w:t xml:space="preserve">Zemāk redzamajā tabulā šā gada deviņu mēnešu statistika ir salīdzināta ar iepriekšējo gadu 12 mēnešu attiecīgajiem rādītājiem (piezīme par statistisko uzskaiti – 1) piemēram, 2010.gadā - sagatavotajiem  materiāliem uzskaite tiek vesta par šo gadu neatkarīgi no tā kurā gadā tiek pieņemts lēmums par kriminālprocesa uzsākšanu, 2) tā kā lēmums par kriminālprocesa uzsākšanu tiek pieņemts pēc zināma laika, tad šai tabulā iepriekšējo gadu rādītājiem ar gadiem ir tendence pakāpeniski nedaudz  pieaugt līdz ir pieņemti lēmumi par visiem iesniegtajiem materiāliem, 3) jāņem vērā arī apstākļi, ka dažreiz viens materiāls var tikt pievienots vairākiem kriminālprocesiem vai (biežāk) vairāki materiāli tiek pievienoti vienam kriminālprocesam, kas apgrūtina situācijas ātru un vienkāršotu izvērtēšanu). </w:t>
      </w: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843DA4" w:rsidRDefault="00843DA4" w:rsidP="00622E34">
      <w:pPr>
        <w:ind w:firstLine="709"/>
        <w:jc w:val="both"/>
      </w:pPr>
    </w:p>
    <w:p w:rsidR="00132378" w:rsidRDefault="00132378" w:rsidP="00132378">
      <w:pPr>
        <w:jc w:val="both"/>
      </w:pPr>
      <w:r>
        <w:rPr>
          <w:noProof/>
        </w:rPr>
        <w:lastRenderedPageBreak/>
        <w:drawing>
          <wp:anchor distT="0" distB="0" distL="114300" distR="114300" simplePos="0" relativeHeight="251662336" behindDoc="0" locked="0" layoutInCell="1" allowOverlap="1">
            <wp:simplePos x="0" y="0"/>
            <wp:positionH relativeFrom="column">
              <wp:posOffset>-99060</wp:posOffset>
            </wp:positionH>
            <wp:positionV relativeFrom="paragraph">
              <wp:posOffset>123190</wp:posOffset>
            </wp:positionV>
            <wp:extent cx="5886450" cy="2695575"/>
            <wp:effectExtent l="0" t="0" r="0" b="0"/>
            <wp:wrapNone/>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132378" w:rsidRDefault="00132378" w:rsidP="00132378">
      <w:pPr>
        <w:jc w:val="both"/>
      </w:pPr>
    </w:p>
    <w:p w:rsidR="006E68B5" w:rsidRDefault="006E68B5" w:rsidP="00622E34">
      <w:pPr>
        <w:ind w:firstLine="720"/>
        <w:jc w:val="both"/>
      </w:pPr>
    </w:p>
    <w:p w:rsidR="006E68B5" w:rsidRDefault="006E68B5" w:rsidP="00622E34">
      <w:pPr>
        <w:ind w:firstLine="720"/>
        <w:jc w:val="both"/>
      </w:pPr>
    </w:p>
    <w:p w:rsidR="006E68B5" w:rsidRPr="007C2B08" w:rsidRDefault="007C2B08" w:rsidP="007C2B08">
      <w:pPr>
        <w:ind w:firstLine="720"/>
        <w:jc w:val="center"/>
        <w:rPr>
          <w:sz w:val="22"/>
          <w:szCs w:val="22"/>
        </w:rPr>
      </w:pPr>
      <w:r>
        <w:rPr>
          <w:sz w:val="22"/>
          <w:szCs w:val="22"/>
        </w:rPr>
        <w:t xml:space="preserve">11.attēls. </w:t>
      </w:r>
      <w:r w:rsidRPr="007C2B08">
        <w:rPr>
          <w:sz w:val="22"/>
          <w:szCs w:val="22"/>
        </w:rPr>
        <w:t>Kontroles dienesta Finanšu policijas pārvaldei nosūtīto materiālu izskatīšanas rezultāti</w:t>
      </w:r>
    </w:p>
    <w:p w:rsidR="007C2B08" w:rsidRDefault="007C2B08" w:rsidP="00622E34">
      <w:pPr>
        <w:ind w:firstLine="720"/>
        <w:jc w:val="both"/>
      </w:pPr>
    </w:p>
    <w:p w:rsidR="00132378" w:rsidRDefault="00132378" w:rsidP="00622E34">
      <w:pPr>
        <w:ind w:firstLine="720"/>
        <w:jc w:val="both"/>
      </w:pPr>
      <w:r>
        <w:t xml:space="preserve">Bez jau izklāstītās informācijas par paveikto ēnu ekonomikas apkarošanā ir  veikts darbs arī citos virzienos, kas netieši saistās ar pieminēto virzienu. Piemēram, 2013.gadā 2 sagatavotie materiāli: </w:t>
      </w:r>
    </w:p>
    <w:p w:rsidR="00132378" w:rsidRDefault="00132378" w:rsidP="00622E34">
      <w:pPr>
        <w:ind w:firstLine="720"/>
        <w:jc w:val="both"/>
      </w:pPr>
      <w:r>
        <w:t xml:space="preserve">- </w:t>
      </w:r>
      <w:r w:rsidR="007C2B08">
        <w:t xml:space="preserve">Š.g. </w:t>
      </w:r>
      <w:r>
        <w:t>6.</w:t>
      </w:r>
      <w:r w:rsidR="007C2B08">
        <w:t>jūnijā</w:t>
      </w:r>
      <w:r>
        <w:t xml:space="preserve"> sagatavotais materiāls Nr.3-9.1/MZ-13-261 pēc KL 177.p.3.d. par valsts subsīdiju krāpšanu vairāk nekā 1,18 miljonu latu apmērā, no kuriem vairāk nekā 0,88 miljoni latu tika arī saņemti. Par minēto faktu kriminālprocesā Nr.11816004713 Ekonomisko noziegumu apkarošanas pārvalde veic pirmstiesas izmeklēšanu.</w:t>
      </w:r>
    </w:p>
    <w:p w:rsidR="00622E34" w:rsidRDefault="00132378" w:rsidP="00622E34">
      <w:pPr>
        <w:ind w:firstLine="720"/>
        <w:jc w:val="both"/>
      </w:pPr>
      <w:r>
        <w:t xml:space="preserve">- </w:t>
      </w:r>
      <w:r w:rsidR="007C2B08">
        <w:t xml:space="preserve">Š.g. </w:t>
      </w:r>
      <w:r>
        <w:t>18.</w:t>
      </w:r>
      <w:r w:rsidR="007C2B08">
        <w:t>jūnijā</w:t>
      </w:r>
      <w:r>
        <w:t xml:space="preserve"> sagatavotais materiāls Nr. 3-9.1/MZ-13-277 pēc KL  177.p.3.d.  par valsts subsīdiju izkrāpšanu 1,5 miljonu latu apmērā. Par minēto faktu kriminālprocesā Nr.11816004713 Ekonomisko noziegumu apkarošanas pārvalde veic pirmstiesas izmeklēšanu.</w:t>
      </w:r>
    </w:p>
    <w:p w:rsidR="00132378" w:rsidRDefault="00132378" w:rsidP="00622E34">
      <w:pPr>
        <w:ind w:firstLine="720"/>
        <w:jc w:val="both"/>
      </w:pPr>
      <w:r>
        <w:t>2013.gadā Kontroles dienestā strādājošo skaits (neskaitot tehniskos darbiniekus - apkopēju un automobiļa vadītāju-kurjeru) ir 20. Tā kā no 25.06.2013. viens darbinieks atrodas bērna kopšanas atvaļinājumā, tad uz šo brīdi faktiski strādājošo skaits ir 19.</w:t>
      </w:r>
    </w:p>
    <w:p w:rsidR="00132378" w:rsidRDefault="00132378" w:rsidP="00622E34">
      <w:pPr>
        <w:ind w:firstLine="720"/>
        <w:jc w:val="both"/>
      </w:pPr>
      <w:r>
        <w:t xml:space="preserve">Ņemot vērā Kontroles dienesta budžetam piešķirto finansējumu atalgojumam, it īpaši tā samazinājumu krīzes gados, jau daudzus gadus ir vērojama sistemātiska pieredzējušo darbinieku aiziešana uz labāk atalgotiem amatiem citās iestādēs, bet visbiežāk privātajās struktūrās. </w:t>
      </w:r>
    </w:p>
    <w:p w:rsidR="00132378" w:rsidRDefault="00132378" w:rsidP="00622E34">
      <w:pPr>
        <w:ind w:firstLine="720"/>
        <w:jc w:val="both"/>
      </w:pPr>
      <w:r>
        <w:t>Šobrīd no 20 esošajiem darbiniekiem tikai 4 strādā kopš dienesta izveidošanas pirms 15 gadiem, savukārt 12 darbiniekiem darba stāžs Kontroles dienestā ir mazāks par 10 gadiem, tajā skaitā 7 tas mazāks pat par 3 gadiem.</w:t>
      </w:r>
    </w:p>
    <w:p w:rsidR="00132378" w:rsidRDefault="00132378" w:rsidP="00622E34">
      <w:pPr>
        <w:ind w:firstLine="709"/>
        <w:jc w:val="both"/>
      </w:pPr>
      <w:r>
        <w:t>Pēdējos gados, tajā skaitā šī gada deviņos mēnešos, sasniegtais noteikto prioritāšu realizācijā skaidri raksturojas ar sekojošām iezīmēm:</w:t>
      </w:r>
    </w:p>
    <w:p w:rsidR="00132378" w:rsidRDefault="00132378" w:rsidP="00132378">
      <w:pPr>
        <w:ind w:left="709"/>
        <w:jc w:val="both"/>
      </w:pPr>
      <w:r>
        <w:t>- Kontroles dienesta uzmanība vairāk tiek pievērsta sarežģītām darījumu shēmām, noziedzīgi iegūto līdzekļu atrašanai un iesaldēšanai un ne tik daudz sagatavoto materiālu skaita rādītājam;</w:t>
      </w:r>
    </w:p>
    <w:p w:rsidR="00132378" w:rsidRDefault="00132378" w:rsidP="00132378">
      <w:pPr>
        <w:ind w:left="709"/>
        <w:jc w:val="both"/>
      </w:pPr>
      <w:r>
        <w:t>- legalizācijas darījumu shēmas paliek arvien sarežģītākas un aptver arī tuvākas un tālākas kaimiņu valstis;</w:t>
      </w:r>
    </w:p>
    <w:p w:rsidR="00132378" w:rsidRDefault="00132378" w:rsidP="00132378">
      <w:pPr>
        <w:ind w:left="709"/>
        <w:jc w:val="both"/>
      </w:pPr>
      <w:r>
        <w:t>- kadru aizplūšanas procesi zināmā mērā ir ietekmējuši arī darba kvantitatīvos rezultātus, tajā skaitā arī tādā veidā, ka pieredzējušie darbinieki papildus saviem pamatpienākumiem ir spiesti ilgstoši apmācīt jaunos darbiniekus, jo šādas jomas finanšu analītiķus negatavo neviena augstākā mācību iestāde.</w:t>
      </w:r>
    </w:p>
    <w:p w:rsidR="00132378" w:rsidRDefault="00132378" w:rsidP="00622E34">
      <w:pPr>
        <w:ind w:firstLine="709"/>
        <w:jc w:val="both"/>
      </w:pPr>
      <w:r>
        <w:lastRenderedPageBreak/>
        <w:t>Ņemot vērā, ka Kontroles dienests ir iekļauts to institūciju vidū, kuras varētu tikt prēmētas par paveikto ēnu ekonomikas apkarošanas īstenošanā saskaņā ar „Valsts un pašvaldību institūciju amatpersonu un darbinieku atlīdzības likumā” paredzēto, un attiecīgi savu darbu vairāk koncentrējis uz noteiktās prioritātes izpildi, dienesta vadība uzskata, ka šāda iespējamā papildus atlīdzība ne tikai stimulēs vēl aktīvāk strādāt šai virzienā, bet arī varētu būtiski bremzēt kadru mainību, kas, protams, pozitīvi ietekmēs darba rezultātus nākotnē.</w:t>
      </w:r>
    </w:p>
    <w:p w:rsidR="00132378" w:rsidRDefault="00132378" w:rsidP="00622E34">
      <w:pPr>
        <w:ind w:firstLine="709"/>
        <w:jc w:val="both"/>
      </w:pPr>
      <w:r>
        <w:t xml:space="preserve">Lai veicinātu izpratni par noziedzīgi iegūtu līdzekļu legalizācijas un terorisma finansēšanas problemātiku, padziļinātu zināšanas legalizācijas </w:t>
      </w:r>
      <w:r w:rsidRPr="00622E34">
        <w:t>(tajā skaitā saistībā ar izvairīšanos no nodokļu nomaksas)</w:t>
      </w:r>
      <w:r>
        <w:t xml:space="preserve"> kā noziedzīga nodarījuma pirmstiesas izmeklēšanā un iztiesāšanā, 2013.gadā Kontroles dienesta vadība par šiem jautājumiem ir organizējusi un veikusi 17 mācības, tajā skaitā 6 vienas dienas mācības ar Tiesnešu mācību centra organizatorisko palīdzību, kā rezultātā minētajās 6 mācībās vien papildus zināšanas apguva 324 izmeklētāji, prokurori, tiesneši un advokāti.</w:t>
      </w:r>
    </w:p>
    <w:p w:rsidR="00132378" w:rsidRPr="00622E34" w:rsidRDefault="00132378" w:rsidP="00132378">
      <w:pPr>
        <w:pStyle w:val="ListParagraph"/>
        <w:ind w:left="0"/>
        <w:jc w:val="both"/>
        <w:rPr>
          <w:rFonts w:ascii="Times New Roman" w:hAnsi="Times New Roman"/>
          <w:sz w:val="24"/>
          <w:szCs w:val="24"/>
        </w:rPr>
      </w:pPr>
    </w:p>
    <w:p w:rsidR="00F000E1" w:rsidRPr="00622E34" w:rsidRDefault="00F91941" w:rsidP="00830CEF">
      <w:pPr>
        <w:pStyle w:val="ListParagraph"/>
        <w:ind w:left="0"/>
        <w:jc w:val="center"/>
        <w:rPr>
          <w:rFonts w:ascii="Times New Roman" w:hAnsi="Times New Roman"/>
          <w:b/>
          <w:sz w:val="24"/>
          <w:szCs w:val="24"/>
        </w:rPr>
      </w:pPr>
      <w:r w:rsidRPr="00622E34">
        <w:rPr>
          <w:rFonts w:ascii="Times New Roman" w:hAnsi="Times New Roman"/>
          <w:b/>
          <w:sz w:val="24"/>
          <w:szCs w:val="24"/>
        </w:rPr>
        <w:t>Nodokļu ieņēmumu izpilde</w:t>
      </w:r>
    </w:p>
    <w:p w:rsidR="00F000E1" w:rsidRPr="007C2B08" w:rsidRDefault="00F000E1" w:rsidP="00F000E1">
      <w:pPr>
        <w:rPr>
          <w:b/>
        </w:rPr>
      </w:pPr>
    </w:p>
    <w:p w:rsidR="00272258" w:rsidRPr="001E3D59" w:rsidRDefault="00272258" w:rsidP="00272258">
      <w:pPr>
        <w:ind w:firstLine="720"/>
        <w:jc w:val="both"/>
      </w:pPr>
      <w:r w:rsidRPr="00F63654">
        <w:t>Kopējie kopbudžeta nodokļu ieņēmumi 201</w:t>
      </w:r>
      <w:r>
        <w:t>3. </w:t>
      </w:r>
      <w:r w:rsidRPr="00F63654">
        <w:t xml:space="preserve">gada </w:t>
      </w:r>
      <w:r>
        <w:t>9</w:t>
      </w:r>
      <w:r w:rsidRPr="00F63654">
        <w:t xml:space="preserve"> mēnešos bija </w:t>
      </w:r>
      <w:r>
        <w:t>3361,8 </w:t>
      </w:r>
      <w:r w:rsidRPr="00F63654">
        <w:t>milj.</w:t>
      </w:r>
      <w:r>
        <w:t xml:space="preserve"> latu, kas salīdzinājumā ar 2012</w:t>
      </w:r>
      <w:r w:rsidRPr="00F63654">
        <w:t>.</w:t>
      </w:r>
      <w:r>
        <w:t xml:space="preserve"> gada attiecīgo periodu ir par 180,3 milj. </w:t>
      </w:r>
      <w:r w:rsidRPr="00F63654">
        <w:t xml:space="preserve">latu jeb </w:t>
      </w:r>
      <w:r>
        <w:t>5,7</w:t>
      </w:r>
      <w:r w:rsidRPr="00F63654">
        <w:t xml:space="preserve">% </w:t>
      </w:r>
      <w:r>
        <w:t>vairāk</w:t>
      </w:r>
      <w:r w:rsidRPr="00F63654">
        <w:t>, ko galvenokārt noteica augstāki</w:t>
      </w:r>
      <w:r w:rsidRPr="003312EE">
        <w:t xml:space="preserve"> PVN</w:t>
      </w:r>
      <w:r w:rsidRPr="00F63654">
        <w:t xml:space="preserve">, </w:t>
      </w:r>
      <w:r w:rsidRPr="00094525">
        <w:t>sociālās apdrošināšanas iemaks</w:t>
      </w:r>
      <w:r>
        <w:t>u</w:t>
      </w:r>
      <w:r w:rsidRPr="00094525">
        <w:t xml:space="preserve"> </w:t>
      </w:r>
      <w:r>
        <w:t>(</w:t>
      </w:r>
      <w:r w:rsidRPr="00F63654">
        <w:t>SOC</w:t>
      </w:r>
      <w:r>
        <w:t>)</w:t>
      </w:r>
      <w:r w:rsidRPr="00F63654">
        <w:t xml:space="preserve">, IIN ieņēmumi. Šo kāpumu </w:t>
      </w:r>
      <w:r>
        <w:t>noteica</w:t>
      </w:r>
      <w:r w:rsidRPr="00F63654">
        <w:t xml:space="preserve"> gan labāka ekonomiskā konjunktūra, gan veiktās nodokļu politikas izmaiņas, gan arī administrēšanas </w:t>
      </w:r>
      <w:r w:rsidRPr="001E3D59">
        <w:t xml:space="preserve">uzlabojumi. </w:t>
      </w:r>
    </w:p>
    <w:p w:rsidR="00272258" w:rsidRPr="001E3D59" w:rsidRDefault="00272258" w:rsidP="00272258">
      <w:pPr>
        <w:ind w:firstLine="720"/>
        <w:jc w:val="both"/>
      </w:pPr>
      <w:r w:rsidRPr="001E3D59">
        <w:t xml:space="preserve">Izvērtējot administrēšanas ieguldījumu nodokļu ieņēmumos, tika analizēti </w:t>
      </w:r>
      <w:r w:rsidRPr="00417398">
        <w:t>tikai lielākie nodokļi</w:t>
      </w:r>
      <w:r w:rsidRPr="001E3D59">
        <w:t xml:space="preserve"> –  PVN, IIN, SOC, akcīzes nodoklis, kas kopumā viedo aptuveni 89% no kopbudžeta nodokļu ieņēmumiem. Netika vērtēti UIN ieņēmumi, jo UIN ieņēmumus galvenokārt ietekmē uzņēmumu peļņa, kas faktiski atspoguļojas tikai sekojošā gada ieņēmumos, tad uzņēmumu ienākuma nodokļa ieņēmumu pieaugumu nevar viennozīmīgi pielīdzināt kādam no attīstības rādītājiem, līdz ar to uzņēmumu ienākuma nodokļa ieņēmumi netiek analizēti.</w:t>
      </w:r>
    </w:p>
    <w:p w:rsidR="00272258" w:rsidRPr="001E3D59" w:rsidRDefault="00272258" w:rsidP="00272258">
      <w:pPr>
        <w:ind w:firstLine="720"/>
        <w:jc w:val="both"/>
      </w:pPr>
      <w:r w:rsidRPr="001E3D59">
        <w:t xml:space="preserve">Novērtējums balstīts uz nodokļu ieņēmumu pieauguma salīdzinājumu attiecībā pret statistikas rādītājiem, kas vislabāk spēj atspoguļot konkrētā nodokļa bāzes izmaiņas tautsaimniecības attīstības rezultātā. Gadījumā, ja attiecīgā nodokļa ieņēmumu izmaiņas būtiski atšķiras no šī etalona, tiek pieņemts, ka to nosaka administrēšanas faktors. </w:t>
      </w:r>
    </w:p>
    <w:p w:rsidR="00272258" w:rsidRPr="001E3D59" w:rsidRDefault="00272258" w:rsidP="00272258">
      <w:pPr>
        <w:ind w:firstLine="720"/>
        <w:jc w:val="both"/>
      </w:pPr>
      <w:r w:rsidRPr="001E3D59">
        <w:t>Ņemot vērā, ka izvērtēšanai visi nepieciešamie makroekonomiskie rādītāji par 2013.gada 9 mēnešiem nav pieejami, novērtējumam tika izmantota nodokļu ieņēmumu un makroekonomisko rādītāju 2013.gada prognoze.</w:t>
      </w:r>
    </w:p>
    <w:p w:rsidR="00272258" w:rsidRDefault="00272258" w:rsidP="00272258">
      <w:pPr>
        <w:ind w:firstLine="720"/>
        <w:jc w:val="both"/>
      </w:pPr>
      <w:r w:rsidRPr="001E3D59">
        <w:t>2013.gadā kopbudžeta nodokļu ieņēmumi tiek prognozēti 4457,0 milj. latu, kas ir par 168,0 milj. latu jeb 3,9% vairāk nekā 2012.gadā.</w:t>
      </w:r>
    </w:p>
    <w:p w:rsidR="00272258" w:rsidRDefault="00272258" w:rsidP="00272258">
      <w:pPr>
        <w:spacing w:after="120"/>
        <w:ind w:firstLine="567"/>
        <w:jc w:val="both"/>
        <w:rPr>
          <w:color w:val="000000"/>
        </w:rPr>
      </w:pPr>
      <w:r w:rsidRPr="00B97926">
        <w:rPr>
          <w:color w:val="000000"/>
        </w:rPr>
        <w:t xml:space="preserve">Atbilstoši izvēlētajai metodei administrēšanas ieguldījums (t.sk. ēnu ekonomikas ierobežošana) nodokļu ieņēmumu </w:t>
      </w:r>
      <w:r w:rsidRPr="00D326F9">
        <w:rPr>
          <w:color w:val="000000"/>
        </w:rPr>
        <w:t xml:space="preserve">kāpumā 2013.gadā kopumā tiek vērtēts </w:t>
      </w:r>
      <w:r w:rsidRPr="00417398">
        <w:rPr>
          <w:color w:val="000000"/>
        </w:rPr>
        <w:t>aptuveni 39,7 milj. latu apmērā</w:t>
      </w:r>
      <w:r w:rsidRPr="00D326F9">
        <w:rPr>
          <w:color w:val="000000"/>
        </w:rPr>
        <w:t xml:space="preserve">. </w:t>
      </w:r>
    </w:p>
    <w:p w:rsidR="007C2B08" w:rsidRPr="00D326F9" w:rsidRDefault="007C2B08" w:rsidP="007C2B08">
      <w:pPr>
        <w:spacing w:after="120"/>
        <w:ind w:firstLine="567"/>
        <w:jc w:val="right"/>
        <w:rPr>
          <w:color w:val="000000"/>
        </w:rPr>
      </w:pPr>
      <w:r>
        <w:rPr>
          <w:color w:val="000000"/>
        </w:rPr>
        <w:t>11.tabula</w:t>
      </w:r>
    </w:p>
    <w:tbl>
      <w:tblPr>
        <w:tblW w:w="6177" w:type="dxa"/>
        <w:jc w:val="center"/>
        <w:tblLook w:val="04A0" w:firstRow="1" w:lastRow="0" w:firstColumn="1" w:lastColumn="0" w:noHBand="0" w:noVBand="1"/>
      </w:tblPr>
      <w:tblGrid>
        <w:gridCol w:w="4110"/>
        <w:gridCol w:w="2067"/>
      </w:tblGrid>
      <w:tr w:rsidR="00272258" w:rsidRPr="00D326F9" w:rsidTr="00417398">
        <w:trPr>
          <w:trHeight w:val="315"/>
          <w:jc w:val="center"/>
        </w:trPr>
        <w:tc>
          <w:tcPr>
            <w:tcW w:w="4110" w:type="dxa"/>
            <w:tcBorders>
              <w:top w:val="single" w:sz="8" w:space="0" w:color="auto"/>
              <w:left w:val="single" w:sz="8" w:space="0" w:color="auto"/>
              <w:bottom w:val="nil"/>
              <w:right w:val="nil"/>
            </w:tcBorders>
            <w:shd w:val="clear" w:color="auto" w:fill="auto"/>
            <w:noWrap/>
            <w:vAlign w:val="center"/>
            <w:hideMark/>
          </w:tcPr>
          <w:p w:rsidR="00272258" w:rsidRPr="00D326F9" w:rsidRDefault="00272258" w:rsidP="00417398">
            <w:pPr>
              <w:jc w:val="center"/>
              <w:rPr>
                <w:color w:val="000000"/>
              </w:rPr>
            </w:pPr>
            <w:r w:rsidRPr="00D326F9">
              <w:rPr>
                <w:bCs/>
                <w:color w:val="000000"/>
              </w:rPr>
              <w:t>Ieņēmumi, kas attiecināmi uz ēnu apkarošanas pasākumiem</w:t>
            </w:r>
          </w:p>
        </w:tc>
        <w:tc>
          <w:tcPr>
            <w:tcW w:w="2067" w:type="dxa"/>
            <w:tcBorders>
              <w:top w:val="single" w:sz="8" w:space="0" w:color="auto"/>
              <w:left w:val="single" w:sz="4" w:space="0" w:color="auto"/>
              <w:bottom w:val="single" w:sz="4" w:space="0" w:color="auto"/>
              <w:right w:val="single" w:sz="4" w:space="0" w:color="auto"/>
            </w:tcBorders>
            <w:shd w:val="clear" w:color="auto" w:fill="auto"/>
            <w:noWrap/>
            <w:vAlign w:val="center"/>
          </w:tcPr>
          <w:p w:rsidR="00272258" w:rsidRPr="00D326F9" w:rsidRDefault="00272258" w:rsidP="00417398">
            <w:pPr>
              <w:jc w:val="center"/>
              <w:rPr>
                <w:color w:val="000000"/>
              </w:rPr>
            </w:pPr>
            <w:r w:rsidRPr="00D326F9">
              <w:rPr>
                <w:color w:val="000000"/>
              </w:rPr>
              <w:t>milj.</w:t>
            </w:r>
            <w:r w:rsidR="00417398">
              <w:rPr>
                <w:color w:val="000000"/>
              </w:rPr>
              <w:t xml:space="preserve"> </w:t>
            </w:r>
            <w:r w:rsidRPr="00D326F9">
              <w:rPr>
                <w:color w:val="000000"/>
              </w:rPr>
              <w:t>latu</w:t>
            </w:r>
          </w:p>
        </w:tc>
      </w:tr>
      <w:tr w:rsidR="00272258" w:rsidRPr="00D326F9" w:rsidTr="00417398">
        <w:trPr>
          <w:trHeight w:val="315"/>
          <w:jc w:val="center"/>
        </w:trPr>
        <w:tc>
          <w:tcPr>
            <w:tcW w:w="4110" w:type="dxa"/>
            <w:tcBorders>
              <w:top w:val="single" w:sz="4" w:space="0" w:color="auto"/>
              <w:left w:val="single" w:sz="8" w:space="0" w:color="auto"/>
              <w:bottom w:val="single" w:sz="4" w:space="0" w:color="auto"/>
              <w:right w:val="single" w:sz="4" w:space="0" w:color="auto"/>
            </w:tcBorders>
            <w:shd w:val="clear" w:color="auto" w:fill="auto"/>
            <w:noWrap/>
            <w:vAlign w:val="bottom"/>
          </w:tcPr>
          <w:p w:rsidR="00272258" w:rsidRPr="00D326F9" w:rsidRDefault="00272258" w:rsidP="00417398">
            <w:pPr>
              <w:rPr>
                <w:bCs/>
                <w:color w:val="000000"/>
              </w:rPr>
            </w:pPr>
            <w:r w:rsidRPr="00D326F9">
              <w:rPr>
                <w:bCs/>
                <w:color w:val="000000"/>
              </w:rPr>
              <w:t>PVN</w:t>
            </w:r>
          </w:p>
        </w:tc>
        <w:tc>
          <w:tcPr>
            <w:tcW w:w="2067" w:type="dxa"/>
            <w:tcBorders>
              <w:top w:val="nil"/>
              <w:left w:val="nil"/>
              <w:bottom w:val="single" w:sz="4" w:space="0" w:color="auto"/>
              <w:right w:val="single" w:sz="4" w:space="0" w:color="auto"/>
            </w:tcBorders>
            <w:shd w:val="clear" w:color="auto" w:fill="auto"/>
            <w:noWrap/>
            <w:vAlign w:val="bottom"/>
          </w:tcPr>
          <w:p w:rsidR="00272258" w:rsidRPr="00D326F9" w:rsidRDefault="00272258" w:rsidP="00417398">
            <w:pPr>
              <w:jc w:val="center"/>
              <w:rPr>
                <w:bCs/>
                <w:color w:val="000000"/>
              </w:rPr>
            </w:pPr>
            <w:r w:rsidRPr="00D326F9">
              <w:rPr>
                <w:bCs/>
                <w:color w:val="000000"/>
              </w:rPr>
              <w:t>13,6</w:t>
            </w:r>
          </w:p>
        </w:tc>
      </w:tr>
      <w:tr w:rsidR="00272258" w:rsidRPr="00D326F9" w:rsidTr="00417398">
        <w:trPr>
          <w:trHeight w:val="315"/>
          <w:jc w:val="center"/>
        </w:trPr>
        <w:tc>
          <w:tcPr>
            <w:tcW w:w="41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72258" w:rsidRPr="00D326F9" w:rsidRDefault="00272258" w:rsidP="00417398">
            <w:pPr>
              <w:rPr>
                <w:color w:val="000000"/>
              </w:rPr>
            </w:pPr>
            <w:r w:rsidRPr="00D326F9">
              <w:rPr>
                <w:bCs/>
                <w:color w:val="000000"/>
              </w:rPr>
              <w:t xml:space="preserve">IIN </w:t>
            </w:r>
          </w:p>
        </w:tc>
        <w:tc>
          <w:tcPr>
            <w:tcW w:w="2067" w:type="dxa"/>
            <w:tcBorders>
              <w:top w:val="nil"/>
              <w:left w:val="nil"/>
              <w:bottom w:val="single" w:sz="4" w:space="0" w:color="auto"/>
              <w:right w:val="single" w:sz="4" w:space="0" w:color="auto"/>
            </w:tcBorders>
            <w:shd w:val="clear" w:color="auto" w:fill="auto"/>
            <w:noWrap/>
            <w:vAlign w:val="bottom"/>
            <w:hideMark/>
          </w:tcPr>
          <w:p w:rsidR="00272258" w:rsidRPr="00D326F9" w:rsidRDefault="00272258" w:rsidP="00417398">
            <w:pPr>
              <w:jc w:val="center"/>
              <w:rPr>
                <w:bCs/>
                <w:color w:val="000000"/>
              </w:rPr>
            </w:pPr>
            <w:r w:rsidRPr="00D326F9">
              <w:rPr>
                <w:bCs/>
                <w:color w:val="000000"/>
              </w:rPr>
              <w:t>9,3</w:t>
            </w:r>
          </w:p>
        </w:tc>
      </w:tr>
      <w:tr w:rsidR="00272258" w:rsidRPr="00D326F9" w:rsidTr="00417398">
        <w:trPr>
          <w:trHeight w:val="315"/>
          <w:jc w:val="center"/>
        </w:trPr>
        <w:tc>
          <w:tcPr>
            <w:tcW w:w="4110" w:type="dxa"/>
            <w:tcBorders>
              <w:top w:val="nil"/>
              <w:left w:val="single" w:sz="8" w:space="0" w:color="auto"/>
              <w:bottom w:val="single" w:sz="4" w:space="0" w:color="auto"/>
              <w:right w:val="single" w:sz="4" w:space="0" w:color="auto"/>
            </w:tcBorders>
            <w:shd w:val="clear" w:color="auto" w:fill="auto"/>
            <w:noWrap/>
            <w:vAlign w:val="bottom"/>
          </w:tcPr>
          <w:p w:rsidR="00272258" w:rsidRPr="00D326F9" w:rsidRDefault="00272258" w:rsidP="00417398">
            <w:pPr>
              <w:rPr>
                <w:color w:val="000000"/>
              </w:rPr>
            </w:pPr>
            <w:r w:rsidRPr="00D326F9">
              <w:rPr>
                <w:color w:val="000000"/>
              </w:rPr>
              <w:t>SOC</w:t>
            </w:r>
          </w:p>
        </w:tc>
        <w:tc>
          <w:tcPr>
            <w:tcW w:w="2067" w:type="dxa"/>
            <w:tcBorders>
              <w:top w:val="nil"/>
              <w:left w:val="nil"/>
              <w:bottom w:val="single" w:sz="4" w:space="0" w:color="auto"/>
              <w:right w:val="single" w:sz="4" w:space="0" w:color="auto"/>
            </w:tcBorders>
            <w:shd w:val="clear" w:color="auto" w:fill="auto"/>
            <w:noWrap/>
            <w:vAlign w:val="bottom"/>
          </w:tcPr>
          <w:p w:rsidR="00272258" w:rsidRPr="00D326F9" w:rsidRDefault="00272258" w:rsidP="00417398">
            <w:pPr>
              <w:jc w:val="center"/>
              <w:rPr>
                <w:color w:val="000000"/>
              </w:rPr>
            </w:pPr>
            <w:r w:rsidRPr="00D326F9">
              <w:rPr>
                <w:color w:val="000000"/>
              </w:rPr>
              <w:t>13,7</w:t>
            </w:r>
          </w:p>
        </w:tc>
      </w:tr>
      <w:tr w:rsidR="00272258" w:rsidRPr="00D326F9" w:rsidTr="00417398">
        <w:trPr>
          <w:trHeight w:val="330"/>
          <w:jc w:val="center"/>
        </w:trPr>
        <w:tc>
          <w:tcPr>
            <w:tcW w:w="4110" w:type="dxa"/>
            <w:tcBorders>
              <w:top w:val="nil"/>
              <w:left w:val="single" w:sz="8" w:space="0" w:color="auto"/>
              <w:bottom w:val="single" w:sz="8" w:space="0" w:color="auto"/>
              <w:right w:val="single" w:sz="4" w:space="0" w:color="auto"/>
            </w:tcBorders>
            <w:shd w:val="clear" w:color="auto" w:fill="auto"/>
            <w:noWrap/>
            <w:vAlign w:val="bottom"/>
          </w:tcPr>
          <w:p w:rsidR="00272258" w:rsidRPr="00D326F9" w:rsidRDefault="00272258" w:rsidP="00417398">
            <w:pPr>
              <w:rPr>
                <w:color w:val="000000"/>
              </w:rPr>
            </w:pPr>
            <w:r w:rsidRPr="00D326F9">
              <w:rPr>
                <w:color w:val="000000"/>
              </w:rPr>
              <w:t>Akcīzes nodoklis</w:t>
            </w:r>
          </w:p>
        </w:tc>
        <w:tc>
          <w:tcPr>
            <w:tcW w:w="2067" w:type="dxa"/>
            <w:tcBorders>
              <w:top w:val="nil"/>
              <w:left w:val="nil"/>
              <w:bottom w:val="single" w:sz="8" w:space="0" w:color="auto"/>
              <w:right w:val="single" w:sz="4" w:space="0" w:color="auto"/>
            </w:tcBorders>
            <w:shd w:val="clear" w:color="auto" w:fill="auto"/>
            <w:noWrap/>
            <w:vAlign w:val="bottom"/>
          </w:tcPr>
          <w:p w:rsidR="00272258" w:rsidRPr="00D326F9" w:rsidRDefault="00272258" w:rsidP="00417398">
            <w:pPr>
              <w:jc w:val="center"/>
              <w:rPr>
                <w:color w:val="000000"/>
              </w:rPr>
            </w:pPr>
            <w:r w:rsidRPr="00D326F9">
              <w:rPr>
                <w:color w:val="000000"/>
              </w:rPr>
              <w:t>3,1</w:t>
            </w:r>
          </w:p>
        </w:tc>
      </w:tr>
      <w:tr w:rsidR="00272258" w:rsidRPr="004A47EA" w:rsidTr="00417398">
        <w:trPr>
          <w:trHeight w:val="330"/>
          <w:jc w:val="center"/>
        </w:trPr>
        <w:tc>
          <w:tcPr>
            <w:tcW w:w="4110" w:type="dxa"/>
            <w:tcBorders>
              <w:top w:val="nil"/>
              <w:left w:val="single" w:sz="8" w:space="0" w:color="auto"/>
              <w:bottom w:val="single" w:sz="8" w:space="0" w:color="auto"/>
              <w:right w:val="single" w:sz="4" w:space="0" w:color="auto"/>
            </w:tcBorders>
            <w:shd w:val="clear" w:color="auto" w:fill="DDD9C3" w:themeFill="background2" w:themeFillShade="E6"/>
            <w:noWrap/>
            <w:vAlign w:val="bottom"/>
          </w:tcPr>
          <w:p w:rsidR="00272258" w:rsidRPr="00D326F9" w:rsidRDefault="00272258" w:rsidP="00417398">
            <w:pPr>
              <w:rPr>
                <w:b/>
                <w:bCs/>
                <w:color w:val="000000"/>
              </w:rPr>
            </w:pPr>
            <w:r w:rsidRPr="00D326F9">
              <w:rPr>
                <w:b/>
                <w:bCs/>
                <w:color w:val="000000"/>
              </w:rPr>
              <w:t>Kopā</w:t>
            </w:r>
          </w:p>
        </w:tc>
        <w:tc>
          <w:tcPr>
            <w:tcW w:w="2067" w:type="dxa"/>
            <w:tcBorders>
              <w:top w:val="nil"/>
              <w:left w:val="nil"/>
              <w:bottom w:val="single" w:sz="8" w:space="0" w:color="auto"/>
              <w:right w:val="single" w:sz="4" w:space="0" w:color="auto"/>
            </w:tcBorders>
            <w:shd w:val="clear" w:color="auto" w:fill="DDD9C3" w:themeFill="background2" w:themeFillShade="E6"/>
            <w:noWrap/>
            <w:vAlign w:val="bottom"/>
          </w:tcPr>
          <w:p w:rsidR="00272258" w:rsidRPr="00D326F9" w:rsidRDefault="00272258" w:rsidP="00417398">
            <w:pPr>
              <w:jc w:val="center"/>
              <w:rPr>
                <w:b/>
                <w:bCs/>
                <w:color w:val="000000"/>
              </w:rPr>
            </w:pPr>
            <w:r w:rsidRPr="00D326F9">
              <w:rPr>
                <w:b/>
                <w:bCs/>
                <w:color w:val="000000"/>
              </w:rPr>
              <w:t>39,7</w:t>
            </w:r>
          </w:p>
        </w:tc>
      </w:tr>
    </w:tbl>
    <w:p w:rsidR="00272258" w:rsidRPr="00417398" w:rsidRDefault="00272258" w:rsidP="006B7DFB">
      <w:pPr>
        <w:ind w:firstLine="720"/>
        <w:jc w:val="both"/>
      </w:pPr>
    </w:p>
    <w:p w:rsidR="00F000E1" w:rsidRPr="00417398" w:rsidRDefault="00715125" w:rsidP="006B7DFB">
      <w:pPr>
        <w:ind w:firstLine="709"/>
        <w:jc w:val="both"/>
      </w:pPr>
      <w:r w:rsidRPr="00417398">
        <w:lastRenderedPageBreak/>
        <w:t>Izv</w:t>
      </w:r>
      <w:r w:rsidR="00F000E1" w:rsidRPr="00417398">
        <w:t>ērtējot 201</w:t>
      </w:r>
      <w:r w:rsidR="00417398" w:rsidRPr="00417398">
        <w:t>3</w:t>
      </w:r>
      <w:r w:rsidR="00F000E1" w:rsidRPr="00417398">
        <w:t xml:space="preserve">.gada </w:t>
      </w:r>
      <w:r w:rsidR="00417398" w:rsidRPr="00417398">
        <w:t>deviņu</w:t>
      </w:r>
      <w:r w:rsidR="00F000E1" w:rsidRPr="00417398">
        <w:t xml:space="preserve"> mēnešu darba rezultātus var secināt, ka ir panākt</w:t>
      </w:r>
      <w:r w:rsidRPr="00417398">
        <w:t>s</w:t>
      </w:r>
      <w:r w:rsidR="00F000E1" w:rsidRPr="00417398">
        <w:t xml:space="preserve"> būtisk</w:t>
      </w:r>
      <w:r w:rsidRPr="00417398">
        <w:t>s</w:t>
      </w:r>
      <w:r w:rsidR="00F000E1" w:rsidRPr="00417398">
        <w:t xml:space="preserve"> nodokļu </w:t>
      </w:r>
      <w:r w:rsidRPr="00417398">
        <w:t>ieņēmumu pieaugums</w:t>
      </w:r>
      <w:r w:rsidR="00F000E1" w:rsidRPr="00417398">
        <w:t xml:space="preserve">, īstenojot ēnu ekonomikas apkarošanas un godīgas konkurences veicināšanas pasākumus. Par to liecina rezultatīvo rādītāju palielinājums prioritārajās darbības jomās. Šie darba rezultāti ir sasniegti nozīmīgā </w:t>
      </w:r>
      <w:r w:rsidR="00830CEF" w:rsidRPr="00417398">
        <w:t xml:space="preserve">valsts institūciju </w:t>
      </w:r>
      <w:r w:rsidR="00F000E1" w:rsidRPr="00417398">
        <w:t>darbinieku ieguldījuma rezultātā, pārskatot un nosakot jaunas prioritātes</w:t>
      </w:r>
      <w:r w:rsidR="00EE2CFE" w:rsidRPr="00417398">
        <w:t xml:space="preserve"> un plānojot darbu saskaņā ar riska vadības principiem</w:t>
      </w:r>
      <w:r w:rsidR="00F000E1" w:rsidRPr="00417398">
        <w:t>, kā arī veicot resursu optimizēšanas pasākumus.</w:t>
      </w:r>
    </w:p>
    <w:p w:rsidR="0026624C" w:rsidRPr="00417398" w:rsidRDefault="0026624C" w:rsidP="002B5DC8">
      <w:pPr>
        <w:ind w:firstLine="720"/>
        <w:jc w:val="both"/>
      </w:pPr>
    </w:p>
    <w:p w:rsidR="00D815EE" w:rsidRPr="00622E34" w:rsidRDefault="00D815EE" w:rsidP="00A209E4">
      <w:pPr>
        <w:tabs>
          <w:tab w:val="left" w:pos="1134"/>
        </w:tabs>
        <w:ind w:left="720"/>
        <w:jc w:val="both"/>
      </w:pPr>
    </w:p>
    <w:p w:rsidR="00684CE4" w:rsidRDefault="00684CE4" w:rsidP="00684CE4">
      <w:pPr>
        <w:tabs>
          <w:tab w:val="left" w:pos="1134"/>
        </w:tabs>
        <w:ind w:left="720"/>
        <w:jc w:val="both"/>
      </w:pPr>
      <w:r>
        <w:t xml:space="preserve">Finanšu ministra vietā – </w:t>
      </w:r>
    </w:p>
    <w:p w:rsidR="00A209E4" w:rsidRPr="00622E34" w:rsidRDefault="00684CE4" w:rsidP="00684CE4">
      <w:pPr>
        <w:tabs>
          <w:tab w:val="left" w:pos="1134"/>
        </w:tabs>
        <w:ind w:left="720"/>
        <w:jc w:val="both"/>
      </w:pPr>
      <w:r>
        <w:t>aizsardzības ministrs</w:t>
      </w:r>
      <w:r>
        <w:tab/>
      </w:r>
      <w:r>
        <w:tab/>
      </w:r>
      <w:r>
        <w:tab/>
      </w:r>
      <w:r>
        <w:tab/>
      </w:r>
      <w:r>
        <w:tab/>
      </w:r>
      <w:r>
        <w:tab/>
      </w:r>
      <w:r>
        <w:tab/>
      </w:r>
      <w:r>
        <w:tab/>
        <w:t>A.Pabriks</w:t>
      </w:r>
    </w:p>
    <w:p w:rsidR="00A209E4" w:rsidRDefault="00A209E4"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7C2B08" w:rsidRDefault="007C2B08"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bookmarkStart w:id="0" w:name="_GoBack"/>
      <w:bookmarkEnd w:id="0"/>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Default="00843DA4" w:rsidP="00A209E4">
      <w:pPr>
        <w:tabs>
          <w:tab w:val="left" w:pos="1134"/>
        </w:tabs>
        <w:ind w:left="720"/>
        <w:jc w:val="both"/>
        <w:rPr>
          <w:sz w:val="26"/>
          <w:szCs w:val="26"/>
        </w:rPr>
      </w:pPr>
    </w:p>
    <w:p w:rsidR="00843DA4" w:rsidRPr="007C2B08" w:rsidRDefault="00843DA4" w:rsidP="00A209E4">
      <w:pPr>
        <w:tabs>
          <w:tab w:val="left" w:pos="1134"/>
        </w:tabs>
        <w:ind w:left="720"/>
        <w:jc w:val="both"/>
        <w:rPr>
          <w:sz w:val="26"/>
          <w:szCs w:val="26"/>
        </w:rPr>
      </w:pPr>
    </w:p>
    <w:p w:rsidR="00F000E1" w:rsidRPr="007C2B08" w:rsidRDefault="00F000E1" w:rsidP="00A209E4"/>
    <w:p w:rsidR="00A209E4" w:rsidRPr="007C2B08" w:rsidRDefault="008F1267" w:rsidP="00A209E4">
      <w:pPr>
        <w:pStyle w:val="BodyTextIndent"/>
        <w:spacing w:after="0"/>
        <w:ind w:left="0"/>
        <w:rPr>
          <w:noProof/>
          <w:sz w:val="18"/>
          <w:szCs w:val="18"/>
        </w:rPr>
      </w:pPr>
      <w:r>
        <w:rPr>
          <w:noProof/>
          <w:sz w:val="18"/>
          <w:szCs w:val="18"/>
        </w:rPr>
        <w:t>06.11</w:t>
      </w:r>
      <w:r w:rsidR="007C2B08" w:rsidRPr="007C2B08">
        <w:rPr>
          <w:noProof/>
          <w:sz w:val="18"/>
          <w:szCs w:val="18"/>
        </w:rPr>
        <w:t>.2013.</w:t>
      </w:r>
      <w:r w:rsidR="0095016C" w:rsidRPr="007C2B08">
        <w:rPr>
          <w:noProof/>
          <w:sz w:val="18"/>
          <w:szCs w:val="18"/>
        </w:rPr>
        <w:t xml:space="preserve"> </w:t>
      </w:r>
      <w:r>
        <w:rPr>
          <w:noProof/>
          <w:sz w:val="18"/>
          <w:szCs w:val="18"/>
        </w:rPr>
        <w:t>1</w:t>
      </w:r>
      <w:r w:rsidR="00351051">
        <w:rPr>
          <w:noProof/>
          <w:sz w:val="18"/>
          <w:szCs w:val="18"/>
        </w:rPr>
        <w:t>1</w:t>
      </w:r>
      <w:r>
        <w:rPr>
          <w:noProof/>
          <w:sz w:val="18"/>
          <w:szCs w:val="18"/>
        </w:rPr>
        <w:t>:33</w:t>
      </w:r>
    </w:p>
    <w:p w:rsidR="00A209E4" w:rsidRPr="007C2B08" w:rsidRDefault="007C2B08" w:rsidP="00A209E4">
      <w:pPr>
        <w:pStyle w:val="BodyTextIndent"/>
        <w:spacing w:after="0"/>
        <w:ind w:left="0"/>
        <w:rPr>
          <w:noProof/>
          <w:sz w:val="18"/>
          <w:szCs w:val="18"/>
        </w:rPr>
      </w:pPr>
      <w:r w:rsidRPr="007C2B08">
        <w:rPr>
          <w:noProof/>
          <w:sz w:val="18"/>
          <w:szCs w:val="18"/>
        </w:rPr>
        <w:t>82</w:t>
      </w:r>
      <w:r w:rsidR="00292170">
        <w:rPr>
          <w:noProof/>
          <w:sz w:val="18"/>
          <w:szCs w:val="18"/>
        </w:rPr>
        <w:t>8</w:t>
      </w:r>
      <w:r w:rsidR="00684CE4">
        <w:rPr>
          <w:noProof/>
          <w:sz w:val="18"/>
          <w:szCs w:val="18"/>
        </w:rPr>
        <w:t>8</w:t>
      </w:r>
    </w:p>
    <w:p w:rsidR="00A209E4" w:rsidRPr="007C2B08" w:rsidRDefault="00830CEF" w:rsidP="00A209E4">
      <w:pPr>
        <w:pStyle w:val="BodyTextIndent"/>
        <w:spacing w:after="0"/>
        <w:ind w:left="0"/>
        <w:rPr>
          <w:noProof/>
          <w:sz w:val="18"/>
          <w:szCs w:val="18"/>
        </w:rPr>
      </w:pPr>
      <w:r w:rsidRPr="007C2B08">
        <w:rPr>
          <w:noProof/>
          <w:sz w:val="18"/>
          <w:szCs w:val="18"/>
        </w:rPr>
        <w:t>E.Šidlovskis</w:t>
      </w:r>
    </w:p>
    <w:p w:rsidR="0017355C" w:rsidRPr="00622E34" w:rsidRDefault="00830CEF" w:rsidP="00237F8F">
      <w:pPr>
        <w:pStyle w:val="BodyTextIndent"/>
        <w:spacing w:after="0"/>
        <w:ind w:left="0"/>
        <w:rPr>
          <w:sz w:val="26"/>
          <w:szCs w:val="26"/>
        </w:rPr>
      </w:pPr>
      <w:r w:rsidRPr="00622E34">
        <w:rPr>
          <w:noProof/>
          <w:sz w:val="18"/>
          <w:szCs w:val="18"/>
        </w:rPr>
        <w:t>67083894</w:t>
      </w:r>
      <w:r w:rsidR="00A209E4" w:rsidRPr="00622E34">
        <w:rPr>
          <w:noProof/>
          <w:sz w:val="18"/>
          <w:szCs w:val="18"/>
        </w:rPr>
        <w:t xml:space="preserve">, </w:t>
      </w:r>
      <w:r w:rsidRPr="00622E34">
        <w:rPr>
          <w:noProof/>
          <w:sz w:val="18"/>
          <w:szCs w:val="18"/>
        </w:rPr>
        <w:t>Edgars.Sidlovskis@fm.gov.lv</w:t>
      </w:r>
    </w:p>
    <w:sectPr w:rsidR="0017355C" w:rsidRPr="00622E34" w:rsidSect="00425882">
      <w:headerReference w:type="default" r:id="rId19"/>
      <w:footerReference w:type="default" r:id="rId20"/>
      <w:footerReference w:type="first" r:id="rId21"/>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0D" w:rsidRDefault="00FF0B0D">
      <w:r>
        <w:separator/>
      </w:r>
    </w:p>
  </w:endnote>
  <w:endnote w:type="continuationSeparator" w:id="0">
    <w:p w:rsidR="00FF0B0D" w:rsidRDefault="00FF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62" w:rsidRDefault="00B77C62" w:rsidP="00D0790A">
    <w:pPr>
      <w:pStyle w:val="Footer"/>
    </w:pPr>
    <w:r>
      <w:rPr>
        <w:sz w:val="20"/>
        <w:szCs w:val="20"/>
      </w:rPr>
      <w:t>FMZino_</w:t>
    </w:r>
    <w:r w:rsidR="008F1267">
      <w:rPr>
        <w:sz w:val="20"/>
        <w:szCs w:val="20"/>
      </w:rPr>
      <w:t>0611</w:t>
    </w:r>
    <w:r>
      <w:rPr>
        <w:sz w:val="20"/>
        <w:szCs w:val="20"/>
      </w:rPr>
      <w:t xml:space="preserve">2013; </w:t>
    </w:r>
    <w:r w:rsidRPr="00D0790A">
      <w:rPr>
        <w:sz w:val="20"/>
        <w:szCs w:val="20"/>
      </w:rPr>
      <w:t>Informatīvais ziņojums</w:t>
    </w:r>
    <w:r>
      <w:rPr>
        <w:sz w:val="20"/>
        <w:szCs w:val="20"/>
      </w:rPr>
      <w:t xml:space="preserve"> </w:t>
    </w:r>
    <w:r w:rsidRPr="00D0790A">
      <w:rPr>
        <w:sz w:val="20"/>
        <w:szCs w:val="20"/>
      </w:rPr>
      <w:t>par ēnu ekonomikas apkarošanas pasākumu īstenošanā iesaistīto institūciju darbības rezultātiem 201</w:t>
    </w:r>
    <w:r>
      <w:rPr>
        <w:sz w:val="20"/>
        <w:szCs w:val="20"/>
      </w:rPr>
      <w:t>3</w:t>
    </w:r>
    <w:r w:rsidRPr="00D0790A">
      <w:rPr>
        <w:sz w:val="20"/>
        <w:szCs w:val="20"/>
      </w:rPr>
      <w:t xml:space="preserve">.gada </w:t>
    </w:r>
    <w:r>
      <w:rPr>
        <w:sz w:val="20"/>
        <w:szCs w:val="20"/>
      </w:rPr>
      <w:t>deviņos</w:t>
    </w:r>
    <w:r w:rsidRPr="00D0790A">
      <w:rPr>
        <w:sz w:val="20"/>
        <w:szCs w:val="20"/>
      </w:rPr>
      <w:t xml:space="preserve"> mēnešos un šo pasākumu ietekmi uz nodokļu iekasēšanu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C62" w:rsidRPr="00661370" w:rsidRDefault="00B77C62" w:rsidP="00D0790A">
    <w:pPr>
      <w:pStyle w:val="Footer"/>
      <w:rPr>
        <w:sz w:val="20"/>
        <w:szCs w:val="20"/>
      </w:rPr>
    </w:pPr>
    <w:r>
      <w:rPr>
        <w:sz w:val="20"/>
        <w:szCs w:val="20"/>
      </w:rPr>
      <w:t>FMZino_</w:t>
    </w:r>
    <w:r w:rsidR="008F1267">
      <w:rPr>
        <w:sz w:val="20"/>
        <w:szCs w:val="20"/>
      </w:rPr>
      <w:t>0611</w:t>
    </w:r>
    <w:r>
      <w:rPr>
        <w:sz w:val="20"/>
        <w:szCs w:val="20"/>
      </w:rPr>
      <w:t xml:space="preserve">2013; </w:t>
    </w:r>
    <w:r w:rsidRPr="00D0790A">
      <w:rPr>
        <w:sz w:val="20"/>
        <w:szCs w:val="20"/>
      </w:rPr>
      <w:t>Informatīvais ziņojums</w:t>
    </w:r>
    <w:r>
      <w:rPr>
        <w:sz w:val="20"/>
        <w:szCs w:val="20"/>
      </w:rPr>
      <w:t xml:space="preserve"> </w:t>
    </w:r>
    <w:r w:rsidRPr="00D0790A">
      <w:rPr>
        <w:sz w:val="20"/>
        <w:szCs w:val="20"/>
      </w:rPr>
      <w:t>par ēnu ekonomikas apkarošanas pasākumu īstenošanā iesaistīto institūciju darbības rezultātiem 201</w:t>
    </w:r>
    <w:r>
      <w:rPr>
        <w:sz w:val="20"/>
        <w:szCs w:val="20"/>
      </w:rPr>
      <w:t>3</w:t>
    </w:r>
    <w:r w:rsidRPr="00D0790A">
      <w:rPr>
        <w:sz w:val="20"/>
        <w:szCs w:val="20"/>
      </w:rPr>
      <w:t xml:space="preserve">.gada </w:t>
    </w:r>
    <w:r>
      <w:rPr>
        <w:sz w:val="20"/>
        <w:szCs w:val="20"/>
      </w:rPr>
      <w:t>deviņos</w:t>
    </w:r>
    <w:r w:rsidRPr="00D0790A">
      <w:rPr>
        <w:sz w:val="20"/>
        <w:szCs w:val="20"/>
      </w:rPr>
      <w:t xml:space="preserve"> mēnešos un šo pasākumu ietekmi uz nodokļu iekasēšanu</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0D" w:rsidRDefault="00FF0B0D">
      <w:r>
        <w:separator/>
      </w:r>
    </w:p>
  </w:footnote>
  <w:footnote w:type="continuationSeparator" w:id="0">
    <w:p w:rsidR="00FF0B0D" w:rsidRDefault="00FF0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241182"/>
      <w:docPartObj>
        <w:docPartGallery w:val="Page Numbers (Top of Page)"/>
        <w:docPartUnique/>
      </w:docPartObj>
    </w:sdtPr>
    <w:sdtEndPr>
      <w:rPr>
        <w:noProof/>
        <w:sz w:val="20"/>
        <w:szCs w:val="20"/>
      </w:rPr>
    </w:sdtEndPr>
    <w:sdtContent>
      <w:p w:rsidR="00B77C62" w:rsidRPr="00DD11FE" w:rsidRDefault="00B77C62">
        <w:pPr>
          <w:pStyle w:val="Header"/>
          <w:jc w:val="center"/>
          <w:rPr>
            <w:sz w:val="20"/>
            <w:szCs w:val="20"/>
          </w:rPr>
        </w:pPr>
        <w:r w:rsidRPr="00DD11FE">
          <w:rPr>
            <w:sz w:val="20"/>
            <w:szCs w:val="20"/>
          </w:rPr>
          <w:fldChar w:fldCharType="begin"/>
        </w:r>
        <w:r w:rsidRPr="00DD11FE">
          <w:rPr>
            <w:sz w:val="20"/>
            <w:szCs w:val="20"/>
          </w:rPr>
          <w:instrText xml:space="preserve"> PAGE   \* MERGEFORMAT </w:instrText>
        </w:r>
        <w:r w:rsidRPr="00DD11FE">
          <w:rPr>
            <w:sz w:val="20"/>
            <w:szCs w:val="20"/>
          </w:rPr>
          <w:fldChar w:fldCharType="separate"/>
        </w:r>
        <w:r w:rsidR="00351051">
          <w:rPr>
            <w:noProof/>
            <w:sz w:val="20"/>
            <w:szCs w:val="20"/>
          </w:rPr>
          <w:t>24</w:t>
        </w:r>
        <w:r w:rsidRPr="00DD11FE">
          <w:rPr>
            <w:noProof/>
            <w:sz w:val="20"/>
            <w:szCs w:val="20"/>
          </w:rPr>
          <w:fldChar w:fldCharType="end"/>
        </w:r>
      </w:p>
    </w:sdtContent>
  </w:sdt>
  <w:p w:rsidR="00B77C62" w:rsidRDefault="00B7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5B06"/>
    <w:multiLevelType w:val="hybridMultilevel"/>
    <w:tmpl w:val="74DEF438"/>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2AD3596"/>
    <w:multiLevelType w:val="hybridMultilevel"/>
    <w:tmpl w:val="D8945B50"/>
    <w:lvl w:ilvl="0" w:tplc="EF10C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6F741D9"/>
    <w:multiLevelType w:val="hybridMultilevel"/>
    <w:tmpl w:val="B95A43F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39E13A9"/>
    <w:multiLevelType w:val="hybridMultilevel"/>
    <w:tmpl w:val="8FCC075A"/>
    <w:lvl w:ilvl="0" w:tplc="FBD82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9002BCD"/>
    <w:multiLevelType w:val="hybridMultilevel"/>
    <w:tmpl w:val="C9E616F8"/>
    <w:lvl w:ilvl="0" w:tplc="B95EC0C0">
      <w:start w:val="1"/>
      <w:numFmt w:val="decimal"/>
      <w:lvlText w:val="%1."/>
      <w:lvlJc w:val="left"/>
      <w:pPr>
        <w:ind w:left="3763"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CD40F27"/>
    <w:multiLevelType w:val="hybridMultilevel"/>
    <w:tmpl w:val="E7567C7A"/>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318F7D46"/>
    <w:multiLevelType w:val="hybridMultilevel"/>
    <w:tmpl w:val="684CA8C4"/>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EF152EC"/>
    <w:multiLevelType w:val="hybridMultilevel"/>
    <w:tmpl w:val="A412E7B0"/>
    <w:lvl w:ilvl="0" w:tplc="3A541E6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46207FE6"/>
    <w:multiLevelType w:val="hybridMultilevel"/>
    <w:tmpl w:val="C04A54C6"/>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A64113D"/>
    <w:multiLevelType w:val="hybridMultilevel"/>
    <w:tmpl w:val="02EC7FE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51074978"/>
    <w:multiLevelType w:val="hybridMultilevel"/>
    <w:tmpl w:val="29FC197A"/>
    <w:lvl w:ilvl="0" w:tplc="AE5EC42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4D07559"/>
    <w:multiLevelType w:val="hybridMultilevel"/>
    <w:tmpl w:val="B3FE9D2A"/>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5935035D"/>
    <w:multiLevelType w:val="hybridMultilevel"/>
    <w:tmpl w:val="642A263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615C5758"/>
    <w:multiLevelType w:val="hybridMultilevel"/>
    <w:tmpl w:val="20A60B7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633A67E5"/>
    <w:multiLevelType w:val="hybridMultilevel"/>
    <w:tmpl w:val="957E892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6A77337A"/>
    <w:multiLevelType w:val="hybridMultilevel"/>
    <w:tmpl w:val="D89C508E"/>
    <w:lvl w:ilvl="0" w:tplc="197860C4">
      <w:start w:val="2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E434B4"/>
    <w:multiLevelType w:val="hybridMultilevel"/>
    <w:tmpl w:val="29C6F67A"/>
    <w:lvl w:ilvl="0" w:tplc="45AC4756">
      <w:start w:val="1"/>
      <w:numFmt w:val="decimal"/>
      <w:pStyle w:val="Daaarnumuru"/>
      <w:lvlText w:val="(%1)"/>
      <w:lvlJc w:val="left"/>
      <w:pPr>
        <w:ind w:left="107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17">
    <w:nsid w:val="72D65563"/>
    <w:multiLevelType w:val="hybridMultilevel"/>
    <w:tmpl w:val="FE50EAF2"/>
    <w:lvl w:ilvl="0" w:tplc="8C866E0A">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5"/>
  </w:num>
  <w:num w:numId="4">
    <w:abstractNumId w:val="13"/>
  </w:num>
  <w:num w:numId="5">
    <w:abstractNumId w:val="12"/>
  </w:num>
  <w:num w:numId="6">
    <w:abstractNumId w:val="17"/>
  </w:num>
  <w:num w:numId="7">
    <w:abstractNumId w:val="0"/>
  </w:num>
  <w:num w:numId="8">
    <w:abstractNumId w:val="14"/>
  </w:num>
  <w:num w:numId="9">
    <w:abstractNumId w:val="8"/>
  </w:num>
  <w:num w:numId="10">
    <w:abstractNumId w:val="9"/>
  </w:num>
  <w:num w:numId="11">
    <w:abstractNumId w:val="6"/>
  </w:num>
  <w:num w:numId="12">
    <w:abstractNumId w:val="4"/>
  </w:num>
  <w:num w:numId="13">
    <w:abstractNumId w:val="11"/>
  </w:num>
  <w:num w:numId="14">
    <w:abstractNumId w:val="1"/>
  </w:num>
  <w:num w:numId="15">
    <w:abstractNumId w:val="7"/>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70"/>
    <w:rsid w:val="00001B7D"/>
    <w:rsid w:val="000026A9"/>
    <w:rsid w:val="0001463F"/>
    <w:rsid w:val="000228B2"/>
    <w:rsid w:val="00022EC7"/>
    <w:rsid w:val="000257D4"/>
    <w:rsid w:val="00030F6F"/>
    <w:rsid w:val="00032D2C"/>
    <w:rsid w:val="00035D08"/>
    <w:rsid w:val="0004044C"/>
    <w:rsid w:val="00040F92"/>
    <w:rsid w:val="00042A1F"/>
    <w:rsid w:val="00042DCC"/>
    <w:rsid w:val="00044613"/>
    <w:rsid w:val="00046AF5"/>
    <w:rsid w:val="0005062F"/>
    <w:rsid w:val="00055125"/>
    <w:rsid w:val="000618C3"/>
    <w:rsid w:val="000630C4"/>
    <w:rsid w:val="00063954"/>
    <w:rsid w:val="000652C9"/>
    <w:rsid w:val="00067DF5"/>
    <w:rsid w:val="00071F3E"/>
    <w:rsid w:val="000732B2"/>
    <w:rsid w:val="00074E98"/>
    <w:rsid w:val="00085D3C"/>
    <w:rsid w:val="000902D7"/>
    <w:rsid w:val="00090FCA"/>
    <w:rsid w:val="000932B1"/>
    <w:rsid w:val="00093BA9"/>
    <w:rsid w:val="000950C1"/>
    <w:rsid w:val="000A3A8B"/>
    <w:rsid w:val="000A50E9"/>
    <w:rsid w:val="000A691B"/>
    <w:rsid w:val="000A6A68"/>
    <w:rsid w:val="000A6C92"/>
    <w:rsid w:val="000A6F69"/>
    <w:rsid w:val="000B00C1"/>
    <w:rsid w:val="000B3A2C"/>
    <w:rsid w:val="000B6714"/>
    <w:rsid w:val="000C046C"/>
    <w:rsid w:val="000C134C"/>
    <w:rsid w:val="000C1464"/>
    <w:rsid w:val="000C1E3A"/>
    <w:rsid w:val="000D1F6A"/>
    <w:rsid w:val="000D42F4"/>
    <w:rsid w:val="000D4351"/>
    <w:rsid w:val="000D576A"/>
    <w:rsid w:val="000D7236"/>
    <w:rsid w:val="000E083B"/>
    <w:rsid w:val="000E2934"/>
    <w:rsid w:val="000E34EC"/>
    <w:rsid w:val="000F3957"/>
    <w:rsid w:val="000F5D45"/>
    <w:rsid w:val="00100F4F"/>
    <w:rsid w:val="00104FB0"/>
    <w:rsid w:val="001050BA"/>
    <w:rsid w:val="00107642"/>
    <w:rsid w:val="001102FC"/>
    <w:rsid w:val="00111757"/>
    <w:rsid w:val="0011241E"/>
    <w:rsid w:val="0011609B"/>
    <w:rsid w:val="0011731C"/>
    <w:rsid w:val="0012026F"/>
    <w:rsid w:val="001204F1"/>
    <w:rsid w:val="0012159A"/>
    <w:rsid w:val="00121BEC"/>
    <w:rsid w:val="00124153"/>
    <w:rsid w:val="00125FC1"/>
    <w:rsid w:val="0012682A"/>
    <w:rsid w:val="001320EB"/>
    <w:rsid w:val="00132378"/>
    <w:rsid w:val="0013249C"/>
    <w:rsid w:val="00133D44"/>
    <w:rsid w:val="00133E7D"/>
    <w:rsid w:val="0013599B"/>
    <w:rsid w:val="00135B47"/>
    <w:rsid w:val="00136093"/>
    <w:rsid w:val="00142562"/>
    <w:rsid w:val="001439EA"/>
    <w:rsid w:val="00152012"/>
    <w:rsid w:val="00154D98"/>
    <w:rsid w:val="0016002B"/>
    <w:rsid w:val="001643E6"/>
    <w:rsid w:val="001727C2"/>
    <w:rsid w:val="0017355C"/>
    <w:rsid w:val="0017412F"/>
    <w:rsid w:val="00175538"/>
    <w:rsid w:val="00176AE6"/>
    <w:rsid w:val="00185761"/>
    <w:rsid w:val="00186EB3"/>
    <w:rsid w:val="0019303D"/>
    <w:rsid w:val="001940C5"/>
    <w:rsid w:val="00197355"/>
    <w:rsid w:val="001A151B"/>
    <w:rsid w:val="001A5077"/>
    <w:rsid w:val="001A664B"/>
    <w:rsid w:val="001A756F"/>
    <w:rsid w:val="001B0B64"/>
    <w:rsid w:val="001B388C"/>
    <w:rsid w:val="001B38C3"/>
    <w:rsid w:val="001B3C2C"/>
    <w:rsid w:val="001B681D"/>
    <w:rsid w:val="001B7868"/>
    <w:rsid w:val="001C018E"/>
    <w:rsid w:val="001C77C7"/>
    <w:rsid w:val="001D29B6"/>
    <w:rsid w:val="001D36C6"/>
    <w:rsid w:val="001D4E13"/>
    <w:rsid w:val="001D7C99"/>
    <w:rsid w:val="001E01ED"/>
    <w:rsid w:val="001E0D32"/>
    <w:rsid w:val="001E5904"/>
    <w:rsid w:val="001E6D93"/>
    <w:rsid w:val="001F3235"/>
    <w:rsid w:val="001F742E"/>
    <w:rsid w:val="00200123"/>
    <w:rsid w:val="00201D6A"/>
    <w:rsid w:val="00205636"/>
    <w:rsid w:val="0020665D"/>
    <w:rsid w:val="002068D6"/>
    <w:rsid w:val="00207CFF"/>
    <w:rsid w:val="00211C92"/>
    <w:rsid w:val="00213A24"/>
    <w:rsid w:val="002208A8"/>
    <w:rsid w:val="00220FEF"/>
    <w:rsid w:val="0022243E"/>
    <w:rsid w:val="00223AE6"/>
    <w:rsid w:val="00226CAD"/>
    <w:rsid w:val="00231053"/>
    <w:rsid w:val="002354FF"/>
    <w:rsid w:val="002357F9"/>
    <w:rsid w:val="002365BF"/>
    <w:rsid w:val="00237793"/>
    <w:rsid w:val="00237F8F"/>
    <w:rsid w:val="002420B0"/>
    <w:rsid w:val="00243F90"/>
    <w:rsid w:val="00244436"/>
    <w:rsid w:val="0024572F"/>
    <w:rsid w:val="002541FE"/>
    <w:rsid w:val="002572AA"/>
    <w:rsid w:val="0026119B"/>
    <w:rsid w:val="00264630"/>
    <w:rsid w:val="0026624C"/>
    <w:rsid w:val="00266963"/>
    <w:rsid w:val="00266994"/>
    <w:rsid w:val="0027006F"/>
    <w:rsid w:val="00272258"/>
    <w:rsid w:val="00273E0D"/>
    <w:rsid w:val="00274490"/>
    <w:rsid w:val="002754A2"/>
    <w:rsid w:val="002815F5"/>
    <w:rsid w:val="00285EE4"/>
    <w:rsid w:val="00292170"/>
    <w:rsid w:val="002928FC"/>
    <w:rsid w:val="00294BCD"/>
    <w:rsid w:val="00295098"/>
    <w:rsid w:val="00297F7A"/>
    <w:rsid w:val="002A1BB8"/>
    <w:rsid w:val="002A2A87"/>
    <w:rsid w:val="002A40A6"/>
    <w:rsid w:val="002A4E5D"/>
    <w:rsid w:val="002A7ECF"/>
    <w:rsid w:val="002B053B"/>
    <w:rsid w:val="002B10A5"/>
    <w:rsid w:val="002B14EE"/>
    <w:rsid w:val="002B5DC8"/>
    <w:rsid w:val="002B7354"/>
    <w:rsid w:val="002C0807"/>
    <w:rsid w:val="002C423C"/>
    <w:rsid w:val="002C7107"/>
    <w:rsid w:val="002D2CE0"/>
    <w:rsid w:val="002D3004"/>
    <w:rsid w:val="002D3307"/>
    <w:rsid w:val="002D4E96"/>
    <w:rsid w:val="002D5AA3"/>
    <w:rsid w:val="002E0E12"/>
    <w:rsid w:val="002E1B0E"/>
    <w:rsid w:val="002F1C68"/>
    <w:rsid w:val="002F1D82"/>
    <w:rsid w:val="002F3B04"/>
    <w:rsid w:val="002F545A"/>
    <w:rsid w:val="002F69E3"/>
    <w:rsid w:val="002F6D4C"/>
    <w:rsid w:val="00303E90"/>
    <w:rsid w:val="00305491"/>
    <w:rsid w:val="0031078A"/>
    <w:rsid w:val="00310BEE"/>
    <w:rsid w:val="00311FC2"/>
    <w:rsid w:val="003131A2"/>
    <w:rsid w:val="00315072"/>
    <w:rsid w:val="00315698"/>
    <w:rsid w:val="00315BCF"/>
    <w:rsid w:val="0031776C"/>
    <w:rsid w:val="003222AF"/>
    <w:rsid w:val="003224D7"/>
    <w:rsid w:val="003308A6"/>
    <w:rsid w:val="003311B0"/>
    <w:rsid w:val="00340DF1"/>
    <w:rsid w:val="003433D6"/>
    <w:rsid w:val="00351051"/>
    <w:rsid w:val="00352885"/>
    <w:rsid w:val="00356D0F"/>
    <w:rsid w:val="003613EE"/>
    <w:rsid w:val="00361A2A"/>
    <w:rsid w:val="0036371D"/>
    <w:rsid w:val="0037104E"/>
    <w:rsid w:val="00374275"/>
    <w:rsid w:val="00387141"/>
    <w:rsid w:val="00390826"/>
    <w:rsid w:val="0039415B"/>
    <w:rsid w:val="00394DEE"/>
    <w:rsid w:val="00396081"/>
    <w:rsid w:val="003A0B39"/>
    <w:rsid w:val="003A2B6E"/>
    <w:rsid w:val="003A7404"/>
    <w:rsid w:val="003B4BFB"/>
    <w:rsid w:val="003C2E21"/>
    <w:rsid w:val="003C3B0B"/>
    <w:rsid w:val="003C4C54"/>
    <w:rsid w:val="003C6F35"/>
    <w:rsid w:val="003D13C9"/>
    <w:rsid w:val="003D37DC"/>
    <w:rsid w:val="003D5293"/>
    <w:rsid w:val="003E3850"/>
    <w:rsid w:val="003E3ECA"/>
    <w:rsid w:val="003E5A5D"/>
    <w:rsid w:val="003E6885"/>
    <w:rsid w:val="003F18C2"/>
    <w:rsid w:val="003F41C5"/>
    <w:rsid w:val="003F47F0"/>
    <w:rsid w:val="003F51DE"/>
    <w:rsid w:val="003F7180"/>
    <w:rsid w:val="00400D85"/>
    <w:rsid w:val="00401A3C"/>
    <w:rsid w:val="0040421D"/>
    <w:rsid w:val="00411199"/>
    <w:rsid w:val="00412FEA"/>
    <w:rsid w:val="00416ACD"/>
    <w:rsid w:val="00417398"/>
    <w:rsid w:val="004255F4"/>
    <w:rsid w:val="00425882"/>
    <w:rsid w:val="00426080"/>
    <w:rsid w:val="004265AA"/>
    <w:rsid w:val="00427A44"/>
    <w:rsid w:val="00430509"/>
    <w:rsid w:val="00430B7E"/>
    <w:rsid w:val="00431D20"/>
    <w:rsid w:val="0044066A"/>
    <w:rsid w:val="00443711"/>
    <w:rsid w:val="004444E8"/>
    <w:rsid w:val="00444BF2"/>
    <w:rsid w:val="004502C9"/>
    <w:rsid w:val="00450A97"/>
    <w:rsid w:val="004523D7"/>
    <w:rsid w:val="00453696"/>
    <w:rsid w:val="00453C4E"/>
    <w:rsid w:val="00454B6C"/>
    <w:rsid w:val="00461098"/>
    <w:rsid w:val="00472E1E"/>
    <w:rsid w:val="00476089"/>
    <w:rsid w:val="00477033"/>
    <w:rsid w:val="00481EA7"/>
    <w:rsid w:val="00482EC3"/>
    <w:rsid w:val="0048374B"/>
    <w:rsid w:val="004868AE"/>
    <w:rsid w:val="00490731"/>
    <w:rsid w:val="0049238D"/>
    <w:rsid w:val="00494F15"/>
    <w:rsid w:val="0049542E"/>
    <w:rsid w:val="00496411"/>
    <w:rsid w:val="00496B01"/>
    <w:rsid w:val="004A2421"/>
    <w:rsid w:val="004A5292"/>
    <w:rsid w:val="004B3EA8"/>
    <w:rsid w:val="004B4964"/>
    <w:rsid w:val="004B631D"/>
    <w:rsid w:val="004C23DC"/>
    <w:rsid w:val="004C4007"/>
    <w:rsid w:val="004C490C"/>
    <w:rsid w:val="004C5F7B"/>
    <w:rsid w:val="004D0A50"/>
    <w:rsid w:val="004D1A9E"/>
    <w:rsid w:val="004D741F"/>
    <w:rsid w:val="004E05B1"/>
    <w:rsid w:val="004F04A6"/>
    <w:rsid w:val="004F3ACD"/>
    <w:rsid w:val="004F3E15"/>
    <w:rsid w:val="004F5F51"/>
    <w:rsid w:val="00505764"/>
    <w:rsid w:val="00506BED"/>
    <w:rsid w:val="00507E1D"/>
    <w:rsid w:val="005118CF"/>
    <w:rsid w:val="005127F6"/>
    <w:rsid w:val="00514A00"/>
    <w:rsid w:val="005156B4"/>
    <w:rsid w:val="0051656D"/>
    <w:rsid w:val="0051660B"/>
    <w:rsid w:val="00520DF5"/>
    <w:rsid w:val="00521C86"/>
    <w:rsid w:val="00524D45"/>
    <w:rsid w:val="005257FF"/>
    <w:rsid w:val="00526DE3"/>
    <w:rsid w:val="005271B9"/>
    <w:rsid w:val="005306FB"/>
    <w:rsid w:val="00536DA3"/>
    <w:rsid w:val="00541D76"/>
    <w:rsid w:val="0054315B"/>
    <w:rsid w:val="005432EF"/>
    <w:rsid w:val="00550110"/>
    <w:rsid w:val="005507D2"/>
    <w:rsid w:val="005523BE"/>
    <w:rsid w:val="005532AB"/>
    <w:rsid w:val="0055732F"/>
    <w:rsid w:val="0056146A"/>
    <w:rsid w:val="005642C3"/>
    <w:rsid w:val="00564A05"/>
    <w:rsid w:val="00564F6A"/>
    <w:rsid w:val="00567189"/>
    <w:rsid w:val="00581B46"/>
    <w:rsid w:val="00587355"/>
    <w:rsid w:val="0058771C"/>
    <w:rsid w:val="0059395D"/>
    <w:rsid w:val="00593BCA"/>
    <w:rsid w:val="00597CD2"/>
    <w:rsid w:val="005A072D"/>
    <w:rsid w:val="005A3007"/>
    <w:rsid w:val="005A32F2"/>
    <w:rsid w:val="005A4BFC"/>
    <w:rsid w:val="005A6105"/>
    <w:rsid w:val="005A6A62"/>
    <w:rsid w:val="005B11C6"/>
    <w:rsid w:val="005B3197"/>
    <w:rsid w:val="005B7E09"/>
    <w:rsid w:val="005B7FD9"/>
    <w:rsid w:val="005C0774"/>
    <w:rsid w:val="005C238D"/>
    <w:rsid w:val="005C3FB9"/>
    <w:rsid w:val="005C5B34"/>
    <w:rsid w:val="005C6E29"/>
    <w:rsid w:val="005D02FC"/>
    <w:rsid w:val="005D0B49"/>
    <w:rsid w:val="005D66EF"/>
    <w:rsid w:val="005E3C6E"/>
    <w:rsid w:val="005E7A81"/>
    <w:rsid w:val="005E7FF8"/>
    <w:rsid w:val="005F0641"/>
    <w:rsid w:val="005F2D94"/>
    <w:rsid w:val="005F4597"/>
    <w:rsid w:val="005F6652"/>
    <w:rsid w:val="005F6E89"/>
    <w:rsid w:val="005F6EE3"/>
    <w:rsid w:val="006015FB"/>
    <w:rsid w:val="006016B4"/>
    <w:rsid w:val="00602326"/>
    <w:rsid w:val="006026B5"/>
    <w:rsid w:val="00613337"/>
    <w:rsid w:val="00620AB9"/>
    <w:rsid w:val="00622E34"/>
    <w:rsid w:val="006245AC"/>
    <w:rsid w:val="00626F47"/>
    <w:rsid w:val="00630392"/>
    <w:rsid w:val="006315F3"/>
    <w:rsid w:val="00634C68"/>
    <w:rsid w:val="006350FD"/>
    <w:rsid w:val="00635EE5"/>
    <w:rsid w:val="00640F3F"/>
    <w:rsid w:val="006450C7"/>
    <w:rsid w:val="00652579"/>
    <w:rsid w:val="00655334"/>
    <w:rsid w:val="0065676A"/>
    <w:rsid w:val="006571AD"/>
    <w:rsid w:val="00661370"/>
    <w:rsid w:val="0066474F"/>
    <w:rsid w:val="00671B71"/>
    <w:rsid w:val="0067307C"/>
    <w:rsid w:val="00675558"/>
    <w:rsid w:val="00675EC3"/>
    <w:rsid w:val="006761EA"/>
    <w:rsid w:val="00684437"/>
    <w:rsid w:val="00684CE4"/>
    <w:rsid w:val="00695C91"/>
    <w:rsid w:val="006A0979"/>
    <w:rsid w:val="006A09C0"/>
    <w:rsid w:val="006A30A7"/>
    <w:rsid w:val="006A325C"/>
    <w:rsid w:val="006A3AE2"/>
    <w:rsid w:val="006A4D4F"/>
    <w:rsid w:val="006B0A9E"/>
    <w:rsid w:val="006B13E7"/>
    <w:rsid w:val="006B48D3"/>
    <w:rsid w:val="006B53C1"/>
    <w:rsid w:val="006B6552"/>
    <w:rsid w:val="006B75DD"/>
    <w:rsid w:val="006B7BD3"/>
    <w:rsid w:val="006B7DFB"/>
    <w:rsid w:val="006C2596"/>
    <w:rsid w:val="006C371F"/>
    <w:rsid w:val="006C6D7B"/>
    <w:rsid w:val="006D0C79"/>
    <w:rsid w:val="006D20EE"/>
    <w:rsid w:val="006D5AB3"/>
    <w:rsid w:val="006D77B6"/>
    <w:rsid w:val="006E68B5"/>
    <w:rsid w:val="006F26F0"/>
    <w:rsid w:val="006F4153"/>
    <w:rsid w:val="006F7C8A"/>
    <w:rsid w:val="00701F76"/>
    <w:rsid w:val="00715125"/>
    <w:rsid w:val="00715BA3"/>
    <w:rsid w:val="007168BB"/>
    <w:rsid w:val="00716F3A"/>
    <w:rsid w:val="007200D6"/>
    <w:rsid w:val="007235F0"/>
    <w:rsid w:val="007262BE"/>
    <w:rsid w:val="00731AFA"/>
    <w:rsid w:val="0073276D"/>
    <w:rsid w:val="007336AF"/>
    <w:rsid w:val="00734472"/>
    <w:rsid w:val="00734476"/>
    <w:rsid w:val="00743181"/>
    <w:rsid w:val="00743352"/>
    <w:rsid w:val="00743F18"/>
    <w:rsid w:val="007502AE"/>
    <w:rsid w:val="007508EA"/>
    <w:rsid w:val="0075137F"/>
    <w:rsid w:val="00751ED7"/>
    <w:rsid w:val="00753129"/>
    <w:rsid w:val="00756ED8"/>
    <w:rsid w:val="00757301"/>
    <w:rsid w:val="00757BF2"/>
    <w:rsid w:val="00765127"/>
    <w:rsid w:val="00767938"/>
    <w:rsid w:val="0077368B"/>
    <w:rsid w:val="007742FA"/>
    <w:rsid w:val="0077564F"/>
    <w:rsid w:val="007874C9"/>
    <w:rsid w:val="007903D7"/>
    <w:rsid w:val="0079185D"/>
    <w:rsid w:val="007929B5"/>
    <w:rsid w:val="00792F03"/>
    <w:rsid w:val="00795471"/>
    <w:rsid w:val="007A04C8"/>
    <w:rsid w:val="007A123F"/>
    <w:rsid w:val="007A1DCE"/>
    <w:rsid w:val="007A26B9"/>
    <w:rsid w:val="007A3A1A"/>
    <w:rsid w:val="007B05AA"/>
    <w:rsid w:val="007B7FE3"/>
    <w:rsid w:val="007C02DC"/>
    <w:rsid w:val="007C0556"/>
    <w:rsid w:val="007C05FF"/>
    <w:rsid w:val="007C1864"/>
    <w:rsid w:val="007C2782"/>
    <w:rsid w:val="007C2B08"/>
    <w:rsid w:val="007D01F0"/>
    <w:rsid w:val="007D1CE5"/>
    <w:rsid w:val="007D1E7D"/>
    <w:rsid w:val="007D2206"/>
    <w:rsid w:val="007D25C9"/>
    <w:rsid w:val="007D34F7"/>
    <w:rsid w:val="007E1BD5"/>
    <w:rsid w:val="007E4876"/>
    <w:rsid w:val="007F0D11"/>
    <w:rsid w:val="007F3A91"/>
    <w:rsid w:val="00800A09"/>
    <w:rsid w:val="00802062"/>
    <w:rsid w:val="008219B3"/>
    <w:rsid w:val="00830CEF"/>
    <w:rsid w:val="0083479F"/>
    <w:rsid w:val="0083686A"/>
    <w:rsid w:val="00840A45"/>
    <w:rsid w:val="00843DA4"/>
    <w:rsid w:val="00851B2C"/>
    <w:rsid w:val="00853E69"/>
    <w:rsid w:val="00855085"/>
    <w:rsid w:val="008634B6"/>
    <w:rsid w:val="0086441D"/>
    <w:rsid w:val="00864A3D"/>
    <w:rsid w:val="00866BCF"/>
    <w:rsid w:val="00866D2C"/>
    <w:rsid w:val="00870CE6"/>
    <w:rsid w:val="00871AEB"/>
    <w:rsid w:val="00873924"/>
    <w:rsid w:val="008765E1"/>
    <w:rsid w:val="00877210"/>
    <w:rsid w:val="00881223"/>
    <w:rsid w:val="00883DEE"/>
    <w:rsid w:val="0089357E"/>
    <w:rsid w:val="00894E57"/>
    <w:rsid w:val="008A0488"/>
    <w:rsid w:val="008A35B7"/>
    <w:rsid w:val="008A37EA"/>
    <w:rsid w:val="008A6285"/>
    <w:rsid w:val="008A6B20"/>
    <w:rsid w:val="008A728F"/>
    <w:rsid w:val="008B7B33"/>
    <w:rsid w:val="008C0D4C"/>
    <w:rsid w:val="008C0D6A"/>
    <w:rsid w:val="008C498E"/>
    <w:rsid w:val="008D09A5"/>
    <w:rsid w:val="008D487F"/>
    <w:rsid w:val="008D54ED"/>
    <w:rsid w:val="008E4902"/>
    <w:rsid w:val="008E7F74"/>
    <w:rsid w:val="008F1230"/>
    <w:rsid w:val="008F1267"/>
    <w:rsid w:val="008F1586"/>
    <w:rsid w:val="008F4AB1"/>
    <w:rsid w:val="008F5992"/>
    <w:rsid w:val="008F7315"/>
    <w:rsid w:val="00901E92"/>
    <w:rsid w:val="009108D8"/>
    <w:rsid w:val="00914E95"/>
    <w:rsid w:val="0092110C"/>
    <w:rsid w:val="00923982"/>
    <w:rsid w:val="00924A0B"/>
    <w:rsid w:val="00924A9B"/>
    <w:rsid w:val="00924E46"/>
    <w:rsid w:val="009329C2"/>
    <w:rsid w:val="00932A5F"/>
    <w:rsid w:val="00934F9B"/>
    <w:rsid w:val="009354B7"/>
    <w:rsid w:val="0093571A"/>
    <w:rsid w:val="0093575E"/>
    <w:rsid w:val="00935FAE"/>
    <w:rsid w:val="009367FB"/>
    <w:rsid w:val="00937D80"/>
    <w:rsid w:val="0095016C"/>
    <w:rsid w:val="00951083"/>
    <w:rsid w:val="00960077"/>
    <w:rsid w:val="00974C60"/>
    <w:rsid w:val="00975A4C"/>
    <w:rsid w:val="009808CF"/>
    <w:rsid w:val="00982E3D"/>
    <w:rsid w:val="009874BB"/>
    <w:rsid w:val="009877C3"/>
    <w:rsid w:val="00991F93"/>
    <w:rsid w:val="009942D1"/>
    <w:rsid w:val="00994B88"/>
    <w:rsid w:val="009959A1"/>
    <w:rsid w:val="00996A93"/>
    <w:rsid w:val="00997DB6"/>
    <w:rsid w:val="009A122F"/>
    <w:rsid w:val="009A18FF"/>
    <w:rsid w:val="009A2C13"/>
    <w:rsid w:val="009A3B63"/>
    <w:rsid w:val="009A44C2"/>
    <w:rsid w:val="009A59E2"/>
    <w:rsid w:val="009B5909"/>
    <w:rsid w:val="009C2753"/>
    <w:rsid w:val="009C47D1"/>
    <w:rsid w:val="009D3870"/>
    <w:rsid w:val="009D4E38"/>
    <w:rsid w:val="009D6361"/>
    <w:rsid w:val="009D6380"/>
    <w:rsid w:val="009D7E48"/>
    <w:rsid w:val="009E0B6F"/>
    <w:rsid w:val="009E0FF7"/>
    <w:rsid w:val="009E2898"/>
    <w:rsid w:val="009E28D7"/>
    <w:rsid w:val="009E3570"/>
    <w:rsid w:val="009E5AE8"/>
    <w:rsid w:val="009F0862"/>
    <w:rsid w:val="009F0C16"/>
    <w:rsid w:val="009F38FB"/>
    <w:rsid w:val="009F40E2"/>
    <w:rsid w:val="009F4518"/>
    <w:rsid w:val="009F4AE5"/>
    <w:rsid w:val="009F5284"/>
    <w:rsid w:val="00A03D93"/>
    <w:rsid w:val="00A04AE0"/>
    <w:rsid w:val="00A06636"/>
    <w:rsid w:val="00A111D4"/>
    <w:rsid w:val="00A118BF"/>
    <w:rsid w:val="00A11CDF"/>
    <w:rsid w:val="00A1224D"/>
    <w:rsid w:val="00A1316B"/>
    <w:rsid w:val="00A17A81"/>
    <w:rsid w:val="00A17D46"/>
    <w:rsid w:val="00A209E4"/>
    <w:rsid w:val="00A25421"/>
    <w:rsid w:val="00A25B32"/>
    <w:rsid w:val="00A27B10"/>
    <w:rsid w:val="00A3073B"/>
    <w:rsid w:val="00A34D0A"/>
    <w:rsid w:val="00A37209"/>
    <w:rsid w:val="00A40A4A"/>
    <w:rsid w:val="00A41272"/>
    <w:rsid w:val="00A4241F"/>
    <w:rsid w:val="00A44A8E"/>
    <w:rsid w:val="00A50CC9"/>
    <w:rsid w:val="00A516EE"/>
    <w:rsid w:val="00A54566"/>
    <w:rsid w:val="00A57BB4"/>
    <w:rsid w:val="00A57F15"/>
    <w:rsid w:val="00A60060"/>
    <w:rsid w:val="00A60DA9"/>
    <w:rsid w:val="00A61201"/>
    <w:rsid w:val="00A61A49"/>
    <w:rsid w:val="00A65AB9"/>
    <w:rsid w:val="00A67F20"/>
    <w:rsid w:val="00A70890"/>
    <w:rsid w:val="00A72093"/>
    <w:rsid w:val="00A723D3"/>
    <w:rsid w:val="00A73495"/>
    <w:rsid w:val="00A76D7F"/>
    <w:rsid w:val="00A84CB2"/>
    <w:rsid w:val="00A86FE6"/>
    <w:rsid w:val="00AB3825"/>
    <w:rsid w:val="00AB55A5"/>
    <w:rsid w:val="00AB5E4B"/>
    <w:rsid w:val="00AB7A92"/>
    <w:rsid w:val="00AC32F2"/>
    <w:rsid w:val="00AC331F"/>
    <w:rsid w:val="00AC4BED"/>
    <w:rsid w:val="00AC4DD6"/>
    <w:rsid w:val="00AC5138"/>
    <w:rsid w:val="00AC57C1"/>
    <w:rsid w:val="00AC7A23"/>
    <w:rsid w:val="00AD2E42"/>
    <w:rsid w:val="00AD5D84"/>
    <w:rsid w:val="00AD68B3"/>
    <w:rsid w:val="00AE2664"/>
    <w:rsid w:val="00AE3D18"/>
    <w:rsid w:val="00AF20BD"/>
    <w:rsid w:val="00AF2C46"/>
    <w:rsid w:val="00AF3399"/>
    <w:rsid w:val="00AF368F"/>
    <w:rsid w:val="00B0236D"/>
    <w:rsid w:val="00B02CD6"/>
    <w:rsid w:val="00B05ABB"/>
    <w:rsid w:val="00B06AF7"/>
    <w:rsid w:val="00B144A2"/>
    <w:rsid w:val="00B24409"/>
    <w:rsid w:val="00B26D1E"/>
    <w:rsid w:val="00B27D5D"/>
    <w:rsid w:val="00B34071"/>
    <w:rsid w:val="00B463B2"/>
    <w:rsid w:val="00B46B56"/>
    <w:rsid w:val="00B47FDF"/>
    <w:rsid w:val="00B5777C"/>
    <w:rsid w:val="00B60745"/>
    <w:rsid w:val="00B62060"/>
    <w:rsid w:val="00B67641"/>
    <w:rsid w:val="00B71AB7"/>
    <w:rsid w:val="00B72412"/>
    <w:rsid w:val="00B730BB"/>
    <w:rsid w:val="00B75227"/>
    <w:rsid w:val="00B75E2F"/>
    <w:rsid w:val="00B7637E"/>
    <w:rsid w:val="00B77C62"/>
    <w:rsid w:val="00B82A06"/>
    <w:rsid w:val="00B92A1C"/>
    <w:rsid w:val="00B94D03"/>
    <w:rsid w:val="00B94EE6"/>
    <w:rsid w:val="00B958E7"/>
    <w:rsid w:val="00BA22A0"/>
    <w:rsid w:val="00BC1B06"/>
    <w:rsid w:val="00BC2446"/>
    <w:rsid w:val="00BC3988"/>
    <w:rsid w:val="00BC44F0"/>
    <w:rsid w:val="00BD1DEC"/>
    <w:rsid w:val="00BD625F"/>
    <w:rsid w:val="00BE0CB5"/>
    <w:rsid w:val="00BE1829"/>
    <w:rsid w:val="00BE2A22"/>
    <w:rsid w:val="00BE5C08"/>
    <w:rsid w:val="00BF2744"/>
    <w:rsid w:val="00BF3D3F"/>
    <w:rsid w:val="00BF53C3"/>
    <w:rsid w:val="00C014D2"/>
    <w:rsid w:val="00C01AA9"/>
    <w:rsid w:val="00C03A14"/>
    <w:rsid w:val="00C03C25"/>
    <w:rsid w:val="00C0455D"/>
    <w:rsid w:val="00C129DE"/>
    <w:rsid w:val="00C1316A"/>
    <w:rsid w:val="00C15297"/>
    <w:rsid w:val="00C15F75"/>
    <w:rsid w:val="00C17C0D"/>
    <w:rsid w:val="00C21FC7"/>
    <w:rsid w:val="00C23865"/>
    <w:rsid w:val="00C248CE"/>
    <w:rsid w:val="00C24AF8"/>
    <w:rsid w:val="00C27D17"/>
    <w:rsid w:val="00C30096"/>
    <w:rsid w:val="00C352DD"/>
    <w:rsid w:val="00C3568B"/>
    <w:rsid w:val="00C361A5"/>
    <w:rsid w:val="00C40933"/>
    <w:rsid w:val="00C40B20"/>
    <w:rsid w:val="00C412C6"/>
    <w:rsid w:val="00C41663"/>
    <w:rsid w:val="00C42262"/>
    <w:rsid w:val="00C5098D"/>
    <w:rsid w:val="00C5161C"/>
    <w:rsid w:val="00C55EF9"/>
    <w:rsid w:val="00C60C44"/>
    <w:rsid w:val="00C60E7C"/>
    <w:rsid w:val="00C6246B"/>
    <w:rsid w:val="00C6256F"/>
    <w:rsid w:val="00C64C96"/>
    <w:rsid w:val="00C72190"/>
    <w:rsid w:val="00C749B3"/>
    <w:rsid w:val="00C75172"/>
    <w:rsid w:val="00C7705F"/>
    <w:rsid w:val="00C77B7F"/>
    <w:rsid w:val="00C83247"/>
    <w:rsid w:val="00C83754"/>
    <w:rsid w:val="00C83D30"/>
    <w:rsid w:val="00C94DF1"/>
    <w:rsid w:val="00CA24A3"/>
    <w:rsid w:val="00CB2FD4"/>
    <w:rsid w:val="00CC1144"/>
    <w:rsid w:val="00CC64F5"/>
    <w:rsid w:val="00CD229C"/>
    <w:rsid w:val="00CD4979"/>
    <w:rsid w:val="00CD5B39"/>
    <w:rsid w:val="00CE6487"/>
    <w:rsid w:val="00CE6F42"/>
    <w:rsid w:val="00CE76CC"/>
    <w:rsid w:val="00CE7B1C"/>
    <w:rsid w:val="00CF0965"/>
    <w:rsid w:val="00CF675C"/>
    <w:rsid w:val="00D03DA9"/>
    <w:rsid w:val="00D0790A"/>
    <w:rsid w:val="00D159C7"/>
    <w:rsid w:val="00D16A2D"/>
    <w:rsid w:val="00D16DBB"/>
    <w:rsid w:val="00D225FE"/>
    <w:rsid w:val="00D24C6E"/>
    <w:rsid w:val="00D25ADB"/>
    <w:rsid w:val="00D27816"/>
    <w:rsid w:val="00D3312D"/>
    <w:rsid w:val="00D36DF7"/>
    <w:rsid w:val="00D42699"/>
    <w:rsid w:val="00D47892"/>
    <w:rsid w:val="00D506D2"/>
    <w:rsid w:val="00D50F8F"/>
    <w:rsid w:val="00D55657"/>
    <w:rsid w:val="00D56128"/>
    <w:rsid w:val="00D631BC"/>
    <w:rsid w:val="00D70611"/>
    <w:rsid w:val="00D75289"/>
    <w:rsid w:val="00D7656C"/>
    <w:rsid w:val="00D76AE0"/>
    <w:rsid w:val="00D76BBF"/>
    <w:rsid w:val="00D815EE"/>
    <w:rsid w:val="00D84E4F"/>
    <w:rsid w:val="00D8644B"/>
    <w:rsid w:val="00D937B1"/>
    <w:rsid w:val="00D93CCD"/>
    <w:rsid w:val="00D94D15"/>
    <w:rsid w:val="00DA16A9"/>
    <w:rsid w:val="00DA2900"/>
    <w:rsid w:val="00DA388E"/>
    <w:rsid w:val="00DA6D45"/>
    <w:rsid w:val="00DA7292"/>
    <w:rsid w:val="00DB126E"/>
    <w:rsid w:val="00DB4D4E"/>
    <w:rsid w:val="00DB6095"/>
    <w:rsid w:val="00DB68C7"/>
    <w:rsid w:val="00DC78F1"/>
    <w:rsid w:val="00DD113D"/>
    <w:rsid w:val="00DD11FE"/>
    <w:rsid w:val="00DD48F3"/>
    <w:rsid w:val="00DD6F5C"/>
    <w:rsid w:val="00DD7DF4"/>
    <w:rsid w:val="00DE298D"/>
    <w:rsid w:val="00DE3DB0"/>
    <w:rsid w:val="00DE6A74"/>
    <w:rsid w:val="00DF1710"/>
    <w:rsid w:val="00DF2845"/>
    <w:rsid w:val="00DF2D71"/>
    <w:rsid w:val="00DF3847"/>
    <w:rsid w:val="00E037CC"/>
    <w:rsid w:val="00E171E0"/>
    <w:rsid w:val="00E20D28"/>
    <w:rsid w:val="00E22087"/>
    <w:rsid w:val="00E25287"/>
    <w:rsid w:val="00E27AAB"/>
    <w:rsid w:val="00E27C3C"/>
    <w:rsid w:val="00E3217F"/>
    <w:rsid w:val="00E32FB7"/>
    <w:rsid w:val="00E3525A"/>
    <w:rsid w:val="00E35ED6"/>
    <w:rsid w:val="00E379EC"/>
    <w:rsid w:val="00E37BE8"/>
    <w:rsid w:val="00E4041C"/>
    <w:rsid w:val="00E47085"/>
    <w:rsid w:val="00E477E1"/>
    <w:rsid w:val="00E47CD6"/>
    <w:rsid w:val="00E5009A"/>
    <w:rsid w:val="00E5309F"/>
    <w:rsid w:val="00E53AA2"/>
    <w:rsid w:val="00E53F4E"/>
    <w:rsid w:val="00E544AF"/>
    <w:rsid w:val="00E55C53"/>
    <w:rsid w:val="00E56410"/>
    <w:rsid w:val="00E573E9"/>
    <w:rsid w:val="00E67400"/>
    <w:rsid w:val="00E7328E"/>
    <w:rsid w:val="00E73DAC"/>
    <w:rsid w:val="00E75453"/>
    <w:rsid w:val="00E76BC2"/>
    <w:rsid w:val="00E76F89"/>
    <w:rsid w:val="00E82532"/>
    <w:rsid w:val="00E901B9"/>
    <w:rsid w:val="00E90287"/>
    <w:rsid w:val="00E93242"/>
    <w:rsid w:val="00E969E7"/>
    <w:rsid w:val="00E976A3"/>
    <w:rsid w:val="00EA095C"/>
    <w:rsid w:val="00EA5B96"/>
    <w:rsid w:val="00EA6855"/>
    <w:rsid w:val="00EA7C46"/>
    <w:rsid w:val="00EB0F86"/>
    <w:rsid w:val="00EB6BD0"/>
    <w:rsid w:val="00EB702A"/>
    <w:rsid w:val="00EB7078"/>
    <w:rsid w:val="00EC1364"/>
    <w:rsid w:val="00EC1E52"/>
    <w:rsid w:val="00EC39E6"/>
    <w:rsid w:val="00EC412B"/>
    <w:rsid w:val="00EC42DB"/>
    <w:rsid w:val="00EC4744"/>
    <w:rsid w:val="00EC5BE4"/>
    <w:rsid w:val="00EC7523"/>
    <w:rsid w:val="00EC7BDE"/>
    <w:rsid w:val="00ED0256"/>
    <w:rsid w:val="00ED115F"/>
    <w:rsid w:val="00ED2B4C"/>
    <w:rsid w:val="00ED4F8A"/>
    <w:rsid w:val="00ED53D3"/>
    <w:rsid w:val="00ED5BCB"/>
    <w:rsid w:val="00EE2CFE"/>
    <w:rsid w:val="00EE3150"/>
    <w:rsid w:val="00EE3DB8"/>
    <w:rsid w:val="00EE4EBF"/>
    <w:rsid w:val="00EE5681"/>
    <w:rsid w:val="00EF092F"/>
    <w:rsid w:val="00EF1F80"/>
    <w:rsid w:val="00EF274C"/>
    <w:rsid w:val="00EF6FEF"/>
    <w:rsid w:val="00F000E1"/>
    <w:rsid w:val="00F00D14"/>
    <w:rsid w:val="00F0476F"/>
    <w:rsid w:val="00F126BE"/>
    <w:rsid w:val="00F21D38"/>
    <w:rsid w:val="00F25872"/>
    <w:rsid w:val="00F264C8"/>
    <w:rsid w:val="00F267C9"/>
    <w:rsid w:val="00F30F93"/>
    <w:rsid w:val="00F31D67"/>
    <w:rsid w:val="00F3214B"/>
    <w:rsid w:val="00F3232F"/>
    <w:rsid w:val="00F32BBE"/>
    <w:rsid w:val="00F33E14"/>
    <w:rsid w:val="00F356BA"/>
    <w:rsid w:val="00F36B7F"/>
    <w:rsid w:val="00F40189"/>
    <w:rsid w:val="00F46B5B"/>
    <w:rsid w:val="00F47860"/>
    <w:rsid w:val="00F47C93"/>
    <w:rsid w:val="00F50C8E"/>
    <w:rsid w:val="00F53535"/>
    <w:rsid w:val="00F5464F"/>
    <w:rsid w:val="00F55147"/>
    <w:rsid w:val="00F57576"/>
    <w:rsid w:val="00F57632"/>
    <w:rsid w:val="00F61AD6"/>
    <w:rsid w:val="00F6266D"/>
    <w:rsid w:val="00F65889"/>
    <w:rsid w:val="00F66A30"/>
    <w:rsid w:val="00F67FC3"/>
    <w:rsid w:val="00F702A1"/>
    <w:rsid w:val="00F8368D"/>
    <w:rsid w:val="00F86891"/>
    <w:rsid w:val="00F91941"/>
    <w:rsid w:val="00F959C8"/>
    <w:rsid w:val="00FA4DDB"/>
    <w:rsid w:val="00FA504C"/>
    <w:rsid w:val="00FA5E69"/>
    <w:rsid w:val="00FB0309"/>
    <w:rsid w:val="00FC39E3"/>
    <w:rsid w:val="00FC5B25"/>
    <w:rsid w:val="00FC719D"/>
    <w:rsid w:val="00FD2DE8"/>
    <w:rsid w:val="00FD2FB9"/>
    <w:rsid w:val="00FD3928"/>
    <w:rsid w:val="00FD63E0"/>
    <w:rsid w:val="00FE0206"/>
    <w:rsid w:val="00FE027E"/>
    <w:rsid w:val="00FE3113"/>
    <w:rsid w:val="00FE3831"/>
    <w:rsid w:val="00FE7EEB"/>
    <w:rsid w:val="00FF0B0D"/>
    <w:rsid w:val="00FF11F6"/>
    <w:rsid w:val="00FF26D5"/>
    <w:rsid w:val="00FF5767"/>
    <w:rsid w:val="00FF73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143A13-5415-4B64-AA91-43191EB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370"/>
    <w:rPr>
      <w:sz w:val="24"/>
      <w:szCs w:val="24"/>
    </w:rPr>
  </w:style>
  <w:style w:type="paragraph" w:styleId="Heading9">
    <w:name w:val="heading 9"/>
    <w:basedOn w:val="Normal"/>
    <w:next w:val="Normal"/>
    <w:qFormat/>
    <w:rsid w:val="00B92A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70"/>
    <w:pPr>
      <w:tabs>
        <w:tab w:val="center" w:pos="4153"/>
        <w:tab w:val="right" w:pos="8306"/>
      </w:tabs>
    </w:pPr>
  </w:style>
  <w:style w:type="paragraph" w:styleId="Footer">
    <w:name w:val="footer"/>
    <w:basedOn w:val="Normal"/>
    <w:rsid w:val="00661370"/>
    <w:pPr>
      <w:tabs>
        <w:tab w:val="center" w:pos="4153"/>
        <w:tab w:val="right" w:pos="8306"/>
      </w:tabs>
    </w:pPr>
  </w:style>
  <w:style w:type="paragraph" w:styleId="BodyText">
    <w:name w:val="Body Text"/>
    <w:basedOn w:val="Normal"/>
    <w:rsid w:val="00661370"/>
    <w:pPr>
      <w:tabs>
        <w:tab w:val="left" w:pos="567"/>
        <w:tab w:val="left" w:pos="1985"/>
        <w:tab w:val="left" w:pos="5103"/>
      </w:tabs>
      <w:jc w:val="both"/>
    </w:pPr>
    <w:rPr>
      <w:sz w:val="28"/>
      <w:szCs w:val="20"/>
    </w:rPr>
  </w:style>
  <w:style w:type="paragraph" w:styleId="BodyText2">
    <w:name w:val="Body Text 2"/>
    <w:basedOn w:val="Normal"/>
    <w:rsid w:val="00FD63E0"/>
    <w:pPr>
      <w:spacing w:after="120" w:line="480" w:lineRule="auto"/>
    </w:pPr>
  </w:style>
  <w:style w:type="character" w:styleId="Hyperlink">
    <w:name w:val="Hyperlink"/>
    <w:basedOn w:val="DefaultParagraphFont"/>
    <w:rsid w:val="0017355C"/>
    <w:rPr>
      <w:color w:val="0000FF"/>
      <w:u w:val="single"/>
    </w:rPr>
  </w:style>
  <w:style w:type="paragraph" w:customStyle="1" w:styleId="naisf">
    <w:name w:val="naisf"/>
    <w:basedOn w:val="Normal"/>
    <w:rsid w:val="00F8368D"/>
    <w:pPr>
      <w:spacing w:before="75" w:after="75"/>
      <w:ind w:firstLine="375"/>
      <w:jc w:val="both"/>
    </w:pPr>
  </w:style>
  <w:style w:type="character" w:styleId="PageNumber">
    <w:name w:val="page number"/>
    <w:basedOn w:val="DefaultParagraphFont"/>
    <w:rsid w:val="001B388C"/>
  </w:style>
  <w:style w:type="paragraph" w:styleId="BalloonText">
    <w:name w:val="Balloon Text"/>
    <w:basedOn w:val="Normal"/>
    <w:semiHidden/>
    <w:rsid w:val="00426080"/>
    <w:rPr>
      <w:rFonts w:ascii="Tahoma" w:hAnsi="Tahoma" w:cs="Tahoma"/>
      <w:sz w:val="16"/>
      <w:szCs w:val="16"/>
    </w:rPr>
  </w:style>
  <w:style w:type="character" w:styleId="CommentReference">
    <w:name w:val="annotation reference"/>
    <w:basedOn w:val="DefaultParagraphFont"/>
    <w:semiHidden/>
    <w:rsid w:val="00A25421"/>
    <w:rPr>
      <w:sz w:val="16"/>
      <w:szCs w:val="16"/>
    </w:rPr>
  </w:style>
  <w:style w:type="paragraph" w:styleId="CommentText">
    <w:name w:val="annotation text"/>
    <w:basedOn w:val="Normal"/>
    <w:semiHidden/>
    <w:rsid w:val="00A25421"/>
    <w:rPr>
      <w:sz w:val="20"/>
      <w:szCs w:val="20"/>
    </w:rPr>
  </w:style>
  <w:style w:type="paragraph" w:styleId="CommentSubject">
    <w:name w:val="annotation subject"/>
    <w:basedOn w:val="CommentText"/>
    <w:next w:val="CommentText"/>
    <w:semiHidden/>
    <w:rsid w:val="00A25421"/>
    <w:rPr>
      <w:b/>
      <w:bCs/>
    </w:rPr>
  </w:style>
  <w:style w:type="paragraph" w:styleId="BodyTextIndent">
    <w:name w:val="Body Text Indent"/>
    <w:basedOn w:val="Normal"/>
    <w:rsid w:val="005127F6"/>
    <w:pPr>
      <w:spacing w:after="120"/>
      <w:ind w:left="283"/>
    </w:pPr>
  </w:style>
  <w:style w:type="character" w:customStyle="1" w:styleId="HeaderChar">
    <w:name w:val="Header Char"/>
    <w:basedOn w:val="DefaultParagraphFont"/>
    <w:link w:val="Header"/>
    <w:uiPriority w:val="99"/>
    <w:rsid w:val="007C2782"/>
    <w:rPr>
      <w:sz w:val="24"/>
      <w:szCs w:val="24"/>
      <w:lang w:val="lv-LV" w:eastAsia="lv-LV" w:bidi="ar-SA"/>
    </w:rPr>
  </w:style>
  <w:style w:type="character" w:customStyle="1" w:styleId="spelle">
    <w:name w:val="spelle"/>
    <w:basedOn w:val="DefaultParagraphFont"/>
    <w:rsid w:val="00B92A1C"/>
  </w:style>
  <w:style w:type="paragraph" w:customStyle="1" w:styleId="Daaarnumuru">
    <w:name w:val="Daļa ar numuru"/>
    <w:basedOn w:val="Normal"/>
    <w:qFormat/>
    <w:rsid w:val="008F7315"/>
    <w:pPr>
      <w:widowControl w:val="0"/>
      <w:numPr>
        <w:numId w:val="1"/>
      </w:numPr>
      <w:tabs>
        <w:tab w:val="left" w:pos="1072"/>
        <w:tab w:val="left" w:pos="1418"/>
      </w:tabs>
      <w:adjustRightInd w:val="0"/>
      <w:spacing w:before="120" w:after="120"/>
      <w:jc w:val="both"/>
      <w:textAlignment w:val="baseline"/>
    </w:pPr>
    <w:rPr>
      <w:sz w:val="28"/>
      <w:szCs w:val="28"/>
    </w:rPr>
  </w:style>
  <w:style w:type="table" w:styleId="TableGrid">
    <w:name w:val="Table Grid"/>
    <w:basedOn w:val="TableNormal"/>
    <w:uiPriority w:val="59"/>
    <w:rsid w:val="00EB0F8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B0F86"/>
    <w:rPr>
      <w:rFonts w:eastAsia="Calibri"/>
      <w:sz w:val="20"/>
      <w:szCs w:val="20"/>
      <w:lang w:eastAsia="en-US"/>
    </w:rPr>
  </w:style>
  <w:style w:type="character" w:customStyle="1" w:styleId="FootnoteTextChar">
    <w:name w:val="Footnote Text Char"/>
    <w:basedOn w:val="DefaultParagraphFont"/>
    <w:link w:val="FootnoteText"/>
    <w:uiPriority w:val="99"/>
    <w:rsid w:val="00EB0F86"/>
    <w:rPr>
      <w:rFonts w:eastAsia="Calibri" w:cs="Times New Roman"/>
      <w:lang w:eastAsia="en-US"/>
    </w:rPr>
  </w:style>
  <w:style w:type="character" w:styleId="FootnoteReference">
    <w:name w:val="footnote reference"/>
    <w:basedOn w:val="DefaultParagraphFont"/>
    <w:uiPriority w:val="99"/>
    <w:unhideWhenUsed/>
    <w:rsid w:val="00EB0F86"/>
    <w:rPr>
      <w:vertAlign w:val="superscript"/>
    </w:rPr>
  </w:style>
  <w:style w:type="paragraph" w:styleId="ListParagraph">
    <w:name w:val="List Paragraph"/>
    <w:basedOn w:val="Normal"/>
    <w:uiPriority w:val="34"/>
    <w:qFormat/>
    <w:rsid w:val="009A18FF"/>
    <w:pPr>
      <w:ind w:left="720"/>
    </w:pPr>
    <w:rPr>
      <w:rFonts w:ascii="Calibri" w:eastAsia="Calibri" w:hAnsi="Calibri"/>
      <w:sz w:val="22"/>
      <w:szCs w:val="22"/>
    </w:rPr>
  </w:style>
  <w:style w:type="paragraph" w:customStyle="1" w:styleId="RakstzRakstzRakstzCharCharRakstzRakstzCharCharRakstzRakstz">
    <w:name w:val="Rakstz. Rakstz. Rakstz. Char Char Rakstz. Rakstz. Char Char Rakstz. Rakstz."/>
    <w:basedOn w:val="Normal"/>
    <w:rsid w:val="006A0979"/>
    <w:pPr>
      <w:spacing w:before="40"/>
    </w:pPr>
    <w:rPr>
      <w:lang w:val="pl-PL" w:eastAsia="pl-PL"/>
    </w:rPr>
  </w:style>
  <w:style w:type="paragraph" w:styleId="NoSpacing">
    <w:name w:val="No Spacing"/>
    <w:qFormat/>
    <w:rsid w:val="00871A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4630">
      <w:bodyDiv w:val="1"/>
      <w:marLeft w:val="0"/>
      <w:marRight w:val="0"/>
      <w:marTop w:val="0"/>
      <w:marBottom w:val="0"/>
      <w:divBdr>
        <w:top w:val="none" w:sz="0" w:space="0" w:color="auto"/>
        <w:left w:val="none" w:sz="0" w:space="0" w:color="auto"/>
        <w:bottom w:val="none" w:sz="0" w:space="0" w:color="auto"/>
        <w:right w:val="none" w:sz="0" w:space="0" w:color="auto"/>
      </w:divBdr>
    </w:div>
    <w:div w:id="142740042">
      <w:bodyDiv w:val="1"/>
      <w:marLeft w:val="0"/>
      <w:marRight w:val="0"/>
      <w:marTop w:val="0"/>
      <w:marBottom w:val="0"/>
      <w:divBdr>
        <w:top w:val="none" w:sz="0" w:space="0" w:color="auto"/>
        <w:left w:val="none" w:sz="0" w:space="0" w:color="auto"/>
        <w:bottom w:val="none" w:sz="0" w:space="0" w:color="auto"/>
        <w:right w:val="none" w:sz="0" w:space="0" w:color="auto"/>
      </w:divBdr>
    </w:div>
    <w:div w:id="281614981">
      <w:bodyDiv w:val="1"/>
      <w:marLeft w:val="0"/>
      <w:marRight w:val="0"/>
      <w:marTop w:val="0"/>
      <w:marBottom w:val="0"/>
      <w:divBdr>
        <w:top w:val="none" w:sz="0" w:space="0" w:color="auto"/>
        <w:left w:val="none" w:sz="0" w:space="0" w:color="auto"/>
        <w:bottom w:val="none" w:sz="0" w:space="0" w:color="auto"/>
        <w:right w:val="none" w:sz="0" w:space="0" w:color="auto"/>
      </w:divBdr>
    </w:div>
    <w:div w:id="283007013">
      <w:bodyDiv w:val="1"/>
      <w:marLeft w:val="0"/>
      <w:marRight w:val="0"/>
      <w:marTop w:val="0"/>
      <w:marBottom w:val="0"/>
      <w:divBdr>
        <w:top w:val="none" w:sz="0" w:space="0" w:color="auto"/>
        <w:left w:val="none" w:sz="0" w:space="0" w:color="auto"/>
        <w:bottom w:val="none" w:sz="0" w:space="0" w:color="auto"/>
        <w:right w:val="none" w:sz="0" w:space="0" w:color="auto"/>
      </w:divBdr>
    </w:div>
    <w:div w:id="572008296">
      <w:bodyDiv w:val="1"/>
      <w:marLeft w:val="0"/>
      <w:marRight w:val="0"/>
      <w:marTop w:val="0"/>
      <w:marBottom w:val="0"/>
      <w:divBdr>
        <w:top w:val="none" w:sz="0" w:space="0" w:color="auto"/>
        <w:left w:val="none" w:sz="0" w:space="0" w:color="auto"/>
        <w:bottom w:val="none" w:sz="0" w:space="0" w:color="auto"/>
        <w:right w:val="none" w:sz="0" w:space="0" w:color="auto"/>
      </w:divBdr>
    </w:div>
    <w:div w:id="709036359">
      <w:bodyDiv w:val="1"/>
      <w:marLeft w:val="0"/>
      <w:marRight w:val="0"/>
      <w:marTop w:val="0"/>
      <w:marBottom w:val="0"/>
      <w:divBdr>
        <w:top w:val="none" w:sz="0" w:space="0" w:color="auto"/>
        <w:left w:val="none" w:sz="0" w:space="0" w:color="auto"/>
        <w:bottom w:val="none" w:sz="0" w:space="0" w:color="auto"/>
        <w:right w:val="none" w:sz="0" w:space="0" w:color="auto"/>
      </w:divBdr>
    </w:div>
    <w:div w:id="735471452">
      <w:bodyDiv w:val="1"/>
      <w:marLeft w:val="0"/>
      <w:marRight w:val="0"/>
      <w:marTop w:val="0"/>
      <w:marBottom w:val="0"/>
      <w:divBdr>
        <w:top w:val="none" w:sz="0" w:space="0" w:color="auto"/>
        <w:left w:val="none" w:sz="0" w:space="0" w:color="auto"/>
        <w:bottom w:val="none" w:sz="0" w:space="0" w:color="auto"/>
        <w:right w:val="none" w:sz="0" w:space="0" w:color="auto"/>
      </w:divBdr>
    </w:div>
    <w:div w:id="759520518">
      <w:bodyDiv w:val="1"/>
      <w:marLeft w:val="0"/>
      <w:marRight w:val="0"/>
      <w:marTop w:val="0"/>
      <w:marBottom w:val="0"/>
      <w:divBdr>
        <w:top w:val="none" w:sz="0" w:space="0" w:color="auto"/>
        <w:left w:val="none" w:sz="0" w:space="0" w:color="auto"/>
        <w:bottom w:val="none" w:sz="0" w:space="0" w:color="auto"/>
        <w:right w:val="none" w:sz="0" w:space="0" w:color="auto"/>
      </w:divBdr>
    </w:div>
    <w:div w:id="779643048">
      <w:bodyDiv w:val="1"/>
      <w:marLeft w:val="0"/>
      <w:marRight w:val="0"/>
      <w:marTop w:val="0"/>
      <w:marBottom w:val="0"/>
      <w:divBdr>
        <w:top w:val="none" w:sz="0" w:space="0" w:color="auto"/>
        <w:left w:val="none" w:sz="0" w:space="0" w:color="auto"/>
        <w:bottom w:val="none" w:sz="0" w:space="0" w:color="auto"/>
        <w:right w:val="none" w:sz="0" w:space="0" w:color="auto"/>
      </w:divBdr>
    </w:div>
    <w:div w:id="881478186">
      <w:bodyDiv w:val="1"/>
      <w:marLeft w:val="0"/>
      <w:marRight w:val="0"/>
      <w:marTop w:val="0"/>
      <w:marBottom w:val="0"/>
      <w:divBdr>
        <w:top w:val="none" w:sz="0" w:space="0" w:color="auto"/>
        <w:left w:val="none" w:sz="0" w:space="0" w:color="auto"/>
        <w:bottom w:val="none" w:sz="0" w:space="0" w:color="auto"/>
        <w:right w:val="none" w:sz="0" w:space="0" w:color="auto"/>
      </w:divBdr>
    </w:div>
    <w:div w:id="962730791">
      <w:bodyDiv w:val="1"/>
      <w:marLeft w:val="0"/>
      <w:marRight w:val="0"/>
      <w:marTop w:val="0"/>
      <w:marBottom w:val="0"/>
      <w:divBdr>
        <w:top w:val="none" w:sz="0" w:space="0" w:color="auto"/>
        <w:left w:val="none" w:sz="0" w:space="0" w:color="auto"/>
        <w:bottom w:val="none" w:sz="0" w:space="0" w:color="auto"/>
        <w:right w:val="none" w:sz="0" w:space="0" w:color="auto"/>
      </w:divBdr>
    </w:div>
    <w:div w:id="1041320177">
      <w:bodyDiv w:val="1"/>
      <w:marLeft w:val="0"/>
      <w:marRight w:val="0"/>
      <w:marTop w:val="0"/>
      <w:marBottom w:val="0"/>
      <w:divBdr>
        <w:top w:val="none" w:sz="0" w:space="0" w:color="auto"/>
        <w:left w:val="none" w:sz="0" w:space="0" w:color="auto"/>
        <w:bottom w:val="none" w:sz="0" w:space="0" w:color="auto"/>
        <w:right w:val="none" w:sz="0" w:space="0" w:color="auto"/>
      </w:divBdr>
      <w:divsChild>
        <w:div w:id="1009790440">
          <w:marLeft w:val="0"/>
          <w:marRight w:val="0"/>
          <w:marTop w:val="0"/>
          <w:marBottom w:val="0"/>
          <w:divBdr>
            <w:top w:val="none" w:sz="0" w:space="0" w:color="auto"/>
            <w:left w:val="none" w:sz="0" w:space="0" w:color="auto"/>
            <w:bottom w:val="none" w:sz="0" w:space="0" w:color="auto"/>
            <w:right w:val="none" w:sz="0" w:space="0" w:color="auto"/>
          </w:divBdr>
        </w:div>
        <w:div w:id="1855223968">
          <w:marLeft w:val="0"/>
          <w:marRight w:val="0"/>
          <w:marTop w:val="0"/>
          <w:marBottom w:val="0"/>
          <w:divBdr>
            <w:top w:val="none" w:sz="0" w:space="0" w:color="auto"/>
            <w:left w:val="none" w:sz="0" w:space="0" w:color="auto"/>
            <w:bottom w:val="none" w:sz="0" w:space="0" w:color="auto"/>
            <w:right w:val="none" w:sz="0" w:space="0" w:color="auto"/>
          </w:divBdr>
        </w:div>
      </w:divsChild>
    </w:div>
    <w:div w:id="1442191184">
      <w:bodyDiv w:val="1"/>
      <w:marLeft w:val="0"/>
      <w:marRight w:val="0"/>
      <w:marTop w:val="0"/>
      <w:marBottom w:val="0"/>
      <w:divBdr>
        <w:top w:val="none" w:sz="0" w:space="0" w:color="auto"/>
        <w:left w:val="none" w:sz="0" w:space="0" w:color="auto"/>
        <w:bottom w:val="none" w:sz="0" w:space="0" w:color="auto"/>
        <w:right w:val="none" w:sz="0" w:space="0" w:color="auto"/>
      </w:divBdr>
    </w:div>
    <w:div w:id="1534265912">
      <w:bodyDiv w:val="1"/>
      <w:marLeft w:val="0"/>
      <w:marRight w:val="0"/>
      <w:marTop w:val="0"/>
      <w:marBottom w:val="0"/>
      <w:divBdr>
        <w:top w:val="none" w:sz="0" w:space="0" w:color="auto"/>
        <w:left w:val="none" w:sz="0" w:space="0" w:color="auto"/>
        <w:bottom w:val="none" w:sz="0" w:space="0" w:color="auto"/>
        <w:right w:val="none" w:sz="0" w:space="0" w:color="auto"/>
      </w:divBdr>
    </w:div>
    <w:div w:id="1676686533">
      <w:bodyDiv w:val="1"/>
      <w:marLeft w:val="0"/>
      <w:marRight w:val="0"/>
      <w:marTop w:val="0"/>
      <w:marBottom w:val="0"/>
      <w:divBdr>
        <w:top w:val="none" w:sz="0" w:space="0" w:color="auto"/>
        <w:left w:val="none" w:sz="0" w:space="0" w:color="auto"/>
        <w:bottom w:val="none" w:sz="0" w:space="0" w:color="auto"/>
        <w:right w:val="none" w:sz="0" w:space="0" w:color="auto"/>
      </w:divBdr>
    </w:div>
    <w:div w:id="1929656716">
      <w:bodyDiv w:val="1"/>
      <w:marLeft w:val="0"/>
      <w:marRight w:val="0"/>
      <w:marTop w:val="0"/>
      <w:marBottom w:val="0"/>
      <w:divBdr>
        <w:top w:val="none" w:sz="0" w:space="0" w:color="auto"/>
        <w:left w:val="none" w:sz="0" w:space="0" w:color="auto"/>
        <w:bottom w:val="none" w:sz="0" w:space="0" w:color="auto"/>
        <w:right w:val="none" w:sz="0" w:space="0" w:color="auto"/>
      </w:divBdr>
    </w:div>
    <w:div w:id="20727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GNP00151\Documents\Elitas%20tabulas%20un%20grafiki\ie&#326;&#275;mumi%20-%202013-0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Worksheet%20in%20SVD%20slaidi%20(Compatibility%20Mode)"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Users\GNP00151\Documents\Elitas%20tabulas%20un%20grafiki\Irenas%202013%20-%20IKP_ienemumi%209%20men.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'ienem 9 men'!$J$4</c:f>
              <c:strCache>
                <c:ptCount val="1"/>
                <c:pt idx="0">
                  <c:v>Ieņēmumi, milj.Ls</c:v>
                </c:pt>
              </c:strCache>
            </c:strRef>
          </c:tx>
          <c:spPr>
            <a:solidFill>
              <a:srgbClr val="CCCC00"/>
            </a:solidFill>
            <a:effectLst/>
            <a:scene3d>
              <a:camera prst="orthographicFront"/>
              <a:lightRig rig="threePt" dir="t"/>
            </a:scene3d>
            <a:sp3d>
              <a:bevelT/>
              <a:bevelB/>
            </a:sp3d>
          </c:spPr>
          <c:invertIfNegative val="0"/>
          <c:dLbls>
            <c:spPr>
              <a:noFill/>
              <a:ln>
                <a:noFill/>
              </a:ln>
              <a:effectLst/>
            </c:spPr>
            <c:txPr>
              <a:bodyPr rot="0" vert="horz"/>
              <a:lstStyle/>
              <a:p>
                <a:pPr>
                  <a:defRPr sz="900"/>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'ienem 9 men'!$I$5:$I$9</c:f>
              <c:strCache>
                <c:ptCount val="5"/>
                <c:pt idx="0">
                  <c:v>2009.gada 
9 mēnešos</c:v>
                </c:pt>
                <c:pt idx="1">
                  <c:v>2010.gada
 9 mēnešos</c:v>
                </c:pt>
                <c:pt idx="2">
                  <c:v>2011.gada
 9 mēnešos</c:v>
                </c:pt>
                <c:pt idx="3">
                  <c:v>2012.gada 
9 mēnešos</c:v>
                </c:pt>
                <c:pt idx="4">
                  <c:v>2013.gada 
9 mēnešos</c:v>
                </c:pt>
              </c:strCache>
            </c:strRef>
          </c:cat>
          <c:val>
            <c:numRef>
              <c:f>'ienem 9 men'!$J$5:$J$9</c:f>
              <c:numCache>
                <c:formatCode>#,##0.00</c:formatCode>
                <c:ptCount val="5"/>
                <c:pt idx="0">
                  <c:v>2996.06</c:v>
                </c:pt>
                <c:pt idx="1">
                  <c:v>2716.03</c:v>
                </c:pt>
                <c:pt idx="2">
                  <c:v>3003.87</c:v>
                </c:pt>
                <c:pt idx="3">
                  <c:v>3389.63</c:v>
                </c:pt>
                <c:pt idx="4">
                  <c:v>3586.6680999999999</c:v>
                </c:pt>
              </c:numCache>
            </c:numRef>
          </c:val>
        </c:ser>
        <c:dLbls>
          <c:showLegendKey val="0"/>
          <c:showVal val="0"/>
          <c:showCatName val="0"/>
          <c:showSerName val="0"/>
          <c:showPercent val="0"/>
          <c:showBubbleSize val="0"/>
        </c:dLbls>
        <c:gapWidth val="62"/>
        <c:axId val="211128352"/>
        <c:axId val="211128744"/>
      </c:barChart>
      <c:lineChart>
        <c:grouping val="standard"/>
        <c:varyColors val="0"/>
        <c:ser>
          <c:idx val="1"/>
          <c:order val="1"/>
          <c:tx>
            <c:strRef>
              <c:f>'ienem 9 men'!$K$4</c:f>
              <c:strCache>
                <c:ptCount val="1"/>
                <c:pt idx="0">
                  <c:v>Pieaugums/samazinājums, %</c:v>
                </c:pt>
              </c:strCache>
            </c:strRef>
          </c:tx>
          <c:spPr>
            <a:ln>
              <a:solidFill>
                <a:schemeClr val="bg1">
                  <a:lumMod val="50000"/>
                </a:schemeClr>
              </a:solidFill>
            </a:ln>
          </c:spPr>
          <c:marker>
            <c:symbol val="circle"/>
            <c:size val="6"/>
            <c:spPr>
              <a:solidFill>
                <a:schemeClr val="bg1">
                  <a:lumMod val="50000"/>
                </a:schemeClr>
              </a:solidFill>
              <a:ln>
                <a:solidFill>
                  <a:schemeClr val="tx1">
                    <a:lumMod val="85000"/>
                    <a:lumOff val="15000"/>
                  </a:schemeClr>
                </a:solidFill>
              </a:ln>
            </c:spPr>
          </c:marker>
          <c:dLbls>
            <c:dLbl>
              <c:idx val="0"/>
              <c:layout>
                <c:manualLayout>
                  <c:x val="-5.7916267472035252E-2"/>
                  <c:y val="4.19047619047617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85111955679739E-2"/>
                  <c:y val="4.75560092584505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419415515935291E-2"/>
                  <c:y val="5.13650209625294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799596226567125E-2"/>
                  <c:y val="4.558804262380993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039368273758988E-2"/>
                  <c:y val="5.026353664521835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'ienem 9 men'!$I$5:$I$9</c:f>
              <c:strCache>
                <c:ptCount val="5"/>
                <c:pt idx="0">
                  <c:v>2009.gada 
9 mēnešos</c:v>
                </c:pt>
                <c:pt idx="1">
                  <c:v>2010.gada
 9 mēnešos</c:v>
                </c:pt>
                <c:pt idx="2">
                  <c:v>2011.gada
 9 mēnešos</c:v>
                </c:pt>
                <c:pt idx="3">
                  <c:v>2012.gada 
9 mēnešos</c:v>
                </c:pt>
                <c:pt idx="4">
                  <c:v>2013.gada 
9 mēnešos</c:v>
                </c:pt>
              </c:strCache>
            </c:strRef>
          </c:cat>
          <c:val>
            <c:numRef>
              <c:f>'ienem 9 men'!$K$5:$K$9</c:f>
              <c:numCache>
                <c:formatCode>0.0%</c:formatCode>
                <c:ptCount val="5"/>
                <c:pt idx="0">
                  <c:v>-0.23400000000000001</c:v>
                </c:pt>
                <c:pt idx="1">
                  <c:v>-9.2999999999999999E-2</c:v>
                </c:pt>
                <c:pt idx="2">
                  <c:v>0.106</c:v>
                </c:pt>
                <c:pt idx="3">
                  <c:v>0.128</c:v>
                </c:pt>
                <c:pt idx="4">
                  <c:v>5.8000000000000003E-2</c:v>
                </c:pt>
              </c:numCache>
            </c:numRef>
          </c:val>
          <c:smooth val="0"/>
        </c:ser>
        <c:dLbls>
          <c:showLegendKey val="0"/>
          <c:showVal val="0"/>
          <c:showCatName val="0"/>
          <c:showSerName val="0"/>
          <c:showPercent val="0"/>
          <c:showBubbleSize val="0"/>
        </c:dLbls>
        <c:marker val="1"/>
        <c:smooth val="0"/>
        <c:axId val="211129528"/>
        <c:axId val="211129136"/>
      </c:lineChart>
      <c:catAx>
        <c:axId val="211128352"/>
        <c:scaling>
          <c:orientation val="minMax"/>
        </c:scaling>
        <c:delete val="0"/>
        <c:axPos val="b"/>
        <c:numFmt formatCode="General" sourceLinked="0"/>
        <c:majorTickMark val="out"/>
        <c:minorTickMark val="none"/>
        <c:tickLblPos val="nextTo"/>
        <c:txPr>
          <a:bodyPr/>
          <a:lstStyle/>
          <a:p>
            <a:pPr>
              <a:defRPr sz="900"/>
            </a:pPr>
            <a:endParaRPr lang="lv-LV"/>
          </a:p>
        </c:txPr>
        <c:crossAx val="211128744"/>
        <c:crosses val="autoZero"/>
        <c:auto val="1"/>
        <c:lblAlgn val="ctr"/>
        <c:lblOffset val="100"/>
        <c:noMultiLvlLbl val="0"/>
      </c:catAx>
      <c:valAx>
        <c:axId val="211128744"/>
        <c:scaling>
          <c:orientation val="minMax"/>
        </c:scaling>
        <c:delete val="0"/>
        <c:axPos val="l"/>
        <c:majorGridlines>
          <c:spPr>
            <a:ln>
              <a:noFill/>
            </a:ln>
          </c:spPr>
        </c:majorGridlines>
        <c:numFmt formatCode="#,##0" sourceLinked="0"/>
        <c:majorTickMark val="out"/>
        <c:minorTickMark val="none"/>
        <c:tickLblPos val="nextTo"/>
        <c:txPr>
          <a:bodyPr/>
          <a:lstStyle/>
          <a:p>
            <a:pPr>
              <a:defRPr sz="900"/>
            </a:pPr>
            <a:endParaRPr lang="lv-LV"/>
          </a:p>
        </c:txPr>
        <c:crossAx val="211128352"/>
        <c:crosses val="autoZero"/>
        <c:crossBetween val="between"/>
      </c:valAx>
      <c:valAx>
        <c:axId val="211129136"/>
        <c:scaling>
          <c:orientation val="minMax"/>
          <c:max val="0.30000000000000004"/>
          <c:min val="-0.30000000000000004"/>
        </c:scaling>
        <c:delete val="0"/>
        <c:axPos val="r"/>
        <c:numFmt formatCode="0%" sourceLinked="0"/>
        <c:majorTickMark val="out"/>
        <c:minorTickMark val="none"/>
        <c:tickLblPos val="nextTo"/>
        <c:txPr>
          <a:bodyPr/>
          <a:lstStyle/>
          <a:p>
            <a:pPr>
              <a:defRPr sz="900"/>
            </a:pPr>
            <a:endParaRPr lang="lv-LV"/>
          </a:p>
        </c:txPr>
        <c:crossAx val="211129528"/>
        <c:crosses val="max"/>
        <c:crossBetween val="between"/>
        <c:majorUnit val="0.15000000000000002"/>
      </c:valAx>
      <c:catAx>
        <c:axId val="211129528"/>
        <c:scaling>
          <c:orientation val="minMax"/>
        </c:scaling>
        <c:delete val="1"/>
        <c:axPos val="b"/>
        <c:numFmt formatCode="General" sourceLinked="1"/>
        <c:majorTickMark val="out"/>
        <c:minorTickMark val="none"/>
        <c:tickLblPos val="nextTo"/>
        <c:crossAx val="211129136"/>
        <c:crosses val="autoZero"/>
        <c:auto val="1"/>
        <c:lblAlgn val="ctr"/>
        <c:lblOffset val="100"/>
        <c:noMultiLvlLbl val="0"/>
      </c:catAx>
      <c:spPr>
        <a:ln>
          <a:solidFill>
            <a:schemeClr val="tx1">
              <a:lumMod val="75000"/>
              <a:lumOff val="25000"/>
            </a:schemeClr>
          </a:solidFill>
        </a:ln>
      </c:spPr>
    </c:plotArea>
    <c:legend>
      <c:legendPos val="b"/>
      <c:overlay val="0"/>
      <c:txPr>
        <a:bodyPr/>
        <a:lstStyle/>
        <a:p>
          <a:pPr>
            <a:defRPr sz="900"/>
          </a:pPr>
          <a:endParaRPr lang="lv-LV"/>
        </a:p>
      </c:txPr>
    </c:legend>
    <c:plotVisOnly val="1"/>
    <c:dispBlanksAs val="gap"/>
    <c:showDLblsOverMax val="0"/>
  </c:chart>
  <c:spPr>
    <a:ln>
      <a:noFill/>
    </a:ln>
  </c:spPr>
  <c:txPr>
    <a:bodyPr/>
    <a:lstStyle/>
    <a:p>
      <a:pPr>
        <a:defRPr sz="1000" b="1">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871165644171779E-2"/>
          <c:y val="0"/>
          <c:w val="0.9785276073619632"/>
          <c:h val="0.82308153176965948"/>
        </c:manualLayout>
      </c:layout>
      <c:barChart>
        <c:barDir val="col"/>
        <c:grouping val="stacked"/>
        <c:varyColors val="0"/>
        <c:ser>
          <c:idx val="0"/>
          <c:order val="0"/>
          <c:tx>
            <c:strRef>
              <c:f>Sheet1!$A$2</c:f>
              <c:strCache>
                <c:ptCount val="1"/>
                <c:pt idx="0">
                  <c:v>uzsākti jauni kriminālprocesi</c:v>
                </c:pt>
              </c:strCache>
            </c:strRef>
          </c:tx>
          <c:spPr>
            <a:gradFill rotWithShape="0">
              <a:gsLst>
                <a:gs pos="0">
                  <a:srgbClr xmlns:mc="http://schemas.openxmlformats.org/markup-compatibility/2006" xmlns:a14="http://schemas.microsoft.com/office/drawing/2010/main" val="000000" mc:Ignorable="a14" a14:legacySpreadsheetColorIndex="53">
                    <a:gamma/>
                    <a:shade val="46275"/>
                    <a:invGamma/>
                  </a:srgbClr>
                </a:gs>
                <a:gs pos="50000">
                  <a:srgbClr xmlns:mc="http://schemas.openxmlformats.org/markup-compatibility/2006" xmlns:a14="http://schemas.microsoft.com/office/drawing/2010/main" val="FF6600" mc:Ignorable="a14" a14:legacySpreadsheetColorIndex="53"/>
                </a:gs>
                <a:gs pos="100000">
                  <a:srgbClr xmlns:mc="http://schemas.openxmlformats.org/markup-compatibility/2006" xmlns:a14="http://schemas.microsoft.com/office/drawing/2010/main" val="000000" mc:Ignorable="a14" a14:legacySpreadsheetColorIndex="53">
                    <a:gamma/>
                    <a:shade val="46275"/>
                    <a:invGamma/>
                  </a:srgbClr>
                </a:gs>
              </a:gsLst>
              <a:lin ang="5400000" scaled="1"/>
            </a:gradFill>
            <a:ln w="12691">
              <a:solidFill>
                <a:srgbClr val="000000"/>
              </a:solidFill>
              <a:prstDash val="solid"/>
            </a:ln>
          </c:spPr>
          <c:invertIfNegative val="0"/>
          <c:dLbls>
            <c:spPr>
              <a:noFill/>
              <a:ln w="25383">
                <a:noFill/>
              </a:ln>
            </c:spPr>
            <c:txPr>
              <a:bodyPr/>
              <a:lstStyle/>
              <a:p>
                <a:pPr>
                  <a:defRPr sz="1024"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Sheet1!$B$2:$F$2</c:f>
              <c:numCache>
                <c:formatCode>General</c:formatCode>
                <c:ptCount val="5"/>
                <c:pt idx="0">
                  <c:v>15</c:v>
                </c:pt>
                <c:pt idx="1">
                  <c:v>34</c:v>
                </c:pt>
                <c:pt idx="2">
                  <c:v>19</c:v>
                </c:pt>
                <c:pt idx="3">
                  <c:v>21</c:v>
                </c:pt>
                <c:pt idx="4">
                  <c:v>14</c:v>
                </c:pt>
              </c:numCache>
            </c:numRef>
          </c:val>
        </c:ser>
        <c:ser>
          <c:idx val="1"/>
          <c:order val="1"/>
          <c:tx>
            <c:strRef>
              <c:f>Sheet1!$A$3</c:f>
              <c:strCache>
                <c:ptCount val="1"/>
                <c:pt idx="0">
                  <c:v>materiāli pievienoti jau esošiem kriminālprocesiem</c:v>
                </c:pt>
              </c:strCache>
            </c:strRef>
          </c:tx>
          <c:spPr>
            <a:gradFill rotWithShape="0">
              <a:gsLst>
                <a:gs pos="0">
                  <a:srgbClr xmlns:mc="http://schemas.openxmlformats.org/markup-compatibility/2006" xmlns:a14="http://schemas.microsoft.com/office/drawing/2010/main" val="000000" mc:Ignorable="a14" a14:legacySpreadsheetColorIndex="50">
                    <a:gamma/>
                    <a:shade val="46275"/>
                    <a:invGamma/>
                  </a:srgbClr>
                </a:gs>
                <a:gs pos="5000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000000" mc:Ignorable="a14" a14:legacySpreadsheetColorIndex="50">
                    <a:gamma/>
                    <a:shade val="46275"/>
                    <a:invGamma/>
                  </a:srgbClr>
                </a:gs>
              </a:gsLst>
              <a:lin ang="5400000" scaled="1"/>
            </a:gradFill>
            <a:ln w="12691">
              <a:solidFill>
                <a:srgbClr val="000000"/>
              </a:solidFill>
              <a:prstDash val="solid"/>
            </a:ln>
          </c:spPr>
          <c:invertIfNegative val="0"/>
          <c:dLbls>
            <c:spPr>
              <a:noFill/>
              <a:ln w="25383">
                <a:noFill/>
              </a:ln>
            </c:spPr>
            <c:txPr>
              <a:bodyPr/>
              <a:lstStyle/>
              <a:p>
                <a:pPr>
                  <a:defRPr sz="1024"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Sheet1!$B$3:$F$3</c:f>
              <c:numCache>
                <c:formatCode>General</c:formatCode>
                <c:ptCount val="5"/>
                <c:pt idx="0">
                  <c:v>11</c:v>
                </c:pt>
                <c:pt idx="1">
                  <c:v>43</c:v>
                </c:pt>
                <c:pt idx="2">
                  <c:v>52</c:v>
                </c:pt>
                <c:pt idx="3">
                  <c:v>22</c:v>
                </c:pt>
                <c:pt idx="4">
                  <c:v>18</c:v>
                </c:pt>
              </c:numCache>
            </c:numRef>
          </c:val>
        </c:ser>
        <c:dLbls>
          <c:showLegendKey val="0"/>
          <c:showVal val="0"/>
          <c:showCatName val="0"/>
          <c:showSerName val="0"/>
          <c:showPercent val="0"/>
          <c:showBubbleSize val="0"/>
        </c:dLbls>
        <c:gapWidth val="150"/>
        <c:overlap val="100"/>
        <c:axId val="209319416"/>
        <c:axId val="209319808"/>
      </c:barChart>
      <c:catAx>
        <c:axId val="20931941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09319808"/>
        <c:crosses val="autoZero"/>
        <c:auto val="1"/>
        <c:lblAlgn val="ctr"/>
        <c:lblOffset val="100"/>
        <c:tickLblSkip val="1"/>
        <c:tickMarkSkip val="1"/>
        <c:noMultiLvlLbl val="0"/>
      </c:catAx>
      <c:valAx>
        <c:axId val="209319808"/>
        <c:scaling>
          <c:orientation val="minMax"/>
        </c:scaling>
        <c:delete val="1"/>
        <c:axPos val="l"/>
        <c:majorGridlines>
          <c:spPr>
            <a:ln w="12691">
              <a:solidFill>
                <a:srgbClr val="000000"/>
              </a:solidFill>
              <a:prstDash val="sysDash"/>
            </a:ln>
          </c:spPr>
        </c:majorGridlines>
        <c:numFmt formatCode="General" sourceLinked="1"/>
        <c:majorTickMark val="out"/>
        <c:minorTickMark val="none"/>
        <c:tickLblPos val="nextTo"/>
        <c:crossAx val="209319416"/>
        <c:crosses val="autoZero"/>
        <c:crossBetween val="between"/>
      </c:valAx>
      <c:spPr>
        <a:noFill/>
        <a:ln w="12691">
          <a:solidFill>
            <a:srgbClr val="808080"/>
          </a:solidFill>
          <a:prstDash val="solid"/>
        </a:ln>
      </c:spPr>
    </c:plotArea>
    <c:legend>
      <c:legendPos val="b"/>
      <c:layout>
        <c:manualLayout>
          <c:xMode val="edge"/>
          <c:yMode val="edge"/>
          <c:x val="7.1146106736657902E-2"/>
          <c:y val="0.90254546803557678"/>
          <c:w val="0.83588957055214719"/>
          <c:h val="6.8750000000000006E-2"/>
        </c:manualLayout>
      </c:layout>
      <c:overlay val="0"/>
      <c:spPr>
        <a:noFill/>
        <a:ln w="25383">
          <a:noFill/>
        </a:ln>
      </c:spPr>
      <c:txPr>
        <a:bodyPr/>
        <a:lstStyle/>
        <a:p>
          <a:pPr>
            <a:defRPr sz="919"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
    <c:plotVisOnly val="1"/>
    <c:dispBlanksAs val="gap"/>
    <c:showDLblsOverMax val="0"/>
  </c:chart>
  <c:spPr>
    <a:noFill/>
    <a:ln>
      <a:noFill/>
    </a:ln>
  </c:spPr>
  <c:txPr>
    <a:bodyPr/>
    <a:lstStyle/>
    <a:p>
      <a:pPr>
        <a:defRPr sz="1499" b="1" i="0" u="none" strike="noStrike" baseline="0">
          <a:solidFill>
            <a:srgbClr val="000000"/>
          </a:solidFill>
          <a:latin typeface="Arial"/>
          <a:ea typeface="Arial"/>
          <a:cs typeface="Arial"/>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54940743272344E-2"/>
          <c:y val="5.5675524724886037E-2"/>
          <c:w val="0.90265250092804716"/>
          <c:h val="0.65620317895974523"/>
        </c:manualLayout>
      </c:layout>
      <c:lineChart>
        <c:grouping val="standard"/>
        <c:varyColors val="0"/>
        <c:ser>
          <c:idx val="0"/>
          <c:order val="0"/>
          <c:tx>
            <c:strRef>
              <c:f>NM!$A$16</c:f>
              <c:strCache>
                <c:ptCount val="1"/>
                <c:pt idx="0">
                  <c:v>Nodokļu maksātāji - juridiskas personas</c:v>
                </c:pt>
              </c:strCache>
            </c:strRef>
          </c:tx>
          <c:spPr>
            <a:ln>
              <a:solidFill>
                <a:schemeClr val="tx2"/>
              </a:solidFill>
            </a:ln>
          </c:spPr>
          <c:marker>
            <c:symbol val="star"/>
            <c:size val="5"/>
            <c:spPr>
              <a:solidFill>
                <a:schemeClr val="tx2"/>
              </a:solidFill>
              <a:ln>
                <a:solidFill>
                  <a:schemeClr val="tx1">
                    <a:lumMod val="75000"/>
                    <a:lumOff val="25000"/>
                  </a:schemeClr>
                </a:solidFill>
              </a:ln>
            </c:spPr>
          </c:marker>
          <c:dLbls>
            <c:dLbl>
              <c:idx val="0"/>
              <c:layout>
                <c:manualLayout>
                  <c:x val="-4.1982504718593563E-2"/>
                  <c:y val="-4.2105263157894736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664722746510401E-2"/>
                  <c:y val="-3.9298245614035089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976672958124744E-2"/>
                  <c:y val="-3.6491228070175435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0470179140630305E-2"/>
                  <c:y val="-5.0037893701907428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757089534408334E-2"/>
                  <c:y val="-5.0226646607139366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NM!$B$15:$F$15</c:f>
              <c:strCache>
                <c:ptCount val="5"/>
                <c:pt idx="0">
                  <c:v>30.09.2009.</c:v>
                </c:pt>
                <c:pt idx="1">
                  <c:v>30.09.2010.</c:v>
                </c:pt>
                <c:pt idx="2">
                  <c:v>30.09.2011.</c:v>
                </c:pt>
                <c:pt idx="3">
                  <c:v>30.09.2012.</c:v>
                </c:pt>
                <c:pt idx="4">
                  <c:v>30.09.2013.</c:v>
                </c:pt>
              </c:strCache>
            </c:strRef>
          </c:cat>
          <c:val>
            <c:numRef>
              <c:f>NM!$B$16:$F$16</c:f>
              <c:numCache>
                <c:formatCode>#,##0</c:formatCode>
                <c:ptCount val="5"/>
                <c:pt idx="0">
                  <c:v>153807</c:v>
                </c:pt>
                <c:pt idx="1">
                  <c:v>160012</c:v>
                </c:pt>
                <c:pt idx="2">
                  <c:v>174031</c:v>
                </c:pt>
                <c:pt idx="3">
                  <c:v>188837</c:v>
                </c:pt>
                <c:pt idx="4">
                  <c:v>202578</c:v>
                </c:pt>
              </c:numCache>
            </c:numRef>
          </c:val>
          <c:smooth val="0"/>
        </c:ser>
        <c:ser>
          <c:idx val="1"/>
          <c:order val="1"/>
          <c:tx>
            <c:strRef>
              <c:f>NM!$A$17</c:f>
              <c:strCache>
                <c:ptCount val="1"/>
                <c:pt idx="0">
                  <c:v>Ar PVN apliekamās personas</c:v>
                </c:pt>
              </c:strCache>
            </c:strRef>
          </c:tx>
          <c:marker>
            <c:symbol val="square"/>
            <c:size val="5"/>
            <c:spPr>
              <a:ln>
                <a:solidFill>
                  <a:schemeClr val="tx2"/>
                </a:solidFill>
              </a:ln>
            </c:spPr>
          </c:marker>
          <c:dLbls>
            <c:dLbl>
              <c:idx val="0"/>
              <c:layout>
                <c:manualLayout>
                  <c:x val="-2.9543244061232505E-2"/>
                  <c:y val="3.3684210526315685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317781972083221E-2"/>
                  <c:y val="3.9298245614034985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5762874389913088E-2"/>
                  <c:y val="3.9298245614034985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427597136423431E-2"/>
                  <c:y val="3.9298245614035089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207966807743018E-2"/>
                  <c:y val="3.3684210526315789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NM!$B$15:$F$15</c:f>
              <c:strCache>
                <c:ptCount val="5"/>
                <c:pt idx="0">
                  <c:v>30.09.2009.</c:v>
                </c:pt>
                <c:pt idx="1">
                  <c:v>30.09.2010.</c:v>
                </c:pt>
                <c:pt idx="2">
                  <c:v>30.09.2011.</c:v>
                </c:pt>
                <c:pt idx="3">
                  <c:v>30.09.2012.</c:v>
                </c:pt>
                <c:pt idx="4">
                  <c:v>30.09.2013.</c:v>
                </c:pt>
              </c:strCache>
            </c:strRef>
          </c:cat>
          <c:val>
            <c:numRef>
              <c:f>NM!$B$17:$F$17</c:f>
              <c:numCache>
                <c:formatCode>#,##0</c:formatCode>
                <c:ptCount val="5"/>
                <c:pt idx="0">
                  <c:v>80926</c:v>
                </c:pt>
                <c:pt idx="1">
                  <c:v>82982</c:v>
                </c:pt>
                <c:pt idx="2">
                  <c:v>84777</c:v>
                </c:pt>
                <c:pt idx="3">
                  <c:v>87027</c:v>
                </c:pt>
                <c:pt idx="4">
                  <c:v>90216</c:v>
                </c:pt>
              </c:numCache>
            </c:numRef>
          </c:val>
          <c:smooth val="0"/>
        </c:ser>
        <c:ser>
          <c:idx val="2"/>
          <c:order val="2"/>
          <c:tx>
            <c:strRef>
              <c:f>NM!$A$18</c:f>
              <c:strCache>
                <c:ptCount val="1"/>
                <c:pt idx="0">
                  <c:v>Mikrouzņēmuma nodokļa maksātāji</c:v>
                </c:pt>
              </c:strCache>
            </c:strRef>
          </c:tx>
          <c:spPr>
            <a:ln>
              <a:solidFill>
                <a:schemeClr val="accent4">
                  <a:lumMod val="75000"/>
                </a:schemeClr>
              </a:solidFill>
            </a:ln>
          </c:spPr>
          <c:marker>
            <c:symbol val="triangle"/>
            <c:size val="6"/>
            <c:spPr>
              <a:solidFill>
                <a:schemeClr val="accent4">
                  <a:lumMod val="75000"/>
                </a:schemeClr>
              </a:solidFill>
              <a:ln>
                <a:solidFill>
                  <a:schemeClr val="accent4">
                    <a:lumMod val="50000"/>
                  </a:schemeClr>
                </a:solidFill>
              </a:ln>
            </c:spPr>
          </c:marker>
          <c:dLbls>
            <c:dLbl>
              <c:idx val="2"/>
              <c:layout>
                <c:manualLayout>
                  <c:x val="-3.5437287908047503E-2"/>
                  <c:y val="-3.3684303654105192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653059225572767E-2"/>
                  <c:y val="-3.3684210526315789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1982504718593563E-2"/>
                  <c:y val="-2.8070175438596492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NM!$B$15:$F$15</c:f>
              <c:strCache>
                <c:ptCount val="5"/>
                <c:pt idx="0">
                  <c:v>30.09.2009.</c:v>
                </c:pt>
                <c:pt idx="1">
                  <c:v>30.09.2010.</c:v>
                </c:pt>
                <c:pt idx="2">
                  <c:v>30.09.2011.</c:v>
                </c:pt>
                <c:pt idx="3">
                  <c:v>30.09.2012.</c:v>
                </c:pt>
                <c:pt idx="4">
                  <c:v>30.09.2013.</c:v>
                </c:pt>
              </c:strCache>
            </c:strRef>
          </c:cat>
          <c:val>
            <c:numRef>
              <c:f>NM!$B$18:$F$18</c:f>
              <c:numCache>
                <c:formatCode>General</c:formatCode>
                <c:ptCount val="5"/>
                <c:pt idx="2" formatCode="#,##0">
                  <c:v>14730</c:v>
                </c:pt>
                <c:pt idx="3" formatCode="#,##0">
                  <c:v>23839</c:v>
                </c:pt>
                <c:pt idx="4" formatCode="#,##0">
                  <c:v>31335</c:v>
                </c:pt>
              </c:numCache>
            </c:numRef>
          </c:val>
          <c:smooth val="0"/>
        </c:ser>
        <c:ser>
          <c:idx val="3"/>
          <c:order val="3"/>
          <c:tx>
            <c:strRef>
              <c:f>NM!$A$19</c:f>
              <c:strCache>
                <c:ptCount val="1"/>
                <c:pt idx="0">
                  <c:v>Patentmaksas maksātāji</c:v>
                </c:pt>
              </c:strCache>
            </c:strRef>
          </c:tx>
          <c:spPr>
            <a:ln>
              <a:solidFill>
                <a:schemeClr val="accent6">
                  <a:lumMod val="50000"/>
                </a:schemeClr>
              </a:solidFill>
            </a:ln>
          </c:spPr>
          <c:marker>
            <c:symbol val="circle"/>
            <c:size val="19"/>
            <c:spPr>
              <a:solidFill>
                <a:srgbClr val="F79646">
                  <a:lumMod val="75000"/>
                  <a:alpha val="77000"/>
                </a:srgbClr>
              </a:solidFill>
              <a:ln>
                <a:solidFill>
                  <a:schemeClr val="accent2">
                    <a:lumMod val="50000"/>
                  </a:schemeClr>
                </a:solidFill>
              </a:ln>
            </c:spPr>
          </c:marker>
          <c:dLbls>
            <c:dLbl>
              <c:idx val="1"/>
              <c:layout>
                <c:manualLayout>
                  <c:x val="-4.5879848546148551E-2"/>
                  <c:y val="8.5769995740806598E-3"/>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6879381459297292E-2"/>
                  <c:y val="1.0169145835647908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990762959014533E-2"/>
                  <c:y val="-2.8074474008824854E-3"/>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248246333604049E-2"/>
                  <c:y val="7.8621576301642097E-17"/>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NM!$B$15:$F$15</c:f>
              <c:strCache>
                <c:ptCount val="5"/>
                <c:pt idx="0">
                  <c:v>30.09.2009.</c:v>
                </c:pt>
                <c:pt idx="1">
                  <c:v>30.09.2010.</c:v>
                </c:pt>
                <c:pt idx="2">
                  <c:v>30.09.2011.</c:v>
                </c:pt>
                <c:pt idx="3">
                  <c:v>30.09.2012.</c:v>
                </c:pt>
                <c:pt idx="4">
                  <c:v>30.09.2013.</c:v>
                </c:pt>
              </c:strCache>
            </c:strRef>
          </c:cat>
          <c:val>
            <c:numRef>
              <c:f>NM!$B$19:$F$19</c:f>
              <c:numCache>
                <c:formatCode>General</c:formatCode>
                <c:ptCount val="5"/>
                <c:pt idx="1">
                  <c:v>142</c:v>
                </c:pt>
                <c:pt idx="2">
                  <c:v>267</c:v>
                </c:pt>
                <c:pt idx="3">
                  <c:v>260</c:v>
                </c:pt>
                <c:pt idx="4">
                  <c:v>423</c:v>
                </c:pt>
              </c:numCache>
            </c:numRef>
          </c:val>
          <c:smooth val="0"/>
        </c:ser>
        <c:ser>
          <c:idx val="4"/>
          <c:order val="4"/>
          <c:tx>
            <c:strRef>
              <c:f>NM!$A$20</c:f>
              <c:strCache>
                <c:ptCount val="1"/>
                <c:pt idx="0">
                  <c:v>Fiziskās personas, kas veic saimniecisko darbību</c:v>
                </c:pt>
              </c:strCache>
            </c:strRef>
          </c:tx>
          <c:spPr>
            <a:ln>
              <a:solidFill>
                <a:srgbClr val="FFC000">
                  <a:alpha val="99000"/>
                </a:srgbClr>
              </a:solidFill>
            </a:ln>
          </c:spPr>
          <c:marker>
            <c:symbol val="diamond"/>
            <c:size val="6"/>
            <c:spPr>
              <a:solidFill>
                <a:srgbClr val="FFC000"/>
              </a:solidFill>
              <a:ln>
                <a:solidFill>
                  <a:schemeClr val="accent6">
                    <a:lumMod val="75000"/>
                  </a:schemeClr>
                </a:solidFill>
              </a:ln>
            </c:spPr>
          </c:marker>
          <c:dLbls>
            <c:dLbl>
              <c:idx val="1"/>
              <c:layout>
                <c:manualLayout>
                  <c:x val="-3.8872689554253298E-2"/>
                  <c:y val="-4.2105263157894791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2866857793784486E-2"/>
                  <c:y val="-3.3684210526315789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975704262944422E-2"/>
                  <c:y val="-2.8070175438596492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75704262944422E-2"/>
                  <c:y val="-3.6491228070175435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NM!$B$15:$F$15</c:f>
              <c:strCache>
                <c:ptCount val="5"/>
                <c:pt idx="0">
                  <c:v>30.09.2009.</c:v>
                </c:pt>
                <c:pt idx="1">
                  <c:v>30.09.2010.</c:v>
                </c:pt>
                <c:pt idx="2">
                  <c:v>30.09.2011.</c:v>
                </c:pt>
                <c:pt idx="3">
                  <c:v>30.09.2012.</c:v>
                </c:pt>
                <c:pt idx="4">
                  <c:v>30.09.2013.</c:v>
                </c:pt>
              </c:strCache>
            </c:strRef>
          </c:cat>
          <c:val>
            <c:numRef>
              <c:f>NM!$B$20:$F$20</c:f>
              <c:numCache>
                <c:formatCode>#,##0</c:formatCode>
                <c:ptCount val="5"/>
                <c:pt idx="1">
                  <c:v>93197</c:v>
                </c:pt>
                <c:pt idx="2">
                  <c:v>101629</c:v>
                </c:pt>
                <c:pt idx="3">
                  <c:v>110950</c:v>
                </c:pt>
                <c:pt idx="4">
                  <c:v>122703</c:v>
                </c:pt>
              </c:numCache>
            </c:numRef>
          </c:val>
          <c:smooth val="0"/>
        </c:ser>
        <c:ser>
          <c:idx val="5"/>
          <c:order val="5"/>
          <c:tx>
            <c:strRef>
              <c:f>NM!$A$21</c:f>
              <c:strCache>
                <c:ptCount val="1"/>
                <c:pt idx="0">
                  <c:v>Fiksētā ienākuma nodokļa maksātāji</c:v>
                </c:pt>
              </c:strCache>
            </c:strRef>
          </c:tx>
          <c:spPr>
            <a:ln>
              <a:solidFill>
                <a:schemeClr val="accent3">
                  <a:lumMod val="75000"/>
                </a:schemeClr>
              </a:solidFill>
            </a:ln>
          </c:spPr>
          <c:marker>
            <c:symbol val="circle"/>
            <c:size val="5"/>
            <c:spPr>
              <a:solidFill>
                <a:schemeClr val="accent3">
                  <a:lumMod val="75000"/>
                </a:schemeClr>
              </a:solidFill>
              <a:ln>
                <a:solidFill>
                  <a:schemeClr val="bg2">
                    <a:lumMod val="25000"/>
                  </a:schemeClr>
                </a:solidFill>
              </a:ln>
            </c:spPr>
          </c:marker>
          <c:dLbls>
            <c:dLbl>
              <c:idx val="1"/>
              <c:layout>
                <c:manualLayout>
                  <c:x val="-3.2653003039796728E-2"/>
                  <c:y val="-5.0994644778887349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228070175438596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4529662308315557E-3"/>
                  <c:y val="1.1100604232361795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2112035130897636E-3"/>
                  <c:y val="0"/>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NM!$B$15:$F$15</c:f>
              <c:strCache>
                <c:ptCount val="5"/>
                <c:pt idx="0">
                  <c:v>30.09.2009.</c:v>
                </c:pt>
                <c:pt idx="1">
                  <c:v>30.09.2010.</c:v>
                </c:pt>
                <c:pt idx="2">
                  <c:v>30.09.2011.</c:v>
                </c:pt>
                <c:pt idx="3">
                  <c:v>30.09.2012.</c:v>
                </c:pt>
                <c:pt idx="4">
                  <c:v>30.09.2013.</c:v>
                </c:pt>
              </c:strCache>
            </c:strRef>
          </c:cat>
          <c:val>
            <c:numRef>
              <c:f>NM!$B$21:$F$21</c:f>
              <c:numCache>
                <c:formatCode>#,##0</c:formatCode>
                <c:ptCount val="5"/>
                <c:pt idx="1">
                  <c:v>6368</c:v>
                </c:pt>
                <c:pt idx="2">
                  <c:v>10853</c:v>
                </c:pt>
                <c:pt idx="3">
                  <c:v>17075</c:v>
                </c:pt>
                <c:pt idx="4">
                  <c:v>21552</c:v>
                </c:pt>
              </c:numCache>
            </c:numRef>
          </c:val>
          <c:smooth val="0"/>
        </c:ser>
        <c:dLbls>
          <c:showLegendKey val="0"/>
          <c:showVal val="0"/>
          <c:showCatName val="0"/>
          <c:showSerName val="0"/>
          <c:showPercent val="0"/>
          <c:showBubbleSize val="0"/>
        </c:dLbls>
        <c:marker val="1"/>
        <c:smooth val="0"/>
        <c:axId val="207716352"/>
        <c:axId val="207718312"/>
      </c:lineChart>
      <c:catAx>
        <c:axId val="207716352"/>
        <c:scaling>
          <c:orientation val="minMax"/>
        </c:scaling>
        <c:delete val="0"/>
        <c:axPos val="b"/>
        <c:numFmt formatCode="General" sourceLinked="1"/>
        <c:majorTickMark val="out"/>
        <c:minorTickMark val="none"/>
        <c:tickLblPos val="nextTo"/>
        <c:crossAx val="207718312"/>
        <c:crosses val="autoZero"/>
        <c:auto val="1"/>
        <c:lblAlgn val="ctr"/>
        <c:lblOffset val="100"/>
        <c:noMultiLvlLbl val="0"/>
      </c:catAx>
      <c:valAx>
        <c:axId val="207718312"/>
        <c:scaling>
          <c:orientation val="minMax"/>
        </c:scaling>
        <c:delete val="0"/>
        <c:axPos val="l"/>
        <c:numFmt formatCode="#,##0" sourceLinked="1"/>
        <c:majorTickMark val="out"/>
        <c:minorTickMark val="none"/>
        <c:tickLblPos val="nextTo"/>
        <c:crossAx val="207716352"/>
        <c:crosses val="autoZero"/>
        <c:crossBetween val="between"/>
      </c:valAx>
      <c:spPr>
        <a:noFill/>
        <a:ln>
          <a:solidFill>
            <a:schemeClr val="bg1">
              <a:lumMod val="75000"/>
            </a:schemeClr>
          </a:solidFill>
        </a:ln>
      </c:spPr>
    </c:plotArea>
    <c:legend>
      <c:legendPos val="b"/>
      <c:layout>
        <c:manualLayout>
          <c:xMode val="edge"/>
          <c:yMode val="edge"/>
          <c:x val="0"/>
          <c:y val="0.81548758328285897"/>
          <c:w val="1"/>
          <c:h val="0.18451241671714103"/>
        </c:manualLayout>
      </c:layout>
      <c:overlay val="0"/>
    </c:legend>
    <c:plotVisOnly val="1"/>
    <c:dispBlanksAs val="gap"/>
    <c:showDLblsOverMax val="0"/>
  </c:chart>
  <c:spPr>
    <a:ln>
      <a:noFill/>
    </a:ln>
  </c:spPr>
  <c:txPr>
    <a:bodyPr/>
    <a:lstStyle/>
    <a:p>
      <a:pPr>
        <a:defRPr sz="900" b="1">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[IKP_ienemumi_Egijai.xlsx]Dati!$B$22</c:f>
              <c:strCache>
                <c:ptCount val="1"/>
                <c:pt idx="0">
                  <c:v>Nodarbinātās personas</c:v>
                </c:pt>
              </c:strCache>
            </c:strRef>
          </c:tx>
          <c:spPr>
            <a:ln>
              <a:solidFill>
                <a:srgbClr val="990000"/>
              </a:solidFill>
            </a:ln>
          </c:spPr>
          <c:marker>
            <c:symbol val="circle"/>
            <c:size val="6"/>
            <c:spPr>
              <a:solidFill>
                <a:srgbClr val="990000"/>
              </a:solidFill>
            </c:spPr>
          </c:marker>
          <c:dLbls>
            <c:dLbl>
              <c:idx val="1"/>
              <c:layout>
                <c:manualLayout>
                  <c:x val="-3.4178606773300764E-2"/>
                  <c:y val="2.49092392963762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206331452470338E-2"/>
                  <c:y val="-4.16408061760662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102102403751898E-2"/>
                  <c:y val="-2.914754927682042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7401453655508465E-2"/>
                  <c:y val="-2.28996110898733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773975303214147E-2"/>
                  <c:y val="-2.29048500391693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1935780355238215E-2"/>
                  <c:y val="-2.706572180033222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1939114328837778E-2"/>
                  <c:y val="-2.914492980217238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4236207082349367E-2"/>
                  <c:y val="-2.49840580410095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[IKP_ienemumi_Egijai.xlsx]Dati!$C$21:$G$21</c:f>
              <c:strCache>
                <c:ptCount val="5"/>
                <c:pt idx="0">
                  <c:v>2009.gada 
augusts</c:v>
                </c:pt>
                <c:pt idx="1">
                  <c:v>2010.gada 
augusts</c:v>
                </c:pt>
                <c:pt idx="2">
                  <c:v>2011.gada 
augusts</c:v>
                </c:pt>
                <c:pt idx="3">
                  <c:v>2012.gada 
augusts</c:v>
                </c:pt>
                <c:pt idx="4">
                  <c:v>2013.gada 
augusts</c:v>
                </c:pt>
              </c:strCache>
            </c:strRef>
          </c:cat>
          <c:val>
            <c:numRef>
              <c:f>[IKP_ienemumi_Egijai.xlsx]Dati!$C$22:$G$22</c:f>
              <c:numCache>
                <c:formatCode>#,##0</c:formatCode>
                <c:ptCount val="5"/>
                <c:pt idx="0">
                  <c:v>765995</c:v>
                </c:pt>
                <c:pt idx="1">
                  <c:v>743181</c:v>
                </c:pt>
                <c:pt idx="2">
                  <c:v>762347</c:v>
                </c:pt>
                <c:pt idx="3">
                  <c:v>785240</c:v>
                </c:pt>
                <c:pt idx="4">
                  <c:v>798430</c:v>
                </c:pt>
              </c:numCache>
            </c:numRef>
          </c:val>
          <c:smooth val="0"/>
        </c:ser>
        <c:dLbls>
          <c:showLegendKey val="0"/>
          <c:showVal val="0"/>
          <c:showCatName val="0"/>
          <c:showSerName val="0"/>
          <c:showPercent val="0"/>
          <c:showBubbleSize val="0"/>
        </c:dLbls>
        <c:marker val="1"/>
        <c:smooth val="0"/>
        <c:axId val="207719096"/>
        <c:axId val="211129920"/>
      </c:lineChart>
      <c:catAx>
        <c:axId val="207719096"/>
        <c:scaling>
          <c:orientation val="minMax"/>
        </c:scaling>
        <c:delete val="0"/>
        <c:axPos val="b"/>
        <c:numFmt formatCode="General" sourceLinked="0"/>
        <c:majorTickMark val="out"/>
        <c:minorTickMark val="none"/>
        <c:tickLblPos val="nextTo"/>
        <c:txPr>
          <a:bodyPr/>
          <a:lstStyle/>
          <a:p>
            <a:pPr>
              <a:defRPr sz="1000"/>
            </a:pPr>
            <a:endParaRPr lang="lv-LV"/>
          </a:p>
        </c:txPr>
        <c:crossAx val="211129920"/>
        <c:crosses val="autoZero"/>
        <c:auto val="1"/>
        <c:lblAlgn val="ctr"/>
        <c:lblOffset val="100"/>
        <c:noMultiLvlLbl val="0"/>
      </c:catAx>
      <c:valAx>
        <c:axId val="211129920"/>
        <c:scaling>
          <c:orientation val="minMax"/>
        </c:scaling>
        <c:delete val="0"/>
        <c:axPos val="l"/>
        <c:numFmt formatCode="#,##0" sourceLinked="1"/>
        <c:majorTickMark val="out"/>
        <c:minorTickMark val="none"/>
        <c:tickLblPos val="nextTo"/>
        <c:txPr>
          <a:bodyPr/>
          <a:lstStyle/>
          <a:p>
            <a:pPr>
              <a:defRPr sz="1000"/>
            </a:pPr>
            <a:endParaRPr lang="lv-LV"/>
          </a:p>
        </c:txPr>
        <c:crossAx val="207719096"/>
        <c:crosses val="autoZero"/>
        <c:crossBetween val="between"/>
        <c:majorUnit val="20000"/>
      </c:valAx>
      <c:spPr>
        <a:ln>
          <a:solidFill>
            <a:schemeClr val="bg1">
              <a:lumMod val="75000"/>
            </a:schemeClr>
          </a:solidFill>
        </a:ln>
      </c:spPr>
    </c:plotArea>
    <c:plotVisOnly val="1"/>
    <c:dispBlanksAs val="gap"/>
    <c:showDLblsOverMax val="0"/>
  </c:chart>
  <c:spPr>
    <a:ln>
      <a:noFill/>
    </a:ln>
  </c:spPr>
  <c:txPr>
    <a:bodyPr/>
    <a:lstStyle/>
    <a:p>
      <a:pPr>
        <a:defRPr sz="1050" b="1">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342756179740899E-2"/>
          <c:y val="3.0583053769597988E-2"/>
          <c:w val="0.86606034829037026"/>
          <c:h val="0.69188758949509999"/>
        </c:manualLayout>
      </c:layout>
      <c:barChart>
        <c:barDir val="col"/>
        <c:grouping val="clustered"/>
        <c:varyColors val="0"/>
        <c:ser>
          <c:idx val="2"/>
          <c:order val="0"/>
          <c:tx>
            <c:strRef>
              <c:f>'[Worksheet in SVD slaidi (Compatibility Mode)]Sheet1'!$C$1</c:f>
              <c:strCache>
                <c:ptCount val="1"/>
                <c:pt idx="0">
                  <c:v>Nodarbināto personu skaits</c:v>
                </c:pt>
              </c:strCache>
            </c:strRef>
          </c:tx>
          <c:spPr>
            <a:ln w="28575">
              <a:noFill/>
            </a:ln>
            <a:scene3d>
              <a:camera prst="orthographicFront"/>
              <a:lightRig rig="threePt" dir="t"/>
            </a:scene3d>
            <a:sp3d>
              <a:bevelT/>
            </a:sp3d>
          </c:spPr>
          <c:invertIfNegative val="0"/>
          <c:dPt>
            <c:idx val="0"/>
            <c:invertIfNegative val="0"/>
            <c:bubble3D val="0"/>
            <c:spPr>
              <a:solidFill>
                <a:schemeClr val="accent3">
                  <a:lumMod val="50000"/>
                </a:schemeClr>
              </a:solidFill>
              <a:ln w="28575">
                <a:noFill/>
              </a:ln>
              <a:scene3d>
                <a:camera prst="orthographicFront"/>
                <a:lightRig rig="threePt" dir="t"/>
              </a:scene3d>
              <a:sp3d>
                <a:bevelT/>
              </a:sp3d>
            </c:spPr>
          </c:dPt>
          <c:dPt>
            <c:idx val="1"/>
            <c:invertIfNegative val="0"/>
            <c:bubble3D val="0"/>
            <c:spPr>
              <a:solidFill>
                <a:schemeClr val="accent3">
                  <a:lumMod val="60000"/>
                  <a:lumOff val="40000"/>
                </a:schemeClr>
              </a:solidFill>
              <a:ln w="28575">
                <a:noFill/>
              </a:ln>
              <a:scene3d>
                <a:camera prst="orthographicFront"/>
                <a:lightRig rig="threePt" dir="t"/>
              </a:scene3d>
              <a:sp3d>
                <a:bevelT/>
              </a:sp3d>
            </c:spPr>
          </c:dPt>
          <c:dPt>
            <c:idx val="2"/>
            <c:invertIfNegative val="0"/>
            <c:bubble3D val="0"/>
            <c:spPr>
              <a:solidFill>
                <a:schemeClr val="accent3">
                  <a:lumMod val="50000"/>
                </a:schemeClr>
              </a:solidFill>
              <a:ln w="28575">
                <a:noFill/>
              </a:ln>
              <a:scene3d>
                <a:camera prst="orthographicFront"/>
                <a:lightRig rig="threePt" dir="t"/>
              </a:scene3d>
              <a:sp3d>
                <a:bevelT/>
              </a:sp3d>
            </c:spPr>
          </c:dPt>
          <c:dPt>
            <c:idx val="3"/>
            <c:invertIfNegative val="0"/>
            <c:bubble3D val="0"/>
            <c:spPr>
              <a:solidFill>
                <a:schemeClr val="accent3">
                  <a:lumMod val="60000"/>
                  <a:lumOff val="40000"/>
                </a:schemeClr>
              </a:solidFill>
              <a:ln w="28575">
                <a:noFill/>
              </a:ln>
              <a:scene3d>
                <a:camera prst="orthographicFront"/>
                <a:lightRig rig="threePt" dir="t"/>
              </a:scene3d>
              <a:sp3d>
                <a:bevelT/>
              </a:sp3d>
            </c:spPr>
          </c:dPt>
          <c:dPt>
            <c:idx val="4"/>
            <c:invertIfNegative val="0"/>
            <c:bubble3D val="0"/>
            <c:spPr>
              <a:solidFill>
                <a:schemeClr val="accent3">
                  <a:lumMod val="50000"/>
                </a:schemeClr>
              </a:solidFill>
              <a:ln w="28575">
                <a:noFill/>
              </a:ln>
              <a:scene3d>
                <a:camera prst="orthographicFront"/>
                <a:lightRig rig="threePt" dir="t"/>
              </a:scene3d>
              <a:sp3d>
                <a:bevelT/>
              </a:sp3d>
            </c:spPr>
          </c:dPt>
          <c:dPt>
            <c:idx val="5"/>
            <c:invertIfNegative val="0"/>
            <c:bubble3D val="0"/>
            <c:spPr>
              <a:solidFill>
                <a:schemeClr val="accent3">
                  <a:lumMod val="60000"/>
                  <a:lumOff val="40000"/>
                </a:schemeClr>
              </a:solidFill>
              <a:ln w="28575">
                <a:noFill/>
              </a:ln>
              <a:scene3d>
                <a:camera prst="orthographicFront"/>
                <a:lightRig rig="threePt" dir="t"/>
              </a:scene3d>
              <a:sp3d>
                <a:bevelT/>
              </a:sp3d>
            </c:spPr>
          </c:dPt>
          <c:dPt>
            <c:idx val="6"/>
            <c:invertIfNegative val="0"/>
            <c:bubble3D val="0"/>
            <c:spPr>
              <a:solidFill>
                <a:schemeClr val="accent3">
                  <a:lumMod val="50000"/>
                </a:schemeClr>
              </a:solidFill>
              <a:ln w="28575">
                <a:noFill/>
              </a:ln>
              <a:scene3d>
                <a:camera prst="orthographicFront"/>
                <a:lightRig rig="threePt" dir="t"/>
              </a:scene3d>
              <a:sp3d>
                <a:bevelT/>
              </a:sp3d>
            </c:spPr>
          </c:dPt>
          <c:dPt>
            <c:idx val="7"/>
            <c:invertIfNegative val="0"/>
            <c:bubble3D val="0"/>
            <c:spPr>
              <a:solidFill>
                <a:schemeClr val="accent3">
                  <a:lumMod val="60000"/>
                  <a:lumOff val="40000"/>
                </a:schemeClr>
              </a:solidFill>
              <a:ln w="28575">
                <a:noFill/>
              </a:ln>
              <a:scene3d>
                <a:camera prst="orthographicFront"/>
                <a:lightRig rig="threePt" dir="t"/>
              </a:scene3d>
              <a:sp3d>
                <a:bevelT/>
              </a:sp3d>
            </c:spPr>
          </c:dPt>
          <c:dPt>
            <c:idx val="8"/>
            <c:invertIfNegative val="0"/>
            <c:bubble3D val="0"/>
            <c:spPr>
              <a:solidFill>
                <a:schemeClr val="accent3">
                  <a:lumMod val="50000"/>
                </a:schemeClr>
              </a:solidFill>
              <a:ln w="28575">
                <a:noFill/>
              </a:ln>
              <a:scene3d>
                <a:camera prst="orthographicFront"/>
                <a:lightRig rig="threePt" dir="t"/>
              </a:scene3d>
              <a:sp3d>
                <a:bevelT/>
              </a:sp3d>
            </c:spPr>
          </c:dPt>
          <c:dPt>
            <c:idx val="9"/>
            <c:invertIfNegative val="0"/>
            <c:bubble3D val="0"/>
            <c:spPr>
              <a:solidFill>
                <a:schemeClr val="accent3">
                  <a:lumMod val="60000"/>
                  <a:lumOff val="40000"/>
                </a:schemeClr>
              </a:solidFill>
              <a:ln w="28575">
                <a:noFill/>
              </a:ln>
              <a:scene3d>
                <a:camera prst="orthographicFront"/>
                <a:lightRig rig="threePt" dir="t"/>
              </a:scene3d>
              <a:sp3d>
                <a:bevelT/>
              </a:sp3d>
            </c:spPr>
          </c:dPt>
          <c:dPt>
            <c:idx val="10"/>
            <c:invertIfNegative val="0"/>
            <c:bubble3D val="0"/>
            <c:spPr>
              <a:solidFill>
                <a:schemeClr val="accent3">
                  <a:lumMod val="50000"/>
                </a:schemeClr>
              </a:solidFill>
              <a:ln w="28575">
                <a:noFill/>
              </a:ln>
              <a:scene3d>
                <a:camera prst="orthographicFront"/>
                <a:lightRig rig="threePt" dir="t"/>
              </a:scene3d>
              <a:sp3d>
                <a:bevelT/>
              </a:sp3d>
            </c:spPr>
          </c:dPt>
          <c:dPt>
            <c:idx val="11"/>
            <c:invertIfNegative val="0"/>
            <c:bubble3D val="0"/>
            <c:spPr>
              <a:solidFill>
                <a:schemeClr val="accent3">
                  <a:lumMod val="60000"/>
                  <a:lumOff val="40000"/>
                </a:schemeClr>
              </a:solidFill>
              <a:ln w="28575">
                <a:noFill/>
              </a:ln>
              <a:scene3d>
                <a:camera prst="orthographicFront"/>
                <a:lightRig rig="threePt" dir="t"/>
              </a:scene3d>
              <a:sp3d>
                <a:bevelT/>
              </a:sp3d>
            </c:spPr>
          </c:dPt>
          <c:dPt>
            <c:idx val="12"/>
            <c:invertIfNegative val="0"/>
            <c:bubble3D val="0"/>
            <c:spPr>
              <a:solidFill>
                <a:schemeClr val="accent3">
                  <a:lumMod val="50000"/>
                </a:schemeClr>
              </a:solidFill>
              <a:ln w="28575">
                <a:noFill/>
              </a:ln>
              <a:scene3d>
                <a:camera prst="orthographicFront"/>
                <a:lightRig rig="threePt" dir="t"/>
              </a:scene3d>
              <a:sp3d>
                <a:bevelT/>
              </a:sp3d>
            </c:spPr>
          </c:dPt>
          <c:dPt>
            <c:idx val="13"/>
            <c:invertIfNegative val="0"/>
            <c:bubble3D val="0"/>
            <c:spPr>
              <a:solidFill>
                <a:schemeClr val="accent3">
                  <a:lumMod val="60000"/>
                  <a:lumOff val="40000"/>
                </a:schemeClr>
              </a:solidFill>
              <a:ln w="28575">
                <a:noFill/>
              </a:ln>
              <a:scene3d>
                <a:camera prst="orthographicFront"/>
                <a:lightRig rig="threePt" dir="t"/>
              </a:scene3d>
              <a:sp3d>
                <a:bevelT/>
              </a:sp3d>
            </c:spPr>
          </c:dPt>
          <c:dPt>
            <c:idx val="14"/>
            <c:invertIfNegative val="0"/>
            <c:bubble3D val="0"/>
            <c:spPr>
              <a:solidFill>
                <a:schemeClr val="accent3">
                  <a:lumMod val="50000"/>
                </a:schemeClr>
              </a:solidFill>
              <a:ln w="28575">
                <a:noFill/>
              </a:ln>
              <a:scene3d>
                <a:camera prst="orthographicFront"/>
                <a:lightRig rig="threePt" dir="t"/>
              </a:scene3d>
              <a:sp3d>
                <a:bevelT/>
              </a:sp3d>
            </c:spPr>
          </c:dPt>
          <c:dPt>
            <c:idx val="15"/>
            <c:invertIfNegative val="0"/>
            <c:bubble3D val="0"/>
            <c:spPr>
              <a:solidFill>
                <a:schemeClr val="accent3">
                  <a:lumMod val="60000"/>
                  <a:lumOff val="40000"/>
                </a:schemeClr>
              </a:solidFill>
              <a:ln w="28575">
                <a:noFill/>
              </a:ln>
              <a:scene3d>
                <a:camera prst="orthographicFront"/>
                <a:lightRig rig="threePt" dir="t"/>
              </a:scene3d>
              <a:sp3d>
                <a:bevelT/>
              </a:sp3d>
            </c:spPr>
          </c:dPt>
          <c:dLbls>
            <c:spPr>
              <a:noFill/>
              <a:ln>
                <a:noFill/>
              </a:ln>
              <a:effectLst/>
            </c:spPr>
            <c:txPr>
              <a:bodyPr rot="-5400000" vert="horz"/>
              <a:lstStyle/>
              <a:p>
                <a:pPr>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'[Worksheet in SVD slaidi (Compatibility Mode)]Sheet1'!$A$2:$B$15;'[Worksheet in SVD slaidi (Compatibility Mode)]Sheet1'!$A$16:$B$17</c:f>
              <c:multiLvlStrCache>
                <c:ptCount val="16"/>
                <c:lvl>
                  <c:pt idx="0">
                    <c:v>Janvāris</c:v>
                  </c:pt>
                  <c:pt idx="1">
                    <c:v>Janvāris</c:v>
                  </c:pt>
                  <c:pt idx="2">
                    <c:v>Februāris</c:v>
                  </c:pt>
                  <c:pt idx="3">
                    <c:v>Februāris</c:v>
                  </c:pt>
                  <c:pt idx="4">
                    <c:v>Marts</c:v>
                  </c:pt>
                  <c:pt idx="5">
                    <c:v>Marts</c:v>
                  </c:pt>
                  <c:pt idx="6">
                    <c:v>Aprīlis</c:v>
                  </c:pt>
                  <c:pt idx="7">
                    <c:v>Aprīlis</c:v>
                  </c:pt>
                  <c:pt idx="8">
                    <c:v>Maijs</c:v>
                  </c:pt>
                  <c:pt idx="9">
                    <c:v>Maijs</c:v>
                  </c:pt>
                  <c:pt idx="10">
                    <c:v>Jūnijs</c:v>
                  </c:pt>
                  <c:pt idx="11">
                    <c:v>Jūnijs</c:v>
                  </c:pt>
                  <c:pt idx="12">
                    <c:v>Jūlijs</c:v>
                  </c:pt>
                  <c:pt idx="13">
                    <c:v>Jūlijs</c:v>
                  </c:pt>
                  <c:pt idx="14">
                    <c:v>Augusts</c:v>
                  </c:pt>
                  <c:pt idx="15">
                    <c:v>Augusts</c:v>
                  </c:pt>
                </c:lvl>
                <c:lvl>
                  <c:pt idx="0">
                    <c:v>2012</c:v>
                  </c:pt>
                  <c:pt idx="1">
                    <c:v>2013</c:v>
                  </c:pt>
                  <c:pt idx="2">
                    <c:v>2012</c:v>
                  </c:pt>
                  <c:pt idx="3">
                    <c:v>2013</c:v>
                  </c:pt>
                  <c:pt idx="4">
                    <c:v>2012</c:v>
                  </c:pt>
                  <c:pt idx="5">
                    <c:v>2013</c:v>
                  </c:pt>
                  <c:pt idx="6">
                    <c:v>2012</c:v>
                  </c:pt>
                  <c:pt idx="7">
                    <c:v>2013</c:v>
                  </c:pt>
                  <c:pt idx="8">
                    <c:v>2012</c:v>
                  </c:pt>
                  <c:pt idx="9">
                    <c:v>2013</c:v>
                  </c:pt>
                  <c:pt idx="10">
                    <c:v>2012</c:v>
                  </c:pt>
                  <c:pt idx="11">
                    <c:v>2013</c:v>
                  </c:pt>
                  <c:pt idx="12">
                    <c:v>2012</c:v>
                  </c:pt>
                  <c:pt idx="13">
                    <c:v>2013</c:v>
                  </c:pt>
                  <c:pt idx="14">
                    <c:v>2012</c:v>
                  </c:pt>
                  <c:pt idx="15">
                    <c:v>2013</c:v>
                  </c:pt>
                </c:lvl>
              </c:multiLvlStrCache>
            </c:multiLvlStrRef>
          </c:cat>
          <c:val>
            <c:numRef>
              <c:f>'[Worksheet in SVD slaidi (Compatibility Mode)]Sheet1'!$C$2:$C$17</c:f>
              <c:numCache>
                <c:formatCode>General</c:formatCode>
                <c:ptCount val="16"/>
                <c:pt idx="0">
                  <c:v>202884</c:v>
                </c:pt>
                <c:pt idx="1">
                  <c:v>227728</c:v>
                </c:pt>
                <c:pt idx="2">
                  <c:v>202176</c:v>
                </c:pt>
                <c:pt idx="3">
                  <c:v>218708</c:v>
                </c:pt>
                <c:pt idx="4">
                  <c:v>210141</c:v>
                </c:pt>
                <c:pt idx="5">
                  <c:v>231335</c:v>
                </c:pt>
                <c:pt idx="6">
                  <c:v>212722</c:v>
                </c:pt>
                <c:pt idx="7">
                  <c:v>238935</c:v>
                </c:pt>
                <c:pt idx="8">
                  <c:v>225065</c:v>
                </c:pt>
                <c:pt idx="9">
                  <c:v>252471</c:v>
                </c:pt>
                <c:pt idx="10">
                  <c:v>227251</c:v>
                </c:pt>
                <c:pt idx="11">
                  <c:v>248880</c:v>
                </c:pt>
                <c:pt idx="12">
                  <c:v>235494</c:v>
                </c:pt>
                <c:pt idx="13">
                  <c:v>269353</c:v>
                </c:pt>
                <c:pt idx="14">
                  <c:v>235013</c:v>
                </c:pt>
                <c:pt idx="15">
                  <c:v>257632</c:v>
                </c:pt>
              </c:numCache>
            </c:numRef>
          </c:val>
        </c:ser>
        <c:dLbls>
          <c:showLegendKey val="0"/>
          <c:showVal val="0"/>
          <c:showCatName val="0"/>
          <c:showSerName val="0"/>
          <c:showPercent val="0"/>
          <c:showBubbleSize val="0"/>
        </c:dLbls>
        <c:gapWidth val="42"/>
        <c:axId val="211131488"/>
        <c:axId val="211131880"/>
      </c:barChart>
      <c:lineChart>
        <c:grouping val="standard"/>
        <c:varyColors val="0"/>
        <c:ser>
          <c:idx val="0"/>
          <c:order val="1"/>
          <c:tx>
            <c:strRef>
              <c:f>'[Worksheet in SVD slaidi (Compatibility Mode)]Sheet1'!$D$1</c:f>
              <c:strCache>
                <c:ptCount val="1"/>
                <c:pt idx="0">
                  <c:v>% no kopējā nodarbināto personu skaita taksācijas periodā</c:v>
                </c:pt>
              </c:strCache>
            </c:strRef>
          </c:tx>
          <c:spPr>
            <a:ln w="31750">
              <a:noFill/>
            </a:ln>
          </c:spPr>
          <c:marker>
            <c:symbol val="circle"/>
            <c:size val="24"/>
            <c:spPr>
              <a:solidFill>
                <a:srgbClr val="FFD961"/>
              </a:solidFill>
            </c:spPr>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'[Worksheet in SVD slaidi (Compatibility Mode)]Sheet1'!$A$2:$B$15;'[Worksheet in SVD slaidi (Compatibility Mode)]Sheet1'!$A$16:$B$17</c:f>
              <c:multiLvlStrCache>
                <c:ptCount val="16"/>
                <c:lvl>
                  <c:pt idx="0">
                    <c:v>Janvāris</c:v>
                  </c:pt>
                  <c:pt idx="1">
                    <c:v>Janvāris</c:v>
                  </c:pt>
                  <c:pt idx="2">
                    <c:v>Februāris</c:v>
                  </c:pt>
                  <c:pt idx="3">
                    <c:v>Februāris</c:v>
                  </c:pt>
                  <c:pt idx="4">
                    <c:v>Marts</c:v>
                  </c:pt>
                  <c:pt idx="5">
                    <c:v>Marts</c:v>
                  </c:pt>
                  <c:pt idx="6">
                    <c:v>Aprīlis</c:v>
                  </c:pt>
                  <c:pt idx="7">
                    <c:v>Aprīlis</c:v>
                  </c:pt>
                  <c:pt idx="8">
                    <c:v>Maijs</c:v>
                  </c:pt>
                  <c:pt idx="9">
                    <c:v>Maijs</c:v>
                  </c:pt>
                  <c:pt idx="10">
                    <c:v>Jūnijs</c:v>
                  </c:pt>
                  <c:pt idx="11">
                    <c:v>Jūnijs</c:v>
                  </c:pt>
                  <c:pt idx="12">
                    <c:v>Jūlijs</c:v>
                  </c:pt>
                  <c:pt idx="13">
                    <c:v>Jūlijs</c:v>
                  </c:pt>
                  <c:pt idx="14">
                    <c:v>Augusts</c:v>
                  </c:pt>
                  <c:pt idx="15">
                    <c:v>Augusts</c:v>
                  </c:pt>
                </c:lvl>
                <c:lvl>
                  <c:pt idx="0">
                    <c:v>2012</c:v>
                  </c:pt>
                  <c:pt idx="1">
                    <c:v>2013</c:v>
                  </c:pt>
                  <c:pt idx="2">
                    <c:v>2012</c:v>
                  </c:pt>
                  <c:pt idx="3">
                    <c:v>2013</c:v>
                  </c:pt>
                  <c:pt idx="4">
                    <c:v>2012</c:v>
                  </c:pt>
                  <c:pt idx="5">
                    <c:v>2013</c:v>
                  </c:pt>
                  <c:pt idx="6">
                    <c:v>2012</c:v>
                  </c:pt>
                  <c:pt idx="7">
                    <c:v>2013</c:v>
                  </c:pt>
                  <c:pt idx="8">
                    <c:v>2012</c:v>
                  </c:pt>
                  <c:pt idx="9">
                    <c:v>2013</c:v>
                  </c:pt>
                  <c:pt idx="10">
                    <c:v>2012</c:v>
                  </c:pt>
                  <c:pt idx="11">
                    <c:v>2013</c:v>
                  </c:pt>
                  <c:pt idx="12">
                    <c:v>2012</c:v>
                  </c:pt>
                  <c:pt idx="13">
                    <c:v>2013</c:v>
                  </c:pt>
                  <c:pt idx="14">
                    <c:v>2012</c:v>
                  </c:pt>
                  <c:pt idx="15">
                    <c:v>2013</c:v>
                  </c:pt>
                </c:lvl>
              </c:multiLvlStrCache>
            </c:multiLvlStrRef>
          </c:cat>
          <c:val>
            <c:numRef>
              <c:f>'[Worksheet in SVD slaidi (Compatibility Mode)]Sheet1'!$D$2:$D$17</c:f>
              <c:numCache>
                <c:formatCode>0.0%</c:formatCode>
                <c:ptCount val="16"/>
                <c:pt idx="0">
                  <c:v>0.26900000000000002</c:v>
                </c:pt>
                <c:pt idx="1">
                  <c:v>0.29599999999999999</c:v>
                </c:pt>
                <c:pt idx="2">
                  <c:v>0.26800000000000002</c:v>
                </c:pt>
                <c:pt idx="3">
                  <c:v>0.28499999999999998</c:v>
                </c:pt>
                <c:pt idx="4">
                  <c:v>0.27800000000000002</c:v>
                </c:pt>
                <c:pt idx="5">
                  <c:v>0.30099999999999999</c:v>
                </c:pt>
                <c:pt idx="6">
                  <c:v>0.28000000000000003</c:v>
                </c:pt>
                <c:pt idx="7">
                  <c:v>0.307</c:v>
                </c:pt>
                <c:pt idx="8">
                  <c:v>0.29299999999999998</c:v>
                </c:pt>
                <c:pt idx="9">
                  <c:v>0.32200000000000001</c:v>
                </c:pt>
                <c:pt idx="10">
                  <c:v>0.29199999999999998</c:v>
                </c:pt>
                <c:pt idx="11">
                  <c:v>0.314</c:v>
                </c:pt>
                <c:pt idx="12">
                  <c:v>0.3</c:v>
                </c:pt>
                <c:pt idx="13">
                  <c:v>0.33700000000000002</c:v>
                </c:pt>
                <c:pt idx="14">
                  <c:v>0.29899999999999999</c:v>
                </c:pt>
                <c:pt idx="15">
                  <c:v>0.32300000000000001</c:v>
                </c:pt>
              </c:numCache>
            </c:numRef>
          </c:val>
          <c:smooth val="0"/>
        </c:ser>
        <c:dLbls>
          <c:showLegendKey val="0"/>
          <c:showVal val="0"/>
          <c:showCatName val="0"/>
          <c:showSerName val="0"/>
          <c:showPercent val="0"/>
          <c:showBubbleSize val="0"/>
        </c:dLbls>
        <c:marker val="1"/>
        <c:smooth val="0"/>
        <c:axId val="211132664"/>
        <c:axId val="211132272"/>
      </c:lineChart>
      <c:catAx>
        <c:axId val="211131488"/>
        <c:scaling>
          <c:orientation val="minMax"/>
        </c:scaling>
        <c:delete val="0"/>
        <c:axPos val="b"/>
        <c:numFmt formatCode="General" sourceLinked="1"/>
        <c:majorTickMark val="out"/>
        <c:minorTickMark val="none"/>
        <c:tickLblPos val="nextTo"/>
        <c:txPr>
          <a:bodyPr rot="0" vert="horz"/>
          <a:lstStyle/>
          <a:p>
            <a:pPr>
              <a:defRPr sz="600"/>
            </a:pPr>
            <a:endParaRPr lang="lv-LV"/>
          </a:p>
        </c:txPr>
        <c:crossAx val="211131880"/>
        <c:crosses val="autoZero"/>
        <c:auto val="1"/>
        <c:lblAlgn val="ctr"/>
        <c:lblOffset val="100"/>
        <c:noMultiLvlLbl val="0"/>
      </c:catAx>
      <c:valAx>
        <c:axId val="211131880"/>
        <c:scaling>
          <c:orientation val="minMax"/>
          <c:max val="300000"/>
          <c:min val="0"/>
        </c:scaling>
        <c:delete val="0"/>
        <c:axPos val="l"/>
        <c:majorGridlines/>
        <c:numFmt formatCode="General" sourceLinked="1"/>
        <c:majorTickMark val="out"/>
        <c:minorTickMark val="none"/>
        <c:tickLblPos val="nextTo"/>
        <c:crossAx val="211131488"/>
        <c:crosses val="autoZero"/>
        <c:crossBetween val="between"/>
      </c:valAx>
      <c:valAx>
        <c:axId val="211132272"/>
        <c:scaling>
          <c:orientation val="minMax"/>
          <c:max val="0.36000000000000004"/>
          <c:min val="0.2"/>
        </c:scaling>
        <c:delete val="0"/>
        <c:axPos val="r"/>
        <c:numFmt formatCode="0%" sourceLinked="0"/>
        <c:majorTickMark val="out"/>
        <c:minorTickMark val="none"/>
        <c:tickLblPos val="nextTo"/>
        <c:crossAx val="211132664"/>
        <c:crosses val="max"/>
        <c:crossBetween val="between"/>
        <c:majorUnit val="2.0000000000000004E-2"/>
      </c:valAx>
      <c:catAx>
        <c:axId val="211132664"/>
        <c:scaling>
          <c:orientation val="minMax"/>
        </c:scaling>
        <c:delete val="1"/>
        <c:axPos val="b"/>
        <c:numFmt formatCode="General" sourceLinked="1"/>
        <c:majorTickMark val="out"/>
        <c:minorTickMark val="none"/>
        <c:tickLblPos val="nextTo"/>
        <c:crossAx val="211132272"/>
        <c:crosses val="autoZero"/>
        <c:auto val="1"/>
        <c:lblAlgn val="ctr"/>
        <c:lblOffset val="100"/>
        <c:noMultiLvlLbl val="0"/>
      </c:catAx>
      <c:spPr>
        <a:noFill/>
      </c:spPr>
    </c:plotArea>
    <c:legend>
      <c:legendPos val="b"/>
      <c:layout>
        <c:manualLayout>
          <c:xMode val="edge"/>
          <c:yMode val="edge"/>
          <c:x val="2.1975862828580058E-2"/>
          <c:y val="0.89262451660997999"/>
          <c:w val="0.95797902638663468"/>
          <c:h val="6.9494136361315031E-2"/>
        </c:manualLayout>
      </c:layout>
      <c:overlay val="0"/>
    </c:legend>
    <c:plotVisOnly val="1"/>
    <c:dispBlanksAs val="gap"/>
    <c:showDLblsOverMax val="0"/>
  </c:chart>
  <c:spPr>
    <a:noFill/>
    <a:ln>
      <a:noFill/>
    </a:ln>
  </c:spPr>
  <c:txPr>
    <a:bodyPr/>
    <a:lstStyle/>
    <a:p>
      <a:pPr>
        <a:defRPr sz="9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394537322350436E-2"/>
          <c:y val="8.7634846995416599E-2"/>
          <c:w val="0.92360546077573635"/>
          <c:h val="0.53335088557165189"/>
        </c:manualLayout>
      </c:layout>
      <c:lineChart>
        <c:grouping val="standard"/>
        <c:varyColors val="0"/>
        <c:ser>
          <c:idx val="0"/>
          <c:order val="0"/>
          <c:tx>
            <c:strRef>
              <c:f>'Datu fails'!$J$67</c:f>
              <c:strCache>
                <c:ptCount val="1"/>
                <c:pt idx="0">
                  <c:v>VID administrēto kopbudžeta ieņēmumu pieaugums/samazinājums pret iepriekšējā gada atbilstošo periodu, %</c:v>
                </c:pt>
              </c:strCache>
            </c:strRef>
          </c:tx>
          <c:spPr>
            <a:ln w="34925">
              <a:solidFill>
                <a:srgbClr val="990000"/>
              </a:solidFill>
            </a:ln>
          </c:spPr>
          <c:marker>
            <c:symbol val="circle"/>
            <c:size val="7"/>
            <c:spPr>
              <a:solidFill>
                <a:srgbClr val="990000"/>
              </a:solidFill>
              <a:ln>
                <a:noFill/>
              </a:ln>
              <a:scene3d>
                <a:camera prst="orthographicFront"/>
                <a:lightRig rig="threePt" dir="t"/>
              </a:scene3d>
              <a:sp3d>
                <a:bevelT/>
                <a:bevelB/>
              </a:sp3d>
            </c:spPr>
          </c:marker>
          <c:dLbls>
            <c:dLbl>
              <c:idx val="0"/>
              <c:layout>
                <c:manualLayout>
                  <c:x val="-2.5463145231846018E-2"/>
                  <c:y val="2.92494521485489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518518518518563E-2"/>
                  <c:y val="3.89992695313984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81674686497513E-2"/>
                  <c:y val="-5.368733103355357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223571011956754E-2"/>
                  <c:y val="-5.570984236387777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090296004666084E-2"/>
                  <c:y val="-5.72153062920484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'Datu fails'!$K$66:$O$66</c:f>
              <c:strCache>
                <c:ptCount val="5"/>
                <c:pt idx="0">
                  <c:v>2009
9 mēn</c:v>
                </c:pt>
                <c:pt idx="1">
                  <c:v>2010
9 mēn</c:v>
                </c:pt>
                <c:pt idx="2">
                  <c:v>2011
9 mēn</c:v>
                </c:pt>
                <c:pt idx="3">
                  <c:v>2012
9 mēn</c:v>
                </c:pt>
                <c:pt idx="4">
                  <c:v>2013
9 mēn</c:v>
                </c:pt>
              </c:strCache>
            </c:strRef>
          </c:cat>
          <c:val>
            <c:numRef>
              <c:f>'Datu fails'!$K$67:$O$67</c:f>
              <c:numCache>
                <c:formatCode>General</c:formatCode>
                <c:ptCount val="5"/>
                <c:pt idx="0">
                  <c:v>-23.4</c:v>
                </c:pt>
                <c:pt idx="1">
                  <c:v>-9.3000000000000007</c:v>
                </c:pt>
                <c:pt idx="2">
                  <c:v>10.6</c:v>
                </c:pt>
                <c:pt idx="3">
                  <c:v>12.8</c:v>
                </c:pt>
                <c:pt idx="4">
                  <c:v>5.8</c:v>
                </c:pt>
              </c:numCache>
            </c:numRef>
          </c:val>
          <c:smooth val="0"/>
        </c:ser>
        <c:ser>
          <c:idx val="1"/>
          <c:order val="1"/>
          <c:tx>
            <c:strRef>
              <c:f>'Datu fails'!$J$68</c:f>
              <c:strCache>
                <c:ptCount val="1"/>
                <c:pt idx="0">
                  <c:v>IKP pieaugums salīdzināmās cenās pret iepriekšējā gada atbilstošo periodu, %</c:v>
                </c:pt>
              </c:strCache>
            </c:strRef>
          </c:tx>
          <c:spPr>
            <a:ln w="34925">
              <a:solidFill>
                <a:srgbClr val="666633"/>
              </a:solidFill>
            </a:ln>
          </c:spPr>
          <c:marker>
            <c:symbol val="circle"/>
            <c:size val="7"/>
            <c:spPr>
              <a:solidFill>
                <a:srgbClr val="666633"/>
              </a:solidFill>
              <a:ln>
                <a:noFill/>
              </a:ln>
              <a:scene3d>
                <a:camera prst="orthographicFront"/>
                <a:lightRig rig="threePt" dir="t"/>
              </a:scene3d>
              <a:sp3d>
                <a:bevelT/>
                <a:bevelB/>
              </a:sp3d>
            </c:spPr>
          </c:marker>
          <c:dLbls>
            <c:dLbl>
              <c:idx val="0"/>
              <c:layout>
                <c:manualLayout>
                  <c:x val="-7.2715624088655589E-2"/>
                  <c:y val="-5.8069374940742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331892810753269E-2"/>
                  <c:y val="-4.596772195380159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152085156022166E-2"/>
                  <c:y val="6.062851007820198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846310877806939E-2"/>
                  <c:y val="5.23845404746011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1630577427821521E-2"/>
                  <c:y val="4.8147592274920284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'Datu fails'!$K$66:$O$66</c:f>
              <c:strCache>
                <c:ptCount val="5"/>
                <c:pt idx="0">
                  <c:v>2009
9 mēn</c:v>
                </c:pt>
                <c:pt idx="1">
                  <c:v>2010
9 mēn</c:v>
                </c:pt>
                <c:pt idx="2">
                  <c:v>2011
9 mēn</c:v>
                </c:pt>
                <c:pt idx="3">
                  <c:v>2012
9 mēn</c:v>
                </c:pt>
                <c:pt idx="4">
                  <c:v>2013
9 mēn</c:v>
                </c:pt>
              </c:strCache>
            </c:strRef>
          </c:cat>
          <c:val>
            <c:numRef>
              <c:f>'Datu fails'!$K$68:$O$68</c:f>
              <c:numCache>
                <c:formatCode>0.00</c:formatCode>
                <c:ptCount val="5"/>
                <c:pt idx="0">
                  <c:v>-18.317017286026044</c:v>
                </c:pt>
                <c:pt idx="1">
                  <c:v>-2.268012162270395</c:v>
                </c:pt>
                <c:pt idx="2">
                  <c:v>5.3874042525362285</c:v>
                </c:pt>
                <c:pt idx="3">
                  <c:v>5.6266907648123095</c:v>
                </c:pt>
                <c:pt idx="4" formatCode="0.0">
                  <c:v>4.016856002855576</c:v>
                </c:pt>
              </c:numCache>
            </c:numRef>
          </c:val>
          <c:smooth val="0"/>
        </c:ser>
        <c:dLbls>
          <c:showLegendKey val="0"/>
          <c:showVal val="0"/>
          <c:showCatName val="0"/>
          <c:showSerName val="0"/>
          <c:showPercent val="0"/>
          <c:showBubbleSize val="0"/>
        </c:dLbls>
        <c:marker val="1"/>
        <c:smooth val="0"/>
        <c:axId val="211131096"/>
        <c:axId val="211130704"/>
      </c:lineChart>
      <c:catAx>
        <c:axId val="211131096"/>
        <c:scaling>
          <c:orientation val="minMax"/>
        </c:scaling>
        <c:delete val="0"/>
        <c:axPos val="b"/>
        <c:numFmt formatCode="General" sourceLinked="0"/>
        <c:majorTickMark val="none"/>
        <c:minorTickMark val="in"/>
        <c:tickLblPos val="low"/>
        <c:crossAx val="211130704"/>
        <c:crossesAt val="-30"/>
        <c:auto val="1"/>
        <c:lblAlgn val="ctr"/>
        <c:lblOffset val="100"/>
        <c:noMultiLvlLbl val="0"/>
      </c:catAx>
      <c:valAx>
        <c:axId val="211130704"/>
        <c:scaling>
          <c:orientation val="minMax"/>
          <c:max val="20"/>
        </c:scaling>
        <c:delete val="0"/>
        <c:axPos val="l"/>
        <c:majorGridlines>
          <c:spPr>
            <a:ln>
              <a:noFill/>
            </a:ln>
          </c:spPr>
        </c:majorGridlines>
        <c:numFmt formatCode="General" sourceLinked="1"/>
        <c:majorTickMark val="out"/>
        <c:minorTickMark val="none"/>
        <c:tickLblPos val="nextTo"/>
        <c:crossAx val="211131096"/>
        <c:crosses val="autoZero"/>
        <c:crossBetween val="between"/>
      </c:valAx>
      <c:spPr>
        <a:ln cap="sq">
          <a:solidFill>
            <a:sysClr val="window" lastClr="FFFFFF">
              <a:lumMod val="50000"/>
              <a:alpha val="54000"/>
            </a:sysClr>
          </a:solidFill>
          <a:round/>
        </a:ln>
      </c:spPr>
    </c:plotArea>
    <c:legend>
      <c:legendPos val="b"/>
      <c:layout>
        <c:manualLayout>
          <c:xMode val="edge"/>
          <c:yMode val="edge"/>
          <c:x val="1.024332895888014E-2"/>
          <c:y val="0.78164559634823805"/>
          <c:w val="0.98975672567574635"/>
          <c:h val="0.21835445345940022"/>
        </c:manualLayout>
      </c:layout>
      <c:overlay val="0"/>
    </c:legend>
    <c:plotVisOnly val="1"/>
    <c:dispBlanksAs val="gap"/>
    <c:showDLblsOverMax val="0"/>
  </c:chart>
  <c:spPr>
    <a:noFill/>
    <a:ln>
      <a:noFill/>
    </a:ln>
  </c:spPr>
  <c:txPr>
    <a:bodyPr/>
    <a:lstStyle/>
    <a:p>
      <a:pPr>
        <a:defRPr sz="900" b="1" baseline="0">
          <a:latin typeface="Times New Roman" panose="02020603050405020304" pitchFamily="18" charset="0"/>
          <a:cs typeface="Times New Roman" panose="02020603050405020304" pitchFamily="18" charset="0"/>
        </a:defRPr>
      </a:pPr>
      <a:endParaRPr lang="lv-LV"/>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386185629816942E-2"/>
          <c:y val="4.3051922857468901E-2"/>
          <c:w val="0.97738287560581583"/>
          <c:h val="0.74369035601319067"/>
        </c:manualLayout>
      </c:layout>
      <c:barChart>
        <c:barDir val="col"/>
        <c:grouping val="clustered"/>
        <c:varyColors val="0"/>
        <c:ser>
          <c:idx val="0"/>
          <c:order val="0"/>
          <c:tx>
            <c:strRef>
              <c:f>Sheet1!$A$2</c:f>
              <c:strCache>
                <c:ptCount val="1"/>
                <c:pt idx="0">
                  <c:v>nodokļu materiālu skaits</c:v>
                </c:pt>
              </c:strCache>
            </c:strRef>
          </c:tx>
          <c:spPr>
            <a:gradFill rotWithShape="0">
              <a:gsLst>
                <a:gs pos="0">
                  <a:srgbClr xmlns:mc="http://schemas.openxmlformats.org/markup-compatibility/2006" xmlns:a14="http://schemas.microsoft.com/office/drawing/2010/main" val="000000" mc:Ignorable="a14" a14:legacySpreadsheetColorIndex="50">
                    <a:gamma/>
                    <a:shade val="46275"/>
                    <a:invGamma/>
                  </a:srgbClr>
                </a:gs>
                <a:gs pos="5000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000000" mc:Ignorable="a14" a14:legacySpreadsheetColorIndex="50">
                    <a:gamma/>
                    <a:shade val="46275"/>
                    <a:invGamma/>
                  </a:srgbClr>
                </a:gs>
              </a:gsLst>
              <a:lin ang="5400000" scaled="1"/>
            </a:gradFill>
            <a:ln w="12686">
              <a:solidFill>
                <a:srgbClr val="000000"/>
              </a:solidFill>
              <a:prstDash val="solid"/>
            </a:ln>
          </c:spPr>
          <c:invertIfNegative val="0"/>
          <c:dLbls>
            <c:spPr>
              <a:noFill/>
              <a:ln w="25371">
                <a:noFill/>
              </a:ln>
            </c:spPr>
            <c:txPr>
              <a:bodyPr/>
              <a:lstStyle/>
              <a:p>
                <a:pPr>
                  <a:defRPr sz="999"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Sheet1!$B$2:$F$2</c:f>
              <c:numCache>
                <c:formatCode>General</c:formatCode>
                <c:ptCount val="5"/>
                <c:pt idx="0">
                  <c:v>68</c:v>
                </c:pt>
                <c:pt idx="1">
                  <c:v>140</c:v>
                </c:pt>
                <c:pt idx="2">
                  <c:v>91</c:v>
                </c:pt>
                <c:pt idx="3">
                  <c:v>64</c:v>
                </c:pt>
                <c:pt idx="4">
                  <c:v>64</c:v>
                </c:pt>
              </c:numCache>
            </c:numRef>
          </c:val>
        </c:ser>
        <c:ser>
          <c:idx val="1"/>
          <c:order val="1"/>
          <c:tx>
            <c:strRef>
              <c:f>Sheet1!$A$3</c:f>
              <c:strCache>
                <c:ptCount val="1"/>
                <c:pt idx="0">
                  <c:v>materiāli par lielām shēmām</c:v>
                </c:pt>
              </c:strCache>
            </c:strRef>
          </c:tx>
          <c:spPr>
            <a:gradFill rotWithShape="0">
              <a:gsLst>
                <a:gs pos="0">
                  <a:srgbClr xmlns:mc="http://schemas.openxmlformats.org/markup-compatibility/2006" xmlns:a14="http://schemas.microsoft.com/office/drawing/2010/main" val="000000" mc:Ignorable="a14" a14:legacySpreadsheetColorIndex="53">
                    <a:gamma/>
                    <a:shade val="46275"/>
                    <a:invGamma/>
                  </a:srgbClr>
                </a:gs>
                <a:gs pos="50000">
                  <a:srgbClr xmlns:mc="http://schemas.openxmlformats.org/markup-compatibility/2006" xmlns:a14="http://schemas.microsoft.com/office/drawing/2010/main" val="FF6600" mc:Ignorable="a14" a14:legacySpreadsheetColorIndex="53"/>
                </a:gs>
                <a:gs pos="100000">
                  <a:srgbClr xmlns:mc="http://schemas.openxmlformats.org/markup-compatibility/2006" xmlns:a14="http://schemas.microsoft.com/office/drawing/2010/main" val="000000" mc:Ignorable="a14" a14:legacySpreadsheetColorIndex="53">
                    <a:gamma/>
                    <a:shade val="46275"/>
                    <a:invGamma/>
                  </a:srgbClr>
                </a:gs>
              </a:gsLst>
              <a:lin ang="5400000" scaled="1"/>
            </a:gradFill>
            <a:ln w="12686">
              <a:solidFill>
                <a:srgbClr val="000000"/>
              </a:solidFill>
              <a:prstDash val="solid"/>
            </a:ln>
          </c:spPr>
          <c:invertIfNegative val="0"/>
          <c:dLbls>
            <c:spPr>
              <a:noFill/>
              <a:ln w="25371">
                <a:noFill/>
              </a:ln>
            </c:spPr>
            <c:txPr>
              <a:bodyPr/>
              <a:lstStyle/>
              <a:p>
                <a:pPr>
                  <a:defRPr sz="999"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Sheet1!$B$3:$F$3</c:f>
              <c:numCache>
                <c:formatCode>General</c:formatCode>
                <c:ptCount val="5"/>
                <c:pt idx="0">
                  <c:v>19</c:v>
                </c:pt>
                <c:pt idx="1">
                  <c:v>53</c:v>
                </c:pt>
                <c:pt idx="2">
                  <c:v>50</c:v>
                </c:pt>
                <c:pt idx="3">
                  <c:v>34</c:v>
                </c:pt>
                <c:pt idx="4">
                  <c:v>51</c:v>
                </c:pt>
              </c:numCache>
            </c:numRef>
          </c:val>
        </c:ser>
        <c:dLbls>
          <c:showLegendKey val="0"/>
          <c:showVal val="0"/>
          <c:showCatName val="0"/>
          <c:showSerName val="0"/>
          <c:showPercent val="0"/>
          <c:showBubbleSize val="0"/>
        </c:dLbls>
        <c:gapWidth val="150"/>
        <c:axId val="211133448"/>
        <c:axId val="211133840"/>
      </c:barChart>
      <c:catAx>
        <c:axId val="21113344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lv-LV"/>
          </a:p>
        </c:txPr>
        <c:crossAx val="211133840"/>
        <c:crosses val="autoZero"/>
        <c:auto val="1"/>
        <c:lblAlgn val="ctr"/>
        <c:lblOffset val="100"/>
        <c:tickLblSkip val="1"/>
        <c:tickMarkSkip val="1"/>
        <c:noMultiLvlLbl val="0"/>
      </c:catAx>
      <c:valAx>
        <c:axId val="211133840"/>
        <c:scaling>
          <c:orientation val="minMax"/>
        </c:scaling>
        <c:delete val="1"/>
        <c:axPos val="l"/>
        <c:majorGridlines>
          <c:spPr>
            <a:ln w="12686">
              <a:solidFill>
                <a:srgbClr val="000000"/>
              </a:solidFill>
              <a:prstDash val="sysDash"/>
            </a:ln>
          </c:spPr>
        </c:majorGridlines>
        <c:numFmt formatCode="General" sourceLinked="1"/>
        <c:majorTickMark val="out"/>
        <c:minorTickMark val="none"/>
        <c:tickLblPos val="nextTo"/>
        <c:crossAx val="211133448"/>
        <c:crosses val="autoZero"/>
        <c:crossBetween val="between"/>
      </c:valAx>
      <c:spPr>
        <a:noFill/>
        <a:ln w="12686">
          <a:solidFill>
            <a:srgbClr val="808080"/>
          </a:solidFill>
          <a:prstDash val="solid"/>
        </a:ln>
      </c:spPr>
    </c:plotArea>
    <c:legend>
      <c:legendPos val="b"/>
      <c:layout>
        <c:manualLayout>
          <c:xMode val="edge"/>
          <c:yMode val="edge"/>
          <c:x val="0.1073144587772631"/>
          <c:y val="0.89030015478834379"/>
          <c:w val="0.75444264943457184"/>
          <c:h val="7.0588235294117646E-2"/>
        </c:manualLayout>
      </c:layout>
      <c:overlay val="0"/>
      <c:spPr>
        <a:noFill/>
        <a:ln w="25371">
          <a:noFill/>
        </a:ln>
      </c:spPr>
      <c:txPr>
        <a:bodyPr/>
        <a:lstStyle/>
        <a:p>
          <a:pPr>
            <a:defRPr sz="919" b="1" i="0" u="none" strike="noStrike" baseline="0">
              <a:solidFill>
                <a:srgbClr val="000000"/>
              </a:solidFill>
              <a:latin typeface="Arial"/>
              <a:ea typeface="Arial"/>
              <a:cs typeface="Arial"/>
            </a:defRPr>
          </a:pPr>
          <a:endParaRPr lang="lv-LV"/>
        </a:p>
      </c:txPr>
    </c:legend>
    <c:plotVisOnly val="1"/>
    <c:dispBlanksAs val="gap"/>
    <c:showDLblsOverMax val="0"/>
  </c:chart>
  <c:spPr>
    <a:noFill/>
    <a:ln>
      <a:noFill/>
    </a:ln>
  </c:spPr>
  <c:txPr>
    <a:bodyPr/>
    <a:lstStyle/>
    <a:p>
      <a:pPr>
        <a:defRPr sz="1573" b="1" i="0" u="none" strike="noStrike" baseline="0">
          <a:solidFill>
            <a:srgbClr val="000000"/>
          </a:solidFill>
          <a:latin typeface="Arial"/>
          <a:ea typeface="Arial"/>
          <a:cs typeface="Arial"/>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18745825152319E-2"/>
          <c:y val="1.7957061361020727E-2"/>
          <c:w val="0.97968750000000004"/>
          <c:h val="0.75705533613410148"/>
        </c:manualLayout>
      </c:layout>
      <c:barChart>
        <c:barDir val="col"/>
        <c:grouping val="clustered"/>
        <c:varyColors val="0"/>
        <c:ser>
          <c:idx val="0"/>
          <c:order val="0"/>
          <c:tx>
            <c:strRef>
              <c:f>Sheet1!$A$2</c:f>
              <c:strCache>
                <c:ptCount val="1"/>
                <c:pt idx="0">
                  <c:v>nodokļu materiālu skaits</c:v>
                </c:pt>
              </c:strCache>
            </c:strRef>
          </c:tx>
          <c:spPr>
            <a:gradFill rotWithShape="0">
              <a:gsLst>
                <a:gs pos="0">
                  <a:srgbClr xmlns:mc="http://schemas.openxmlformats.org/markup-compatibility/2006" xmlns:a14="http://schemas.microsoft.com/office/drawing/2010/main" val="000000" mc:Ignorable="a14" a14:legacySpreadsheetColorIndex="50">
                    <a:gamma/>
                    <a:shade val="46275"/>
                    <a:invGamma/>
                  </a:srgbClr>
                </a:gs>
                <a:gs pos="5000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000000" mc:Ignorable="a14" a14:legacySpreadsheetColorIndex="50">
                    <a:gamma/>
                    <a:shade val="46275"/>
                    <a:invGamma/>
                  </a:srgbClr>
                </a:gs>
              </a:gsLst>
              <a:lin ang="5400000" scaled="1"/>
            </a:gradFill>
            <a:ln w="12676">
              <a:solidFill>
                <a:srgbClr val="000000"/>
              </a:solidFill>
              <a:prstDash val="solid"/>
            </a:ln>
          </c:spPr>
          <c:invertIfNegative val="0"/>
          <c:dLbls>
            <c:spPr>
              <a:noFill/>
              <a:ln w="25351">
                <a:noFill/>
              </a:ln>
            </c:spPr>
            <c:txPr>
              <a:bodyPr/>
              <a:lstStyle/>
              <a:p>
                <a:pPr>
                  <a:defRPr sz="1023"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Sheet1!$B$2:$F$2</c:f>
              <c:numCache>
                <c:formatCode>General</c:formatCode>
                <c:ptCount val="5"/>
                <c:pt idx="0">
                  <c:v>68</c:v>
                </c:pt>
                <c:pt idx="1">
                  <c:v>140</c:v>
                </c:pt>
                <c:pt idx="2">
                  <c:v>91</c:v>
                </c:pt>
                <c:pt idx="3">
                  <c:v>64</c:v>
                </c:pt>
                <c:pt idx="4">
                  <c:v>64</c:v>
                </c:pt>
              </c:numCache>
            </c:numRef>
          </c:val>
        </c:ser>
        <c:ser>
          <c:idx val="1"/>
          <c:order val="1"/>
          <c:tx>
            <c:strRef>
              <c:f>Sheet1!$A$3</c:f>
              <c:strCache>
                <c:ptCount val="1"/>
                <c:pt idx="0">
                  <c:v>materiāli ar darījumu summu virs 1 milj.latu</c:v>
                </c:pt>
              </c:strCache>
            </c:strRef>
          </c:tx>
          <c:spPr>
            <a:gradFill rotWithShape="0">
              <a:gsLst>
                <a:gs pos="0">
                  <a:srgbClr xmlns:mc="http://schemas.openxmlformats.org/markup-compatibility/2006" xmlns:a14="http://schemas.microsoft.com/office/drawing/2010/main" val="000000" mc:Ignorable="a14" a14:legacySpreadsheetColorIndex="53">
                    <a:gamma/>
                    <a:shade val="46275"/>
                    <a:invGamma/>
                  </a:srgbClr>
                </a:gs>
                <a:gs pos="50000">
                  <a:srgbClr xmlns:mc="http://schemas.openxmlformats.org/markup-compatibility/2006" xmlns:a14="http://schemas.microsoft.com/office/drawing/2010/main" val="FF6600" mc:Ignorable="a14" a14:legacySpreadsheetColorIndex="53"/>
                </a:gs>
                <a:gs pos="100000">
                  <a:srgbClr xmlns:mc="http://schemas.openxmlformats.org/markup-compatibility/2006" xmlns:a14="http://schemas.microsoft.com/office/drawing/2010/main" val="000000" mc:Ignorable="a14" a14:legacySpreadsheetColorIndex="53">
                    <a:gamma/>
                    <a:shade val="46275"/>
                    <a:invGamma/>
                  </a:srgbClr>
                </a:gs>
              </a:gsLst>
              <a:lin ang="5400000" scaled="1"/>
            </a:gradFill>
            <a:ln w="12676">
              <a:solidFill>
                <a:srgbClr val="000000"/>
              </a:solidFill>
              <a:prstDash val="solid"/>
            </a:ln>
          </c:spPr>
          <c:invertIfNegative val="0"/>
          <c:dLbls>
            <c:spPr>
              <a:noFill/>
              <a:ln w="25351">
                <a:noFill/>
              </a:ln>
            </c:spPr>
            <c:txPr>
              <a:bodyPr/>
              <a:lstStyle/>
              <a:p>
                <a:pPr>
                  <a:defRPr sz="1023"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Sheet1!$B$3:$F$3</c:f>
              <c:numCache>
                <c:formatCode>General</c:formatCode>
                <c:ptCount val="5"/>
                <c:pt idx="0">
                  <c:v>14</c:v>
                </c:pt>
                <c:pt idx="1">
                  <c:v>28</c:v>
                </c:pt>
                <c:pt idx="2">
                  <c:v>36</c:v>
                </c:pt>
                <c:pt idx="3">
                  <c:v>36</c:v>
                </c:pt>
                <c:pt idx="4">
                  <c:v>39</c:v>
                </c:pt>
              </c:numCache>
            </c:numRef>
          </c:val>
        </c:ser>
        <c:dLbls>
          <c:showLegendKey val="0"/>
          <c:showVal val="0"/>
          <c:showCatName val="0"/>
          <c:showSerName val="0"/>
          <c:showPercent val="0"/>
          <c:showBubbleSize val="0"/>
        </c:dLbls>
        <c:gapWidth val="150"/>
        <c:axId val="211134624"/>
        <c:axId val="211135016"/>
      </c:barChart>
      <c:catAx>
        <c:axId val="21113462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11135016"/>
        <c:crosses val="autoZero"/>
        <c:auto val="1"/>
        <c:lblAlgn val="ctr"/>
        <c:lblOffset val="100"/>
        <c:tickLblSkip val="1"/>
        <c:tickMarkSkip val="1"/>
        <c:noMultiLvlLbl val="0"/>
      </c:catAx>
      <c:valAx>
        <c:axId val="211135016"/>
        <c:scaling>
          <c:orientation val="minMax"/>
        </c:scaling>
        <c:delete val="1"/>
        <c:axPos val="l"/>
        <c:majorGridlines>
          <c:spPr>
            <a:ln w="12676">
              <a:solidFill>
                <a:srgbClr val="000000"/>
              </a:solidFill>
              <a:prstDash val="sysDash"/>
            </a:ln>
          </c:spPr>
        </c:majorGridlines>
        <c:numFmt formatCode="General" sourceLinked="1"/>
        <c:majorTickMark val="out"/>
        <c:minorTickMark val="none"/>
        <c:tickLblPos val="nextTo"/>
        <c:crossAx val="211134624"/>
        <c:crosses val="autoZero"/>
        <c:crossBetween val="between"/>
      </c:valAx>
      <c:spPr>
        <a:noFill/>
        <a:ln w="12676">
          <a:solidFill>
            <a:srgbClr val="808080"/>
          </a:solidFill>
          <a:prstDash val="solid"/>
        </a:ln>
      </c:spPr>
    </c:plotArea>
    <c:legend>
      <c:legendPos val="b"/>
      <c:layout>
        <c:manualLayout>
          <c:xMode val="edge"/>
          <c:yMode val="edge"/>
          <c:x val="8.5708479242151289E-2"/>
          <c:y val="0.86720981643856032"/>
          <c:w val="0.796875"/>
          <c:h val="7.4328059150334913E-2"/>
        </c:manualLayout>
      </c:layout>
      <c:overlay val="0"/>
      <c:spPr>
        <a:noFill/>
        <a:ln w="25351">
          <a:noFill/>
        </a:ln>
      </c:spPr>
      <c:txPr>
        <a:bodyPr/>
        <a:lstStyle/>
        <a:p>
          <a:pPr>
            <a:defRPr sz="938" b="1" i="0" u="none" strike="noStrike" baseline="0">
              <a:solidFill>
                <a:srgbClr val="000000"/>
              </a:solidFill>
              <a:latin typeface="Arial"/>
              <a:ea typeface="Arial"/>
              <a:cs typeface="Arial"/>
            </a:defRPr>
          </a:pPr>
          <a:endParaRPr lang="lv-LV"/>
        </a:p>
      </c:txPr>
    </c:legend>
    <c:plotVisOnly val="1"/>
    <c:dispBlanksAs val="gap"/>
    <c:showDLblsOverMax val="0"/>
  </c:chart>
  <c:spPr>
    <a:noFill/>
    <a:ln>
      <a:noFill/>
    </a:ln>
  </c:spPr>
  <c:txPr>
    <a:bodyPr/>
    <a:lstStyle/>
    <a:p>
      <a:pPr>
        <a:defRPr sz="1522" b="1" i="0" u="none" strike="noStrike" baseline="0">
          <a:solidFill>
            <a:srgbClr val="000000"/>
          </a:solidFill>
          <a:latin typeface="Arial"/>
          <a:ea typeface="Arial"/>
          <a:cs typeface="Arial"/>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401404589547901E-2"/>
          <c:y val="1.1952352109832452E-3"/>
          <c:w val="0.97952755905511812"/>
          <c:h val="0.87091863517060364"/>
        </c:manualLayout>
      </c:layout>
      <c:barChart>
        <c:barDir val="col"/>
        <c:grouping val="clustered"/>
        <c:varyColors val="0"/>
        <c:ser>
          <c:idx val="1"/>
          <c:order val="0"/>
          <c:tx>
            <c:strRef>
              <c:f>Sheet1!$A$2</c:f>
              <c:strCache>
                <c:ptCount val="1"/>
                <c:pt idx="0">
                  <c:v>izdoto rīkojumu skaits</c:v>
                </c:pt>
              </c:strCache>
            </c:strRef>
          </c:tx>
          <c:spPr>
            <a:gradFill rotWithShape="0">
              <a:gsLst>
                <a:gs pos="0">
                  <a:srgbClr xmlns:mc="http://schemas.openxmlformats.org/markup-compatibility/2006" xmlns:a14="http://schemas.microsoft.com/office/drawing/2010/main" val="000000" mc:Ignorable="a14" a14:legacySpreadsheetColorIndex="53">
                    <a:gamma/>
                    <a:shade val="46275"/>
                    <a:invGamma/>
                  </a:srgbClr>
                </a:gs>
                <a:gs pos="50000">
                  <a:srgbClr xmlns:mc="http://schemas.openxmlformats.org/markup-compatibility/2006" xmlns:a14="http://schemas.microsoft.com/office/drawing/2010/main" val="FF6600" mc:Ignorable="a14" a14:legacySpreadsheetColorIndex="53"/>
                </a:gs>
                <a:gs pos="100000">
                  <a:srgbClr xmlns:mc="http://schemas.openxmlformats.org/markup-compatibility/2006" xmlns:a14="http://schemas.microsoft.com/office/drawing/2010/main" val="000000" mc:Ignorable="a14" a14:legacySpreadsheetColorIndex="53">
                    <a:gamma/>
                    <a:shade val="46275"/>
                    <a:invGamma/>
                  </a:srgbClr>
                </a:gs>
              </a:gsLst>
              <a:lin ang="5400000" scaled="1"/>
            </a:gradFill>
            <a:ln w="12635">
              <a:solidFill>
                <a:srgbClr val="000000"/>
              </a:solidFill>
              <a:prstDash val="solid"/>
            </a:ln>
          </c:spPr>
          <c:invertIfNegative val="0"/>
          <c:dLbls>
            <c:spPr>
              <a:noFill/>
              <a:ln w="25269">
                <a:noFill/>
              </a:ln>
            </c:spPr>
            <c:txPr>
              <a:bodyPr/>
              <a:lstStyle/>
              <a:p>
                <a:pPr>
                  <a:defRPr sz="1069" b="1" i="0" u="none" strike="noStrike" baseline="0">
                    <a:solidFill>
                      <a:srgbClr val="000000"/>
                    </a:solidFill>
                    <a:latin typeface="Arial"/>
                    <a:ea typeface="Arial"/>
                    <a:cs typeface="Aria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Sheet1!$B$2:$F$2</c:f>
              <c:numCache>
                <c:formatCode>General</c:formatCode>
                <c:ptCount val="5"/>
                <c:pt idx="0">
                  <c:v>26</c:v>
                </c:pt>
                <c:pt idx="1">
                  <c:v>3</c:v>
                </c:pt>
                <c:pt idx="2">
                  <c:v>25</c:v>
                </c:pt>
                <c:pt idx="3">
                  <c:v>13</c:v>
                </c:pt>
                <c:pt idx="4">
                  <c:v>21</c:v>
                </c:pt>
              </c:numCache>
            </c:numRef>
          </c:val>
        </c:ser>
        <c:dLbls>
          <c:showLegendKey val="0"/>
          <c:showVal val="0"/>
          <c:showCatName val="0"/>
          <c:showSerName val="0"/>
          <c:showPercent val="0"/>
          <c:showBubbleSize val="0"/>
        </c:dLbls>
        <c:gapWidth val="150"/>
        <c:axId val="211135800"/>
        <c:axId val="208179176"/>
      </c:barChart>
      <c:catAx>
        <c:axId val="211135800"/>
        <c:scaling>
          <c:orientation val="minMax"/>
        </c:scaling>
        <c:delete val="0"/>
        <c:axPos val="b"/>
        <c:numFmt formatCode="General" sourceLinked="1"/>
        <c:majorTickMark val="out"/>
        <c:minorTickMark val="none"/>
        <c:tickLblPos val="nextTo"/>
        <c:spPr>
          <a:ln w="3159">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08179176"/>
        <c:crosses val="autoZero"/>
        <c:auto val="1"/>
        <c:lblAlgn val="ctr"/>
        <c:lblOffset val="100"/>
        <c:tickLblSkip val="1"/>
        <c:tickMarkSkip val="1"/>
        <c:noMultiLvlLbl val="0"/>
      </c:catAx>
      <c:valAx>
        <c:axId val="208179176"/>
        <c:scaling>
          <c:orientation val="minMax"/>
        </c:scaling>
        <c:delete val="1"/>
        <c:axPos val="l"/>
        <c:majorGridlines>
          <c:spPr>
            <a:ln w="12635">
              <a:solidFill>
                <a:srgbClr val="000000"/>
              </a:solidFill>
              <a:prstDash val="sysDash"/>
            </a:ln>
          </c:spPr>
        </c:majorGridlines>
        <c:numFmt formatCode="General" sourceLinked="1"/>
        <c:majorTickMark val="out"/>
        <c:minorTickMark val="none"/>
        <c:tickLblPos val="nextTo"/>
        <c:crossAx val="211135800"/>
        <c:crosses val="autoZero"/>
        <c:crossBetween val="between"/>
      </c:valAx>
      <c:spPr>
        <a:noFill/>
        <a:ln w="12635">
          <a:solidFill>
            <a:srgbClr val="808080"/>
          </a:solidFill>
          <a:prstDash val="solid"/>
        </a:ln>
      </c:spPr>
    </c:plotArea>
    <c:plotVisOnly val="1"/>
    <c:dispBlanksAs val="gap"/>
    <c:showDLblsOverMax val="0"/>
  </c:chart>
  <c:spPr>
    <a:noFill/>
    <a:ln>
      <a:noFill/>
    </a:ln>
  </c:spPr>
  <c:txPr>
    <a:bodyPr/>
    <a:lstStyle/>
    <a:p>
      <a:pPr>
        <a:defRPr sz="1517" b="1" i="0" u="none" strike="noStrike" baseline="0">
          <a:solidFill>
            <a:srgbClr val="000000"/>
          </a:solidFill>
          <a:latin typeface="Arial"/>
          <a:ea typeface="Arial"/>
          <a:cs typeface="Arial"/>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432646592709985E-2"/>
          <c:y val="3.6216041724687967E-2"/>
          <c:w val="0.9778129952456418"/>
          <c:h val="0.77081923270229524"/>
        </c:manualLayout>
      </c:layout>
      <c:barChart>
        <c:barDir val="col"/>
        <c:grouping val="clustered"/>
        <c:varyColors val="0"/>
        <c:ser>
          <c:idx val="1"/>
          <c:order val="0"/>
          <c:tx>
            <c:strRef>
              <c:f>Sheet1!$A$2</c:f>
              <c:strCache>
                <c:ptCount val="1"/>
                <c:pt idx="0">
                  <c:v>uz 30.09.2013. iesaldēto līdzekļu apjoms sastāda 528 521 Ls</c:v>
                </c:pt>
              </c:strCache>
            </c:strRef>
          </c:tx>
          <c:spPr>
            <a:gradFill rotWithShape="0">
              <a:gsLst>
                <a:gs pos="0">
                  <a:srgbClr xmlns:mc="http://schemas.openxmlformats.org/markup-compatibility/2006" xmlns:a14="http://schemas.microsoft.com/office/drawing/2010/main" val="000000" mc:Ignorable="a14" a14:legacySpreadsheetColorIndex="53">
                    <a:gamma/>
                    <a:shade val="46275"/>
                    <a:invGamma/>
                  </a:srgbClr>
                </a:gs>
                <a:gs pos="50000">
                  <a:srgbClr xmlns:mc="http://schemas.openxmlformats.org/markup-compatibility/2006" xmlns:a14="http://schemas.microsoft.com/office/drawing/2010/main" val="FF6600" mc:Ignorable="a14" a14:legacySpreadsheetColorIndex="53"/>
                </a:gs>
                <a:gs pos="100000">
                  <a:srgbClr xmlns:mc="http://schemas.openxmlformats.org/markup-compatibility/2006" xmlns:a14="http://schemas.microsoft.com/office/drawing/2010/main" val="000000" mc:Ignorable="a14" a14:legacySpreadsheetColorIndex="53">
                    <a:gamma/>
                    <a:shade val="46275"/>
                    <a:invGamma/>
                  </a:srgbClr>
                </a:gs>
              </a:gsLst>
              <a:lin ang="5400000" scaled="1"/>
            </a:gradFill>
            <a:ln w="12691">
              <a:solidFill>
                <a:srgbClr val="000000"/>
              </a:solidFill>
              <a:prstDash val="solid"/>
            </a:ln>
          </c:spPr>
          <c:invertIfNegative val="0"/>
          <c:dLbls>
            <c:spPr>
              <a:noFill/>
              <a:ln w="25382">
                <a:noFill/>
              </a:ln>
            </c:spPr>
            <c:txPr>
              <a:bodyPr/>
              <a:lstStyle/>
              <a:p>
                <a:pPr>
                  <a:defRPr sz="949"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c:v>
                </c:pt>
                <c:pt idx="1">
                  <c:v>2010</c:v>
                </c:pt>
                <c:pt idx="2">
                  <c:v>2011</c:v>
                </c:pt>
                <c:pt idx="3">
                  <c:v>2012</c:v>
                </c:pt>
                <c:pt idx="4">
                  <c:v>uz 30.09.2013.</c:v>
                </c:pt>
              </c:strCache>
            </c:strRef>
          </c:cat>
          <c:val>
            <c:numRef>
              <c:f>Sheet1!$B$2:$F$2</c:f>
              <c:numCache>
                <c:formatCode>General</c:formatCode>
                <c:ptCount val="5"/>
                <c:pt idx="0">
                  <c:v>0.66</c:v>
                </c:pt>
                <c:pt idx="1">
                  <c:v>0.15</c:v>
                </c:pt>
                <c:pt idx="2">
                  <c:v>0.67</c:v>
                </c:pt>
                <c:pt idx="3">
                  <c:v>0.55000000000000004</c:v>
                </c:pt>
                <c:pt idx="4">
                  <c:v>0.75</c:v>
                </c:pt>
              </c:numCache>
            </c:numRef>
          </c:val>
        </c:ser>
        <c:dLbls>
          <c:showLegendKey val="0"/>
          <c:showVal val="0"/>
          <c:showCatName val="0"/>
          <c:showSerName val="0"/>
          <c:showPercent val="0"/>
          <c:showBubbleSize val="0"/>
        </c:dLbls>
        <c:gapWidth val="150"/>
        <c:axId val="209318240"/>
        <c:axId val="209318632"/>
      </c:barChart>
      <c:catAx>
        <c:axId val="209318240"/>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209318632"/>
        <c:crosses val="autoZero"/>
        <c:auto val="1"/>
        <c:lblAlgn val="ctr"/>
        <c:lblOffset val="100"/>
        <c:tickLblSkip val="1"/>
        <c:tickMarkSkip val="1"/>
        <c:noMultiLvlLbl val="0"/>
      </c:catAx>
      <c:valAx>
        <c:axId val="209318632"/>
        <c:scaling>
          <c:orientation val="minMax"/>
        </c:scaling>
        <c:delete val="1"/>
        <c:axPos val="l"/>
        <c:majorGridlines>
          <c:spPr>
            <a:ln w="12691">
              <a:solidFill>
                <a:srgbClr val="000000"/>
              </a:solidFill>
              <a:prstDash val="sysDash"/>
            </a:ln>
          </c:spPr>
        </c:majorGridlines>
        <c:numFmt formatCode="General" sourceLinked="1"/>
        <c:majorTickMark val="out"/>
        <c:minorTickMark val="none"/>
        <c:tickLblPos val="nextTo"/>
        <c:crossAx val="209318240"/>
        <c:crosses val="autoZero"/>
        <c:crossBetween val="between"/>
      </c:valAx>
      <c:spPr>
        <a:noFill/>
        <a:ln w="12691">
          <a:solidFill>
            <a:srgbClr val="808080"/>
          </a:solidFill>
          <a:prstDash val="solid"/>
        </a:ln>
      </c:spPr>
    </c:plotArea>
    <c:legend>
      <c:legendPos val="b"/>
      <c:layout>
        <c:manualLayout>
          <c:xMode val="edge"/>
          <c:yMode val="edge"/>
          <c:x val="0.17974168637561638"/>
          <c:y val="0.89994862344334614"/>
          <c:w val="0.6228209191759112"/>
          <c:h val="7.2368421052631582E-2"/>
        </c:manualLayout>
      </c:layout>
      <c:overlay val="0"/>
      <c:spPr>
        <a:noFill/>
        <a:ln w="25382">
          <a:noFill/>
        </a:ln>
      </c:spPr>
      <c:txPr>
        <a:bodyPr/>
        <a:lstStyle/>
        <a:p>
          <a:pPr>
            <a:defRPr sz="869" b="1"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lv-LV"/>
        </a:p>
      </c:txPr>
    </c:legend>
    <c:plotVisOnly val="1"/>
    <c:dispBlanksAs val="gap"/>
    <c:showDLblsOverMax val="0"/>
  </c:chart>
  <c:spPr>
    <a:noFill/>
    <a:ln>
      <a:noFill/>
    </a:ln>
  </c:spPr>
  <c:txPr>
    <a:bodyPr/>
    <a:lstStyle/>
    <a:p>
      <a:pPr>
        <a:defRPr sz="1424" b="1" i="0" u="none" strike="noStrike" baseline="0">
          <a:solidFill>
            <a:srgbClr val="000000"/>
          </a:solidFill>
          <a:latin typeface="Arial"/>
          <a:ea typeface="Arial"/>
          <a:cs typeface="Arial"/>
        </a:defRPr>
      </a:pPr>
      <a:endParaRPr lang="lv-LV"/>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0.81719</cdr:x>
      <cdr:y>0.33679</cdr:y>
    </cdr:from>
    <cdr:to>
      <cdr:x>0.93081</cdr:x>
      <cdr:y>0.51278</cdr:y>
    </cdr:to>
    <cdr:sp macro="" textlink="">
      <cdr:nvSpPr>
        <cdr:cNvPr id="2" name="TextBox 1"/>
        <cdr:cNvSpPr txBox="1"/>
      </cdr:nvSpPr>
      <cdr:spPr>
        <a:xfrm xmlns:a="http://schemas.openxmlformats.org/drawingml/2006/main">
          <a:off x="6234111" y="1531088"/>
          <a:ext cx="866775" cy="800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0.82843</cdr:x>
      <cdr:y>0.4164</cdr:y>
    </cdr:from>
    <cdr:to>
      <cdr:x>0.94829</cdr:x>
      <cdr:y>0.61754</cdr:y>
    </cdr:to>
    <cdr:sp macro="" textlink="">
      <cdr:nvSpPr>
        <cdr:cNvPr id="3" name="TextBox 2"/>
        <cdr:cNvSpPr txBox="1"/>
      </cdr:nvSpPr>
      <cdr:spPr>
        <a:xfrm xmlns:a="http://schemas.openxmlformats.org/drawingml/2006/main">
          <a:off x="6319837" y="189303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dirty="0"/>
        </a:p>
      </cdr:txBody>
    </cdr:sp>
  </cdr:relSizeAnchor>
  <cdr:relSizeAnchor xmlns:cdr="http://schemas.openxmlformats.org/drawingml/2006/chartDrawing">
    <cdr:from>
      <cdr:x>0.82981</cdr:x>
      <cdr:y>0.33685</cdr:y>
    </cdr:from>
    <cdr:to>
      <cdr:x>0.94968</cdr:x>
      <cdr:y>0.5849</cdr:y>
    </cdr:to>
    <cdr:sp macro="" textlink="">
      <cdr:nvSpPr>
        <cdr:cNvPr id="4" name="TextBox 3"/>
        <cdr:cNvSpPr txBox="1"/>
      </cdr:nvSpPr>
      <cdr:spPr>
        <a:xfrm xmlns:a="http://schemas.openxmlformats.org/drawingml/2006/main">
          <a:off x="4552697" y="877405"/>
          <a:ext cx="657600" cy="64613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900" b="1" i="0" dirty="0" smtClean="0">
              <a:latin typeface="Times New Roman" panose="02020603050405020304" pitchFamily="18" charset="0"/>
              <a:cs typeface="Times New Roman" panose="02020603050405020304" pitchFamily="18" charset="0"/>
            </a:rPr>
            <a:t>IKP dati par</a:t>
          </a:r>
        </a:p>
        <a:p xmlns:a="http://schemas.openxmlformats.org/drawingml/2006/main">
          <a:r>
            <a:rPr lang="lv-LV" sz="900" b="1" i="0" dirty="0" smtClean="0">
              <a:latin typeface="Times New Roman" panose="02020603050405020304" pitchFamily="18" charset="0"/>
              <a:cs typeface="Times New Roman" panose="02020603050405020304" pitchFamily="18" charset="0"/>
            </a:rPr>
            <a:t>2013.gada</a:t>
          </a:r>
        </a:p>
        <a:p xmlns:a="http://schemas.openxmlformats.org/drawingml/2006/main">
          <a:r>
            <a:rPr lang="lv-LV" sz="900" b="1" i="0" dirty="0" smtClean="0">
              <a:latin typeface="Times New Roman" panose="02020603050405020304" pitchFamily="18" charset="0"/>
              <a:cs typeface="Times New Roman" panose="02020603050405020304" pitchFamily="18" charset="0"/>
            </a:rPr>
            <a:t>6 mēnešiem</a:t>
          </a:r>
          <a:endParaRPr lang="lv-LV" sz="900" b="1" i="0" dirty="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fontScheme name="Default Desig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fontScheme name="Default Desig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8B40-5BE0-43B6-BAFE-C55869BD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41699</Words>
  <Characters>23769</Characters>
  <Application>Microsoft Office Word</Application>
  <DocSecurity>0</DocSecurity>
  <Lines>198</Lines>
  <Paragraphs>130</Paragraphs>
  <ScaleCrop>false</ScaleCrop>
  <HeadingPairs>
    <vt:vector size="2" baseType="variant">
      <vt:variant>
        <vt:lpstr>Title</vt:lpstr>
      </vt:variant>
      <vt:variant>
        <vt:i4>1</vt:i4>
      </vt:variant>
    </vt:vector>
  </HeadingPairs>
  <TitlesOfParts>
    <vt:vector size="1" baseType="lpstr">
      <vt:lpstr>Informatīvais ziņojums par ēnu ekonomikas apkarošanas pasākumu īstenošanā iesaistīto institūciju darbības rezultātiem 2013.gada deviņos mēnešos un šo pasākumu ietekmi uz nodokļu iekasēšanu</vt:lpstr>
    </vt:vector>
  </TitlesOfParts>
  <Company>VID</Company>
  <LinksUpToDate>false</LinksUpToDate>
  <CharactersWithSpaces>65338</CharactersWithSpaces>
  <SharedDoc>false</SharedDoc>
  <HLinks>
    <vt:vector size="6" baseType="variant">
      <vt:variant>
        <vt:i4>8061016</vt:i4>
      </vt:variant>
      <vt:variant>
        <vt:i4>3</vt:i4>
      </vt:variant>
      <vt:variant>
        <vt:i4>0</vt:i4>
      </vt:variant>
      <vt:variant>
        <vt:i4>5</vt:i4>
      </vt:variant>
      <vt:variant>
        <vt:lpwstr>mailto:Agnese.rudzite@vid.gov.lv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ēnu ekonomikas apkarošanas pasākumu īstenošanā iesaistīto institūciju darbības rezultātiem 2013.gada deviņos mēnešos un šo pasākumu ietekmi uz nodokļu iekasēšanu</dc:title>
  <dc:subject>Informatīvais ziņojums</dc:subject>
  <dc:creator>E.Šidlovskis</dc:creator>
  <dc:description>E.Šidlovskis
67083894, Edgars.Sidlovskis@fm.gov.lv</dc:description>
  <cp:lastModifiedBy>Šidlovskis Edgars</cp:lastModifiedBy>
  <cp:revision>38</cp:revision>
  <cp:lastPrinted>2013-11-08T09:12:00Z</cp:lastPrinted>
  <dcterms:created xsi:type="dcterms:W3CDTF">2013-10-21T12:00:00Z</dcterms:created>
  <dcterms:modified xsi:type="dcterms:W3CDTF">2013-11-13T09:35:00Z</dcterms:modified>
</cp:coreProperties>
</file>