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D79" w:rsidRPr="00DC35E7" w:rsidRDefault="00FF2D79" w:rsidP="00FF2D79">
      <w:pPr>
        <w:ind w:right="-2"/>
        <w:jc w:val="center"/>
        <w:rPr>
          <w:b/>
          <w:sz w:val="28"/>
          <w:szCs w:val="28"/>
        </w:rPr>
      </w:pPr>
      <w:r w:rsidRPr="00DC35E7">
        <w:rPr>
          <w:b/>
          <w:sz w:val="28"/>
          <w:szCs w:val="28"/>
        </w:rPr>
        <w:t xml:space="preserve">Informatīvais ziņojums </w:t>
      </w:r>
    </w:p>
    <w:p w:rsidR="007823DD" w:rsidRPr="00DD73E8" w:rsidRDefault="00FF2D79" w:rsidP="00FF2D79">
      <w:pPr>
        <w:ind w:right="-2"/>
        <w:jc w:val="center"/>
        <w:rPr>
          <w:b/>
          <w:sz w:val="28"/>
          <w:szCs w:val="28"/>
        </w:rPr>
      </w:pPr>
      <w:r w:rsidRPr="00DD73E8">
        <w:rPr>
          <w:b/>
          <w:sz w:val="28"/>
          <w:szCs w:val="28"/>
        </w:rPr>
        <w:t>„</w:t>
      </w:r>
      <w:r w:rsidR="00DD73E8" w:rsidRPr="00DD73E8">
        <w:rPr>
          <w:b/>
          <w:bCs/>
          <w:sz w:val="28"/>
          <w:szCs w:val="28"/>
        </w:rPr>
        <w:t xml:space="preserve">Par </w:t>
      </w:r>
      <w:r w:rsidR="00DD73E8" w:rsidRPr="00DD73E8">
        <w:rPr>
          <w:b/>
          <w:iCs/>
          <w:sz w:val="28"/>
          <w:szCs w:val="28"/>
        </w:rPr>
        <w:t>vidēja termiņa makroekonomiskās attīstības un fiskālās politikas ietvara 2012. – 2014. gadam iesniegšanu Ministru kabinetā</w:t>
      </w:r>
      <w:r w:rsidRPr="00DD73E8">
        <w:rPr>
          <w:b/>
          <w:sz w:val="28"/>
          <w:szCs w:val="28"/>
        </w:rPr>
        <w:t>”</w:t>
      </w:r>
    </w:p>
    <w:p w:rsidR="00DC35E7" w:rsidRDefault="00C27A27" w:rsidP="00356C74">
      <w:pPr>
        <w:jc w:val="left"/>
        <w:rPr>
          <w:sz w:val="28"/>
          <w:szCs w:val="28"/>
        </w:rPr>
      </w:pPr>
      <w:r w:rsidRPr="002B03D2">
        <w:rPr>
          <w:sz w:val="28"/>
          <w:szCs w:val="28"/>
        </w:rPr>
        <w:tab/>
      </w:r>
    </w:p>
    <w:p w:rsidR="00750403" w:rsidRDefault="00DC35E7" w:rsidP="004344DD">
      <w:pPr>
        <w:ind w:firstLine="720"/>
        <w:rPr>
          <w:iCs/>
          <w:sz w:val="28"/>
          <w:szCs w:val="28"/>
        </w:rPr>
      </w:pPr>
      <w:r w:rsidRPr="004534B7">
        <w:rPr>
          <w:sz w:val="28"/>
          <w:szCs w:val="28"/>
        </w:rPr>
        <w:t>Finanšu ministrija iesniedz izskatīšanai Ministru kabineta</w:t>
      </w:r>
      <w:r w:rsidR="00432A7E">
        <w:rPr>
          <w:sz w:val="28"/>
          <w:szCs w:val="28"/>
        </w:rPr>
        <w:t xml:space="preserve"> (turpmāk - MK)</w:t>
      </w:r>
      <w:r w:rsidRPr="004534B7">
        <w:rPr>
          <w:sz w:val="28"/>
          <w:szCs w:val="28"/>
        </w:rPr>
        <w:t xml:space="preserve"> </w:t>
      </w:r>
      <w:r w:rsidR="00D33477" w:rsidRPr="004534B7">
        <w:rPr>
          <w:sz w:val="28"/>
          <w:szCs w:val="28"/>
        </w:rPr>
        <w:t>2011.</w:t>
      </w:r>
      <w:r w:rsidR="00D33477">
        <w:rPr>
          <w:sz w:val="28"/>
          <w:szCs w:val="28"/>
        </w:rPr>
        <w:t> </w:t>
      </w:r>
      <w:r w:rsidR="00D33477" w:rsidRPr="004534B7">
        <w:rPr>
          <w:sz w:val="28"/>
          <w:szCs w:val="28"/>
        </w:rPr>
        <w:t xml:space="preserve">gada </w:t>
      </w:r>
      <w:r w:rsidR="00DD73E8">
        <w:rPr>
          <w:sz w:val="28"/>
          <w:szCs w:val="28"/>
        </w:rPr>
        <w:t>1</w:t>
      </w:r>
      <w:r w:rsidR="00B70081">
        <w:rPr>
          <w:sz w:val="28"/>
          <w:szCs w:val="28"/>
        </w:rPr>
        <w:t>7</w:t>
      </w:r>
      <w:r w:rsidR="00D33477" w:rsidRPr="004534B7">
        <w:rPr>
          <w:sz w:val="28"/>
          <w:szCs w:val="28"/>
        </w:rPr>
        <w:t>.</w:t>
      </w:r>
      <w:r w:rsidR="00D33477">
        <w:rPr>
          <w:sz w:val="28"/>
          <w:szCs w:val="28"/>
        </w:rPr>
        <w:t> </w:t>
      </w:r>
      <w:r w:rsidR="00DD73E8">
        <w:rPr>
          <w:sz w:val="28"/>
          <w:szCs w:val="28"/>
        </w:rPr>
        <w:t>maij</w:t>
      </w:r>
      <w:r w:rsidR="00D33477" w:rsidRPr="004534B7">
        <w:rPr>
          <w:sz w:val="28"/>
          <w:szCs w:val="28"/>
        </w:rPr>
        <w:t xml:space="preserve">a </w:t>
      </w:r>
      <w:r w:rsidRPr="004534B7">
        <w:rPr>
          <w:sz w:val="28"/>
          <w:szCs w:val="28"/>
        </w:rPr>
        <w:t>sēdē informatīvo ziņojumu „</w:t>
      </w:r>
      <w:r w:rsidR="00DD73E8" w:rsidRPr="00CF2AC5">
        <w:rPr>
          <w:bCs/>
          <w:sz w:val="28"/>
          <w:szCs w:val="28"/>
        </w:rPr>
        <w:t xml:space="preserve">Par </w:t>
      </w:r>
      <w:r w:rsidR="00DD73E8" w:rsidRPr="00CF2AC5">
        <w:rPr>
          <w:iCs/>
          <w:sz w:val="28"/>
          <w:szCs w:val="28"/>
        </w:rPr>
        <w:t>vidēja termiņa makroekonomiskās attīstības un fiskālās politikas ietvara</w:t>
      </w:r>
      <w:r w:rsidR="00DD73E8">
        <w:rPr>
          <w:iCs/>
          <w:sz w:val="28"/>
          <w:szCs w:val="28"/>
        </w:rPr>
        <w:t xml:space="preserve"> </w:t>
      </w:r>
      <w:r w:rsidR="00DD73E8" w:rsidRPr="00CF2AC5">
        <w:rPr>
          <w:iCs/>
          <w:sz w:val="28"/>
          <w:szCs w:val="28"/>
        </w:rPr>
        <w:t>2012.</w:t>
      </w:r>
      <w:r w:rsidR="00DD73E8">
        <w:rPr>
          <w:iCs/>
          <w:sz w:val="28"/>
          <w:szCs w:val="28"/>
        </w:rPr>
        <w:t xml:space="preserve"> </w:t>
      </w:r>
      <w:r w:rsidR="00DD73E8" w:rsidRPr="00CF2AC5">
        <w:rPr>
          <w:iCs/>
          <w:sz w:val="28"/>
          <w:szCs w:val="28"/>
        </w:rPr>
        <w:t>–</w:t>
      </w:r>
      <w:r w:rsidR="00DD73E8">
        <w:rPr>
          <w:iCs/>
          <w:sz w:val="28"/>
          <w:szCs w:val="28"/>
        </w:rPr>
        <w:t xml:space="preserve"> </w:t>
      </w:r>
      <w:r w:rsidR="00DD73E8" w:rsidRPr="00CF2AC5">
        <w:rPr>
          <w:iCs/>
          <w:sz w:val="28"/>
          <w:szCs w:val="28"/>
        </w:rPr>
        <w:t>2</w:t>
      </w:r>
      <w:r w:rsidR="00DD73E8">
        <w:rPr>
          <w:iCs/>
          <w:sz w:val="28"/>
          <w:szCs w:val="28"/>
        </w:rPr>
        <w:t>0</w:t>
      </w:r>
      <w:r w:rsidR="00DD73E8" w:rsidRPr="00CF2AC5">
        <w:rPr>
          <w:iCs/>
          <w:sz w:val="28"/>
          <w:szCs w:val="28"/>
        </w:rPr>
        <w:t>14.</w:t>
      </w:r>
      <w:r w:rsidR="00DD73E8">
        <w:rPr>
          <w:iCs/>
          <w:sz w:val="28"/>
          <w:szCs w:val="28"/>
        </w:rPr>
        <w:t xml:space="preserve"> </w:t>
      </w:r>
      <w:r w:rsidR="00DD73E8" w:rsidRPr="00CF2AC5">
        <w:rPr>
          <w:iCs/>
          <w:sz w:val="28"/>
          <w:szCs w:val="28"/>
        </w:rPr>
        <w:t>gadam</w:t>
      </w:r>
      <w:r w:rsidR="00DD73E8">
        <w:rPr>
          <w:iCs/>
          <w:sz w:val="28"/>
          <w:szCs w:val="28"/>
        </w:rPr>
        <w:t xml:space="preserve"> iesniegšanu Ministru kabinetā</w:t>
      </w:r>
      <w:r w:rsidRPr="004534B7">
        <w:rPr>
          <w:sz w:val="28"/>
          <w:szCs w:val="28"/>
        </w:rPr>
        <w:t xml:space="preserve">” (turpmāk – informatīvais ziņojums) un </w:t>
      </w:r>
      <w:proofErr w:type="spellStart"/>
      <w:r w:rsidRPr="004534B7">
        <w:rPr>
          <w:sz w:val="28"/>
          <w:szCs w:val="28"/>
        </w:rPr>
        <w:t>protokollēmuma</w:t>
      </w:r>
      <w:proofErr w:type="spellEnd"/>
      <w:r w:rsidRPr="004534B7">
        <w:rPr>
          <w:sz w:val="28"/>
          <w:szCs w:val="28"/>
        </w:rPr>
        <w:t xml:space="preserve"> projektu</w:t>
      </w:r>
      <w:r w:rsidRPr="004534B7">
        <w:rPr>
          <w:rStyle w:val="spelle"/>
          <w:sz w:val="28"/>
          <w:szCs w:val="28"/>
        </w:rPr>
        <w:t xml:space="preserve">, </w:t>
      </w:r>
      <w:r w:rsidRPr="004534B7">
        <w:rPr>
          <w:sz w:val="28"/>
          <w:szCs w:val="28"/>
        </w:rPr>
        <w:t>lai pieņemtu lēmumu par</w:t>
      </w:r>
      <w:r w:rsidR="004344DD" w:rsidRPr="004534B7">
        <w:rPr>
          <w:sz w:val="28"/>
          <w:szCs w:val="28"/>
        </w:rPr>
        <w:t xml:space="preserve"> </w:t>
      </w:r>
      <w:r w:rsidR="00F67C47" w:rsidRPr="004534B7">
        <w:rPr>
          <w:sz w:val="28"/>
          <w:szCs w:val="28"/>
        </w:rPr>
        <w:t xml:space="preserve">tālāko pieeju attiecībā uz </w:t>
      </w:r>
      <w:r w:rsidR="00DD73E8" w:rsidRPr="00CF2AC5">
        <w:rPr>
          <w:iCs/>
          <w:sz w:val="28"/>
          <w:szCs w:val="28"/>
        </w:rPr>
        <w:t>vidēja termiņa makroekonomiskās attīstības un fiskālās politikas ietvara</w:t>
      </w:r>
      <w:r w:rsidR="00DD73E8">
        <w:rPr>
          <w:iCs/>
          <w:sz w:val="28"/>
          <w:szCs w:val="28"/>
        </w:rPr>
        <w:t xml:space="preserve"> </w:t>
      </w:r>
      <w:r w:rsidR="00DD73E8" w:rsidRPr="00CF2AC5">
        <w:rPr>
          <w:iCs/>
          <w:sz w:val="28"/>
          <w:szCs w:val="28"/>
        </w:rPr>
        <w:t>2012.</w:t>
      </w:r>
      <w:r w:rsidR="00DD73E8">
        <w:rPr>
          <w:iCs/>
          <w:sz w:val="28"/>
          <w:szCs w:val="28"/>
        </w:rPr>
        <w:t xml:space="preserve"> </w:t>
      </w:r>
      <w:r w:rsidR="00DD73E8" w:rsidRPr="00CF2AC5">
        <w:rPr>
          <w:iCs/>
          <w:sz w:val="28"/>
          <w:szCs w:val="28"/>
        </w:rPr>
        <w:t>–</w:t>
      </w:r>
      <w:r w:rsidR="00DD73E8">
        <w:rPr>
          <w:iCs/>
          <w:sz w:val="28"/>
          <w:szCs w:val="28"/>
        </w:rPr>
        <w:t xml:space="preserve"> </w:t>
      </w:r>
      <w:r w:rsidR="00DD73E8" w:rsidRPr="00CF2AC5">
        <w:rPr>
          <w:iCs/>
          <w:sz w:val="28"/>
          <w:szCs w:val="28"/>
        </w:rPr>
        <w:t>2</w:t>
      </w:r>
      <w:r w:rsidR="00DD73E8">
        <w:rPr>
          <w:iCs/>
          <w:sz w:val="28"/>
          <w:szCs w:val="28"/>
        </w:rPr>
        <w:t>0</w:t>
      </w:r>
      <w:r w:rsidR="00DD73E8" w:rsidRPr="00CF2AC5">
        <w:rPr>
          <w:iCs/>
          <w:sz w:val="28"/>
          <w:szCs w:val="28"/>
        </w:rPr>
        <w:t>14.</w:t>
      </w:r>
      <w:r w:rsidR="00DD73E8">
        <w:rPr>
          <w:iCs/>
          <w:sz w:val="28"/>
          <w:szCs w:val="28"/>
        </w:rPr>
        <w:t xml:space="preserve"> </w:t>
      </w:r>
      <w:r w:rsidR="00DD73E8" w:rsidRPr="00CF2AC5">
        <w:rPr>
          <w:iCs/>
          <w:sz w:val="28"/>
          <w:szCs w:val="28"/>
        </w:rPr>
        <w:t>gadam</w:t>
      </w:r>
      <w:r w:rsidR="00DD73E8">
        <w:rPr>
          <w:iCs/>
          <w:sz w:val="28"/>
          <w:szCs w:val="28"/>
        </w:rPr>
        <w:t xml:space="preserve"> </w:t>
      </w:r>
      <w:r w:rsidR="00416F3F">
        <w:rPr>
          <w:iCs/>
          <w:sz w:val="28"/>
          <w:szCs w:val="28"/>
        </w:rPr>
        <w:t xml:space="preserve">(turpmāk – Ietvars) </w:t>
      </w:r>
      <w:r w:rsidR="00DD73E8">
        <w:rPr>
          <w:iCs/>
          <w:sz w:val="28"/>
          <w:szCs w:val="28"/>
        </w:rPr>
        <w:t xml:space="preserve">iesniegšanu </w:t>
      </w:r>
      <w:r w:rsidR="00432A7E">
        <w:rPr>
          <w:iCs/>
          <w:sz w:val="28"/>
          <w:szCs w:val="28"/>
        </w:rPr>
        <w:t>MK</w:t>
      </w:r>
      <w:r w:rsidR="00DD73E8">
        <w:rPr>
          <w:iCs/>
          <w:sz w:val="28"/>
          <w:szCs w:val="28"/>
        </w:rPr>
        <w:t>.</w:t>
      </w:r>
    </w:p>
    <w:p w:rsidR="00F51D17" w:rsidRPr="004534B7" w:rsidRDefault="00F51D17" w:rsidP="00F51D17">
      <w:pPr>
        <w:ind w:firstLine="720"/>
        <w:rPr>
          <w:sz w:val="28"/>
          <w:szCs w:val="28"/>
        </w:rPr>
      </w:pPr>
      <w:r w:rsidRPr="004534B7">
        <w:rPr>
          <w:sz w:val="28"/>
          <w:szCs w:val="28"/>
        </w:rPr>
        <w:t xml:space="preserve">Informatīvajā ziņojumā ir </w:t>
      </w:r>
      <w:r>
        <w:rPr>
          <w:sz w:val="28"/>
          <w:szCs w:val="28"/>
        </w:rPr>
        <w:t>izvērtēta</w:t>
      </w:r>
      <w:r w:rsidRPr="00CF2AC5">
        <w:rPr>
          <w:bCs/>
          <w:sz w:val="28"/>
          <w:szCs w:val="28"/>
        </w:rPr>
        <w:t xml:space="preserve"> </w:t>
      </w:r>
      <w:r w:rsidRPr="00CF2AC5">
        <w:rPr>
          <w:iCs/>
          <w:sz w:val="28"/>
          <w:szCs w:val="28"/>
        </w:rPr>
        <w:t>vidēja termiņa makroekonomiskās attīstības un fiskālās politikas ietvara</w:t>
      </w:r>
      <w:r>
        <w:rPr>
          <w:iCs/>
          <w:sz w:val="28"/>
          <w:szCs w:val="28"/>
        </w:rPr>
        <w:t xml:space="preserve"> </w:t>
      </w:r>
      <w:r w:rsidRPr="00CF2AC5">
        <w:rPr>
          <w:iCs/>
          <w:sz w:val="28"/>
          <w:szCs w:val="28"/>
        </w:rPr>
        <w:t>2012.</w:t>
      </w:r>
      <w:r>
        <w:rPr>
          <w:iCs/>
          <w:sz w:val="28"/>
          <w:szCs w:val="28"/>
        </w:rPr>
        <w:t xml:space="preserve"> </w:t>
      </w:r>
      <w:r w:rsidRPr="00CF2AC5">
        <w:rPr>
          <w:iCs/>
          <w:sz w:val="28"/>
          <w:szCs w:val="28"/>
        </w:rPr>
        <w:t>–</w:t>
      </w:r>
      <w:r>
        <w:rPr>
          <w:iCs/>
          <w:sz w:val="28"/>
          <w:szCs w:val="28"/>
        </w:rPr>
        <w:t xml:space="preserve"> </w:t>
      </w:r>
      <w:r w:rsidRPr="00CF2AC5">
        <w:rPr>
          <w:iCs/>
          <w:sz w:val="28"/>
          <w:szCs w:val="28"/>
        </w:rPr>
        <w:t>2</w:t>
      </w:r>
      <w:r>
        <w:rPr>
          <w:iCs/>
          <w:sz w:val="28"/>
          <w:szCs w:val="28"/>
        </w:rPr>
        <w:t>0</w:t>
      </w:r>
      <w:r w:rsidRPr="00CF2AC5">
        <w:rPr>
          <w:iCs/>
          <w:sz w:val="28"/>
          <w:szCs w:val="28"/>
        </w:rPr>
        <w:t>14.</w:t>
      </w:r>
      <w:r>
        <w:rPr>
          <w:iCs/>
          <w:sz w:val="28"/>
          <w:szCs w:val="28"/>
        </w:rPr>
        <w:t xml:space="preserve"> </w:t>
      </w:r>
      <w:r w:rsidRPr="00CF2AC5">
        <w:rPr>
          <w:iCs/>
          <w:sz w:val="28"/>
          <w:szCs w:val="28"/>
        </w:rPr>
        <w:t>gadam</w:t>
      </w:r>
      <w:r>
        <w:rPr>
          <w:iCs/>
          <w:sz w:val="28"/>
          <w:szCs w:val="28"/>
        </w:rPr>
        <w:t xml:space="preserve"> iesniegšanas </w:t>
      </w:r>
      <w:r w:rsidR="00432A7E">
        <w:rPr>
          <w:iCs/>
          <w:sz w:val="28"/>
          <w:szCs w:val="28"/>
        </w:rPr>
        <w:t>MK</w:t>
      </w:r>
      <w:r>
        <w:rPr>
          <w:iCs/>
          <w:sz w:val="28"/>
          <w:szCs w:val="28"/>
        </w:rPr>
        <w:t xml:space="preserve"> 2011. gada 24. maijā lietderība.</w:t>
      </w:r>
    </w:p>
    <w:p w:rsidR="00A92AD3" w:rsidRDefault="00A92AD3" w:rsidP="004344DD">
      <w:pPr>
        <w:ind w:firstLine="720"/>
        <w:rPr>
          <w:iCs/>
          <w:sz w:val="28"/>
          <w:szCs w:val="28"/>
        </w:rPr>
      </w:pPr>
      <w:r w:rsidRPr="0033544B">
        <w:rPr>
          <w:sz w:val="28"/>
          <w:szCs w:val="28"/>
        </w:rPr>
        <w:t>2011. gada</w:t>
      </w:r>
      <w:r w:rsidRPr="0033544B">
        <w:rPr>
          <w:color w:val="000000"/>
          <w:sz w:val="28"/>
          <w:szCs w:val="28"/>
        </w:rPr>
        <w:t xml:space="preserve"> </w:t>
      </w:r>
      <w:r w:rsidRPr="0033544B">
        <w:rPr>
          <w:sz w:val="28"/>
          <w:szCs w:val="28"/>
        </w:rPr>
        <w:t xml:space="preserve">22. marta </w:t>
      </w:r>
      <w:r>
        <w:rPr>
          <w:sz w:val="28"/>
          <w:szCs w:val="28"/>
        </w:rPr>
        <w:t>informatīvā</w:t>
      </w:r>
      <w:r w:rsidRPr="0033544B">
        <w:rPr>
          <w:sz w:val="28"/>
          <w:szCs w:val="28"/>
        </w:rPr>
        <w:t xml:space="preserve"> ziņojum</w:t>
      </w:r>
      <w:r>
        <w:rPr>
          <w:sz w:val="28"/>
          <w:szCs w:val="28"/>
        </w:rPr>
        <w:t>a</w:t>
      </w:r>
      <w:r w:rsidRPr="0033544B">
        <w:rPr>
          <w:sz w:val="28"/>
          <w:szCs w:val="28"/>
        </w:rPr>
        <w:t xml:space="preserve"> „Par 2012. gada budžeta fiskālās konsolidācijas un Māstrihtas kritēriju izpildei nepieciešamo lēmumu pieņemšanu” 1. pielikum</w:t>
      </w:r>
      <w:r>
        <w:rPr>
          <w:sz w:val="28"/>
          <w:szCs w:val="28"/>
        </w:rPr>
        <w:t>a</w:t>
      </w:r>
      <w:r w:rsidRPr="0033544B">
        <w:rPr>
          <w:sz w:val="28"/>
          <w:szCs w:val="28"/>
        </w:rPr>
        <w:t xml:space="preserve"> „Laika grafiks sākotnējai lēmumu pieņemšanai par 2012.</w:t>
      </w:r>
      <w:r>
        <w:rPr>
          <w:sz w:val="28"/>
          <w:szCs w:val="28"/>
        </w:rPr>
        <w:t xml:space="preserve"> </w:t>
      </w:r>
      <w:r w:rsidRPr="0033544B">
        <w:rPr>
          <w:sz w:val="28"/>
          <w:szCs w:val="28"/>
        </w:rPr>
        <w:t>gada budžeta fiskālo konsolidāciju un pasākumiem Māstrihtas kritēriju izpildei” (</w:t>
      </w:r>
      <w:proofErr w:type="spellStart"/>
      <w:r w:rsidRPr="0033544B">
        <w:rPr>
          <w:sz w:val="28"/>
          <w:szCs w:val="28"/>
        </w:rPr>
        <w:t>prot</w:t>
      </w:r>
      <w:proofErr w:type="spellEnd"/>
      <w:r w:rsidRPr="0033544B">
        <w:rPr>
          <w:sz w:val="28"/>
          <w:szCs w:val="28"/>
        </w:rPr>
        <w:t xml:space="preserve">. </w:t>
      </w:r>
      <w:proofErr w:type="spellStart"/>
      <w:r w:rsidRPr="0033544B">
        <w:rPr>
          <w:sz w:val="28"/>
          <w:szCs w:val="28"/>
        </w:rPr>
        <w:t>Nr</w:t>
      </w:r>
      <w:proofErr w:type="spellEnd"/>
      <w:r w:rsidRPr="0033544B">
        <w:rPr>
          <w:sz w:val="28"/>
          <w:szCs w:val="28"/>
        </w:rPr>
        <w:t xml:space="preserve">. </w:t>
      </w:r>
      <w:bookmarkStart w:id="0" w:name="56"/>
      <w:r w:rsidRPr="0033544B">
        <w:rPr>
          <w:sz w:val="28"/>
          <w:szCs w:val="28"/>
        </w:rPr>
        <w:t>18</w:t>
      </w:r>
      <w:r>
        <w:rPr>
          <w:sz w:val="28"/>
          <w:szCs w:val="28"/>
        </w:rPr>
        <w:t>,</w:t>
      </w:r>
      <w:r w:rsidRPr="0033544B">
        <w:rPr>
          <w:sz w:val="28"/>
          <w:szCs w:val="28"/>
        </w:rPr>
        <w:t xml:space="preserve"> 56. §</w:t>
      </w:r>
      <w:bookmarkEnd w:id="0"/>
      <w:r w:rsidRPr="0033544B">
        <w:rPr>
          <w:sz w:val="28"/>
          <w:szCs w:val="28"/>
        </w:rPr>
        <w:t>)</w:t>
      </w:r>
      <w:r>
        <w:rPr>
          <w:sz w:val="28"/>
          <w:szCs w:val="28"/>
        </w:rPr>
        <w:t xml:space="preserve"> 11. punkts nosaka, ka </w:t>
      </w:r>
      <w:r w:rsidRPr="00CF2AC5">
        <w:rPr>
          <w:iCs/>
          <w:sz w:val="28"/>
          <w:szCs w:val="28"/>
        </w:rPr>
        <w:t>vidēja termiņa makroekonomiskās attīstības un fiskālās politikas ietvara</w:t>
      </w:r>
      <w:r>
        <w:rPr>
          <w:iCs/>
          <w:sz w:val="28"/>
          <w:szCs w:val="28"/>
        </w:rPr>
        <w:t xml:space="preserve"> </w:t>
      </w:r>
      <w:r w:rsidRPr="00CF2AC5">
        <w:rPr>
          <w:iCs/>
          <w:sz w:val="28"/>
          <w:szCs w:val="28"/>
        </w:rPr>
        <w:t>2012.</w:t>
      </w:r>
      <w:r>
        <w:rPr>
          <w:iCs/>
          <w:sz w:val="28"/>
          <w:szCs w:val="28"/>
        </w:rPr>
        <w:t xml:space="preserve"> </w:t>
      </w:r>
      <w:r w:rsidRPr="00CF2AC5">
        <w:rPr>
          <w:iCs/>
          <w:sz w:val="28"/>
          <w:szCs w:val="28"/>
        </w:rPr>
        <w:t>–</w:t>
      </w:r>
      <w:r>
        <w:rPr>
          <w:iCs/>
          <w:sz w:val="28"/>
          <w:szCs w:val="28"/>
        </w:rPr>
        <w:t xml:space="preserve"> </w:t>
      </w:r>
      <w:r w:rsidRPr="00CF2AC5">
        <w:rPr>
          <w:iCs/>
          <w:sz w:val="28"/>
          <w:szCs w:val="28"/>
        </w:rPr>
        <w:t>2</w:t>
      </w:r>
      <w:r>
        <w:rPr>
          <w:iCs/>
          <w:sz w:val="28"/>
          <w:szCs w:val="28"/>
        </w:rPr>
        <w:t>0</w:t>
      </w:r>
      <w:r w:rsidRPr="00CF2AC5">
        <w:rPr>
          <w:iCs/>
          <w:sz w:val="28"/>
          <w:szCs w:val="28"/>
        </w:rPr>
        <w:t>14.</w:t>
      </w:r>
      <w:r>
        <w:rPr>
          <w:iCs/>
          <w:sz w:val="28"/>
          <w:szCs w:val="28"/>
        </w:rPr>
        <w:t xml:space="preserve"> </w:t>
      </w:r>
      <w:r w:rsidRPr="00CF2AC5">
        <w:rPr>
          <w:iCs/>
          <w:sz w:val="28"/>
          <w:szCs w:val="28"/>
        </w:rPr>
        <w:t>gadam</w:t>
      </w:r>
      <w:r>
        <w:rPr>
          <w:iCs/>
          <w:sz w:val="28"/>
          <w:szCs w:val="28"/>
        </w:rPr>
        <w:t xml:space="preserve"> apstiprināms </w:t>
      </w:r>
      <w:r w:rsidR="00432A7E">
        <w:rPr>
          <w:iCs/>
          <w:sz w:val="28"/>
          <w:szCs w:val="28"/>
        </w:rPr>
        <w:t>MK</w:t>
      </w:r>
      <w:r>
        <w:rPr>
          <w:iCs/>
          <w:sz w:val="28"/>
          <w:szCs w:val="28"/>
        </w:rPr>
        <w:t xml:space="preserve"> šī gada 24. maijā.</w:t>
      </w:r>
    </w:p>
    <w:p w:rsidR="00D21589" w:rsidRDefault="00A92AD3" w:rsidP="00D21589">
      <w:pPr>
        <w:ind w:firstLine="720"/>
        <w:rPr>
          <w:sz w:val="28"/>
          <w:szCs w:val="28"/>
        </w:rPr>
      </w:pPr>
      <w:r>
        <w:rPr>
          <w:sz w:val="28"/>
          <w:szCs w:val="28"/>
        </w:rPr>
        <w:t xml:space="preserve">Šī gada 26. aprīlī </w:t>
      </w:r>
      <w:r w:rsidR="00432A7E">
        <w:rPr>
          <w:sz w:val="28"/>
          <w:szCs w:val="28"/>
        </w:rPr>
        <w:t>MK</w:t>
      </w:r>
      <w:r w:rsidRPr="00EF44FB">
        <w:rPr>
          <w:sz w:val="28"/>
          <w:szCs w:val="28"/>
        </w:rPr>
        <w:t xml:space="preserve"> apstiprināja </w:t>
      </w:r>
      <w:r w:rsidR="00EF44FB" w:rsidRPr="00EF44FB">
        <w:rPr>
          <w:sz w:val="28"/>
          <w:szCs w:val="28"/>
        </w:rPr>
        <w:t xml:space="preserve">Latvijas </w:t>
      </w:r>
      <w:r w:rsidRPr="00EF44FB">
        <w:rPr>
          <w:sz w:val="28"/>
          <w:szCs w:val="28"/>
        </w:rPr>
        <w:t>Konverģences programmu (</w:t>
      </w:r>
      <w:proofErr w:type="spellStart"/>
      <w:r w:rsidRPr="00EF44FB">
        <w:rPr>
          <w:sz w:val="28"/>
          <w:szCs w:val="28"/>
        </w:rPr>
        <w:t>prot</w:t>
      </w:r>
      <w:proofErr w:type="spellEnd"/>
      <w:r w:rsidRPr="00EF44FB">
        <w:rPr>
          <w:sz w:val="28"/>
          <w:szCs w:val="28"/>
        </w:rPr>
        <w:t xml:space="preserve">. </w:t>
      </w:r>
      <w:proofErr w:type="spellStart"/>
      <w:r w:rsidRPr="00EF44FB">
        <w:rPr>
          <w:sz w:val="28"/>
          <w:szCs w:val="28"/>
        </w:rPr>
        <w:t>Nr</w:t>
      </w:r>
      <w:proofErr w:type="spellEnd"/>
      <w:r w:rsidRPr="00EF44FB">
        <w:rPr>
          <w:sz w:val="28"/>
          <w:szCs w:val="28"/>
        </w:rPr>
        <w:t>. 18 53.§)</w:t>
      </w:r>
      <w:r w:rsidR="00EF44FB" w:rsidRPr="00EF44FB">
        <w:rPr>
          <w:sz w:val="28"/>
          <w:szCs w:val="28"/>
        </w:rPr>
        <w:t xml:space="preserve">. Latvijas Konverģences programma </w:t>
      </w:r>
      <w:r w:rsidR="00EF44FB">
        <w:rPr>
          <w:sz w:val="28"/>
          <w:szCs w:val="28"/>
        </w:rPr>
        <w:t xml:space="preserve">tāpat kā </w:t>
      </w:r>
      <w:r w:rsidR="00EF44FB" w:rsidRPr="00CF2AC5">
        <w:rPr>
          <w:iCs/>
          <w:sz w:val="28"/>
          <w:szCs w:val="28"/>
        </w:rPr>
        <w:t xml:space="preserve">vidēja termiņa </w:t>
      </w:r>
      <w:r w:rsidR="00EF44FB" w:rsidRPr="00D21589">
        <w:rPr>
          <w:iCs/>
          <w:sz w:val="28"/>
          <w:szCs w:val="28"/>
        </w:rPr>
        <w:t xml:space="preserve">makroekonomiskās attīstības un fiskālās politikas ietvars 2012. – 2014. gadam </w:t>
      </w:r>
      <w:r w:rsidR="00EF44FB" w:rsidRPr="00D21589">
        <w:rPr>
          <w:sz w:val="28"/>
          <w:szCs w:val="28"/>
        </w:rPr>
        <w:t>ir vidēja termiņa politikas dokuments, kas raksturo Latvijas fiskālo politiku 2011. - 2014. gadam</w:t>
      </w:r>
      <w:r w:rsidR="001E1195">
        <w:rPr>
          <w:sz w:val="28"/>
          <w:szCs w:val="28"/>
        </w:rPr>
        <w:t>, un ir sagatavota</w:t>
      </w:r>
      <w:r w:rsidR="00EF44FB" w:rsidRPr="00D21589">
        <w:rPr>
          <w:sz w:val="28"/>
          <w:szCs w:val="28"/>
        </w:rPr>
        <w:t xml:space="preserve"> vadoties pēc Stabilitātes un izaugsmes pakta ieviešanas nosacījumiem</w:t>
      </w:r>
      <w:r w:rsidR="00D21589" w:rsidRPr="00D21589">
        <w:rPr>
          <w:sz w:val="28"/>
          <w:szCs w:val="28"/>
        </w:rPr>
        <w:t xml:space="preserve"> un</w:t>
      </w:r>
      <w:r w:rsidR="00EF44FB" w:rsidRPr="00D21589">
        <w:rPr>
          <w:sz w:val="28"/>
          <w:szCs w:val="28"/>
        </w:rPr>
        <w:t xml:space="preserve"> ir vērsta uz stingras un ilgtspējīgas fiskālās politikas īstenošanu un makroekonomiskās s</w:t>
      </w:r>
      <w:r w:rsidR="00D21589">
        <w:rPr>
          <w:sz w:val="28"/>
          <w:szCs w:val="28"/>
        </w:rPr>
        <w:t>tabilitātes nodrošināšanu.</w:t>
      </w:r>
    </w:p>
    <w:p w:rsidR="00D21589" w:rsidRPr="00343ED7" w:rsidRDefault="001E1195" w:rsidP="00D21589">
      <w:pPr>
        <w:ind w:firstLine="720"/>
        <w:rPr>
          <w:color w:val="000000" w:themeColor="text1"/>
          <w:sz w:val="28"/>
          <w:szCs w:val="24"/>
        </w:rPr>
      </w:pPr>
      <w:r>
        <w:rPr>
          <w:sz w:val="28"/>
          <w:szCs w:val="28"/>
        </w:rPr>
        <w:t xml:space="preserve">Latvijas </w:t>
      </w:r>
      <w:r w:rsidR="00D21589" w:rsidRPr="00D21589">
        <w:rPr>
          <w:sz w:val="28"/>
          <w:szCs w:val="28"/>
        </w:rPr>
        <w:t>Konverģences programmā ietvertais makroekonomiskās attīstības scenārijs tika izstrādāts šī gada martā, ņemot vērā faktiskos makroekonomiskos rādītājus par 2010. gadu, kā arī atsevišķus īstermiņa makroekonomiskos rādītājus par šī gada pirmajiem diviem mēnešiem. Uz maija sākumu pieejamie makroekonomiskie rādītāji neliecina, ka situā</w:t>
      </w:r>
      <w:r w:rsidR="007716BA">
        <w:rPr>
          <w:sz w:val="28"/>
          <w:szCs w:val="28"/>
        </w:rPr>
        <w:t>cija būtu būtiski mainījusies,</w:t>
      </w:r>
      <w:r w:rsidR="00D21589" w:rsidRPr="00D21589">
        <w:rPr>
          <w:sz w:val="28"/>
          <w:szCs w:val="28"/>
        </w:rPr>
        <w:t xml:space="preserve"> tādēļ jaunu prognožu izstrāde </w:t>
      </w:r>
      <w:r w:rsidR="00D21589" w:rsidRPr="00432A7E">
        <w:rPr>
          <w:sz w:val="28"/>
          <w:szCs w:val="28"/>
        </w:rPr>
        <w:t xml:space="preserve">nav nepieciešama. Makroekonomiskā attīstības </w:t>
      </w:r>
      <w:r w:rsidR="00D21589" w:rsidRPr="00343ED7">
        <w:rPr>
          <w:color w:val="000000" w:themeColor="text1"/>
          <w:sz w:val="28"/>
          <w:szCs w:val="24"/>
        </w:rPr>
        <w:t xml:space="preserve">scenārija aktualizēšana ir paredzēta pēc </w:t>
      </w:r>
      <w:r w:rsidR="00A13688" w:rsidRPr="00343ED7">
        <w:rPr>
          <w:color w:val="000000" w:themeColor="text1"/>
          <w:sz w:val="28"/>
          <w:szCs w:val="24"/>
        </w:rPr>
        <w:t>iekšzemes kopprodukta</w:t>
      </w:r>
      <w:r w:rsidR="00D21589" w:rsidRPr="00343ED7">
        <w:rPr>
          <w:color w:val="000000" w:themeColor="text1"/>
          <w:sz w:val="28"/>
          <w:szCs w:val="24"/>
        </w:rPr>
        <w:t xml:space="preserve"> datu pa</w:t>
      </w:r>
      <w:r w:rsidR="007716BA" w:rsidRPr="00343ED7">
        <w:rPr>
          <w:color w:val="000000" w:themeColor="text1"/>
          <w:sz w:val="28"/>
          <w:szCs w:val="24"/>
        </w:rPr>
        <w:t>r 2011. gada pirmo ceturksni un</w:t>
      </w:r>
      <w:r w:rsidR="00D21589" w:rsidRPr="00343ED7">
        <w:rPr>
          <w:color w:val="000000" w:themeColor="text1"/>
          <w:sz w:val="28"/>
          <w:szCs w:val="24"/>
        </w:rPr>
        <w:t> īstermiņa ekonomisko rādītāju par 2011. gada otro ceturksni saņemšanas, šī gada jūlijā un augustā.</w:t>
      </w:r>
    </w:p>
    <w:p w:rsidR="00343ED7" w:rsidRDefault="00343ED7" w:rsidP="00343ED7">
      <w:pPr>
        <w:ind w:firstLine="720"/>
        <w:rPr>
          <w:color w:val="000000" w:themeColor="text1"/>
          <w:sz w:val="28"/>
          <w:szCs w:val="24"/>
        </w:rPr>
      </w:pPr>
      <w:r w:rsidRPr="00343ED7">
        <w:rPr>
          <w:color w:val="000000" w:themeColor="text1"/>
          <w:sz w:val="28"/>
          <w:szCs w:val="24"/>
        </w:rPr>
        <w:t xml:space="preserve">Savukārt valdības fiskālās politikas mērķi vidējam termiņam ir </w:t>
      </w:r>
      <w:r>
        <w:rPr>
          <w:color w:val="000000" w:themeColor="text1"/>
          <w:sz w:val="28"/>
          <w:szCs w:val="24"/>
        </w:rPr>
        <w:t xml:space="preserve">noteikti ne tikai </w:t>
      </w:r>
      <w:r>
        <w:rPr>
          <w:sz w:val="28"/>
          <w:szCs w:val="28"/>
        </w:rPr>
        <w:t xml:space="preserve">Latvijas </w:t>
      </w:r>
      <w:r w:rsidRPr="00D21589">
        <w:rPr>
          <w:sz w:val="28"/>
          <w:szCs w:val="28"/>
        </w:rPr>
        <w:t>Konverģences programmā</w:t>
      </w:r>
      <w:r>
        <w:rPr>
          <w:sz w:val="28"/>
          <w:szCs w:val="28"/>
        </w:rPr>
        <w:t xml:space="preserve">, bet arī </w:t>
      </w:r>
      <w:r>
        <w:rPr>
          <w:color w:val="000000" w:themeColor="text1"/>
          <w:sz w:val="28"/>
          <w:szCs w:val="24"/>
        </w:rPr>
        <w:t xml:space="preserve">Nodomu vēstules projektā Starptautiskajam Valūtas fondam un Saprašanās memoranda projektā starp Eiropas </w:t>
      </w:r>
      <w:r w:rsidR="00811A6D">
        <w:rPr>
          <w:color w:val="000000" w:themeColor="text1"/>
          <w:sz w:val="28"/>
          <w:szCs w:val="24"/>
        </w:rPr>
        <w:t xml:space="preserve">Savienību un Latvijas </w:t>
      </w:r>
      <w:r w:rsidR="000823BC">
        <w:rPr>
          <w:color w:val="000000" w:themeColor="text1"/>
          <w:sz w:val="28"/>
          <w:szCs w:val="24"/>
        </w:rPr>
        <w:t>Republiku</w:t>
      </w:r>
      <w:r w:rsidR="00811A6D">
        <w:rPr>
          <w:color w:val="000000" w:themeColor="text1"/>
          <w:sz w:val="28"/>
          <w:szCs w:val="24"/>
        </w:rPr>
        <w:t>.</w:t>
      </w:r>
    </w:p>
    <w:p w:rsidR="008A6339" w:rsidRDefault="008A6339" w:rsidP="008A6339">
      <w:pPr>
        <w:ind w:firstLine="720"/>
        <w:rPr>
          <w:sz w:val="28"/>
          <w:szCs w:val="28"/>
        </w:rPr>
      </w:pPr>
      <w:r w:rsidRPr="00343ED7">
        <w:rPr>
          <w:color w:val="000000" w:themeColor="text1"/>
          <w:sz w:val="28"/>
          <w:szCs w:val="24"/>
        </w:rPr>
        <w:t>Jā</w:t>
      </w:r>
      <w:r w:rsidR="007716BA" w:rsidRPr="00343ED7">
        <w:rPr>
          <w:color w:val="000000" w:themeColor="text1"/>
          <w:sz w:val="28"/>
          <w:szCs w:val="24"/>
        </w:rPr>
        <w:t>norāda arī</w:t>
      </w:r>
      <w:r w:rsidRPr="00343ED7">
        <w:rPr>
          <w:color w:val="000000" w:themeColor="text1"/>
          <w:sz w:val="28"/>
          <w:szCs w:val="24"/>
        </w:rPr>
        <w:t>, ka š</w:t>
      </w:r>
      <w:r w:rsidR="007716BA" w:rsidRPr="00343ED7">
        <w:rPr>
          <w:color w:val="000000" w:themeColor="text1"/>
          <w:sz w:val="28"/>
          <w:szCs w:val="24"/>
        </w:rPr>
        <w:t>ī gada</w:t>
      </w:r>
      <w:r w:rsidRPr="00343ED7">
        <w:rPr>
          <w:color w:val="000000" w:themeColor="text1"/>
          <w:sz w:val="28"/>
          <w:szCs w:val="24"/>
        </w:rPr>
        <w:t xml:space="preserve"> 28.</w:t>
      </w:r>
      <w:r w:rsidR="007716BA" w:rsidRPr="00343ED7">
        <w:rPr>
          <w:color w:val="000000" w:themeColor="text1"/>
          <w:sz w:val="28"/>
          <w:szCs w:val="24"/>
        </w:rPr>
        <w:t xml:space="preserve"> </w:t>
      </w:r>
      <w:r w:rsidRPr="00343ED7">
        <w:rPr>
          <w:color w:val="000000" w:themeColor="text1"/>
          <w:sz w:val="28"/>
          <w:szCs w:val="24"/>
        </w:rPr>
        <w:t xml:space="preserve">martā </w:t>
      </w:r>
      <w:r w:rsidR="00432A7E" w:rsidRPr="00343ED7">
        <w:rPr>
          <w:color w:val="000000" w:themeColor="text1"/>
          <w:sz w:val="28"/>
          <w:szCs w:val="24"/>
        </w:rPr>
        <w:t>MK</w:t>
      </w:r>
      <w:r w:rsidRPr="00343ED7">
        <w:rPr>
          <w:color w:val="000000" w:themeColor="text1"/>
          <w:sz w:val="32"/>
          <w:szCs w:val="28"/>
        </w:rPr>
        <w:t xml:space="preserve"> </w:t>
      </w:r>
      <w:r w:rsidRPr="00432A7E">
        <w:rPr>
          <w:sz w:val="28"/>
          <w:szCs w:val="28"/>
        </w:rPr>
        <w:t>apstiprināja valsts budžeta bāzes izdevumus 2012. – 2014.</w:t>
      </w:r>
      <w:r w:rsidR="007716BA" w:rsidRPr="00432A7E">
        <w:rPr>
          <w:sz w:val="28"/>
          <w:szCs w:val="28"/>
        </w:rPr>
        <w:t xml:space="preserve"> </w:t>
      </w:r>
      <w:r w:rsidRPr="00432A7E">
        <w:rPr>
          <w:sz w:val="28"/>
          <w:szCs w:val="28"/>
        </w:rPr>
        <w:t>gadam sadalījumā pa ministrijām un citām centrālajām valsts iestādēm, kas atbilstoši Likuma par budžetu un finanšu vadību 16.</w:t>
      </w:r>
      <w:r w:rsidRPr="00432A7E">
        <w:rPr>
          <w:sz w:val="28"/>
          <w:szCs w:val="28"/>
          <w:vertAlign w:val="superscript"/>
        </w:rPr>
        <w:t>2</w:t>
      </w:r>
      <w:r w:rsidRPr="00432A7E">
        <w:rPr>
          <w:sz w:val="28"/>
          <w:szCs w:val="28"/>
        </w:rPr>
        <w:t xml:space="preserve"> panta otrajā daļā noteiktam ir jāiekļauj vidēja termiņa makroekonomiskās attīstības un </w:t>
      </w:r>
      <w:r w:rsidRPr="00432A7E">
        <w:rPr>
          <w:sz w:val="28"/>
          <w:szCs w:val="28"/>
        </w:rPr>
        <w:lastRenderedPageBreak/>
        <w:t>fiskālās politikas ietvar</w:t>
      </w:r>
      <w:r w:rsidR="00831CCA" w:rsidRPr="00432A7E">
        <w:rPr>
          <w:sz w:val="28"/>
          <w:szCs w:val="28"/>
        </w:rPr>
        <w:t xml:space="preserve">ā, </w:t>
      </w:r>
      <w:r w:rsidR="007716BA" w:rsidRPr="00432A7E">
        <w:rPr>
          <w:sz w:val="28"/>
          <w:szCs w:val="28"/>
        </w:rPr>
        <w:t xml:space="preserve">un </w:t>
      </w:r>
      <w:r w:rsidR="00831CCA" w:rsidRPr="00432A7E">
        <w:rPr>
          <w:sz w:val="28"/>
          <w:szCs w:val="28"/>
        </w:rPr>
        <w:t xml:space="preserve">kas arī tika izmantots Konverģences programmā, sagatavojot </w:t>
      </w:r>
      <w:r w:rsidR="00831CCA">
        <w:rPr>
          <w:sz w:val="28"/>
          <w:szCs w:val="28"/>
        </w:rPr>
        <w:t>vispārējās valdības izdevumu novērtējumu atbilstoši  Eiropas Kontu sistēmas metodoloģijai.</w:t>
      </w:r>
    </w:p>
    <w:p w:rsidR="00A92AD3" w:rsidRPr="007716BA" w:rsidRDefault="00432A7E" w:rsidP="007716BA">
      <w:pPr>
        <w:ind w:firstLine="720"/>
        <w:rPr>
          <w:sz w:val="28"/>
          <w:szCs w:val="28"/>
        </w:rPr>
      </w:pPr>
      <w:r>
        <w:rPr>
          <w:sz w:val="28"/>
          <w:szCs w:val="28"/>
        </w:rPr>
        <w:t>Ņ</w:t>
      </w:r>
      <w:r w:rsidR="001E1195">
        <w:rPr>
          <w:sz w:val="28"/>
          <w:szCs w:val="28"/>
        </w:rPr>
        <w:t xml:space="preserve">emot </w:t>
      </w:r>
      <w:r w:rsidR="001E1195" w:rsidRPr="00432A7E">
        <w:rPr>
          <w:sz w:val="28"/>
          <w:szCs w:val="28"/>
        </w:rPr>
        <w:t>vērā, ka makroekonomiskie rādītāji, kas iekļaujami vidēja termiņa makroekonomiskās attīstības un fiskālās politikas ietvarā 2012. – 2014. gadam, kā arī analizējamais laika periods sakrīt ar Konverģences programmā apstiprinātajiem makroekonomiskajiem rādītājiem un analizēto laika periodu,</w:t>
      </w:r>
      <w:r w:rsidR="00831CCA" w:rsidRPr="00432A7E">
        <w:rPr>
          <w:sz w:val="28"/>
          <w:szCs w:val="28"/>
        </w:rPr>
        <w:t xml:space="preserve"> kā arī</w:t>
      </w:r>
      <w:r w:rsidR="007716BA" w:rsidRPr="00432A7E">
        <w:rPr>
          <w:sz w:val="28"/>
          <w:szCs w:val="28"/>
        </w:rPr>
        <w:t xml:space="preserve"> to</w:t>
      </w:r>
      <w:r w:rsidR="00811A6D">
        <w:rPr>
          <w:sz w:val="28"/>
          <w:szCs w:val="28"/>
        </w:rPr>
        <w:t xml:space="preserve">, ka </w:t>
      </w:r>
      <w:r w:rsidR="00811A6D" w:rsidRPr="00343ED7">
        <w:rPr>
          <w:color w:val="000000" w:themeColor="text1"/>
          <w:sz w:val="28"/>
          <w:szCs w:val="24"/>
        </w:rPr>
        <w:t xml:space="preserve">valdības fiskālās politikas mērķi vidējam termiņam ir </w:t>
      </w:r>
      <w:r w:rsidR="00811A6D">
        <w:rPr>
          <w:color w:val="000000" w:themeColor="text1"/>
          <w:sz w:val="28"/>
          <w:szCs w:val="24"/>
        </w:rPr>
        <w:t xml:space="preserve">noteikti </w:t>
      </w:r>
      <w:r w:rsidR="00811A6D">
        <w:rPr>
          <w:sz w:val="28"/>
          <w:szCs w:val="28"/>
        </w:rPr>
        <w:t xml:space="preserve">Latvijas </w:t>
      </w:r>
      <w:r w:rsidR="00811A6D" w:rsidRPr="00D21589">
        <w:rPr>
          <w:sz w:val="28"/>
          <w:szCs w:val="28"/>
        </w:rPr>
        <w:t>Konverģences programmā</w:t>
      </w:r>
      <w:r w:rsidR="00811A6D">
        <w:rPr>
          <w:sz w:val="28"/>
          <w:szCs w:val="28"/>
        </w:rPr>
        <w:t xml:space="preserve"> un</w:t>
      </w:r>
      <w:r w:rsidR="007716BA" w:rsidRPr="00432A7E">
        <w:rPr>
          <w:sz w:val="28"/>
          <w:szCs w:val="28"/>
        </w:rPr>
        <w:t xml:space="preserve"> ka</w:t>
      </w:r>
      <w:r w:rsidR="00831CCA" w:rsidRPr="00432A7E">
        <w:rPr>
          <w:sz w:val="28"/>
          <w:szCs w:val="28"/>
        </w:rPr>
        <w:t xml:space="preserve"> </w:t>
      </w:r>
      <w:r>
        <w:rPr>
          <w:sz w:val="28"/>
          <w:szCs w:val="28"/>
        </w:rPr>
        <w:t>MK</w:t>
      </w:r>
      <w:r w:rsidR="00831CCA" w:rsidRPr="00432A7E">
        <w:rPr>
          <w:sz w:val="28"/>
          <w:szCs w:val="28"/>
        </w:rPr>
        <w:t xml:space="preserve"> ir apstiprinājis</w:t>
      </w:r>
      <w:r w:rsidR="001E1195" w:rsidRPr="00432A7E">
        <w:rPr>
          <w:sz w:val="28"/>
          <w:szCs w:val="28"/>
        </w:rPr>
        <w:t xml:space="preserve"> </w:t>
      </w:r>
      <w:r w:rsidR="00831CCA" w:rsidRPr="00432A7E">
        <w:rPr>
          <w:sz w:val="28"/>
          <w:szCs w:val="28"/>
        </w:rPr>
        <w:t>valsts budžeta bāzes izdevumus 2012. – 2014.</w:t>
      </w:r>
      <w:r w:rsidR="007716BA" w:rsidRPr="00432A7E">
        <w:rPr>
          <w:sz w:val="28"/>
          <w:szCs w:val="28"/>
        </w:rPr>
        <w:t xml:space="preserve"> </w:t>
      </w:r>
      <w:r w:rsidR="00831CCA" w:rsidRPr="00432A7E">
        <w:rPr>
          <w:sz w:val="28"/>
          <w:szCs w:val="28"/>
        </w:rPr>
        <w:t xml:space="preserve">gadam, </w:t>
      </w:r>
      <w:r w:rsidR="001E1195" w:rsidRPr="00432A7E">
        <w:rPr>
          <w:sz w:val="28"/>
          <w:szCs w:val="28"/>
        </w:rPr>
        <w:t>vidēja termiņa makroekonomiskās attīstības un fiskālās politikas ietvaru šobrīd nav lietderīgi izstrādāt</w:t>
      </w:r>
      <w:r w:rsidR="001E1195">
        <w:rPr>
          <w:sz w:val="28"/>
          <w:szCs w:val="28"/>
        </w:rPr>
        <w:t>.</w:t>
      </w:r>
      <w:r w:rsidR="007716BA">
        <w:rPr>
          <w:sz w:val="28"/>
          <w:szCs w:val="28"/>
        </w:rPr>
        <w:t xml:space="preserve"> </w:t>
      </w:r>
      <w:r w:rsidR="00F51D17">
        <w:rPr>
          <w:sz w:val="28"/>
          <w:szCs w:val="28"/>
        </w:rPr>
        <w:t>Pretējā gadījumā t</w:t>
      </w:r>
      <w:r w:rsidR="00A92AD3">
        <w:rPr>
          <w:sz w:val="28"/>
          <w:szCs w:val="28"/>
        </w:rPr>
        <w:t xml:space="preserve">iks sagatavots un šī gada 24. maijā iesniegts </w:t>
      </w:r>
      <w:r>
        <w:rPr>
          <w:sz w:val="28"/>
          <w:szCs w:val="28"/>
        </w:rPr>
        <w:t>MK</w:t>
      </w:r>
      <w:r w:rsidR="00A92AD3">
        <w:rPr>
          <w:sz w:val="28"/>
          <w:szCs w:val="28"/>
        </w:rPr>
        <w:t xml:space="preserve"> Vidēja termiņa makroekonomiskās attīstības un fiskālās politikas ietvars ar identiskiem makroekonomiskajiem rādītājiem</w:t>
      </w:r>
      <w:r w:rsidR="00811A6D">
        <w:rPr>
          <w:sz w:val="28"/>
          <w:szCs w:val="28"/>
        </w:rPr>
        <w:t xml:space="preserve"> un </w:t>
      </w:r>
      <w:r w:rsidR="00811A6D" w:rsidRPr="00343ED7">
        <w:rPr>
          <w:color w:val="000000" w:themeColor="text1"/>
          <w:sz w:val="28"/>
          <w:szCs w:val="24"/>
        </w:rPr>
        <w:t xml:space="preserve">valdības fiskālās politikas mērķi vidējam termiņam </w:t>
      </w:r>
      <w:r w:rsidR="00A92AD3">
        <w:rPr>
          <w:sz w:val="28"/>
          <w:szCs w:val="28"/>
        </w:rPr>
        <w:t xml:space="preserve">kā </w:t>
      </w:r>
      <w:r>
        <w:rPr>
          <w:sz w:val="28"/>
          <w:szCs w:val="28"/>
        </w:rPr>
        <w:t>MK</w:t>
      </w:r>
      <w:r w:rsidR="00A92AD3">
        <w:rPr>
          <w:sz w:val="28"/>
          <w:szCs w:val="28"/>
        </w:rPr>
        <w:t xml:space="preserve"> šī gada 26. aprīlī apstiprinātajā </w:t>
      </w:r>
      <w:r w:rsidR="00A92AD3" w:rsidRPr="0033544B">
        <w:rPr>
          <w:sz w:val="28"/>
          <w:szCs w:val="28"/>
        </w:rPr>
        <w:t>K</w:t>
      </w:r>
      <w:r w:rsidR="00A92AD3">
        <w:rPr>
          <w:sz w:val="28"/>
          <w:szCs w:val="28"/>
        </w:rPr>
        <w:t>onverģences programmā</w:t>
      </w:r>
      <w:r w:rsidR="005473BA">
        <w:rPr>
          <w:sz w:val="28"/>
          <w:szCs w:val="28"/>
        </w:rPr>
        <w:t>.</w:t>
      </w:r>
    </w:p>
    <w:p w:rsidR="00791B05" w:rsidRPr="00BB3078" w:rsidRDefault="00791B05" w:rsidP="00791B05">
      <w:pPr>
        <w:spacing w:after="120"/>
        <w:rPr>
          <w:color w:val="2A2A2A"/>
          <w:sz w:val="28"/>
          <w:szCs w:val="28"/>
        </w:rPr>
      </w:pPr>
    </w:p>
    <w:p w:rsidR="00791B05" w:rsidRDefault="00791B05" w:rsidP="00DD73E8">
      <w:pPr>
        <w:spacing w:after="120"/>
        <w:rPr>
          <w:sz w:val="28"/>
          <w:szCs w:val="28"/>
        </w:rPr>
      </w:pPr>
    </w:p>
    <w:p w:rsidR="00225D1A" w:rsidRDefault="00225D1A" w:rsidP="00DD73E8">
      <w:pPr>
        <w:spacing w:after="120"/>
        <w:rPr>
          <w:sz w:val="28"/>
          <w:szCs w:val="28"/>
        </w:rPr>
      </w:pPr>
    </w:p>
    <w:p w:rsidR="00225D1A" w:rsidRDefault="00225D1A" w:rsidP="00225D1A">
      <w:pPr>
        <w:spacing w:after="120"/>
        <w:ind w:left="1418" w:hanging="1418"/>
        <w:rPr>
          <w:sz w:val="28"/>
          <w:szCs w:val="28"/>
        </w:rPr>
      </w:pPr>
      <w:r w:rsidRPr="002B03D2">
        <w:rPr>
          <w:sz w:val="28"/>
          <w:szCs w:val="28"/>
        </w:rPr>
        <w:t>Pielikumā:</w:t>
      </w:r>
      <w:r w:rsidRPr="002B03D2">
        <w:rPr>
          <w:sz w:val="28"/>
          <w:szCs w:val="28"/>
        </w:rPr>
        <w:tab/>
        <w:t xml:space="preserve">Laika grafiks sākotnējai lēmumu pieņemšanai par 2012. gada budžeta fiskālo konsolidāciju un pasākumiem Māstrihtas kritēriju izpildei </w:t>
      </w:r>
      <w:r>
        <w:rPr>
          <w:sz w:val="28"/>
          <w:szCs w:val="28"/>
        </w:rPr>
        <w:t>uz 2 l</w:t>
      </w:r>
      <w:r w:rsidR="002339B2">
        <w:rPr>
          <w:sz w:val="28"/>
          <w:szCs w:val="28"/>
        </w:rPr>
        <w:t>a</w:t>
      </w:r>
      <w:r>
        <w:rPr>
          <w:sz w:val="28"/>
          <w:szCs w:val="28"/>
        </w:rPr>
        <w:t>p</w:t>
      </w:r>
      <w:r w:rsidR="002339B2">
        <w:rPr>
          <w:sz w:val="28"/>
          <w:szCs w:val="28"/>
        </w:rPr>
        <w:t>ām</w:t>
      </w:r>
      <w:r>
        <w:rPr>
          <w:sz w:val="28"/>
          <w:szCs w:val="28"/>
        </w:rPr>
        <w:t>.</w:t>
      </w:r>
    </w:p>
    <w:p w:rsidR="00DD73E8" w:rsidRDefault="00DD73E8" w:rsidP="00C0088B">
      <w:pPr>
        <w:spacing w:after="120"/>
        <w:ind w:firstLine="709"/>
        <w:rPr>
          <w:sz w:val="28"/>
          <w:szCs w:val="28"/>
        </w:rPr>
      </w:pPr>
    </w:p>
    <w:p w:rsidR="00DD73E8" w:rsidRDefault="00DD73E8" w:rsidP="00C0088B">
      <w:pPr>
        <w:spacing w:after="120"/>
        <w:ind w:firstLine="709"/>
        <w:rPr>
          <w:sz w:val="28"/>
          <w:szCs w:val="28"/>
        </w:rPr>
      </w:pPr>
    </w:p>
    <w:p w:rsidR="00225D1A" w:rsidRDefault="00225D1A" w:rsidP="00C0088B">
      <w:pPr>
        <w:spacing w:after="120"/>
        <w:ind w:firstLine="709"/>
        <w:rPr>
          <w:sz w:val="28"/>
          <w:szCs w:val="28"/>
        </w:rPr>
      </w:pPr>
    </w:p>
    <w:p w:rsidR="004A7E5B" w:rsidRDefault="004A7E5B" w:rsidP="001F48C1">
      <w:pPr>
        <w:tabs>
          <w:tab w:val="left" w:pos="6804"/>
        </w:tabs>
        <w:rPr>
          <w:color w:val="000000" w:themeColor="text1"/>
          <w:sz w:val="28"/>
          <w:szCs w:val="28"/>
        </w:rPr>
      </w:pPr>
    </w:p>
    <w:p w:rsidR="00244980" w:rsidRDefault="00EE52B4" w:rsidP="001F48C1">
      <w:pPr>
        <w:tabs>
          <w:tab w:val="left" w:pos="6804"/>
        </w:tabs>
        <w:rPr>
          <w:color w:val="000000" w:themeColor="text1"/>
          <w:sz w:val="28"/>
          <w:szCs w:val="28"/>
        </w:rPr>
      </w:pPr>
      <w:r>
        <w:rPr>
          <w:color w:val="000000" w:themeColor="text1"/>
          <w:sz w:val="28"/>
          <w:szCs w:val="28"/>
        </w:rPr>
        <w:t>Finanšu</w:t>
      </w:r>
      <w:r w:rsidR="008A5B25" w:rsidRPr="002B03D2">
        <w:rPr>
          <w:color w:val="000000" w:themeColor="text1"/>
          <w:sz w:val="28"/>
          <w:szCs w:val="28"/>
        </w:rPr>
        <w:t xml:space="preserve"> ministrs</w:t>
      </w:r>
      <w:r w:rsidR="008A5B25" w:rsidRPr="002B03D2">
        <w:rPr>
          <w:color w:val="000000" w:themeColor="text1"/>
          <w:sz w:val="28"/>
          <w:szCs w:val="28"/>
        </w:rPr>
        <w:tab/>
        <w:t xml:space="preserve">              A.</w:t>
      </w:r>
      <w:r>
        <w:rPr>
          <w:color w:val="000000" w:themeColor="text1"/>
          <w:sz w:val="28"/>
          <w:szCs w:val="28"/>
        </w:rPr>
        <w:t>Vilks</w:t>
      </w:r>
    </w:p>
    <w:p w:rsidR="00DD73E8" w:rsidRDefault="00DD73E8" w:rsidP="001F48C1">
      <w:pPr>
        <w:tabs>
          <w:tab w:val="left" w:pos="6804"/>
        </w:tabs>
        <w:rPr>
          <w:color w:val="000000" w:themeColor="text1"/>
          <w:sz w:val="28"/>
          <w:szCs w:val="28"/>
        </w:rPr>
      </w:pPr>
    </w:p>
    <w:p w:rsidR="00DD73E8" w:rsidRDefault="00DD73E8" w:rsidP="001F48C1">
      <w:pPr>
        <w:tabs>
          <w:tab w:val="left" w:pos="6804"/>
        </w:tabs>
        <w:rPr>
          <w:color w:val="000000" w:themeColor="text1"/>
          <w:sz w:val="28"/>
          <w:szCs w:val="28"/>
        </w:rPr>
      </w:pPr>
    </w:p>
    <w:p w:rsidR="00FE4814" w:rsidRDefault="00FE4814" w:rsidP="001F48C1">
      <w:pPr>
        <w:tabs>
          <w:tab w:val="left" w:pos="6804"/>
        </w:tabs>
        <w:rPr>
          <w:color w:val="000000" w:themeColor="text1"/>
          <w:sz w:val="20"/>
          <w:szCs w:val="28"/>
        </w:rPr>
      </w:pPr>
    </w:p>
    <w:p w:rsidR="004A7E5B" w:rsidRDefault="004A7E5B" w:rsidP="001F48C1">
      <w:pPr>
        <w:tabs>
          <w:tab w:val="left" w:pos="6804"/>
        </w:tabs>
        <w:rPr>
          <w:color w:val="000000" w:themeColor="text1"/>
          <w:sz w:val="20"/>
          <w:szCs w:val="28"/>
        </w:rPr>
      </w:pPr>
    </w:p>
    <w:p w:rsidR="00FE4814" w:rsidRDefault="00B70081" w:rsidP="00FE4814">
      <w:pPr>
        <w:rPr>
          <w:color w:val="000000"/>
          <w:sz w:val="20"/>
        </w:rPr>
      </w:pPr>
      <w:r>
        <w:rPr>
          <w:color w:val="000000"/>
          <w:sz w:val="20"/>
        </w:rPr>
        <w:t>10</w:t>
      </w:r>
      <w:r w:rsidR="00DD73E8">
        <w:rPr>
          <w:color w:val="000000"/>
          <w:sz w:val="20"/>
        </w:rPr>
        <w:t>.0</w:t>
      </w:r>
      <w:r>
        <w:rPr>
          <w:color w:val="000000"/>
          <w:sz w:val="20"/>
        </w:rPr>
        <w:t>5</w:t>
      </w:r>
      <w:r w:rsidR="00FE4814">
        <w:rPr>
          <w:color w:val="000000"/>
          <w:sz w:val="20"/>
        </w:rPr>
        <w:t xml:space="preserve">.2011.   </w:t>
      </w:r>
      <w:r w:rsidR="00101A6C">
        <w:rPr>
          <w:color w:val="000000"/>
          <w:sz w:val="20"/>
        </w:rPr>
        <w:t>1</w:t>
      </w:r>
      <w:r w:rsidR="00766130">
        <w:rPr>
          <w:color w:val="000000"/>
          <w:sz w:val="20"/>
        </w:rPr>
        <w:t>5</w:t>
      </w:r>
      <w:r w:rsidR="00101A6C">
        <w:rPr>
          <w:color w:val="000000"/>
          <w:sz w:val="20"/>
        </w:rPr>
        <w:t>:52</w:t>
      </w:r>
    </w:p>
    <w:p w:rsidR="00F51D17" w:rsidRDefault="009C4484" w:rsidP="00FE4814">
      <w:pPr>
        <w:rPr>
          <w:color w:val="000000"/>
          <w:sz w:val="20"/>
        </w:rPr>
      </w:pPr>
      <w:r>
        <w:rPr>
          <w:color w:val="000000"/>
          <w:sz w:val="20"/>
        </w:rPr>
        <w:t>547</w:t>
      </w:r>
      <w:bookmarkStart w:id="1" w:name="_GoBack"/>
      <w:bookmarkEnd w:id="1"/>
    </w:p>
    <w:p w:rsidR="00FE4814" w:rsidRDefault="00DD73E8" w:rsidP="00E946CA">
      <w:pPr>
        <w:rPr>
          <w:color w:val="000000"/>
          <w:sz w:val="20"/>
        </w:rPr>
      </w:pPr>
      <w:r>
        <w:rPr>
          <w:color w:val="000000"/>
          <w:sz w:val="20"/>
        </w:rPr>
        <w:t xml:space="preserve">Jermacāne, </w:t>
      </w:r>
      <w:r w:rsidR="00FE4814">
        <w:rPr>
          <w:color w:val="000000"/>
          <w:sz w:val="20"/>
        </w:rPr>
        <w:t>670</w:t>
      </w:r>
      <w:r>
        <w:rPr>
          <w:color w:val="000000"/>
          <w:sz w:val="20"/>
        </w:rPr>
        <w:t>95429</w:t>
      </w:r>
    </w:p>
    <w:p w:rsidR="00DD73E8" w:rsidRPr="00A160AB" w:rsidRDefault="00934459" w:rsidP="00E946CA">
      <w:pPr>
        <w:rPr>
          <w:i/>
          <w:sz w:val="20"/>
        </w:rPr>
      </w:pPr>
      <w:hyperlink r:id="rId9" w:history="1">
        <w:r w:rsidR="00DD73E8" w:rsidRPr="00D43653">
          <w:rPr>
            <w:rStyle w:val="Hyperlink"/>
            <w:sz w:val="20"/>
          </w:rPr>
          <w:t>Ilga.Jermacane@fm.gov.lv</w:t>
        </w:r>
      </w:hyperlink>
      <w:r w:rsidR="00DD73E8">
        <w:rPr>
          <w:color w:val="000000"/>
          <w:sz w:val="20"/>
        </w:rPr>
        <w:t xml:space="preserve"> </w:t>
      </w:r>
    </w:p>
    <w:sectPr w:rsidR="00DD73E8" w:rsidRPr="00A160AB" w:rsidSect="004C77B1">
      <w:headerReference w:type="default" r:id="rId10"/>
      <w:footerReference w:type="default" r:id="rId11"/>
      <w:footerReference w:type="first" r:id="rId12"/>
      <w:pgSz w:w="11906" w:h="16838" w:code="9"/>
      <w:pgMar w:top="1134" w:right="1134" w:bottom="1134" w:left="1701" w:header="1134" w:footer="6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59" w:rsidRDefault="00934459">
      <w:r>
        <w:separator/>
      </w:r>
    </w:p>
  </w:endnote>
  <w:endnote w:type="continuationSeparator" w:id="0">
    <w:p w:rsidR="00934459" w:rsidRDefault="0093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D7" w:rsidRPr="008D5543" w:rsidRDefault="00343ED7" w:rsidP="00B70081">
    <w:pPr>
      <w:pStyle w:val="H1"/>
      <w:spacing w:after="0"/>
      <w:jc w:val="both"/>
      <w:rPr>
        <w:b w:val="0"/>
        <w:sz w:val="20"/>
      </w:rPr>
    </w:pPr>
    <w:r w:rsidRPr="008D5543">
      <w:rPr>
        <w:b w:val="0"/>
        <w:sz w:val="20"/>
      </w:rPr>
      <w:t>FMZino_</w:t>
    </w:r>
    <w:r>
      <w:rPr>
        <w:b w:val="0"/>
        <w:sz w:val="20"/>
      </w:rPr>
      <w:t>1005</w:t>
    </w:r>
    <w:r w:rsidRPr="008D5543">
      <w:rPr>
        <w:b w:val="0"/>
        <w:sz w:val="20"/>
      </w:rPr>
      <w:t>11_Ietvars; Par informatīvo ziņojumu „</w:t>
    </w:r>
    <w:r w:rsidRPr="008D5543">
      <w:rPr>
        <w:b w:val="0"/>
        <w:bCs/>
        <w:sz w:val="20"/>
      </w:rPr>
      <w:t xml:space="preserve">Par </w:t>
    </w:r>
    <w:r w:rsidRPr="008D5543">
      <w:rPr>
        <w:b w:val="0"/>
        <w:iCs/>
        <w:sz w:val="20"/>
      </w:rPr>
      <w:t>vidēja termiņa makroekonomiskās attīstības un fiskālās politikas ietvara 2012. – 2014. gadam iesniegšanu Ministru kabinetā</w:t>
    </w:r>
    <w:r w:rsidRPr="008D5543">
      <w:rPr>
        <w:b w:val="0"/>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D7" w:rsidRPr="008D5543" w:rsidRDefault="00343ED7" w:rsidP="00AC5EF1">
    <w:pPr>
      <w:pStyle w:val="H1"/>
      <w:spacing w:after="0"/>
      <w:jc w:val="both"/>
      <w:rPr>
        <w:b w:val="0"/>
        <w:sz w:val="20"/>
      </w:rPr>
    </w:pPr>
    <w:r w:rsidRPr="008D5543">
      <w:rPr>
        <w:b w:val="0"/>
        <w:sz w:val="20"/>
      </w:rPr>
      <w:t>FMZino_</w:t>
    </w:r>
    <w:r>
      <w:rPr>
        <w:b w:val="0"/>
        <w:sz w:val="20"/>
      </w:rPr>
      <w:t>1005</w:t>
    </w:r>
    <w:r w:rsidRPr="008D5543">
      <w:rPr>
        <w:b w:val="0"/>
        <w:sz w:val="20"/>
      </w:rPr>
      <w:t>11_Ietvars; Par informatīvo ziņojumu „</w:t>
    </w:r>
    <w:r w:rsidRPr="008D5543">
      <w:rPr>
        <w:b w:val="0"/>
        <w:bCs/>
        <w:sz w:val="20"/>
      </w:rPr>
      <w:t xml:space="preserve">Par </w:t>
    </w:r>
    <w:r w:rsidRPr="008D5543">
      <w:rPr>
        <w:b w:val="0"/>
        <w:iCs/>
        <w:sz w:val="20"/>
      </w:rPr>
      <w:t>vidēja termiņa makroekonomiskās attīstības un fiskālās politikas ietvara 2012. – 2014. gadam iesniegšanu Ministru kabinetā</w:t>
    </w:r>
    <w:r w:rsidRPr="008D5543">
      <w:rPr>
        <w:b w:val="0"/>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59" w:rsidRDefault="00934459">
      <w:pPr>
        <w:pStyle w:val="Header"/>
      </w:pPr>
    </w:p>
    <w:p w:rsidR="00934459" w:rsidRDefault="00934459"/>
    <w:p w:rsidR="00934459" w:rsidRDefault="00934459">
      <w:r>
        <w:separator/>
      </w:r>
    </w:p>
  </w:footnote>
  <w:footnote w:type="continuationSeparator" w:id="0">
    <w:p w:rsidR="00934459" w:rsidRDefault="00934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691165"/>
      <w:docPartObj>
        <w:docPartGallery w:val="Page Numbers (Top of Page)"/>
        <w:docPartUnique/>
      </w:docPartObj>
    </w:sdtPr>
    <w:sdtEndPr>
      <w:rPr>
        <w:noProof/>
      </w:rPr>
    </w:sdtEndPr>
    <w:sdtContent>
      <w:p w:rsidR="00343ED7" w:rsidRDefault="00343ED7">
        <w:pPr>
          <w:pStyle w:val="Header"/>
          <w:jc w:val="center"/>
        </w:pPr>
        <w:r>
          <w:fldChar w:fldCharType="begin"/>
        </w:r>
        <w:r>
          <w:instrText xml:space="preserve"> PAGE   \* MERGEFORMAT </w:instrText>
        </w:r>
        <w:r>
          <w:fldChar w:fldCharType="separate"/>
        </w:r>
        <w:r w:rsidR="009C4484">
          <w:rPr>
            <w:noProof/>
          </w:rPr>
          <w:t>2</w:t>
        </w:r>
        <w:r>
          <w:rPr>
            <w:noProof/>
          </w:rPr>
          <w:fldChar w:fldCharType="end"/>
        </w:r>
      </w:p>
    </w:sdtContent>
  </w:sdt>
  <w:p w:rsidR="00343ED7" w:rsidRDefault="00343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210"/>
    <w:multiLevelType w:val="hybridMultilevel"/>
    <w:tmpl w:val="7688DD74"/>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CE465D"/>
    <w:multiLevelType w:val="hybridMultilevel"/>
    <w:tmpl w:val="419C582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8652A73"/>
    <w:multiLevelType w:val="hybridMultilevel"/>
    <w:tmpl w:val="576E784E"/>
    <w:lvl w:ilvl="0" w:tplc="669CCF44">
      <w:start w:val="1"/>
      <w:numFmt w:val="upperRoman"/>
      <w:pStyle w:val="Lielaisvirsraksts"/>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B6F5053"/>
    <w:multiLevelType w:val="hybridMultilevel"/>
    <w:tmpl w:val="0FBE59BC"/>
    <w:lvl w:ilvl="0" w:tplc="AF004478">
      <w:start w:val="20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C554A8"/>
    <w:multiLevelType w:val="multilevel"/>
    <w:tmpl w:val="0426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16266088"/>
    <w:multiLevelType w:val="hybridMultilevel"/>
    <w:tmpl w:val="A6A211B4"/>
    <w:lvl w:ilvl="0" w:tplc="002E59CE">
      <w:start w:val="1"/>
      <w:numFmt w:val="lowerLetter"/>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95587F"/>
    <w:multiLevelType w:val="hybridMultilevel"/>
    <w:tmpl w:val="E52EAEEA"/>
    <w:lvl w:ilvl="0" w:tplc="C108F008">
      <w:start w:val="1"/>
      <w:numFmt w:val="decimal"/>
      <w:lvlText w:val="%1)"/>
      <w:lvlJc w:val="left"/>
      <w:pPr>
        <w:ind w:left="502" w:hanging="360"/>
      </w:pPr>
      <w:rPr>
        <w:rFonts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2A734AC7"/>
    <w:multiLevelType w:val="hybridMultilevel"/>
    <w:tmpl w:val="DEE6D3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0057596"/>
    <w:multiLevelType w:val="hybridMultilevel"/>
    <w:tmpl w:val="99086D3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32A638BC"/>
    <w:multiLevelType w:val="hybridMultilevel"/>
    <w:tmpl w:val="924E25B2"/>
    <w:lvl w:ilvl="0" w:tplc="D7E62478">
      <w:start w:val="1"/>
      <w:numFmt w:val="bullet"/>
      <w:lvlText w:val="-"/>
      <w:lvlJc w:val="left"/>
      <w:pPr>
        <w:ind w:left="720" w:hanging="360"/>
      </w:pPr>
      <w:rPr>
        <w:rFonts w:ascii="Times New Roman" w:hAnsi="Times New Roman" w:cs="Times New Roman" w:hint="default"/>
        <w:spacing w:val="0"/>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9314EA7"/>
    <w:multiLevelType w:val="hybridMultilevel"/>
    <w:tmpl w:val="76F8A2A8"/>
    <w:lvl w:ilvl="0" w:tplc="1A64D3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3AF5194B"/>
    <w:multiLevelType w:val="hybridMultilevel"/>
    <w:tmpl w:val="E9C02B7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CF36730"/>
    <w:multiLevelType w:val="multilevel"/>
    <w:tmpl w:val="C2FCB144"/>
    <w:lvl w:ilvl="0">
      <w:start w:val="1"/>
      <w:numFmt w:val="decimal"/>
      <w:lvlText w:val="%1)"/>
      <w:lvlJc w:val="left"/>
      <w:pPr>
        <w:ind w:left="1080" w:hanging="360"/>
      </w:pPr>
    </w:lvl>
    <w:lvl w:ilvl="1">
      <w:start w:val="1"/>
      <w:numFmt w:val="bullet"/>
      <w:lvlText w:val="-"/>
      <w:lvlJc w:val="left"/>
      <w:pPr>
        <w:ind w:left="1440" w:hanging="360"/>
      </w:pPr>
      <w:rPr>
        <w:rFonts w:ascii="Times New Roman" w:hAnsi="Times New Roman" w:cs="Times New Roman" w:hint="default"/>
        <w:spacing w:val="0"/>
        <w:sz w:val="28"/>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409A0A83"/>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2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4E249E5"/>
    <w:multiLevelType w:val="multilevel"/>
    <w:tmpl w:val="4E36E24E"/>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nsid w:val="45C00E8B"/>
    <w:multiLevelType w:val="hybridMultilevel"/>
    <w:tmpl w:val="773A6546"/>
    <w:lvl w:ilvl="0" w:tplc="CFE89158">
      <w:start w:val="20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A7C3FC9"/>
    <w:multiLevelType w:val="hybridMultilevel"/>
    <w:tmpl w:val="A0CE90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10322DD"/>
    <w:multiLevelType w:val="hybridMultilevel"/>
    <w:tmpl w:val="4D2058D0"/>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8">
    <w:nsid w:val="56FA0E36"/>
    <w:multiLevelType w:val="hybridMultilevel"/>
    <w:tmpl w:val="120CCEA0"/>
    <w:lvl w:ilvl="0" w:tplc="E40C62C8">
      <w:start w:val="1"/>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nsid w:val="5A535996"/>
    <w:multiLevelType w:val="hybridMultilevel"/>
    <w:tmpl w:val="227A2832"/>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15E20B7"/>
    <w:multiLevelType w:val="multilevel"/>
    <w:tmpl w:val="1260478A"/>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nsid w:val="68F850CE"/>
    <w:multiLevelType w:val="multilevel"/>
    <w:tmpl w:val="0426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574"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nsid w:val="6BA84E6C"/>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0640BF8"/>
    <w:multiLevelType w:val="hybridMultilevel"/>
    <w:tmpl w:val="B5BC93BA"/>
    <w:lvl w:ilvl="0" w:tplc="04260011">
      <w:start w:val="1"/>
      <w:numFmt w:val="decimal"/>
      <w:lvlText w:val="%1)"/>
      <w:lvlJc w:val="left"/>
      <w:pPr>
        <w:ind w:left="720" w:hanging="360"/>
      </w:pPr>
      <w:rPr>
        <w:rFonts w:hint="default"/>
        <w:b w:val="0"/>
      </w:rPr>
    </w:lvl>
    <w:lvl w:ilvl="1" w:tplc="D7E62478">
      <w:start w:val="1"/>
      <w:numFmt w:val="bullet"/>
      <w:lvlText w:val="-"/>
      <w:lvlJc w:val="left"/>
      <w:pPr>
        <w:ind w:left="1440" w:hanging="360"/>
      </w:pPr>
      <w:rPr>
        <w:rFonts w:ascii="Times New Roman" w:hAnsi="Times New Roman" w:cs="Times New Roman" w:hint="default"/>
        <w:spacing w:val="0"/>
        <w:sz w:val="2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1FB7B52"/>
    <w:multiLevelType w:val="hybridMultilevel"/>
    <w:tmpl w:val="84DA22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45A64B8"/>
    <w:multiLevelType w:val="hybridMultilevel"/>
    <w:tmpl w:val="71068E40"/>
    <w:lvl w:ilvl="0" w:tplc="D61C66D2">
      <w:start w:val="1"/>
      <w:numFmt w:val="decimal"/>
      <w:pStyle w:val="Pielikumiem"/>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75D7CF7"/>
    <w:multiLevelType w:val="hybridMultilevel"/>
    <w:tmpl w:val="5C6CF88A"/>
    <w:lvl w:ilvl="0" w:tplc="04260011">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9CA011B"/>
    <w:multiLevelType w:val="hybridMultilevel"/>
    <w:tmpl w:val="3FAC0DB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nsid w:val="7A9B66E1"/>
    <w:multiLevelType w:val="hybridMultilevel"/>
    <w:tmpl w:val="250C8D92"/>
    <w:lvl w:ilvl="0" w:tplc="9B42A3C8">
      <w:start w:val="1"/>
      <w:numFmt w:val="lowerLetter"/>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B456433"/>
    <w:multiLevelType w:val="multilevel"/>
    <w:tmpl w:val="D17ABF9E"/>
    <w:styleLink w:val="StilsStrukturtsnumurts"/>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C1B5844"/>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CE952D4"/>
    <w:multiLevelType w:val="hybridMultilevel"/>
    <w:tmpl w:val="9538ED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EED2712"/>
    <w:multiLevelType w:val="hybridMultilevel"/>
    <w:tmpl w:val="34C6050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
  </w:num>
  <w:num w:numId="4">
    <w:abstractNumId w:val="25"/>
  </w:num>
  <w:num w:numId="5">
    <w:abstractNumId w:val="30"/>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8"/>
  </w:num>
  <w:num w:numId="17">
    <w:abstractNumId w:val="0"/>
  </w:num>
  <w:num w:numId="18">
    <w:abstractNumId w:val="6"/>
  </w:num>
  <w:num w:numId="19">
    <w:abstractNumId w:val="7"/>
  </w:num>
  <w:num w:numId="20">
    <w:abstractNumId w:val="31"/>
  </w:num>
  <w:num w:numId="21">
    <w:abstractNumId w:val="18"/>
  </w:num>
  <w:num w:numId="22">
    <w:abstractNumId w:val="29"/>
  </w:num>
  <w:num w:numId="23">
    <w:abstractNumId w:val="19"/>
  </w:num>
  <w:num w:numId="24">
    <w:abstractNumId w:val="1"/>
  </w:num>
  <w:num w:numId="25">
    <w:abstractNumId w:val="21"/>
  </w:num>
  <w:num w:numId="26">
    <w:abstractNumId w:val="21"/>
  </w:num>
  <w:num w:numId="27">
    <w:abstractNumId w:val="8"/>
  </w:num>
  <w:num w:numId="28">
    <w:abstractNumId w:val="4"/>
  </w:num>
  <w:num w:numId="29">
    <w:abstractNumId w:val="24"/>
  </w:num>
  <w:num w:numId="30">
    <w:abstractNumId w:val="16"/>
  </w:num>
  <w:num w:numId="31">
    <w:abstractNumId w:val="15"/>
  </w:num>
  <w:num w:numId="32">
    <w:abstractNumId w:val="3"/>
  </w:num>
  <w:num w:numId="33">
    <w:abstractNumId w:val="9"/>
  </w:num>
  <w:num w:numId="34">
    <w:abstractNumId w:val="27"/>
  </w:num>
  <w:num w:numId="35">
    <w:abstractNumId w:val="12"/>
  </w:num>
  <w:num w:numId="36">
    <w:abstractNumId w:val="23"/>
  </w:num>
  <w:num w:numId="37">
    <w:abstractNumId w:val="14"/>
  </w:num>
  <w:num w:numId="38">
    <w:abstractNumId w:val="5"/>
  </w:num>
  <w:num w:numId="39">
    <w:abstractNumId w:val="10"/>
  </w:num>
  <w:num w:numId="40">
    <w:abstractNumId w:val="20"/>
  </w:num>
  <w:num w:numId="41">
    <w:abstractNumId w:val="32"/>
  </w:num>
  <w:num w:numId="42">
    <w:abstractNumId w:val="33"/>
  </w:num>
  <w:num w:numId="43">
    <w:abstractNumId w:val="1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2" w:allStyles="0" w:customStyles="1"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DD"/>
    <w:rsid w:val="00011E62"/>
    <w:rsid w:val="00013982"/>
    <w:rsid w:val="00017380"/>
    <w:rsid w:val="00020091"/>
    <w:rsid w:val="00036DEF"/>
    <w:rsid w:val="000422BB"/>
    <w:rsid w:val="000464FD"/>
    <w:rsid w:val="0005750F"/>
    <w:rsid w:val="000823BC"/>
    <w:rsid w:val="000874C8"/>
    <w:rsid w:val="000901EB"/>
    <w:rsid w:val="00094928"/>
    <w:rsid w:val="000B0586"/>
    <w:rsid w:val="000B4DFD"/>
    <w:rsid w:val="000C3A5B"/>
    <w:rsid w:val="000C72A6"/>
    <w:rsid w:val="000D4C08"/>
    <w:rsid w:val="000E3185"/>
    <w:rsid w:val="000F6A5E"/>
    <w:rsid w:val="00101A6C"/>
    <w:rsid w:val="00113148"/>
    <w:rsid w:val="0012129E"/>
    <w:rsid w:val="00134580"/>
    <w:rsid w:val="00136821"/>
    <w:rsid w:val="00142AA9"/>
    <w:rsid w:val="001456D6"/>
    <w:rsid w:val="00151E89"/>
    <w:rsid w:val="00154E3E"/>
    <w:rsid w:val="00160156"/>
    <w:rsid w:val="001623EC"/>
    <w:rsid w:val="001627B8"/>
    <w:rsid w:val="00190447"/>
    <w:rsid w:val="001C3F03"/>
    <w:rsid w:val="001D1B1E"/>
    <w:rsid w:val="001D6AF0"/>
    <w:rsid w:val="001E1195"/>
    <w:rsid w:val="001F48C1"/>
    <w:rsid w:val="00201ABA"/>
    <w:rsid w:val="00211C0E"/>
    <w:rsid w:val="002169BC"/>
    <w:rsid w:val="00225D1A"/>
    <w:rsid w:val="002260D4"/>
    <w:rsid w:val="002339B2"/>
    <w:rsid w:val="00244980"/>
    <w:rsid w:val="00256CB8"/>
    <w:rsid w:val="002735D5"/>
    <w:rsid w:val="00282293"/>
    <w:rsid w:val="0028526B"/>
    <w:rsid w:val="002872E9"/>
    <w:rsid w:val="00291C1D"/>
    <w:rsid w:val="00292146"/>
    <w:rsid w:val="00294CE4"/>
    <w:rsid w:val="002A520E"/>
    <w:rsid w:val="002A52A2"/>
    <w:rsid w:val="002A65E1"/>
    <w:rsid w:val="002B03D2"/>
    <w:rsid w:val="002B57E8"/>
    <w:rsid w:val="002F4C30"/>
    <w:rsid w:val="002F7E87"/>
    <w:rsid w:val="00322E15"/>
    <w:rsid w:val="00327194"/>
    <w:rsid w:val="0033468A"/>
    <w:rsid w:val="00337B58"/>
    <w:rsid w:val="00343ED7"/>
    <w:rsid w:val="00344F6E"/>
    <w:rsid w:val="00356C74"/>
    <w:rsid w:val="00367C25"/>
    <w:rsid w:val="003740D6"/>
    <w:rsid w:val="003776D6"/>
    <w:rsid w:val="00377D84"/>
    <w:rsid w:val="003A375D"/>
    <w:rsid w:val="003B312B"/>
    <w:rsid w:val="003B4209"/>
    <w:rsid w:val="003B46A0"/>
    <w:rsid w:val="003B6A15"/>
    <w:rsid w:val="003D4581"/>
    <w:rsid w:val="003E1E4B"/>
    <w:rsid w:val="003E34B0"/>
    <w:rsid w:val="003E5166"/>
    <w:rsid w:val="003E6624"/>
    <w:rsid w:val="003F7651"/>
    <w:rsid w:val="00404D1D"/>
    <w:rsid w:val="00416F3F"/>
    <w:rsid w:val="00425FD1"/>
    <w:rsid w:val="00426599"/>
    <w:rsid w:val="004272BB"/>
    <w:rsid w:val="00431500"/>
    <w:rsid w:val="00432A7E"/>
    <w:rsid w:val="004344DD"/>
    <w:rsid w:val="00436A7B"/>
    <w:rsid w:val="00445469"/>
    <w:rsid w:val="004534B7"/>
    <w:rsid w:val="00461DB9"/>
    <w:rsid w:val="00471103"/>
    <w:rsid w:val="004812CA"/>
    <w:rsid w:val="00491095"/>
    <w:rsid w:val="00494504"/>
    <w:rsid w:val="004A2E3B"/>
    <w:rsid w:val="004A7E5B"/>
    <w:rsid w:val="004A7E5F"/>
    <w:rsid w:val="004B207C"/>
    <w:rsid w:val="004C77B1"/>
    <w:rsid w:val="004D3C35"/>
    <w:rsid w:val="004E1A5D"/>
    <w:rsid w:val="004F382B"/>
    <w:rsid w:val="004F4AFE"/>
    <w:rsid w:val="00503546"/>
    <w:rsid w:val="00511E6D"/>
    <w:rsid w:val="00511F93"/>
    <w:rsid w:val="0051603F"/>
    <w:rsid w:val="0052775E"/>
    <w:rsid w:val="00531DD2"/>
    <w:rsid w:val="00535D34"/>
    <w:rsid w:val="00541312"/>
    <w:rsid w:val="00543925"/>
    <w:rsid w:val="005473BA"/>
    <w:rsid w:val="005705B3"/>
    <w:rsid w:val="00576F44"/>
    <w:rsid w:val="00584FD4"/>
    <w:rsid w:val="00585928"/>
    <w:rsid w:val="00592831"/>
    <w:rsid w:val="00593366"/>
    <w:rsid w:val="00596132"/>
    <w:rsid w:val="0059645F"/>
    <w:rsid w:val="005A09CD"/>
    <w:rsid w:val="005A2DC3"/>
    <w:rsid w:val="005B4EB0"/>
    <w:rsid w:val="005B701E"/>
    <w:rsid w:val="005C3F22"/>
    <w:rsid w:val="005F4C00"/>
    <w:rsid w:val="00604B2F"/>
    <w:rsid w:val="00606984"/>
    <w:rsid w:val="00612218"/>
    <w:rsid w:val="006124D5"/>
    <w:rsid w:val="00626B66"/>
    <w:rsid w:val="0063644A"/>
    <w:rsid w:val="006532D0"/>
    <w:rsid w:val="00662D75"/>
    <w:rsid w:val="006650CB"/>
    <w:rsid w:val="00667304"/>
    <w:rsid w:val="0069156A"/>
    <w:rsid w:val="006920A2"/>
    <w:rsid w:val="00693201"/>
    <w:rsid w:val="006940AF"/>
    <w:rsid w:val="00694E0C"/>
    <w:rsid w:val="00696EBB"/>
    <w:rsid w:val="006A1E02"/>
    <w:rsid w:val="006A628E"/>
    <w:rsid w:val="006B7319"/>
    <w:rsid w:val="006C23B2"/>
    <w:rsid w:val="006C632D"/>
    <w:rsid w:val="006D2BEF"/>
    <w:rsid w:val="006D337D"/>
    <w:rsid w:val="006D4088"/>
    <w:rsid w:val="006E0AAB"/>
    <w:rsid w:val="006F6017"/>
    <w:rsid w:val="006F7ACF"/>
    <w:rsid w:val="00706369"/>
    <w:rsid w:val="00707721"/>
    <w:rsid w:val="007125BD"/>
    <w:rsid w:val="00716E72"/>
    <w:rsid w:val="0074004C"/>
    <w:rsid w:val="00750403"/>
    <w:rsid w:val="00752953"/>
    <w:rsid w:val="00764F91"/>
    <w:rsid w:val="00766130"/>
    <w:rsid w:val="007716BA"/>
    <w:rsid w:val="00776425"/>
    <w:rsid w:val="007823DD"/>
    <w:rsid w:val="0078668C"/>
    <w:rsid w:val="00791B05"/>
    <w:rsid w:val="007A3723"/>
    <w:rsid w:val="007C1739"/>
    <w:rsid w:val="007D55C3"/>
    <w:rsid w:val="007E5515"/>
    <w:rsid w:val="007E5F08"/>
    <w:rsid w:val="007F4078"/>
    <w:rsid w:val="007F6E38"/>
    <w:rsid w:val="0080167D"/>
    <w:rsid w:val="00802367"/>
    <w:rsid w:val="0080315F"/>
    <w:rsid w:val="008055D3"/>
    <w:rsid w:val="00811A6D"/>
    <w:rsid w:val="00815A91"/>
    <w:rsid w:val="0082660C"/>
    <w:rsid w:val="00831CCA"/>
    <w:rsid w:val="00864310"/>
    <w:rsid w:val="00875BEE"/>
    <w:rsid w:val="00877FBE"/>
    <w:rsid w:val="00883D53"/>
    <w:rsid w:val="00891D63"/>
    <w:rsid w:val="00893DF7"/>
    <w:rsid w:val="00896793"/>
    <w:rsid w:val="008A5B25"/>
    <w:rsid w:val="008A5FE6"/>
    <w:rsid w:val="008A6339"/>
    <w:rsid w:val="008A6C8F"/>
    <w:rsid w:val="008B04C4"/>
    <w:rsid w:val="008B7E7A"/>
    <w:rsid w:val="008D5543"/>
    <w:rsid w:val="008E1361"/>
    <w:rsid w:val="009018A0"/>
    <w:rsid w:val="00902F07"/>
    <w:rsid w:val="0091664C"/>
    <w:rsid w:val="00916A9E"/>
    <w:rsid w:val="00916BEA"/>
    <w:rsid w:val="009220AA"/>
    <w:rsid w:val="0092414E"/>
    <w:rsid w:val="00924BAB"/>
    <w:rsid w:val="00934459"/>
    <w:rsid w:val="009457B7"/>
    <w:rsid w:val="00950AD1"/>
    <w:rsid w:val="00973BCF"/>
    <w:rsid w:val="00980A8C"/>
    <w:rsid w:val="00980B48"/>
    <w:rsid w:val="00981598"/>
    <w:rsid w:val="00986744"/>
    <w:rsid w:val="009B1340"/>
    <w:rsid w:val="009C4484"/>
    <w:rsid w:val="009C7C26"/>
    <w:rsid w:val="009D167C"/>
    <w:rsid w:val="009E2387"/>
    <w:rsid w:val="009E4079"/>
    <w:rsid w:val="009E4764"/>
    <w:rsid w:val="009F06A8"/>
    <w:rsid w:val="00A068E9"/>
    <w:rsid w:val="00A071F7"/>
    <w:rsid w:val="00A078B1"/>
    <w:rsid w:val="00A13688"/>
    <w:rsid w:val="00A160AB"/>
    <w:rsid w:val="00A257ED"/>
    <w:rsid w:val="00A3329C"/>
    <w:rsid w:val="00A535BB"/>
    <w:rsid w:val="00A536F7"/>
    <w:rsid w:val="00A54099"/>
    <w:rsid w:val="00A63FB1"/>
    <w:rsid w:val="00A800E6"/>
    <w:rsid w:val="00A8423B"/>
    <w:rsid w:val="00A92AD3"/>
    <w:rsid w:val="00AA65E7"/>
    <w:rsid w:val="00AA79BE"/>
    <w:rsid w:val="00AB3F13"/>
    <w:rsid w:val="00AC5EF1"/>
    <w:rsid w:val="00AC66E0"/>
    <w:rsid w:val="00AD145A"/>
    <w:rsid w:val="00AE1241"/>
    <w:rsid w:val="00AF1B7C"/>
    <w:rsid w:val="00AF5579"/>
    <w:rsid w:val="00AF6B1D"/>
    <w:rsid w:val="00B0405F"/>
    <w:rsid w:val="00B3158F"/>
    <w:rsid w:val="00B32F51"/>
    <w:rsid w:val="00B37CD8"/>
    <w:rsid w:val="00B37E1E"/>
    <w:rsid w:val="00B45A65"/>
    <w:rsid w:val="00B61378"/>
    <w:rsid w:val="00B667B0"/>
    <w:rsid w:val="00B674AC"/>
    <w:rsid w:val="00B70081"/>
    <w:rsid w:val="00B84599"/>
    <w:rsid w:val="00B91F96"/>
    <w:rsid w:val="00B9689F"/>
    <w:rsid w:val="00BB3078"/>
    <w:rsid w:val="00BC7D05"/>
    <w:rsid w:val="00BD23B0"/>
    <w:rsid w:val="00BD2FB7"/>
    <w:rsid w:val="00BD5060"/>
    <w:rsid w:val="00BE28CD"/>
    <w:rsid w:val="00C0088B"/>
    <w:rsid w:val="00C15A59"/>
    <w:rsid w:val="00C27A27"/>
    <w:rsid w:val="00C41634"/>
    <w:rsid w:val="00C64990"/>
    <w:rsid w:val="00C67270"/>
    <w:rsid w:val="00C70C78"/>
    <w:rsid w:val="00C713FA"/>
    <w:rsid w:val="00C767C0"/>
    <w:rsid w:val="00C852B0"/>
    <w:rsid w:val="00C948A1"/>
    <w:rsid w:val="00C957F8"/>
    <w:rsid w:val="00CC1D3A"/>
    <w:rsid w:val="00CD5347"/>
    <w:rsid w:val="00CE50DF"/>
    <w:rsid w:val="00CE52D0"/>
    <w:rsid w:val="00CE57DD"/>
    <w:rsid w:val="00D039E4"/>
    <w:rsid w:val="00D04B58"/>
    <w:rsid w:val="00D12EA6"/>
    <w:rsid w:val="00D14FA0"/>
    <w:rsid w:val="00D21589"/>
    <w:rsid w:val="00D26126"/>
    <w:rsid w:val="00D33477"/>
    <w:rsid w:val="00D70A3A"/>
    <w:rsid w:val="00D712CC"/>
    <w:rsid w:val="00D86103"/>
    <w:rsid w:val="00D872BB"/>
    <w:rsid w:val="00DA37E7"/>
    <w:rsid w:val="00DA40C3"/>
    <w:rsid w:val="00DA4FBA"/>
    <w:rsid w:val="00DB3A6C"/>
    <w:rsid w:val="00DC309B"/>
    <w:rsid w:val="00DC35E7"/>
    <w:rsid w:val="00DD2881"/>
    <w:rsid w:val="00DD585E"/>
    <w:rsid w:val="00DD5F37"/>
    <w:rsid w:val="00DD73E8"/>
    <w:rsid w:val="00DF1866"/>
    <w:rsid w:val="00DF40EE"/>
    <w:rsid w:val="00E03FF1"/>
    <w:rsid w:val="00E148C4"/>
    <w:rsid w:val="00E23499"/>
    <w:rsid w:val="00E3050D"/>
    <w:rsid w:val="00E3077A"/>
    <w:rsid w:val="00E32456"/>
    <w:rsid w:val="00E3288B"/>
    <w:rsid w:val="00E376F4"/>
    <w:rsid w:val="00E420DA"/>
    <w:rsid w:val="00E467D2"/>
    <w:rsid w:val="00E62875"/>
    <w:rsid w:val="00E6518B"/>
    <w:rsid w:val="00E66A7F"/>
    <w:rsid w:val="00E703F6"/>
    <w:rsid w:val="00E808E3"/>
    <w:rsid w:val="00E933DA"/>
    <w:rsid w:val="00E946CA"/>
    <w:rsid w:val="00E95B95"/>
    <w:rsid w:val="00E97E58"/>
    <w:rsid w:val="00EA563C"/>
    <w:rsid w:val="00EB1026"/>
    <w:rsid w:val="00EB10C6"/>
    <w:rsid w:val="00EB504B"/>
    <w:rsid w:val="00EB633C"/>
    <w:rsid w:val="00EB73A9"/>
    <w:rsid w:val="00EC0AD7"/>
    <w:rsid w:val="00EC5EE9"/>
    <w:rsid w:val="00EE1363"/>
    <w:rsid w:val="00EE52B4"/>
    <w:rsid w:val="00EE5519"/>
    <w:rsid w:val="00EF44FB"/>
    <w:rsid w:val="00F01BD8"/>
    <w:rsid w:val="00F024BA"/>
    <w:rsid w:val="00F02790"/>
    <w:rsid w:val="00F309F2"/>
    <w:rsid w:val="00F31EC1"/>
    <w:rsid w:val="00F34404"/>
    <w:rsid w:val="00F37BEB"/>
    <w:rsid w:val="00F51D17"/>
    <w:rsid w:val="00F642F9"/>
    <w:rsid w:val="00F67C47"/>
    <w:rsid w:val="00F739D8"/>
    <w:rsid w:val="00F81171"/>
    <w:rsid w:val="00F9222A"/>
    <w:rsid w:val="00FB5E62"/>
    <w:rsid w:val="00FE02EE"/>
    <w:rsid w:val="00FE4814"/>
    <w:rsid w:val="00FF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F6E"/>
    <w:pPr>
      <w:jc w:val="both"/>
    </w:pPr>
    <w:rPr>
      <w:sz w:val="24"/>
      <w:lang w:eastAsia="en-US"/>
    </w:rPr>
  </w:style>
  <w:style w:type="paragraph" w:styleId="Heading1">
    <w:name w:val="heading 1"/>
    <w:basedOn w:val="Normal"/>
    <w:next w:val="Normal"/>
    <w:qFormat/>
    <w:rsid w:val="00DB3A6C"/>
    <w:pPr>
      <w:keepNext/>
      <w:numPr>
        <w:numId w:val="2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60156"/>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60156"/>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60156"/>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60156"/>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60156"/>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60156"/>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60156"/>
    <w:pPr>
      <w:keepNext/>
      <w:keepLines/>
      <w:numPr>
        <w:ilvl w:val="7"/>
        <w:numId w:val="2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60156"/>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13FA"/>
    <w:pPr>
      <w:tabs>
        <w:tab w:val="center" w:pos="4153"/>
        <w:tab w:val="right" w:pos="8306"/>
      </w:tabs>
    </w:pPr>
    <w:rPr>
      <w:sz w:val="20"/>
    </w:rPr>
  </w:style>
  <w:style w:type="paragraph" w:customStyle="1" w:styleId="H4">
    <w:name w:val="H4"/>
    <w:rsid w:val="00C713FA"/>
    <w:pPr>
      <w:spacing w:after="120"/>
      <w:jc w:val="center"/>
      <w:outlineLvl w:val="3"/>
    </w:pPr>
    <w:rPr>
      <w:b/>
      <w:sz w:val="28"/>
      <w:lang w:eastAsia="zh-CN"/>
    </w:rPr>
  </w:style>
  <w:style w:type="paragraph" w:customStyle="1" w:styleId="H3">
    <w:name w:val="H3"/>
    <w:rsid w:val="00C713FA"/>
    <w:pPr>
      <w:spacing w:after="120"/>
      <w:jc w:val="center"/>
      <w:outlineLvl w:val="2"/>
    </w:pPr>
    <w:rPr>
      <w:b/>
      <w:sz w:val="32"/>
      <w:lang w:eastAsia="zh-CN"/>
    </w:rPr>
  </w:style>
  <w:style w:type="paragraph" w:customStyle="1" w:styleId="H2">
    <w:name w:val="H2"/>
    <w:rsid w:val="00C713FA"/>
    <w:pPr>
      <w:spacing w:after="120"/>
      <w:jc w:val="center"/>
      <w:outlineLvl w:val="1"/>
    </w:pPr>
    <w:rPr>
      <w:b/>
      <w:sz w:val="36"/>
      <w:lang w:eastAsia="zh-CN"/>
    </w:rPr>
  </w:style>
  <w:style w:type="paragraph" w:customStyle="1" w:styleId="H1">
    <w:name w:val="H1"/>
    <w:rsid w:val="00C713FA"/>
    <w:pPr>
      <w:spacing w:after="120"/>
      <w:jc w:val="center"/>
      <w:outlineLvl w:val="0"/>
    </w:pPr>
    <w:rPr>
      <w:b/>
      <w:sz w:val="44"/>
      <w:lang w:eastAsia="zh-CN"/>
    </w:rPr>
  </w:style>
  <w:style w:type="paragraph" w:customStyle="1" w:styleId="T">
    <w:name w:val="T"/>
    <w:basedOn w:val="Normal"/>
    <w:rsid w:val="00C713FA"/>
    <w:pPr>
      <w:jc w:val="center"/>
    </w:pPr>
    <w:rPr>
      <w:b/>
      <w:i/>
    </w:rPr>
  </w:style>
  <w:style w:type="paragraph" w:customStyle="1" w:styleId="Z">
    <w:name w:val="Z"/>
    <w:basedOn w:val="T"/>
    <w:rsid w:val="00C713FA"/>
  </w:style>
  <w:style w:type="character" w:styleId="PageNumber">
    <w:name w:val="page number"/>
    <w:basedOn w:val="DefaultParagraphFont"/>
    <w:rsid w:val="00C713FA"/>
  </w:style>
  <w:style w:type="paragraph" w:styleId="Header">
    <w:name w:val="header"/>
    <w:basedOn w:val="Normal"/>
    <w:link w:val="HeaderChar"/>
    <w:uiPriority w:val="99"/>
    <w:rsid w:val="00C713FA"/>
    <w:pPr>
      <w:tabs>
        <w:tab w:val="center" w:pos="4153"/>
        <w:tab w:val="right" w:pos="8306"/>
      </w:tabs>
    </w:pPr>
  </w:style>
  <w:style w:type="paragraph" w:customStyle="1" w:styleId="StilsPirmrindia0cm">
    <w:name w:val="Stils Pirmā rindiņa:  0 cm"/>
    <w:basedOn w:val="Normal"/>
    <w:rsid w:val="00DB3A6C"/>
  </w:style>
  <w:style w:type="numbering" w:customStyle="1" w:styleId="StilsStrukturtsnumurts">
    <w:name w:val="Stils Strukturēts numurēts"/>
    <w:basedOn w:val="NoList"/>
    <w:rsid w:val="00142AA9"/>
    <w:pPr>
      <w:numPr>
        <w:numId w:val="5"/>
      </w:numPr>
    </w:pPr>
  </w:style>
  <w:style w:type="paragraph" w:styleId="BalloonText">
    <w:name w:val="Balloon Text"/>
    <w:basedOn w:val="Normal"/>
    <w:semiHidden/>
    <w:rsid w:val="001456D6"/>
    <w:rPr>
      <w:rFonts w:ascii="Tahoma" w:hAnsi="Tahoma" w:cs="Tahoma"/>
      <w:sz w:val="16"/>
      <w:szCs w:val="16"/>
    </w:rPr>
  </w:style>
  <w:style w:type="paragraph" w:customStyle="1" w:styleId="Lielaisvirsraksts">
    <w:name w:val="Lielais virsraksts"/>
    <w:basedOn w:val="Heading1"/>
    <w:next w:val="Normal"/>
    <w:rsid w:val="00DB3A6C"/>
    <w:pPr>
      <w:numPr>
        <w:numId w:val="3"/>
      </w:numPr>
      <w:jc w:val="center"/>
    </w:pPr>
    <w:rPr>
      <w:rFonts w:ascii="Times New Roman" w:hAnsi="Times New Roman"/>
    </w:rPr>
  </w:style>
  <w:style w:type="paragraph" w:customStyle="1" w:styleId="Pielikumiem">
    <w:name w:val="Pielikumiem"/>
    <w:basedOn w:val="Heading1"/>
    <w:next w:val="BodyText"/>
    <w:rsid w:val="00DB3A6C"/>
    <w:pPr>
      <w:numPr>
        <w:numId w:val="4"/>
      </w:numPr>
      <w:jc w:val="right"/>
    </w:pPr>
    <w:rPr>
      <w:rFonts w:ascii="Times New Roman" w:hAnsi="Times New Roman"/>
      <w:sz w:val="28"/>
    </w:rPr>
  </w:style>
  <w:style w:type="paragraph" w:styleId="BodyText">
    <w:name w:val="Body Text"/>
    <w:basedOn w:val="Normal"/>
    <w:rsid w:val="00DB3A6C"/>
  </w:style>
  <w:style w:type="paragraph" w:customStyle="1" w:styleId="11">
    <w:name w:val="1.1"/>
    <w:basedOn w:val="Normal"/>
    <w:rsid w:val="0069156A"/>
  </w:style>
  <w:style w:type="paragraph" w:customStyle="1" w:styleId="1">
    <w:name w:val="1"/>
    <w:basedOn w:val="Normal"/>
    <w:rsid w:val="0069156A"/>
  </w:style>
  <w:style w:type="paragraph" w:customStyle="1" w:styleId="111">
    <w:name w:val="1.1.1"/>
    <w:basedOn w:val="Normal"/>
    <w:rsid w:val="0069156A"/>
  </w:style>
  <w:style w:type="paragraph" w:customStyle="1" w:styleId="1111">
    <w:name w:val="1.1.1.1"/>
    <w:basedOn w:val="Normal"/>
    <w:rsid w:val="0069156A"/>
    <w:pPr>
      <w:tabs>
        <w:tab w:val="left" w:pos="2835"/>
      </w:tabs>
    </w:pPr>
  </w:style>
  <w:style w:type="paragraph" w:customStyle="1" w:styleId="Stlis11111">
    <w:name w:val="Stlis 1.1.1.1.1"/>
    <w:basedOn w:val="Normal"/>
    <w:rsid w:val="0069156A"/>
  </w:style>
  <w:style w:type="paragraph" w:customStyle="1" w:styleId="Stlis1">
    <w:name w:val="Stlis 1"/>
    <w:basedOn w:val="Normal"/>
    <w:rsid w:val="0069156A"/>
    <w:pPr>
      <w:numPr>
        <w:numId w:val="15"/>
      </w:numPr>
    </w:pPr>
  </w:style>
  <w:style w:type="paragraph" w:customStyle="1" w:styleId="Stils11">
    <w:name w:val="Stils 1.1"/>
    <w:basedOn w:val="Normal"/>
    <w:rsid w:val="0069156A"/>
    <w:pPr>
      <w:numPr>
        <w:ilvl w:val="1"/>
        <w:numId w:val="15"/>
      </w:numPr>
    </w:pPr>
  </w:style>
  <w:style w:type="paragraph" w:customStyle="1" w:styleId="Stils111">
    <w:name w:val="Stils 1.1.1"/>
    <w:basedOn w:val="Normal"/>
    <w:rsid w:val="0069156A"/>
    <w:pPr>
      <w:numPr>
        <w:ilvl w:val="2"/>
        <w:numId w:val="15"/>
      </w:numPr>
    </w:pPr>
  </w:style>
  <w:style w:type="paragraph" w:customStyle="1" w:styleId="Stlis1111">
    <w:name w:val="Stlis 1.1.1.1"/>
    <w:basedOn w:val="Normal"/>
    <w:rsid w:val="0069156A"/>
    <w:pPr>
      <w:numPr>
        <w:ilvl w:val="3"/>
        <w:numId w:val="15"/>
      </w:numPr>
      <w:tabs>
        <w:tab w:val="left" w:pos="2835"/>
      </w:tabs>
    </w:pPr>
  </w:style>
  <w:style w:type="paragraph" w:customStyle="1" w:styleId="Stils11111">
    <w:name w:val="Stils 1.1.1.1.1"/>
    <w:basedOn w:val="Normal"/>
    <w:rsid w:val="0069156A"/>
    <w:pPr>
      <w:numPr>
        <w:ilvl w:val="4"/>
        <w:numId w:val="15"/>
      </w:numPr>
    </w:pPr>
  </w:style>
  <w:style w:type="table" w:styleId="TableGrid">
    <w:name w:val="Table Grid"/>
    <w:basedOn w:val="TableNormal"/>
    <w:rsid w:val="00344F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23DD"/>
    <w:pPr>
      <w:spacing w:after="200" w:line="276" w:lineRule="auto"/>
      <w:ind w:left="720"/>
      <w:contextualSpacing/>
      <w:jc w:val="left"/>
    </w:pPr>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16015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160156"/>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semiHidden/>
    <w:rsid w:val="00160156"/>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160156"/>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semiHidden/>
    <w:rsid w:val="00160156"/>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semiHidden/>
    <w:rsid w:val="00160156"/>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semiHidden/>
    <w:rsid w:val="0016015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160156"/>
    <w:rPr>
      <w:rFonts w:asciiTheme="majorHAnsi" w:eastAsiaTheme="majorEastAsia" w:hAnsiTheme="majorHAnsi" w:cstheme="majorBidi"/>
      <w:i/>
      <w:iCs/>
      <w:color w:val="404040" w:themeColor="text1" w:themeTint="BF"/>
      <w:lang w:eastAsia="en-US"/>
    </w:rPr>
  </w:style>
  <w:style w:type="character" w:styleId="CommentReference">
    <w:name w:val="annotation reference"/>
    <w:basedOn w:val="DefaultParagraphFont"/>
    <w:rsid w:val="00F02790"/>
    <w:rPr>
      <w:sz w:val="16"/>
      <w:szCs w:val="16"/>
    </w:rPr>
  </w:style>
  <w:style w:type="paragraph" w:styleId="CommentText">
    <w:name w:val="annotation text"/>
    <w:basedOn w:val="Normal"/>
    <w:link w:val="CommentTextChar"/>
    <w:rsid w:val="00F02790"/>
    <w:rPr>
      <w:sz w:val="20"/>
    </w:rPr>
  </w:style>
  <w:style w:type="character" w:customStyle="1" w:styleId="CommentTextChar">
    <w:name w:val="Comment Text Char"/>
    <w:basedOn w:val="DefaultParagraphFont"/>
    <w:link w:val="CommentText"/>
    <w:rsid w:val="00F02790"/>
    <w:rPr>
      <w:lang w:eastAsia="en-US"/>
    </w:rPr>
  </w:style>
  <w:style w:type="paragraph" w:styleId="CommentSubject">
    <w:name w:val="annotation subject"/>
    <w:basedOn w:val="CommentText"/>
    <w:next w:val="CommentText"/>
    <w:link w:val="CommentSubjectChar"/>
    <w:rsid w:val="00F02790"/>
    <w:rPr>
      <w:b/>
      <w:bCs/>
    </w:rPr>
  </w:style>
  <w:style w:type="character" w:customStyle="1" w:styleId="CommentSubjectChar">
    <w:name w:val="Comment Subject Char"/>
    <w:basedOn w:val="CommentTextChar"/>
    <w:link w:val="CommentSubject"/>
    <w:rsid w:val="00F02790"/>
    <w:rPr>
      <w:b/>
      <w:bCs/>
      <w:lang w:eastAsia="en-US"/>
    </w:rPr>
  </w:style>
  <w:style w:type="character" w:styleId="Hyperlink">
    <w:name w:val="Hyperlink"/>
    <w:basedOn w:val="DefaultParagraphFont"/>
    <w:uiPriority w:val="99"/>
    <w:unhideWhenUsed/>
    <w:rsid w:val="008A5B25"/>
    <w:rPr>
      <w:color w:val="0000FF" w:themeColor="hyperlink"/>
      <w:u w:val="single"/>
    </w:rPr>
  </w:style>
  <w:style w:type="character" w:customStyle="1" w:styleId="HeaderChar">
    <w:name w:val="Header Char"/>
    <w:basedOn w:val="DefaultParagraphFont"/>
    <w:link w:val="Header"/>
    <w:uiPriority w:val="99"/>
    <w:rsid w:val="008A5B25"/>
    <w:rPr>
      <w:sz w:val="24"/>
      <w:lang w:eastAsia="en-US"/>
    </w:rPr>
  </w:style>
  <w:style w:type="paragraph" w:customStyle="1" w:styleId="tabteksts">
    <w:name w:val="tab_teksts"/>
    <w:basedOn w:val="Normal"/>
    <w:uiPriority w:val="99"/>
    <w:rsid w:val="00596132"/>
    <w:pPr>
      <w:jc w:val="left"/>
    </w:pPr>
    <w:rPr>
      <w:sz w:val="20"/>
    </w:rPr>
  </w:style>
  <w:style w:type="character" w:customStyle="1" w:styleId="spelle">
    <w:name w:val="spelle"/>
    <w:rsid w:val="00DC3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F6E"/>
    <w:pPr>
      <w:jc w:val="both"/>
    </w:pPr>
    <w:rPr>
      <w:sz w:val="24"/>
      <w:lang w:eastAsia="en-US"/>
    </w:rPr>
  </w:style>
  <w:style w:type="paragraph" w:styleId="Heading1">
    <w:name w:val="heading 1"/>
    <w:basedOn w:val="Normal"/>
    <w:next w:val="Normal"/>
    <w:qFormat/>
    <w:rsid w:val="00DB3A6C"/>
    <w:pPr>
      <w:keepNext/>
      <w:numPr>
        <w:numId w:val="2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60156"/>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60156"/>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60156"/>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60156"/>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60156"/>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60156"/>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60156"/>
    <w:pPr>
      <w:keepNext/>
      <w:keepLines/>
      <w:numPr>
        <w:ilvl w:val="7"/>
        <w:numId w:val="2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60156"/>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13FA"/>
    <w:pPr>
      <w:tabs>
        <w:tab w:val="center" w:pos="4153"/>
        <w:tab w:val="right" w:pos="8306"/>
      </w:tabs>
    </w:pPr>
    <w:rPr>
      <w:sz w:val="20"/>
    </w:rPr>
  </w:style>
  <w:style w:type="paragraph" w:customStyle="1" w:styleId="H4">
    <w:name w:val="H4"/>
    <w:rsid w:val="00C713FA"/>
    <w:pPr>
      <w:spacing w:after="120"/>
      <w:jc w:val="center"/>
      <w:outlineLvl w:val="3"/>
    </w:pPr>
    <w:rPr>
      <w:b/>
      <w:sz w:val="28"/>
      <w:lang w:eastAsia="zh-CN"/>
    </w:rPr>
  </w:style>
  <w:style w:type="paragraph" w:customStyle="1" w:styleId="H3">
    <w:name w:val="H3"/>
    <w:rsid w:val="00C713FA"/>
    <w:pPr>
      <w:spacing w:after="120"/>
      <w:jc w:val="center"/>
      <w:outlineLvl w:val="2"/>
    </w:pPr>
    <w:rPr>
      <w:b/>
      <w:sz w:val="32"/>
      <w:lang w:eastAsia="zh-CN"/>
    </w:rPr>
  </w:style>
  <w:style w:type="paragraph" w:customStyle="1" w:styleId="H2">
    <w:name w:val="H2"/>
    <w:rsid w:val="00C713FA"/>
    <w:pPr>
      <w:spacing w:after="120"/>
      <w:jc w:val="center"/>
      <w:outlineLvl w:val="1"/>
    </w:pPr>
    <w:rPr>
      <w:b/>
      <w:sz w:val="36"/>
      <w:lang w:eastAsia="zh-CN"/>
    </w:rPr>
  </w:style>
  <w:style w:type="paragraph" w:customStyle="1" w:styleId="H1">
    <w:name w:val="H1"/>
    <w:rsid w:val="00C713FA"/>
    <w:pPr>
      <w:spacing w:after="120"/>
      <w:jc w:val="center"/>
      <w:outlineLvl w:val="0"/>
    </w:pPr>
    <w:rPr>
      <w:b/>
      <w:sz w:val="44"/>
      <w:lang w:eastAsia="zh-CN"/>
    </w:rPr>
  </w:style>
  <w:style w:type="paragraph" w:customStyle="1" w:styleId="T">
    <w:name w:val="T"/>
    <w:basedOn w:val="Normal"/>
    <w:rsid w:val="00C713FA"/>
    <w:pPr>
      <w:jc w:val="center"/>
    </w:pPr>
    <w:rPr>
      <w:b/>
      <w:i/>
    </w:rPr>
  </w:style>
  <w:style w:type="paragraph" w:customStyle="1" w:styleId="Z">
    <w:name w:val="Z"/>
    <w:basedOn w:val="T"/>
    <w:rsid w:val="00C713FA"/>
  </w:style>
  <w:style w:type="character" w:styleId="PageNumber">
    <w:name w:val="page number"/>
    <w:basedOn w:val="DefaultParagraphFont"/>
    <w:rsid w:val="00C713FA"/>
  </w:style>
  <w:style w:type="paragraph" w:styleId="Header">
    <w:name w:val="header"/>
    <w:basedOn w:val="Normal"/>
    <w:link w:val="HeaderChar"/>
    <w:uiPriority w:val="99"/>
    <w:rsid w:val="00C713FA"/>
    <w:pPr>
      <w:tabs>
        <w:tab w:val="center" w:pos="4153"/>
        <w:tab w:val="right" w:pos="8306"/>
      </w:tabs>
    </w:pPr>
  </w:style>
  <w:style w:type="paragraph" w:customStyle="1" w:styleId="StilsPirmrindia0cm">
    <w:name w:val="Stils Pirmā rindiņa:  0 cm"/>
    <w:basedOn w:val="Normal"/>
    <w:rsid w:val="00DB3A6C"/>
  </w:style>
  <w:style w:type="numbering" w:customStyle="1" w:styleId="StilsStrukturtsnumurts">
    <w:name w:val="Stils Strukturēts numurēts"/>
    <w:basedOn w:val="NoList"/>
    <w:rsid w:val="00142AA9"/>
    <w:pPr>
      <w:numPr>
        <w:numId w:val="5"/>
      </w:numPr>
    </w:pPr>
  </w:style>
  <w:style w:type="paragraph" w:styleId="BalloonText">
    <w:name w:val="Balloon Text"/>
    <w:basedOn w:val="Normal"/>
    <w:semiHidden/>
    <w:rsid w:val="001456D6"/>
    <w:rPr>
      <w:rFonts w:ascii="Tahoma" w:hAnsi="Tahoma" w:cs="Tahoma"/>
      <w:sz w:val="16"/>
      <w:szCs w:val="16"/>
    </w:rPr>
  </w:style>
  <w:style w:type="paragraph" w:customStyle="1" w:styleId="Lielaisvirsraksts">
    <w:name w:val="Lielais virsraksts"/>
    <w:basedOn w:val="Heading1"/>
    <w:next w:val="Normal"/>
    <w:rsid w:val="00DB3A6C"/>
    <w:pPr>
      <w:numPr>
        <w:numId w:val="3"/>
      </w:numPr>
      <w:jc w:val="center"/>
    </w:pPr>
    <w:rPr>
      <w:rFonts w:ascii="Times New Roman" w:hAnsi="Times New Roman"/>
    </w:rPr>
  </w:style>
  <w:style w:type="paragraph" w:customStyle="1" w:styleId="Pielikumiem">
    <w:name w:val="Pielikumiem"/>
    <w:basedOn w:val="Heading1"/>
    <w:next w:val="BodyText"/>
    <w:rsid w:val="00DB3A6C"/>
    <w:pPr>
      <w:numPr>
        <w:numId w:val="4"/>
      </w:numPr>
      <w:jc w:val="right"/>
    </w:pPr>
    <w:rPr>
      <w:rFonts w:ascii="Times New Roman" w:hAnsi="Times New Roman"/>
      <w:sz w:val="28"/>
    </w:rPr>
  </w:style>
  <w:style w:type="paragraph" w:styleId="BodyText">
    <w:name w:val="Body Text"/>
    <w:basedOn w:val="Normal"/>
    <w:rsid w:val="00DB3A6C"/>
  </w:style>
  <w:style w:type="paragraph" w:customStyle="1" w:styleId="11">
    <w:name w:val="1.1"/>
    <w:basedOn w:val="Normal"/>
    <w:rsid w:val="0069156A"/>
  </w:style>
  <w:style w:type="paragraph" w:customStyle="1" w:styleId="1">
    <w:name w:val="1"/>
    <w:basedOn w:val="Normal"/>
    <w:rsid w:val="0069156A"/>
  </w:style>
  <w:style w:type="paragraph" w:customStyle="1" w:styleId="111">
    <w:name w:val="1.1.1"/>
    <w:basedOn w:val="Normal"/>
    <w:rsid w:val="0069156A"/>
  </w:style>
  <w:style w:type="paragraph" w:customStyle="1" w:styleId="1111">
    <w:name w:val="1.1.1.1"/>
    <w:basedOn w:val="Normal"/>
    <w:rsid w:val="0069156A"/>
    <w:pPr>
      <w:tabs>
        <w:tab w:val="left" w:pos="2835"/>
      </w:tabs>
    </w:pPr>
  </w:style>
  <w:style w:type="paragraph" w:customStyle="1" w:styleId="Stlis11111">
    <w:name w:val="Stlis 1.1.1.1.1"/>
    <w:basedOn w:val="Normal"/>
    <w:rsid w:val="0069156A"/>
  </w:style>
  <w:style w:type="paragraph" w:customStyle="1" w:styleId="Stlis1">
    <w:name w:val="Stlis 1"/>
    <w:basedOn w:val="Normal"/>
    <w:rsid w:val="0069156A"/>
    <w:pPr>
      <w:numPr>
        <w:numId w:val="15"/>
      </w:numPr>
    </w:pPr>
  </w:style>
  <w:style w:type="paragraph" w:customStyle="1" w:styleId="Stils11">
    <w:name w:val="Stils 1.1"/>
    <w:basedOn w:val="Normal"/>
    <w:rsid w:val="0069156A"/>
    <w:pPr>
      <w:numPr>
        <w:ilvl w:val="1"/>
        <w:numId w:val="15"/>
      </w:numPr>
    </w:pPr>
  </w:style>
  <w:style w:type="paragraph" w:customStyle="1" w:styleId="Stils111">
    <w:name w:val="Stils 1.1.1"/>
    <w:basedOn w:val="Normal"/>
    <w:rsid w:val="0069156A"/>
    <w:pPr>
      <w:numPr>
        <w:ilvl w:val="2"/>
        <w:numId w:val="15"/>
      </w:numPr>
    </w:pPr>
  </w:style>
  <w:style w:type="paragraph" w:customStyle="1" w:styleId="Stlis1111">
    <w:name w:val="Stlis 1.1.1.1"/>
    <w:basedOn w:val="Normal"/>
    <w:rsid w:val="0069156A"/>
    <w:pPr>
      <w:numPr>
        <w:ilvl w:val="3"/>
        <w:numId w:val="15"/>
      </w:numPr>
      <w:tabs>
        <w:tab w:val="left" w:pos="2835"/>
      </w:tabs>
    </w:pPr>
  </w:style>
  <w:style w:type="paragraph" w:customStyle="1" w:styleId="Stils11111">
    <w:name w:val="Stils 1.1.1.1.1"/>
    <w:basedOn w:val="Normal"/>
    <w:rsid w:val="0069156A"/>
    <w:pPr>
      <w:numPr>
        <w:ilvl w:val="4"/>
        <w:numId w:val="15"/>
      </w:numPr>
    </w:pPr>
  </w:style>
  <w:style w:type="table" w:styleId="TableGrid">
    <w:name w:val="Table Grid"/>
    <w:basedOn w:val="TableNormal"/>
    <w:rsid w:val="00344F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23DD"/>
    <w:pPr>
      <w:spacing w:after="200" w:line="276" w:lineRule="auto"/>
      <w:ind w:left="720"/>
      <w:contextualSpacing/>
      <w:jc w:val="left"/>
    </w:pPr>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16015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160156"/>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semiHidden/>
    <w:rsid w:val="00160156"/>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160156"/>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semiHidden/>
    <w:rsid w:val="00160156"/>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semiHidden/>
    <w:rsid w:val="00160156"/>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semiHidden/>
    <w:rsid w:val="0016015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160156"/>
    <w:rPr>
      <w:rFonts w:asciiTheme="majorHAnsi" w:eastAsiaTheme="majorEastAsia" w:hAnsiTheme="majorHAnsi" w:cstheme="majorBidi"/>
      <w:i/>
      <w:iCs/>
      <w:color w:val="404040" w:themeColor="text1" w:themeTint="BF"/>
      <w:lang w:eastAsia="en-US"/>
    </w:rPr>
  </w:style>
  <w:style w:type="character" w:styleId="CommentReference">
    <w:name w:val="annotation reference"/>
    <w:basedOn w:val="DefaultParagraphFont"/>
    <w:rsid w:val="00F02790"/>
    <w:rPr>
      <w:sz w:val="16"/>
      <w:szCs w:val="16"/>
    </w:rPr>
  </w:style>
  <w:style w:type="paragraph" w:styleId="CommentText">
    <w:name w:val="annotation text"/>
    <w:basedOn w:val="Normal"/>
    <w:link w:val="CommentTextChar"/>
    <w:rsid w:val="00F02790"/>
    <w:rPr>
      <w:sz w:val="20"/>
    </w:rPr>
  </w:style>
  <w:style w:type="character" w:customStyle="1" w:styleId="CommentTextChar">
    <w:name w:val="Comment Text Char"/>
    <w:basedOn w:val="DefaultParagraphFont"/>
    <w:link w:val="CommentText"/>
    <w:rsid w:val="00F02790"/>
    <w:rPr>
      <w:lang w:eastAsia="en-US"/>
    </w:rPr>
  </w:style>
  <w:style w:type="paragraph" w:styleId="CommentSubject">
    <w:name w:val="annotation subject"/>
    <w:basedOn w:val="CommentText"/>
    <w:next w:val="CommentText"/>
    <w:link w:val="CommentSubjectChar"/>
    <w:rsid w:val="00F02790"/>
    <w:rPr>
      <w:b/>
      <w:bCs/>
    </w:rPr>
  </w:style>
  <w:style w:type="character" w:customStyle="1" w:styleId="CommentSubjectChar">
    <w:name w:val="Comment Subject Char"/>
    <w:basedOn w:val="CommentTextChar"/>
    <w:link w:val="CommentSubject"/>
    <w:rsid w:val="00F02790"/>
    <w:rPr>
      <w:b/>
      <w:bCs/>
      <w:lang w:eastAsia="en-US"/>
    </w:rPr>
  </w:style>
  <w:style w:type="character" w:styleId="Hyperlink">
    <w:name w:val="Hyperlink"/>
    <w:basedOn w:val="DefaultParagraphFont"/>
    <w:uiPriority w:val="99"/>
    <w:unhideWhenUsed/>
    <w:rsid w:val="008A5B25"/>
    <w:rPr>
      <w:color w:val="0000FF" w:themeColor="hyperlink"/>
      <w:u w:val="single"/>
    </w:rPr>
  </w:style>
  <w:style w:type="character" w:customStyle="1" w:styleId="HeaderChar">
    <w:name w:val="Header Char"/>
    <w:basedOn w:val="DefaultParagraphFont"/>
    <w:link w:val="Header"/>
    <w:uiPriority w:val="99"/>
    <w:rsid w:val="008A5B25"/>
    <w:rPr>
      <w:sz w:val="24"/>
      <w:lang w:eastAsia="en-US"/>
    </w:rPr>
  </w:style>
  <w:style w:type="paragraph" w:customStyle="1" w:styleId="tabteksts">
    <w:name w:val="tab_teksts"/>
    <w:basedOn w:val="Normal"/>
    <w:uiPriority w:val="99"/>
    <w:rsid w:val="00596132"/>
    <w:pPr>
      <w:jc w:val="left"/>
    </w:pPr>
    <w:rPr>
      <w:sz w:val="20"/>
    </w:rPr>
  </w:style>
  <w:style w:type="character" w:customStyle="1" w:styleId="spelle">
    <w:name w:val="spelle"/>
    <w:rsid w:val="00DC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4551">
      <w:bodyDiv w:val="1"/>
      <w:marLeft w:val="0"/>
      <w:marRight w:val="0"/>
      <w:marTop w:val="0"/>
      <w:marBottom w:val="0"/>
      <w:divBdr>
        <w:top w:val="none" w:sz="0" w:space="0" w:color="auto"/>
        <w:left w:val="none" w:sz="0" w:space="0" w:color="auto"/>
        <w:bottom w:val="none" w:sz="0" w:space="0" w:color="auto"/>
        <w:right w:val="none" w:sz="0" w:space="0" w:color="auto"/>
      </w:divBdr>
    </w:div>
    <w:div w:id="299120401">
      <w:bodyDiv w:val="1"/>
      <w:marLeft w:val="0"/>
      <w:marRight w:val="0"/>
      <w:marTop w:val="0"/>
      <w:marBottom w:val="0"/>
      <w:divBdr>
        <w:top w:val="none" w:sz="0" w:space="0" w:color="auto"/>
        <w:left w:val="none" w:sz="0" w:space="0" w:color="auto"/>
        <w:bottom w:val="none" w:sz="0" w:space="0" w:color="auto"/>
        <w:right w:val="none" w:sz="0" w:space="0" w:color="auto"/>
      </w:divBdr>
    </w:div>
    <w:div w:id="401410126">
      <w:bodyDiv w:val="1"/>
      <w:marLeft w:val="0"/>
      <w:marRight w:val="0"/>
      <w:marTop w:val="0"/>
      <w:marBottom w:val="0"/>
      <w:divBdr>
        <w:top w:val="none" w:sz="0" w:space="0" w:color="auto"/>
        <w:left w:val="none" w:sz="0" w:space="0" w:color="auto"/>
        <w:bottom w:val="none" w:sz="0" w:space="0" w:color="auto"/>
        <w:right w:val="none" w:sz="0" w:space="0" w:color="auto"/>
      </w:divBdr>
      <w:divsChild>
        <w:div w:id="1379550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594343">
      <w:bodyDiv w:val="1"/>
      <w:marLeft w:val="0"/>
      <w:marRight w:val="0"/>
      <w:marTop w:val="0"/>
      <w:marBottom w:val="0"/>
      <w:divBdr>
        <w:top w:val="none" w:sz="0" w:space="0" w:color="auto"/>
        <w:left w:val="none" w:sz="0" w:space="0" w:color="auto"/>
        <w:bottom w:val="none" w:sz="0" w:space="0" w:color="auto"/>
        <w:right w:val="none" w:sz="0" w:space="0" w:color="auto"/>
      </w:divBdr>
    </w:div>
    <w:div w:id="740979469">
      <w:bodyDiv w:val="1"/>
      <w:marLeft w:val="0"/>
      <w:marRight w:val="0"/>
      <w:marTop w:val="0"/>
      <w:marBottom w:val="0"/>
      <w:divBdr>
        <w:top w:val="none" w:sz="0" w:space="0" w:color="auto"/>
        <w:left w:val="none" w:sz="0" w:space="0" w:color="auto"/>
        <w:bottom w:val="none" w:sz="0" w:space="0" w:color="auto"/>
        <w:right w:val="none" w:sz="0" w:space="0" w:color="auto"/>
      </w:divBdr>
    </w:div>
    <w:div w:id="1045788975">
      <w:bodyDiv w:val="1"/>
      <w:marLeft w:val="0"/>
      <w:marRight w:val="0"/>
      <w:marTop w:val="0"/>
      <w:marBottom w:val="0"/>
      <w:divBdr>
        <w:top w:val="none" w:sz="0" w:space="0" w:color="auto"/>
        <w:left w:val="none" w:sz="0" w:space="0" w:color="auto"/>
        <w:bottom w:val="none" w:sz="0" w:space="0" w:color="auto"/>
        <w:right w:val="none" w:sz="0" w:space="0" w:color="auto"/>
      </w:divBdr>
    </w:div>
    <w:div w:id="1236864692">
      <w:bodyDiv w:val="1"/>
      <w:marLeft w:val="0"/>
      <w:marRight w:val="0"/>
      <w:marTop w:val="0"/>
      <w:marBottom w:val="0"/>
      <w:divBdr>
        <w:top w:val="none" w:sz="0" w:space="0" w:color="auto"/>
        <w:left w:val="none" w:sz="0" w:space="0" w:color="auto"/>
        <w:bottom w:val="none" w:sz="0" w:space="0" w:color="auto"/>
        <w:right w:val="none" w:sz="0" w:space="0" w:color="auto"/>
      </w:divBdr>
    </w:div>
    <w:div w:id="1308048590">
      <w:bodyDiv w:val="1"/>
      <w:marLeft w:val="0"/>
      <w:marRight w:val="0"/>
      <w:marTop w:val="0"/>
      <w:marBottom w:val="0"/>
      <w:divBdr>
        <w:top w:val="none" w:sz="0" w:space="0" w:color="auto"/>
        <w:left w:val="none" w:sz="0" w:space="0" w:color="auto"/>
        <w:bottom w:val="none" w:sz="0" w:space="0" w:color="auto"/>
        <w:right w:val="none" w:sz="0" w:space="0" w:color="auto"/>
      </w:divBdr>
    </w:div>
    <w:div w:id="1335766979">
      <w:bodyDiv w:val="1"/>
      <w:marLeft w:val="0"/>
      <w:marRight w:val="0"/>
      <w:marTop w:val="0"/>
      <w:marBottom w:val="0"/>
      <w:divBdr>
        <w:top w:val="none" w:sz="0" w:space="0" w:color="auto"/>
        <w:left w:val="none" w:sz="0" w:space="0" w:color="auto"/>
        <w:bottom w:val="none" w:sz="0" w:space="0" w:color="auto"/>
        <w:right w:val="none" w:sz="0" w:space="0" w:color="auto"/>
      </w:divBdr>
    </w:div>
    <w:div w:id="1645887862">
      <w:bodyDiv w:val="1"/>
      <w:marLeft w:val="0"/>
      <w:marRight w:val="0"/>
      <w:marTop w:val="0"/>
      <w:marBottom w:val="0"/>
      <w:divBdr>
        <w:top w:val="none" w:sz="0" w:space="0" w:color="auto"/>
        <w:left w:val="none" w:sz="0" w:space="0" w:color="auto"/>
        <w:bottom w:val="none" w:sz="0" w:space="0" w:color="auto"/>
        <w:right w:val="none" w:sz="0" w:space="0" w:color="auto"/>
      </w:divBdr>
    </w:div>
    <w:div w:id="18550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ga.Jermacan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40BF-C796-4DC5-849E-6ED50F0F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2828</Words>
  <Characters>1613</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vidēja termiņa makroekonomiskās attīstības un fiskālās politikas ietvara 2012. – 2014. gadam iesniegšanu Ministru kabinetā</vt:lpstr>
      <vt:lpstr>nosaukums</vt:lpstr>
    </vt:vector>
  </TitlesOfParts>
  <Company>FM</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vidēja termiņa makroekonomiskās attīstības un fiskālās politikas ietvara 2012. – 2014. gadam iesniegšanu Ministru kabinetā</dc:title>
  <dc:subject>Informatīvais ziņojums</dc:subject>
  <dc:creator>Ilga Jermacāne</dc:creator>
  <dc:description>Jermacāne, 67095429
Ilga.Jermacane@fm.gov.lv  </dc:description>
  <cp:lastModifiedBy>FPD</cp:lastModifiedBy>
  <cp:revision>2</cp:revision>
  <cp:lastPrinted>2011-05-12T10:56:00Z</cp:lastPrinted>
  <dcterms:created xsi:type="dcterms:W3CDTF">2011-05-12T11:27:00Z</dcterms:created>
  <dcterms:modified xsi:type="dcterms:W3CDTF">2011-05-12T11:27:00Z</dcterms:modified>
</cp:coreProperties>
</file>