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F5" w:rsidRDefault="001735F5" w:rsidP="008B568D">
      <w:pPr>
        <w:spacing w:after="0"/>
        <w:jc w:val="center"/>
        <w:rPr>
          <w:b/>
          <w:bCs/>
          <w:sz w:val="28"/>
          <w:szCs w:val="28"/>
        </w:rPr>
      </w:pPr>
    </w:p>
    <w:p w:rsidR="00BA2B09" w:rsidRPr="00BE2160" w:rsidRDefault="00BA2B09" w:rsidP="008B568D">
      <w:pPr>
        <w:spacing w:after="0"/>
        <w:jc w:val="center"/>
        <w:rPr>
          <w:b/>
          <w:bCs/>
          <w:sz w:val="28"/>
          <w:szCs w:val="28"/>
        </w:rPr>
      </w:pPr>
      <w:r w:rsidRPr="00BE2160">
        <w:rPr>
          <w:b/>
          <w:bCs/>
          <w:sz w:val="28"/>
          <w:szCs w:val="28"/>
        </w:rPr>
        <w:t>Informatīvais ziņojums</w:t>
      </w:r>
    </w:p>
    <w:p w:rsidR="00BA2B09" w:rsidRPr="00BE2160" w:rsidRDefault="00BA2B09" w:rsidP="008B568D">
      <w:pPr>
        <w:spacing w:after="0"/>
        <w:jc w:val="center"/>
        <w:rPr>
          <w:sz w:val="28"/>
          <w:szCs w:val="28"/>
        </w:rPr>
      </w:pPr>
      <w:r w:rsidRPr="00BE2160">
        <w:rPr>
          <w:b/>
          <w:bCs/>
          <w:sz w:val="28"/>
          <w:szCs w:val="28"/>
        </w:rPr>
        <w:t>par Valsts ieņēmumu dienesta un Valsts darba inspekcijas paveikto ēnu ekonomikas un nelegālās nodarbinātības apkarošanā</w:t>
      </w:r>
      <w:r w:rsidRPr="0011218A">
        <w:t xml:space="preserve"> </w:t>
      </w:r>
      <w:r w:rsidRPr="0011218A">
        <w:rPr>
          <w:b/>
          <w:bCs/>
          <w:sz w:val="28"/>
          <w:szCs w:val="28"/>
        </w:rPr>
        <w:t xml:space="preserve">un priekšlikumi darbības </w:t>
      </w:r>
      <w:proofErr w:type="spellStart"/>
      <w:r w:rsidRPr="0011218A">
        <w:rPr>
          <w:b/>
          <w:bCs/>
          <w:sz w:val="28"/>
          <w:szCs w:val="28"/>
        </w:rPr>
        <w:t>efektivizēšanai</w:t>
      </w:r>
      <w:proofErr w:type="spellEnd"/>
    </w:p>
    <w:p w:rsidR="00BA2B09" w:rsidRDefault="00BA2B09" w:rsidP="008B568D">
      <w:pPr>
        <w:spacing w:after="0"/>
        <w:rPr>
          <w:sz w:val="28"/>
          <w:szCs w:val="28"/>
        </w:rPr>
      </w:pPr>
    </w:p>
    <w:p w:rsidR="00BA2B09" w:rsidRDefault="00BA2B09" w:rsidP="008B568D">
      <w:pPr>
        <w:spacing w:after="0"/>
        <w:rPr>
          <w:sz w:val="28"/>
          <w:szCs w:val="28"/>
        </w:rPr>
      </w:pPr>
    </w:p>
    <w:p w:rsidR="00BA2B09" w:rsidRPr="00BE2160" w:rsidRDefault="00BA2B09" w:rsidP="00F043C5">
      <w:pPr>
        <w:spacing w:after="0"/>
        <w:ind w:firstLine="720"/>
        <w:jc w:val="both"/>
        <w:rPr>
          <w:sz w:val="28"/>
          <w:szCs w:val="28"/>
        </w:rPr>
      </w:pPr>
      <w:r w:rsidRPr="00BE2160">
        <w:rPr>
          <w:sz w:val="28"/>
          <w:szCs w:val="28"/>
        </w:rPr>
        <w:t>Saskaņā ar Ministru kabineta 2012.gada 27.marta sēdes protokola Nr.17</w:t>
      </w:r>
      <w:r>
        <w:rPr>
          <w:sz w:val="28"/>
          <w:szCs w:val="28"/>
        </w:rPr>
        <w:t> </w:t>
      </w:r>
      <w:r w:rsidRPr="00BE2160">
        <w:rPr>
          <w:sz w:val="28"/>
          <w:szCs w:val="28"/>
        </w:rPr>
        <w:t xml:space="preserve">42.§ 6.punktu Finanšu ministrija </w:t>
      </w:r>
      <w:r>
        <w:rPr>
          <w:sz w:val="28"/>
          <w:szCs w:val="28"/>
        </w:rPr>
        <w:t xml:space="preserve">sadarbībā ar Labklājības ministriju </w:t>
      </w:r>
      <w:r w:rsidRPr="00BE2160">
        <w:rPr>
          <w:sz w:val="28"/>
          <w:szCs w:val="28"/>
        </w:rPr>
        <w:t xml:space="preserve">sniedz informāciju par Valsts ieņēmumu dienesta (turpmāk – VID) un Valsts darba inspekcijas (turpmāk – VDI) paveikto ēnu ekonomikas un nelegālās nodarbinātības apkarošanā un priekšlikumus darbības </w:t>
      </w:r>
      <w:proofErr w:type="spellStart"/>
      <w:r w:rsidRPr="00BE2160">
        <w:rPr>
          <w:sz w:val="28"/>
          <w:szCs w:val="28"/>
        </w:rPr>
        <w:t>efektivizēšanai</w:t>
      </w:r>
      <w:proofErr w:type="spellEnd"/>
      <w:r w:rsidRPr="00BE2160">
        <w:rPr>
          <w:sz w:val="28"/>
          <w:szCs w:val="28"/>
        </w:rPr>
        <w:t>.</w:t>
      </w:r>
    </w:p>
    <w:p w:rsidR="00BA2B09" w:rsidRDefault="00BA2B09" w:rsidP="00405E74">
      <w:pPr>
        <w:spacing w:after="0"/>
        <w:rPr>
          <w:sz w:val="28"/>
          <w:szCs w:val="28"/>
        </w:rPr>
      </w:pPr>
    </w:p>
    <w:p w:rsidR="00BA2B09" w:rsidRDefault="00BA2B09" w:rsidP="00D92F6C">
      <w:pPr>
        <w:pStyle w:val="ListParagraph"/>
        <w:numPr>
          <w:ilvl w:val="0"/>
          <w:numId w:val="25"/>
        </w:numPr>
        <w:ind w:left="426" w:hanging="426"/>
        <w:jc w:val="center"/>
        <w:rPr>
          <w:b/>
          <w:bCs/>
        </w:rPr>
      </w:pPr>
      <w:r w:rsidRPr="00AC382E">
        <w:rPr>
          <w:b/>
          <w:bCs/>
        </w:rPr>
        <w:t>Nodokļu ieņēmumi</w:t>
      </w:r>
    </w:p>
    <w:p w:rsidR="00BA2B09" w:rsidRPr="00D92F6C" w:rsidRDefault="00BA2B09" w:rsidP="00AC382E">
      <w:pPr>
        <w:spacing w:after="0"/>
        <w:rPr>
          <w:sz w:val="20"/>
          <w:szCs w:val="20"/>
        </w:rPr>
      </w:pPr>
    </w:p>
    <w:p w:rsidR="00BA2B09" w:rsidRPr="00BE2160" w:rsidRDefault="00BA2B09" w:rsidP="00AC382E">
      <w:pPr>
        <w:spacing w:after="0"/>
        <w:ind w:firstLine="720"/>
        <w:jc w:val="both"/>
        <w:rPr>
          <w:sz w:val="28"/>
          <w:szCs w:val="28"/>
        </w:rPr>
      </w:pPr>
      <w:r w:rsidRPr="00BE2160">
        <w:rPr>
          <w:color w:val="000000"/>
          <w:sz w:val="28"/>
          <w:szCs w:val="28"/>
          <w:lang w:eastAsia="lv-LV"/>
        </w:rPr>
        <w:t xml:space="preserve">VID administrētie valsts budžeta ieņēmumi 2012.gada 5 mēnešos ir </w:t>
      </w:r>
      <w:r>
        <w:rPr>
          <w:color w:val="000000"/>
          <w:sz w:val="28"/>
          <w:szCs w:val="28"/>
          <w:lang w:eastAsia="lv-LV"/>
        </w:rPr>
        <w:t xml:space="preserve">Ls 1796,08 </w:t>
      </w:r>
      <w:proofErr w:type="spellStart"/>
      <w:r w:rsidRPr="00BE2160">
        <w:rPr>
          <w:color w:val="000000"/>
          <w:sz w:val="28"/>
          <w:szCs w:val="28"/>
          <w:lang w:eastAsia="lv-LV"/>
        </w:rPr>
        <w:t>milj</w:t>
      </w:r>
      <w:proofErr w:type="spellEnd"/>
      <w:r w:rsidRPr="00BE2160">
        <w:rPr>
          <w:color w:val="000000"/>
          <w:sz w:val="28"/>
          <w:szCs w:val="28"/>
          <w:lang w:eastAsia="lv-LV"/>
        </w:rPr>
        <w:t>., kas</w:t>
      </w:r>
      <w:r>
        <w:rPr>
          <w:color w:val="000000"/>
          <w:sz w:val="28"/>
          <w:szCs w:val="28"/>
          <w:lang w:eastAsia="lv-LV"/>
        </w:rPr>
        <w:t>,</w:t>
      </w:r>
      <w:r w:rsidRPr="00BE2160">
        <w:rPr>
          <w:color w:val="000000"/>
          <w:sz w:val="28"/>
          <w:szCs w:val="28"/>
          <w:lang w:eastAsia="lv-LV"/>
        </w:rPr>
        <w:t xml:space="preserve"> salīdzinot ar </w:t>
      </w:r>
      <w:r w:rsidRPr="00BE2160">
        <w:rPr>
          <w:sz w:val="28"/>
          <w:szCs w:val="28"/>
        </w:rPr>
        <w:t xml:space="preserve">2011.gada </w:t>
      </w:r>
      <w:r>
        <w:rPr>
          <w:sz w:val="28"/>
          <w:szCs w:val="28"/>
        </w:rPr>
        <w:t>5</w:t>
      </w:r>
      <w:r w:rsidRPr="00BE2160">
        <w:rPr>
          <w:sz w:val="28"/>
          <w:szCs w:val="28"/>
        </w:rPr>
        <w:t xml:space="preserve"> mēnešu ieņēmumiem</w:t>
      </w:r>
      <w:r>
        <w:rPr>
          <w:sz w:val="28"/>
          <w:szCs w:val="28"/>
        </w:rPr>
        <w:t>,</w:t>
      </w:r>
      <w:r w:rsidRPr="00BE2160">
        <w:rPr>
          <w:sz w:val="28"/>
          <w:szCs w:val="28"/>
        </w:rPr>
        <w:t xml:space="preserve"> ir palielinājušies par </w:t>
      </w:r>
      <w:r>
        <w:rPr>
          <w:sz w:val="28"/>
          <w:szCs w:val="28"/>
        </w:rPr>
        <w:t>17,1</w:t>
      </w:r>
      <w:r w:rsidRPr="00BE2160">
        <w:rPr>
          <w:sz w:val="28"/>
          <w:szCs w:val="28"/>
        </w:rPr>
        <w:t xml:space="preserve"> % jeb </w:t>
      </w:r>
      <w:r>
        <w:rPr>
          <w:sz w:val="28"/>
          <w:szCs w:val="28"/>
        </w:rPr>
        <w:t xml:space="preserve">Ls 262,25 </w:t>
      </w:r>
      <w:proofErr w:type="spellStart"/>
      <w:r>
        <w:rPr>
          <w:sz w:val="28"/>
          <w:szCs w:val="28"/>
        </w:rPr>
        <w:t>milj</w:t>
      </w:r>
      <w:proofErr w:type="spellEnd"/>
      <w:r>
        <w:rPr>
          <w:sz w:val="28"/>
          <w:szCs w:val="28"/>
        </w:rPr>
        <w:t>.</w:t>
      </w:r>
      <w:r w:rsidRPr="00BE2160">
        <w:rPr>
          <w:color w:val="000000"/>
          <w:sz w:val="28"/>
          <w:szCs w:val="28"/>
          <w:lang w:eastAsia="lv-LV"/>
        </w:rPr>
        <w:t xml:space="preserve">, ko </w:t>
      </w:r>
      <w:r w:rsidRPr="00BE2160">
        <w:rPr>
          <w:sz w:val="28"/>
          <w:szCs w:val="28"/>
        </w:rPr>
        <w:t>ir ietekmēj</w:t>
      </w:r>
      <w:r>
        <w:rPr>
          <w:sz w:val="28"/>
          <w:szCs w:val="28"/>
        </w:rPr>
        <w:t>uši</w:t>
      </w:r>
      <w:r w:rsidRPr="00BE2160">
        <w:rPr>
          <w:sz w:val="28"/>
          <w:szCs w:val="28"/>
        </w:rPr>
        <w:t xml:space="preserve"> </w:t>
      </w:r>
      <w:r>
        <w:rPr>
          <w:sz w:val="28"/>
          <w:szCs w:val="28"/>
        </w:rPr>
        <w:t xml:space="preserve">arī </w:t>
      </w:r>
      <w:r w:rsidRPr="00BE2160">
        <w:rPr>
          <w:sz w:val="28"/>
          <w:szCs w:val="28"/>
        </w:rPr>
        <w:t>VID darbīb</w:t>
      </w:r>
      <w:r>
        <w:rPr>
          <w:sz w:val="28"/>
          <w:szCs w:val="28"/>
        </w:rPr>
        <w:t>as</w:t>
      </w:r>
      <w:r w:rsidRPr="00BE2160">
        <w:rPr>
          <w:sz w:val="28"/>
          <w:szCs w:val="28"/>
        </w:rPr>
        <w:t xml:space="preserve"> rezultāt</w:t>
      </w:r>
      <w:r>
        <w:rPr>
          <w:sz w:val="28"/>
          <w:szCs w:val="28"/>
        </w:rPr>
        <w:t>i</w:t>
      </w:r>
      <w:r w:rsidRPr="00BE2160">
        <w:rPr>
          <w:sz w:val="28"/>
          <w:szCs w:val="28"/>
        </w:rPr>
        <w:t xml:space="preserve">, </w:t>
      </w:r>
      <w:proofErr w:type="spellStart"/>
      <w:r w:rsidRPr="00BE2160">
        <w:rPr>
          <w:sz w:val="28"/>
          <w:szCs w:val="28"/>
        </w:rPr>
        <w:t>t.sk</w:t>
      </w:r>
      <w:proofErr w:type="spellEnd"/>
      <w:r w:rsidRPr="00BE2160">
        <w:rPr>
          <w:sz w:val="28"/>
          <w:szCs w:val="28"/>
        </w:rPr>
        <w:t xml:space="preserve">. īstenojot pasākumus ēnu ekonomikas apkarošanā. </w:t>
      </w:r>
    </w:p>
    <w:p w:rsidR="00BA2B09" w:rsidRDefault="00BA2B09" w:rsidP="000D0984">
      <w:pPr>
        <w:spacing w:after="0"/>
        <w:ind w:firstLine="720"/>
        <w:jc w:val="both"/>
        <w:rPr>
          <w:color w:val="000000"/>
          <w:sz w:val="28"/>
          <w:szCs w:val="28"/>
          <w:lang w:eastAsia="lv-LV"/>
        </w:rPr>
      </w:pPr>
      <w:bookmarkStart w:id="0" w:name="_MON_1402233412"/>
      <w:bookmarkStart w:id="1" w:name="_MON_1402233959"/>
      <w:bookmarkStart w:id="2" w:name="_MON_1401619883"/>
      <w:bookmarkStart w:id="3" w:name="_MON_1401617795"/>
      <w:bookmarkStart w:id="4" w:name="_MON_1402301265"/>
      <w:bookmarkEnd w:id="0"/>
      <w:bookmarkEnd w:id="1"/>
      <w:bookmarkEnd w:id="2"/>
      <w:bookmarkEnd w:id="3"/>
      <w:bookmarkEnd w:id="4"/>
      <w:r w:rsidRPr="00BE2160">
        <w:rPr>
          <w:color w:val="000000"/>
          <w:sz w:val="28"/>
          <w:szCs w:val="28"/>
          <w:lang w:eastAsia="lv-LV"/>
        </w:rPr>
        <w:t>2012.gada 5 mēnešos iedzīvotāju ienākuma nodokļa ieņēmumi, salīdzinot ar 2011.gada 5 mēnešiem</w:t>
      </w:r>
      <w:r>
        <w:rPr>
          <w:color w:val="000000"/>
          <w:sz w:val="28"/>
          <w:szCs w:val="28"/>
          <w:lang w:eastAsia="lv-LV"/>
        </w:rPr>
        <w:t>, arī</w:t>
      </w:r>
      <w:r w:rsidRPr="00BE2160">
        <w:rPr>
          <w:color w:val="000000"/>
          <w:sz w:val="28"/>
          <w:szCs w:val="28"/>
          <w:lang w:eastAsia="lv-LV"/>
        </w:rPr>
        <w:t xml:space="preserve"> ir </w:t>
      </w:r>
      <w:r>
        <w:rPr>
          <w:color w:val="000000"/>
          <w:sz w:val="28"/>
          <w:szCs w:val="28"/>
          <w:lang w:eastAsia="lv-LV"/>
        </w:rPr>
        <w:t xml:space="preserve">palielinājušies par 9,6 % </w:t>
      </w:r>
      <w:r w:rsidRPr="00BE2160">
        <w:rPr>
          <w:color w:val="000000"/>
          <w:sz w:val="28"/>
          <w:szCs w:val="28"/>
          <w:lang w:eastAsia="lv-LV"/>
        </w:rPr>
        <w:t xml:space="preserve">(skatīt </w:t>
      </w:r>
      <w:r>
        <w:rPr>
          <w:color w:val="000000"/>
          <w:sz w:val="28"/>
          <w:szCs w:val="28"/>
          <w:lang w:eastAsia="lv-LV"/>
        </w:rPr>
        <w:t>1</w:t>
      </w:r>
      <w:r w:rsidRPr="00BE2160">
        <w:rPr>
          <w:color w:val="000000"/>
          <w:sz w:val="28"/>
          <w:szCs w:val="28"/>
          <w:lang w:eastAsia="lv-LV"/>
        </w:rPr>
        <w:t>.attēlu)</w:t>
      </w:r>
      <w:r w:rsidRPr="00C64F8E">
        <w:rPr>
          <w:color w:val="000000"/>
          <w:sz w:val="28"/>
          <w:szCs w:val="28"/>
          <w:lang w:eastAsia="lv-LV"/>
        </w:rPr>
        <w:t>.</w:t>
      </w:r>
    </w:p>
    <w:p w:rsidR="00BA2B09" w:rsidRPr="00AC382E" w:rsidRDefault="00BA2B09" w:rsidP="00AC382E">
      <w:pPr>
        <w:spacing w:after="0"/>
        <w:jc w:val="both"/>
        <w:rPr>
          <w:color w:val="000000"/>
          <w:sz w:val="20"/>
          <w:szCs w:val="20"/>
          <w:lang w:eastAsia="lv-LV"/>
        </w:rPr>
      </w:pPr>
    </w:p>
    <w:p w:rsidR="00BA2B09" w:rsidRPr="009E39A5" w:rsidRDefault="00BA2B09" w:rsidP="004F797E">
      <w:pPr>
        <w:spacing w:after="0"/>
        <w:jc w:val="right"/>
        <w:rPr>
          <w:color w:val="000000"/>
          <w:sz w:val="24"/>
          <w:szCs w:val="24"/>
          <w:lang w:eastAsia="lv-LV"/>
        </w:rPr>
      </w:pPr>
      <w:r>
        <w:rPr>
          <w:color w:val="000000"/>
          <w:sz w:val="24"/>
          <w:szCs w:val="24"/>
          <w:lang w:eastAsia="lv-LV"/>
        </w:rPr>
        <w:t>1</w:t>
      </w:r>
      <w:r w:rsidRPr="009E39A5">
        <w:rPr>
          <w:color w:val="000000"/>
          <w:sz w:val="24"/>
          <w:szCs w:val="24"/>
          <w:lang w:eastAsia="lv-LV"/>
        </w:rPr>
        <w:t>.attēls</w:t>
      </w:r>
    </w:p>
    <w:p w:rsidR="00BA2B09" w:rsidRDefault="00BA2B09" w:rsidP="009E39A5">
      <w:pPr>
        <w:spacing w:after="0"/>
        <w:jc w:val="center"/>
        <w:rPr>
          <w:color w:val="000000"/>
          <w:sz w:val="26"/>
          <w:szCs w:val="26"/>
          <w:lang w:eastAsia="lv-LV"/>
        </w:rPr>
      </w:pPr>
      <w:r w:rsidRPr="00BE2160">
        <w:rPr>
          <w:color w:val="000000"/>
          <w:sz w:val="26"/>
          <w:szCs w:val="26"/>
          <w:lang w:eastAsia="lv-LV"/>
        </w:rPr>
        <w:t>Iedzīvotāju ienākuma nodokļa ieņēmum</w:t>
      </w:r>
      <w:r>
        <w:rPr>
          <w:color w:val="000000"/>
          <w:sz w:val="26"/>
          <w:szCs w:val="26"/>
          <w:lang w:eastAsia="lv-LV"/>
        </w:rPr>
        <w:t>i</w:t>
      </w:r>
      <w:r w:rsidRPr="00BE2160">
        <w:rPr>
          <w:color w:val="000000"/>
          <w:sz w:val="26"/>
          <w:szCs w:val="26"/>
          <w:lang w:eastAsia="lv-LV"/>
        </w:rPr>
        <w:t xml:space="preserve"> </w:t>
      </w:r>
    </w:p>
    <w:p w:rsidR="00BA2B09" w:rsidRDefault="00BA2B09" w:rsidP="00BE2160">
      <w:pPr>
        <w:tabs>
          <w:tab w:val="left" w:pos="-6663"/>
        </w:tabs>
        <w:spacing w:after="0"/>
        <w:jc w:val="center"/>
        <w:rPr>
          <w:color w:val="000000"/>
          <w:sz w:val="26"/>
          <w:szCs w:val="26"/>
          <w:lang w:eastAsia="lv-LV"/>
        </w:rPr>
      </w:pPr>
      <w:r w:rsidRPr="00BE2160">
        <w:rPr>
          <w:color w:val="000000"/>
          <w:sz w:val="26"/>
          <w:szCs w:val="26"/>
          <w:lang w:eastAsia="lv-LV"/>
        </w:rPr>
        <w:t>piecos mēnešos no 2008. līdz 2012.gadam</w:t>
      </w:r>
    </w:p>
    <w:p w:rsidR="00BA2B09" w:rsidRPr="002C2A3A" w:rsidRDefault="00BA2B09" w:rsidP="00BE2160">
      <w:pPr>
        <w:tabs>
          <w:tab w:val="left" w:pos="-6663"/>
        </w:tabs>
        <w:spacing w:after="0"/>
        <w:jc w:val="center"/>
        <w:rPr>
          <w:color w:val="000000"/>
          <w:sz w:val="20"/>
          <w:szCs w:val="20"/>
          <w:lang w:eastAsia="lv-LV"/>
        </w:rPr>
      </w:pPr>
    </w:p>
    <w:p w:rsidR="00BA2B09" w:rsidRDefault="003231C4" w:rsidP="00BE2160">
      <w:pPr>
        <w:tabs>
          <w:tab w:val="left" w:pos="-6804"/>
        </w:tabs>
        <w:spacing w:after="0"/>
        <w:jc w:val="center"/>
        <w:rPr>
          <w:color w:val="000000"/>
          <w:sz w:val="26"/>
          <w:szCs w:val="26"/>
          <w:lang w:eastAsia="lv-LV"/>
        </w:rPr>
      </w:pPr>
      <w:bookmarkStart w:id="5" w:name="_MON_1401620840"/>
      <w:bookmarkStart w:id="6" w:name="_MON_1402301305"/>
      <w:bookmarkStart w:id="7" w:name="_MON_1402233427"/>
      <w:bookmarkEnd w:id="5"/>
      <w:bookmarkEnd w:id="6"/>
      <w:bookmarkEnd w:id="7"/>
      <w:r>
        <w:rPr>
          <w:noProof/>
          <w:color w:val="000000"/>
          <w:sz w:val="26"/>
          <w:szCs w:val="26"/>
          <w:lang w:eastAsia="lv-LV"/>
        </w:rPr>
        <w:drawing>
          <wp:inline distT="0" distB="0" distL="0" distR="0">
            <wp:extent cx="4867275"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124200"/>
                    </a:xfrm>
                    <a:prstGeom prst="rect">
                      <a:avLst/>
                    </a:prstGeom>
                    <a:noFill/>
                    <a:ln>
                      <a:noFill/>
                    </a:ln>
                  </pic:spPr>
                </pic:pic>
              </a:graphicData>
            </a:graphic>
          </wp:inline>
        </w:drawing>
      </w:r>
    </w:p>
    <w:p w:rsidR="00BA2B09" w:rsidRPr="00AC382E" w:rsidRDefault="00BA2B09" w:rsidP="00AC382E">
      <w:pPr>
        <w:tabs>
          <w:tab w:val="left" w:pos="-6804"/>
        </w:tabs>
        <w:spacing w:after="0"/>
        <w:rPr>
          <w:color w:val="000000"/>
          <w:sz w:val="20"/>
          <w:szCs w:val="20"/>
          <w:lang w:eastAsia="lv-LV"/>
        </w:rPr>
      </w:pPr>
    </w:p>
    <w:p w:rsidR="00BA2B09" w:rsidRDefault="00BA2B09" w:rsidP="00E35351">
      <w:pPr>
        <w:spacing w:after="0"/>
        <w:ind w:firstLine="720"/>
        <w:jc w:val="both"/>
        <w:rPr>
          <w:color w:val="000000"/>
          <w:sz w:val="28"/>
          <w:szCs w:val="28"/>
          <w:lang w:eastAsia="lv-LV"/>
        </w:rPr>
      </w:pPr>
      <w:r w:rsidRPr="00E35351">
        <w:rPr>
          <w:color w:val="000000"/>
          <w:sz w:val="28"/>
          <w:szCs w:val="28"/>
          <w:lang w:eastAsia="lv-LV"/>
        </w:rPr>
        <w:t>2012.gada 5 mēnešos valsts sociālās apdrošināšanas obligāto iemaksu ieņēmumi, salīdzinot ar 2011.gada 5 mēnešiem, ir palielinājušies par 9,4 %</w:t>
      </w:r>
    </w:p>
    <w:p w:rsidR="00BA2B09" w:rsidRDefault="00BA2B09" w:rsidP="00CB05CA">
      <w:pPr>
        <w:spacing w:after="0"/>
        <w:ind w:firstLine="720"/>
        <w:jc w:val="both"/>
        <w:rPr>
          <w:sz w:val="20"/>
          <w:szCs w:val="20"/>
        </w:rPr>
      </w:pPr>
    </w:p>
    <w:p w:rsidR="00BA2B09" w:rsidRDefault="00BA2B09" w:rsidP="00E35351">
      <w:pPr>
        <w:spacing w:after="0"/>
        <w:jc w:val="both"/>
        <w:rPr>
          <w:color w:val="000000"/>
          <w:sz w:val="28"/>
          <w:szCs w:val="28"/>
          <w:lang w:eastAsia="lv-LV"/>
        </w:rPr>
      </w:pPr>
      <w:r w:rsidRPr="00BE2160">
        <w:rPr>
          <w:color w:val="000000"/>
          <w:sz w:val="28"/>
          <w:szCs w:val="28"/>
          <w:lang w:eastAsia="lv-LV"/>
        </w:rPr>
        <w:t xml:space="preserve">jeb </w:t>
      </w:r>
      <w:r>
        <w:rPr>
          <w:color w:val="000000"/>
          <w:sz w:val="28"/>
          <w:szCs w:val="28"/>
          <w:lang w:eastAsia="lv-LV"/>
        </w:rPr>
        <w:t>Ls</w:t>
      </w:r>
      <w:r w:rsidRPr="00BE2160">
        <w:rPr>
          <w:color w:val="000000"/>
          <w:sz w:val="28"/>
          <w:szCs w:val="28"/>
          <w:lang w:eastAsia="lv-LV"/>
        </w:rPr>
        <w:t xml:space="preserve"> 47,13 </w:t>
      </w:r>
      <w:proofErr w:type="spellStart"/>
      <w:r w:rsidRPr="00BE2160">
        <w:rPr>
          <w:color w:val="000000"/>
          <w:sz w:val="28"/>
          <w:szCs w:val="28"/>
          <w:lang w:eastAsia="lv-LV"/>
        </w:rPr>
        <w:t>milj</w:t>
      </w:r>
      <w:proofErr w:type="spellEnd"/>
      <w:r w:rsidRPr="00BE2160">
        <w:rPr>
          <w:color w:val="000000"/>
          <w:sz w:val="28"/>
          <w:szCs w:val="28"/>
          <w:lang w:eastAsia="lv-LV"/>
        </w:rPr>
        <w:t>.</w:t>
      </w:r>
      <w:r w:rsidRPr="00CB05CA">
        <w:rPr>
          <w:color w:val="000000"/>
          <w:sz w:val="28"/>
          <w:szCs w:val="28"/>
          <w:lang w:eastAsia="lv-LV"/>
        </w:rPr>
        <w:t xml:space="preserve"> </w:t>
      </w:r>
      <w:r w:rsidRPr="00BE2160">
        <w:rPr>
          <w:color w:val="000000"/>
          <w:sz w:val="28"/>
          <w:szCs w:val="28"/>
          <w:lang w:eastAsia="lv-LV"/>
        </w:rPr>
        <w:t xml:space="preserve">(skatīt </w:t>
      </w:r>
      <w:r>
        <w:rPr>
          <w:color w:val="000000"/>
          <w:sz w:val="28"/>
          <w:szCs w:val="28"/>
          <w:lang w:eastAsia="lv-LV"/>
        </w:rPr>
        <w:t>2</w:t>
      </w:r>
      <w:r w:rsidRPr="00BE2160">
        <w:rPr>
          <w:color w:val="000000"/>
          <w:sz w:val="28"/>
          <w:szCs w:val="28"/>
          <w:lang w:eastAsia="lv-LV"/>
        </w:rPr>
        <w:t xml:space="preserve">.attēlu). </w:t>
      </w:r>
      <w:r w:rsidRPr="00C64F8E">
        <w:rPr>
          <w:color w:val="000000"/>
          <w:sz w:val="28"/>
          <w:szCs w:val="28"/>
          <w:lang w:eastAsia="lv-LV"/>
        </w:rPr>
        <w:t xml:space="preserve">Ieņēmumu pieaugums saistīts ar nodarbināto personu ienākumu pieaugumu. Pēc informācijas </w:t>
      </w:r>
      <w:r>
        <w:rPr>
          <w:color w:val="000000"/>
          <w:sz w:val="28"/>
          <w:szCs w:val="28"/>
          <w:lang w:eastAsia="lv-LV"/>
        </w:rPr>
        <w:t xml:space="preserve">nodokļu maksātāju </w:t>
      </w:r>
      <w:r w:rsidRPr="00C64F8E">
        <w:rPr>
          <w:color w:val="000000"/>
          <w:sz w:val="28"/>
          <w:szCs w:val="28"/>
          <w:lang w:eastAsia="lv-LV"/>
        </w:rPr>
        <w:t xml:space="preserve">iesniegtajos darba devēju ziņojumos par valsts sociālās apdrošināšanas obligātajām iemaksām 2012.gada </w:t>
      </w:r>
      <w:r>
        <w:rPr>
          <w:color w:val="000000"/>
          <w:sz w:val="28"/>
          <w:szCs w:val="28"/>
          <w:lang w:eastAsia="lv-LV"/>
        </w:rPr>
        <w:t>5 mēnešos</w:t>
      </w:r>
      <w:r w:rsidRPr="00C64F8E">
        <w:rPr>
          <w:color w:val="000000"/>
          <w:sz w:val="28"/>
          <w:szCs w:val="28"/>
          <w:lang w:eastAsia="lv-LV"/>
        </w:rPr>
        <w:t xml:space="preserve"> nodarbināto ienākumi, salīdzinot ar attiecīgo periodu </w:t>
      </w:r>
      <w:r>
        <w:rPr>
          <w:color w:val="000000"/>
          <w:sz w:val="28"/>
          <w:szCs w:val="28"/>
          <w:lang w:eastAsia="lv-LV"/>
        </w:rPr>
        <w:t>pērn, palielinājušies par 7,4 %. S</w:t>
      </w:r>
      <w:r w:rsidRPr="00CB05CA">
        <w:rPr>
          <w:color w:val="000000"/>
          <w:sz w:val="28"/>
          <w:szCs w:val="28"/>
          <w:lang w:eastAsia="lv-LV"/>
        </w:rPr>
        <w:t xml:space="preserve">ociālās apdrošināšanas iemaksu </w:t>
      </w:r>
      <w:r>
        <w:rPr>
          <w:color w:val="000000"/>
          <w:sz w:val="28"/>
          <w:szCs w:val="28"/>
          <w:lang w:eastAsia="lv-LV"/>
        </w:rPr>
        <w:t>l</w:t>
      </w:r>
      <w:r w:rsidRPr="00C64F8E">
        <w:rPr>
          <w:color w:val="000000"/>
          <w:sz w:val="28"/>
          <w:szCs w:val="28"/>
          <w:lang w:eastAsia="lv-LV"/>
        </w:rPr>
        <w:t xml:space="preserve">ielākie ieņēmumi ir no nodokļu maksātājiem, kuru pamatdarbības veids ir būvniecība (8,5 % no kopējiem sociālās apdrošināšanas iemaksu ieņēmumiem) un nodokļu maksātājiem, kuru pamatdarbības veids ir pakalpojumu sniegšana (7,7 %). Pēc apjoma lielāko ieņēmumu pieaugumu 2012.gada </w:t>
      </w:r>
      <w:r>
        <w:rPr>
          <w:color w:val="000000"/>
          <w:sz w:val="28"/>
          <w:szCs w:val="28"/>
          <w:lang w:eastAsia="lv-LV"/>
        </w:rPr>
        <w:t>5</w:t>
      </w:r>
      <w:r w:rsidRPr="00C64F8E">
        <w:rPr>
          <w:color w:val="000000"/>
          <w:sz w:val="28"/>
          <w:szCs w:val="28"/>
          <w:lang w:eastAsia="lv-LV"/>
        </w:rPr>
        <w:t xml:space="preserve"> mēnešos, salīdzinot ar 2011.gada attiecīgo periodu, nodrošināja nodokļu maksātāji, kuru pamatdarbības veids ir būvniecība (par </w:t>
      </w:r>
      <w:r>
        <w:rPr>
          <w:color w:val="000000"/>
          <w:sz w:val="28"/>
          <w:szCs w:val="28"/>
          <w:lang w:eastAsia="lv-LV"/>
        </w:rPr>
        <w:t xml:space="preserve">Ls </w:t>
      </w:r>
      <w:r w:rsidRPr="00C64F8E">
        <w:rPr>
          <w:color w:val="000000"/>
          <w:sz w:val="28"/>
          <w:szCs w:val="28"/>
          <w:lang w:eastAsia="lv-LV"/>
        </w:rPr>
        <w:t>6,8</w:t>
      </w:r>
      <w:r>
        <w:rPr>
          <w:color w:val="000000"/>
          <w:sz w:val="28"/>
          <w:szCs w:val="28"/>
          <w:lang w:eastAsia="lv-LV"/>
        </w:rPr>
        <w:t xml:space="preserve">9 </w:t>
      </w:r>
      <w:proofErr w:type="spellStart"/>
      <w:r>
        <w:rPr>
          <w:color w:val="000000"/>
          <w:sz w:val="28"/>
          <w:szCs w:val="28"/>
          <w:lang w:eastAsia="lv-LV"/>
        </w:rPr>
        <w:t>milj</w:t>
      </w:r>
      <w:proofErr w:type="spellEnd"/>
      <w:r>
        <w:rPr>
          <w:color w:val="000000"/>
          <w:sz w:val="28"/>
          <w:szCs w:val="28"/>
          <w:lang w:eastAsia="lv-LV"/>
        </w:rPr>
        <w:t>. jeb 17,3 %).</w:t>
      </w:r>
    </w:p>
    <w:p w:rsidR="00BA2B09" w:rsidRPr="00AC382E" w:rsidRDefault="00BA2B09" w:rsidP="00AC382E">
      <w:pPr>
        <w:spacing w:after="0"/>
        <w:jc w:val="both"/>
        <w:rPr>
          <w:color w:val="000000"/>
          <w:sz w:val="20"/>
          <w:szCs w:val="20"/>
          <w:lang w:eastAsia="lv-LV"/>
        </w:rPr>
      </w:pPr>
    </w:p>
    <w:p w:rsidR="00BA2B09" w:rsidRPr="00716040" w:rsidRDefault="00BA2B09" w:rsidP="005D758A">
      <w:pPr>
        <w:spacing w:after="0"/>
        <w:ind w:firstLine="720"/>
        <w:jc w:val="right"/>
        <w:rPr>
          <w:color w:val="000000"/>
          <w:sz w:val="24"/>
          <w:szCs w:val="24"/>
          <w:lang w:eastAsia="lv-LV"/>
        </w:rPr>
      </w:pPr>
      <w:r>
        <w:rPr>
          <w:color w:val="000000"/>
          <w:sz w:val="24"/>
          <w:szCs w:val="24"/>
          <w:lang w:eastAsia="lv-LV"/>
        </w:rPr>
        <w:t>2</w:t>
      </w:r>
      <w:r w:rsidRPr="00716040">
        <w:rPr>
          <w:color w:val="000000"/>
          <w:sz w:val="24"/>
          <w:szCs w:val="24"/>
          <w:lang w:eastAsia="lv-LV"/>
        </w:rPr>
        <w:t>.attēls</w:t>
      </w:r>
    </w:p>
    <w:p w:rsidR="00BA2B09" w:rsidRPr="00BE2160" w:rsidRDefault="00BA2B09" w:rsidP="00716040">
      <w:pPr>
        <w:spacing w:after="0"/>
        <w:jc w:val="center"/>
        <w:rPr>
          <w:color w:val="000000"/>
          <w:sz w:val="26"/>
          <w:szCs w:val="26"/>
          <w:lang w:eastAsia="lv-LV"/>
        </w:rPr>
      </w:pPr>
      <w:r w:rsidRPr="00BE2160">
        <w:rPr>
          <w:color w:val="000000"/>
          <w:sz w:val="26"/>
          <w:szCs w:val="26"/>
          <w:lang w:eastAsia="lv-LV"/>
        </w:rPr>
        <w:t>Sociālās apdrošināšanas iemaksu ieņēmum</w:t>
      </w:r>
      <w:r>
        <w:rPr>
          <w:color w:val="000000"/>
          <w:sz w:val="26"/>
          <w:szCs w:val="26"/>
          <w:lang w:eastAsia="lv-LV"/>
        </w:rPr>
        <w:t>i</w:t>
      </w:r>
    </w:p>
    <w:p w:rsidR="00BA2B09" w:rsidRDefault="00BA2B09" w:rsidP="00716040">
      <w:pPr>
        <w:spacing w:after="0"/>
        <w:jc w:val="center"/>
        <w:rPr>
          <w:color w:val="000000"/>
          <w:sz w:val="26"/>
          <w:szCs w:val="26"/>
          <w:lang w:eastAsia="lv-LV"/>
        </w:rPr>
      </w:pPr>
      <w:r w:rsidRPr="00BE2160">
        <w:rPr>
          <w:color w:val="000000"/>
          <w:sz w:val="26"/>
          <w:szCs w:val="26"/>
          <w:lang w:eastAsia="lv-LV"/>
        </w:rPr>
        <w:t>piecos mēnešos no 2008. līdz 2012.gadam</w:t>
      </w:r>
    </w:p>
    <w:p w:rsidR="00BA2B09" w:rsidRPr="002C2A3A" w:rsidRDefault="00BA2B09" w:rsidP="00716040">
      <w:pPr>
        <w:spacing w:after="0"/>
        <w:jc w:val="center"/>
        <w:rPr>
          <w:color w:val="000000"/>
          <w:sz w:val="20"/>
          <w:szCs w:val="20"/>
          <w:lang w:eastAsia="lv-LV"/>
        </w:rPr>
      </w:pPr>
    </w:p>
    <w:p w:rsidR="00BA2B09" w:rsidRDefault="003231C4" w:rsidP="00716040">
      <w:pPr>
        <w:spacing w:after="0"/>
        <w:jc w:val="center"/>
        <w:rPr>
          <w:color w:val="000000"/>
          <w:sz w:val="28"/>
          <w:szCs w:val="28"/>
          <w:lang w:eastAsia="lv-LV"/>
        </w:rPr>
      </w:pPr>
      <w:bookmarkStart w:id="8" w:name="_MON_1402233438"/>
      <w:bookmarkStart w:id="9" w:name="_MON_1402301771"/>
      <w:bookmarkEnd w:id="8"/>
      <w:bookmarkEnd w:id="9"/>
      <w:r>
        <w:rPr>
          <w:noProof/>
          <w:color w:val="000000"/>
          <w:sz w:val="28"/>
          <w:szCs w:val="28"/>
          <w:lang w:eastAsia="lv-LV"/>
        </w:rPr>
        <w:drawing>
          <wp:inline distT="0" distB="0" distL="0" distR="0">
            <wp:extent cx="4981575"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3190875"/>
                    </a:xfrm>
                    <a:prstGeom prst="rect">
                      <a:avLst/>
                    </a:prstGeom>
                    <a:noFill/>
                    <a:ln>
                      <a:noFill/>
                    </a:ln>
                  </pic:spPr>
                </pic:pic>
              </a:graphicData>
            </a:graphic>
          </wp:inline>
        </w:drawing>
      </w:r>
    </w:p>
    <w:p w:rsidR="00BA2B09" w:rsidRPr="00AC382E" w:rsidRDefault="00BA2B09" w:rsidP="00D311E8">
      <w:pPr>
        <w:spacing w:after="0"/>
        <w:rPr>
          <w:color w:val="000000"/>
          <w:sz w:val="28"/>
          <w:szCs w:val="28"/>
          <w:lang w:eastAsia="lv-LV"/>
        </w:rPr>
      </w:pPr>
    </w:p>
    <w:p w:rsidR="00BA2B09" w:rsidRPr="00AC382E" w:rsidRDefault="00BA2B09" w:rsidP="00D92F6C">
      <w:pPr>
        <w:pStyle w:val="ListParagraph"/>
        <w:numPr>
          <w:ilvl w:val="0"/>
          <w:numId w:val="25"/>
        </w:numPr>
        <w:ind w:left="426" w:hanging="426"/>
        <w:jc w:val="center"/>
        <w:rPr>
          <w:b/>
          <w:bCs/>
          <w:color w:val="000000"/>
          <w:lang w:eastAsia="lv-LV"/>
        </w:rPr>
      </w:pPr>
      <w:r w:rsidRPr="00AC382E">
        <w:rPr>
          <w:b/>
          <w:bCs/>
          <w:color w:val="000000"/>
          <w:lang w:eastAsia="lv-LV"/>
        </w:rPr>
        <w:t>Darba samaksas rādītāji</w:t>
      </w:r>
    </w:p>
    <w:p w:rsidR="00BA2B09" w:rsidRPr="00D92F6C" w:rsidRDefault="00BA2B09" w:rsidP="00AC382E">
      <w:pPr>
        <w:spacing w:after="0"/>
        <w:jc w:val="both"/>
        <w:rPr>
          <w:color w:val="000000"/>
          <w:sz w:val="20"/>
          <w:szCs w:val="20"/>
          <w:lang w:eastAsia="lv-LV"/>
        </w:rPr>
      </w:pPr>
    </w:p>
    <w:p w:rsidR="00BA2B09" w:rsidRDefault="00BA2B09" w:rsidP="00AC382E">
      <w:pPr>
        <w:spacing w:after="0"/>
        <w:ind w:firstLine="720"/>
        <w:jc w:val="both"/>
        <w:rPr>
          <w:color w:val="000000"/>
          <w:sz w:val="28"/>
          <w:szCs w:val="28"/>
          <w:lang w:eastAsia="lv-LV"/>
        </w:rPr>
      </w:pPr>
      <w:r w:rsidRPr="00BE2160">
        <w:rPr>
          <w:color w:val="000000"/>
          <w:sz w:val="28"/>
          <w:szCs w:val="28"/>
          <w:lang w:eastAsia="lv-LV"/>
        </w:rPr>
        <w:t xml:space="preserve">Lai apzinātu tendences darba samaksas rādītājos, VID regulāri apkopo informāciju par darba ņēmējiem aprēķināto darba samaksu, kuru darba devēji ir deklarējuši VID iesniegtajos pārskatos “Ziņojums par valsts sociālās apdrošināšanas obligātajām iemaksām no darba ņēmēju darba ienākumiem, iedzīvotāju ienākuma nodokli un uzņēmējdarbības riska valsts nodevu pārskata mēnesī”. Tā </w:t>
      </w:r>
      <w:r>
        <w:rPr>
          <w:color w:val="000000"/>
          <w:sz w:val="28"/>
          <w:szCs w:val="28"/>
          <w:lang w:eastAsia="lv-LV"/>
        </w:rPr>
        <w:t>no 2010.gada janvāra līdz 2012.gada aprīlim vairāk kā 33 – 36</w:t>
      </w:r>
      <w:r w:rsidRPr="00BE2160">
        <w:rPr>
          <w:color w:val="000000"/>
          <w:sz w:val="28"/>
          <w:szCs w:val="28"/>
          <w:lang w:eastAsia="lv-LV"/>
        </w:rPr>
        <w:t xml:space="preserve"> % no darba vietām darba samaksa </w:t>
      </w:r>
      <w:r>
        <w:rPr>
          <w:color w:val="000000"/>
          <w:sz w:val="28"/>
          <w:szCs w:val="28"/>
          <w:lang w:eastAsia="lv-LV"/>
        </w:rPr>
        <w:t xml:space="preserve">pastāvīgi </w:t>
      </w:r>
      <w:r w:rsidRPr="00BE2160">
        <w:rPr>
          <w:color w:val="000000"/>
          <w:sz w:val="28"/>
          <w:szCs w:val="28"/>
          <w:lang w:eastAsia="lv-LV"/>
        </w:rPr>
        <w:t xml:space="preserve">netiek uzrādīta lielāka par </w:t>
      </w:r>
      <w:r w:rsidRPr="00BE2160">
        <w:rPr>
          <w:color w:val="000000"/>
          <w:sz w:val="28"/>
          <w:szCs w:val="28"/>
          <w:lang w:eastAsia="lv-LV"/>
        </w:rPr>
        <w:lastRenderedPageBreak/>
        <w:t>minimālo algu, tajā skaitā</w:t>
      </w:r>
      <w:r>
        <w:rPr>
          <w:color w:val="000000"/>
          <w:sz w:val="28"/>
          <w:szCs w:val="28"/>
          <w:lang w:eastAsia="lv-LV"/>
        </w:rPr>
        <w:t xml:space="preserve"> 9 – 11</w:t>
      </w:r>
      <w:r w:rsidRPr="00BE2160">
        <w:rPr>
          <w:color w:val="000000"/>
          <w:sz w:val="28"/>
          <w:szCs w:val="28"/>
          <w:lang w:eastAsia="lv-LV"/>
        </w:rPr>
        <w:t xml:space="preserve"> % no kopējā darba vietu skaita darba samaksa netiek noteikta vispār, </w:t>
      </w:r>
      <w:r>
        <w:rPr>
          <w:color w:val="000000"/>
          <w:sz w:val="28"/>
          <w:szCs w:val="28"/>
          <w:lang w:eastAsia="lv-LV"/>
        </w:rPr>
        <w:t>savukārt</w:t>
      </w:r>
      <w:r w:rsidRPr="00BE2160">
        <w:rPr>
          <w:color w:val="000000"/>
          <w:sz w:val="28"/>
          <w:szCs w:val="28"/>
          <w:lang w:eastAsia="lv-LV"/>
        </w:rPr>
        <w:t xml:space="preserve"> zem minimālās algas (</w:t>
      </w:r>
      <w:proofErr w:type="spellStart"/>
      <w:r w:rsidRPr="00BE2160">
        <w:rPr>
          <w:color w:val="000000"/>
          <w:sz w:val="28"/>
          <w:szCs w:val="28"/>
          <w:lang w:eastAsia="lv-LV"/>
        </w:rPr>
        <w:t>t.i</w:t>
      </w:r>
      <w:proofErr w:type="spellEnd"/>
      <w:r w:rsidRPr="00BE2160">
        <w:rPr>
          <w:color w:val="000000"/>
          <w:sz w:val="28"/>
          <w:szCs w:val="28"/>
          <w:lang w:eastAsia="lv-LV"/>
        </w:rPr>
        <w:t>. darba ņēmējiem tiek deklarēts</w:t>
      </w:r>
      <w:r>
        <w:rPr>
          <w:color w:val="000000"/>
          <w:sz w:val="28"/>
          <w:szCs w:val="28"/>
          <w:lang w:eastAsia="lv-LV"/>
        </w:rPr>
        <w:t>, ka</w:t>
      </w:r>
      <w:r w:rsidRPr="00BE2160">
        <w:rPr>
          <w:color w:val="000000"/>
          <w:sz w:val="28"/>
          <w:szCs w:val="28"/>
          <w:lang w:eastAsia="lv-LV"/>
        </w:rPr>
        <w:t xml:space="preserve"> nostrādāts nepilnais darba laiks) darba samaksa tiek noteikta </w:t>
      </w:r>
      <w:r>
        <w:rPr>
          <w:color w:val="000000"/>
          <w:sz w:val="28"/>
          <w:szCs w:val="28"/>
          <w:lang w:eastAsia="lv-LV"/>
        </w:rPr>
        <w:t>24 – 27</w:t>
      </w:r>
      <w:r w:rsidRPr="00BE2160">
        <w:rPr>
          <w:color w:val="000000"/>
          <w:sz w:val="28"/>
          <w:szCs w:val="28"/>
          <w:lang w:eastAsia="lv-LV"/>
        </w:rPr>
        <w:t xml:space="preserve"> % darba vietu. Minimālā alga tiek uzrādīta </w:t>
      </w:r>
      <w:r>
        <w:rPr>
          <w:color w:val="000000"/>
          <w:sz w:val="28"/>
          <w:szCs w:val="28"/>
          <w:lang w:eastAsia="lv-LV"/>
        </w:rPr>
        <w:t>5 – 6</w:t>
      </w:r>
      <w:r w:rsidRPr="00BE2160">
        <w:rPr>
          <w:color w:val="000000"/>
          <w:sz w:val="28"/>
          <w:szCs w:val="28"/>
          <w:lang w:eastAsia="lv-LV"/>
        </w:rPr>
        <w:t> % darba vietām neatkarīgi no valstī noteiktās minimālās darba samaksas. Ļoti lielu īpatsvaru (</w:t>
      </w:r>
      <w:r>
        <w:rPr>
          <w:color w:val="000000"/>
          <w:sz w:val="28"/>
          <w:szCs w:val="28"/>
          <w:lang w:eastAsia="lv-LV"/>
        </w:rPr>
        <w:t>37 – 40</w:t>
      </w:r>
      <w:r w:rsidRPr="00BE2160">
        <w:rPr>
          <w:color w:val="000000"/>
          <w:sz w:val="28"/>
          <w:szCs w:val="28"/>
          <w:lang w:eastAsia="lv-LV"/>
        </w:rPr>
        <w:t xml:space="preserve"> %) veido darba vietas ar darba samaksu no Ls 200 līdz Ls 500. Savukārt darba samaksa virs Ls 500 nepārsniedz </w:t>
      </w:r>
      <w:r>
        <w:rPr>
          <w:color w:val="000000"/>
          <w:sz w:val="28"/>
          <w:szCs w:val="28"/>
          <w:lang w:eastAsia="lv-LV"/>
        </w:rPr>
        <w:t>20 – 22</w:t>
      </w:r>
      <w:r w:rsidRPr="00BE2160">
        <w:rPr>
          <w:color w:val="000000"/>
          <w:sz w:val="28"/>
          <w:szCs w:val="28"/>
          <w:lang w:eastAsia="lv-LV"/>
        </w:rPr>
        <w:t> % darba vietu (skatīt 1.tabulu).</w:t>
      </w:r>
    </w:p>
    <w:p w:rsidR="00BA2B09" w:rsidRPr="00D92F6C" w:rsidRDefault="00BA2B09" w:rsidP="00AC382E">
      <w:pPr>
        <w:spacing w:after="0"/>
        <w:ind w:firstLine="720"/>
        <w:jc w:val="both"/>
        <w:rPr>
          <w:color w:val="000000"/>
          <w:lang w:eastAsia="lv-LV"/>
        </w:rPr>
      </w:pPr>
    </w:p>
    <w:p w:rsidR="00BA2B09" w:rsidRPr="00716040" w:rsidRDefault="00BA2B09" w:rsidP="00961443">
      <w:pPr>
        <w:spacing w:after="0"/>
        <w:jc w:val="right"/>
        <w:rPr>
          <w:color w:val="000000"/>
          <w:sz w:val="24"/>
          <w:szCs w:val="24"/>
          <w:lang w:eastAsia="lv-LV"/>
        </w:rPr>
      </w:pPr>
      <w:r w:rsidRPr="00716040">
        <w:rPr>
          <w:color w:val="000000"/>
          <w:sz w:val="24"/>
          <w:szCs w:val="24"/>
          <w:lang w:eastAsia="lv-LV"/>
        </w:rPr>
        <w:t>1.tabula</w:t>
      </w:r>
    </w:p>
    <w:p w:rsidR="00BA2B09" w:rsidRPr="00BE2160" w:rsidRDefault="00BA2B09" w:rsidP="00961443">
      <w:pPr>
        <w:spacing w:after="0"/>
        <w:jc w:val="center"/>
        <w:rPr>
          <w:color w:val="000000"/>
          <w:sz w:val="26"/>
          <w:szCs w:val="26"/>
          <w:lang w:eastAsia="lv-LV"/>
        </w:rPr>
      </w:pPr>
      <w:r w:rsidRPr="00BE2160">
        <w:rPr>
          <w:color w:val="000000"/>
          <w:sz w:val="26"/>
          <w:szCs w:val="26"/>
          <w:lang w:eastAsia="lv-LV"/>
        </w:rPr>
        <w:t>Darba vietu sadalījums pēc vidējās darba samaksas</w:t>
      </w:r>
    </w:p>
    <w:p w:rsidR="00BA2B09" w:rsidRDefault="00BA2B09" w:rsidP="00961443">
      <w:pPr>
        <w:spacing w:after="0"/>
        <w:jc w:val="center"/>
        <w:rPr>
          <w:color w:val="000000"/>
          <w:sz w:val="26"/>
          <w:szCs w:val="26"/>
          <w:lang w:eastAsia="lv-LV"/>
        </w:rPr>
      </w:pPr>
      <w:r>
        <w:rPr>
          <w:color w:val="000000"/>
          <w:sz w:val="26"/>
          <w:szCs w:val="26"/>
          <w:lang w:eastAsia="lv-LV"/>
        </w:rPr>
        <w:t xml:space="preserve"> no </w:t>
      </w:r>
      <w:r w:rsidRPr="00BE2160">
        <w:rPr>
          <w:color w:val="000000"/>
          <w:sz w:val="26"/>
          <w:szCs w:val="26"/>
          <w:lang w:eastAsia="lv-LV"/>
        </w:rPr>
        <w:t>201</w:t>
      </w:r>
      <w:r>
        <w:rPr>
          <w:color w:val="000000"/>
          <w:sz w:val="26"/>
          <w:szCs w:val="26"/>
          <w:lang w:eastAsia="lv-LV"/>
        </w:rPr>
        <w:t>0</w:t>
      </w:r>
      <w:r w:rsidRPr="00BE2160">
        <w:rPr>
          <w:color w:val="000000"/>
          <w:sz w:val="26"/>
          <w:szCs w:val="26"/>
          <w:lang w:eastAsia="lv-LV"/>
        </w:rPr>
        <w:t xml:space="preserve">.gada </w:t>
      </w:r>
      <w:r>
        <w:rPr>
          <w:color w:val="000000"/>
          <w:sz w:val="26"/>
          <w:szCs w:val="26"/>
          <w:lang w:eastAsia="lv-LV"/>
        </w:rPr>
        <w:t>janvāra līdz</w:t>
      </w:r>
      <w:r w:rsidRPr="00BE2160">
        <w:rPr>
          <w:color w:val="000000"/>
          <w:sz w:val="26"/>
          <w:szCs w:val="26"/>
          <w:lang w:eastAsia="lv-LV"/>
        </w:rPr>
        <w:t xml:space="preserve"> 201</w:t>
      </w:r>
      <w:r>
        <w:rPr>
          <w:color w:val="000000"/>
          <w:sz w:val="26"/>
          <w:szCs w:val="26"/>
          <w:lang w:eastAsia="lv-LV"/>
        </w:rPr>
        <w:t>2</w:t>
      </w:r>
      <w:r w:rsidRPr="00BE2160">
        <w:rPr>
          <w:color w:val="000000"/>
          <w:sz w:val="26"/>
          <w:szCs w:val="26"/>
          <w:lang w:eastAsia="lv-LV"/>
        </w:rPr>
        <w:t>.gada aprīl</w:t>
      </w:r>
      <w:r>
        <w:rPr>
          <w:color w:val="000000"/>
          <w:sz w:val="26"/>
          <w:szCs w:val="26"/>
          <w:lang w:eastAsia="lv-LV"/>
        </w:rPr>
        <w:t>im</w:t>
      </w:r>
    </w:p>
    <w:p w:rsidR="00BA2B09" w:rsidRPr="002C2A3A" w:rsidRDefault="00BA2B09" w:rsidP="00961443">
      <w:pPr>
        <w:spacing w:after="0"/>
        <w:jc w:val="center"/>
        <w:rPr>
          <w:color w:val="000000"/>
          <w:sz w:val="20"/>
          <w:szCs w:val="20"/>
          <w:lang w:eastAsia="lv-LV"/>
        </w:rPr>
      </w:pPr>
    </w:p>
    <w:p w:rsidR="00BA2B09" w:rsidRDefault="003231C4" w:rsidP="00961443">
      <w:pPr>
        <w:spacing w:after="0"/>
        <w:jc w:val="center"/>
        <w:rPr>
          <w:color w:val="000000"/>
          <w:sz w:val="16"/>
          <w:szCs w:val="16"/>
          <w:lang w:eastAsia="lv-LV"/>
        </w:rPr>
      </w:pPr>
      <w:r>
        <w:rPr>
          <w:noProof/>
          <w:lang w:eastAsia="lv-LV"/>
        </w:rPr>
        <w:drawing>
          <wp:inline distT="0" distB="0" distL="0" distR="0">
            <wp:extent cx="5895975" cy="245745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2457450"/>
                    </a:xfrm>
                    <a:prstGeom prst="rect">
                      <a:avLst/>
                    </a:prstGeom>
                    <a:noFill/>
                    <a:ln>
                      <a:noFill/>
                    </a:ln>
                  </pic:spPr>
                </pic:pic>
              </a:graphicData>
            </a:graphic>
          </wp:inline>
        </w:drawing>
      </w:r>
    </w:p>
    <w:p w:rsidR="00BA2B09" w:rsidRPr="00D311E8" w:rsidRDefault="00BA2B09" w:rsidP="00961443">
      <w:pPr>
        <w:spacing w:after="0"/>
        <w:jc w:val="center"/>
        <w:rPr>
          <w:color w:val="000000"/>
          <w:sz w:val="20"/>
          <w:szCs w:val="20"/>
          <w:lang w:eastAsia="lv-LV"/>
        </w:rPr>
      </w:pPr>
    </w:p>
    <w:p w:rsidR="00BA2B09" w:rsidRDefault="00BA2B09" w:rsidP="00EA5B3E">
      <w:pPr>
        <w:shd w:val="clear" w:color="auto" w:fill="FFFFFF"/>
        <w:spacing w:after="0"/>
        <w:ind w:firstLine="720"/>
        <w:jc w:val="both"/>
        <w:rPr>
          <w:color w:val="000000"/>
          <w:sz w:val="28"/>
          <w:szCs w:val="28"/>
          <w:lang w:eastAsia="lv-LV"/>
        </w:rPr>
      </w:pPr>
      <w:bookmarkStart w:id="10" w:name="_MON_1401273273"/>
      <w:bookmarkStart w:id="11" w:name="_MON_1401273324"/>
      <w:bookmarkStart w:id="12" w:name="_MON_1401265658"/>
      <w:bookmarkStart w:id="13" w:name="_MON_1401265668"/>
      <w:bookmarkStart w:id="14" w:name="_MON_1401624749"/>
      <w:bookmarkStart w:id="15" w:name="_MON_1401624767"/>
      <w:bookmarkStart w:id="16" w:name="_MON_1401625435"/>
      <w:bookmarkStart w:id="17" w:name="_MON_1354012891"/>
      <w:bookmarkStart w:id="18" w:name="_MON_1356337947"/>
      <w:bookmarkStart w:id="19" w:name="_MON_1357019092"/>
      <w:bookmarkStart w:id="20" w:name="_MON_1357019331"/>
      <w:bookmarkStart w:id="21" w:name="_MON_1357019389"/>
      <w:bookmarkStart w:id="22" w:name="_MON_1357019514"/>
      <w:bookmarkStart w:id="23" w:name="_MON_1357019524"/>
      <w:bookmarkStart w:id="24" w:name="_MON_1357020645"/>
      <w:bookmarkStart w:id="25" w:name="_MON_1357020842"/>
      <w:bookmarkStart w:id="26" w:name="_MON_1357024291"/>
      <w:bookmarkStart w:id="27" w:name="_MON_1357024511"/>
      <w:bookmarkStart w:id="28" w:name="_MON_1357024528"/>
      <w:bookmarkStart w:id="29" w:name="_MON_1357024714"/>
      <w:bookmarkStart w:id="30" w:name="_MON_1359524447"/>
      <w:bookmarkStart w:id="31" w:name="_MON_1359533667"/>
      <w:bookmarkStart w:id="32" w:name="_MON_1359542523"/>
      <w:bookmarkStart w:id="33" w:name="_MON_1359543138"/>
      <w:bookmarkStart w:id="34" w:name="_MON_1359547233"/>
      <w:bookmarkStart w:id="35" w:name="_MON_1359547372"/>
      <w:bookmarkStart w:id="36" w:name="_MON_1359552887"/>
      <w:bookmarkStart w:id="37" w:name="_MON_1361710148"/>
      <w:bookmarkStart w:id="38" w:name="_MON_1361711032"/>
      <w:bookmarkStart w:id="39" w:name="_MON_1361712869"/>
      <w:bookmarkStart w:id="40" w:name="_MON_1361771535"/>
      <w:bookmarkStart w:id="41" w:name="_MON_1361772629"/>
      <w:bookmarkStart w:id="42" w:name="_MON_1361773010"/>
      <w:bookmarkStart w:id="43" w:name="_MON_1361773768"/>
      <w:bookmarkStart w:id="44" w:name="_MON_1361773783"/>
      <w:bookmarkStart w:id="45" w:name="_MON_1361775642"/>
      <w:bookmarkStart w:id="46" w:name="_MON_1361788202"/>
      <w:bookmarkStart w:id="47" w:name="_MON_1361788652"/>
      <w:bookmarkStart w:id="48" w:name="_MON_1361857267"/>
      <w:bookmarkStart w:id="49" w:name="_MON_1361857577"/>
      <w:bookmarkStart w:id="50" w:name="_MON_1361874006"/>
      <w:bookmarkStart w:id="51" w:name="_MON_1361944008"/>
      <w:bookmarkStart w:id="52" w:name="_MON_1361944093"/>
      <w:bookmarkStart w:id="53" w:name="_MON_1364104091"/>
      <w:bookmarkStart w:id="54" w:name="_MON_1364104119"/>
      <w:bookmarkStart w:id="55" w:name="_MON_1364105043"/>
      <w:bookmarkStart w:id="56" w:name="_MON_1364105437"/>
      <w:bookmarkStart w:id="57" w:name="_MON_1364106756"/>
      <w:bookmarkStart w:id="58" w:name="_MON_1364107025"/>
      <w:bookmarkStart w:id="59" w:name="_MON_1364364375"/>
      <w:bookmarkStart w:id="60" w:name="_MON_1364364449"/>
      <w:bookmarkStart w:id="61" w:name="_MON_1364365042"/>
      <w:bookmarkStart w:id="62" w:name="_MON_1364365115"/>
      <w:bookmarkStart w:id="63" w:name="_MON_1367220053"/>
      <w:bookmarkStart w:id="64" w:name="_MON_1367220113"/>
      <w:bookmarkStart w:id="65" w:name="_MON_1367300581"/>
      <w:bookmarkStart w:id="66" w:name="_MON_1367300599"/>
      <w:bookmarkStart w:id="67" w:name="_MON_1369556574"/>
      <w:bookmarkStart w:id="68" w:name="_MON_1369557066"/>
      <w:bookmarkStart w:id="69" w:name="_MON_1369557678"/>
      <w:bookmarkStart w:id="70" w:name="_MON_1369567353"/>
      <w:bookmarkStart w:id="71" w:name="_MON_1369648662"/>
      <w:bookmarkStart w:id="72" w:name="_MON_1369648687"/>
      <w:bookmarkStart w:id="73" w:name="_MON_1372758473"/>
      <w:bookmarkStart w:id="74" w:name="_MON_1372830387"/>
      <w:bookmarkStart w:id="75" w:name="_MON_1372839245"/>
      <w:bookmarkStart w:id="76" w:name="_MON_1372839678"/>
      <w:bookmarkStart w:id="77" w:name="_MON_1375011957"/>
      <w:bookmarkStart w:id="78" w:name="_MON_1375084694"/>
      <w:bookmarkStart w:id="79" w:name="_MON_1375092760"/>
      <w:bookmarkStart w:id="80" w:name="_MON_1375093263"/>
      <w:bookmarkStart w:id="81" w:name="_MON_1378028717"/>
      <w:bookmarkStart w:id="82" w:name="_MON_1378101568"/>
      <w:bookmarkStart w:id="83" w:name="_MON_1378101605"/>
      <w:bookmarkStart w:id="84" w:name="_MON_1378105785"/>
      <w:bookmarkStart w:id="85" w:name="_MON_1380692348"/>
      <w:bookmarkStart w:id="86" w:name="_MON_1380692807"/>
      <w:bookmarkStart w:id="87" w:name="_MON_1380692816"/>
      <w:bookmarkStart w:id="88" w:name="_MON_1380692878"/>
      <w:bookmarkStart w:id="89" w:name="_MON_1380693123"/>
      <w:bookmarkStart w:id="90" w:name="_MON_1380693156"/>
      <w:bookmarkStart w:id="91" w:name="_MON_1380695289"/>
      <w:bookmarkStart w:id="92" w:name="_MON_1380697478"/>
      <w:bookmarkStart w:id="93" w:name="_MON_1382794230"/>
      <w:bookmarkStart w:id="94" w:name="_MON_1382878165"/>
      <w:bookmarkStart w:id="95" w:name="_MON_1383386071"/>
      <w:bookmarkStart w:id="96" w:name="_MON_1385209953"/>
      <w:bookmarkStart w:id="97" w:name="_MON_1385210036"/>
      <w:bookmarkStart w:id="98" w:name="_MON_1385210568"/>
      <w:bookmarkStart w:id="99" w:name="_MON_1385792292"/>
      <w:bookmarkStart w:id="100" w:name="_MON_1385792308"/>
      <w:bookmarkStart w:id="101" w:name="_MON_1385889749"/>
      <w:bookmarkStart w:id="102" w:name="_MON_1388228951"/>
      <w:bookmarkStart w:id="103" w:name="_MON_1388296406"/>
      <w:bookmarkStart w:id="104" w:name="_MON_1388310279"/>
      <w:bookmarkStart w:id="105" w:name="_MON_1390808139"/>
      <w:bookmarkStart w:id="106" w:name="_MON_1390809444"/>
      <w:bookmarkStart w:id="107" w:name="_MON_1390816233"/>
      <w:bookmarkStart w:id="108" w:name="_MON_1390816276"/>
      <w:bookmarkStart w:id="109" w:name="_MON_1391249158"/>
      <w:bookmarkStart w:id="110" w:name="_MON_1393747084"/>
      <w:bookmarkStart w:id="111" w:name="_MON_1393748043"/>
      <w:bookmarkStart w:id="112" w:name="_MON_1393748063"/>
      <w:bookmarkStart w:id="113" w:name="_MON_1394277987"/>
      <w:bookmarkStart w:id="114" w:name="_MON_1394278069"/>
      <w:bookmarkStart w:id="115" w:name="_MON_1396331400"/>
      <w:bookmarkStart w:id="116" w:name="_MON_1396331596"/>
      <w:bookmarkStart w:id="117" w:name="_MON_1396332482"/>
      <w:bookmarkStart w:id="118" w:name="_MON_1396332513"/>
      <w:bookmarkStart w:id="119" w:name="_MON_1396941196"/>
      <w:bookmarkStart w:id="120" w:name="_MON_1396945800"/>
      <w:bookmarkStart w:id="121" w:name="_MON_1396945819"/>
      <w:bookmarkStart w:id="122" w:name="_MON_1398759831"/>
      <w:bookmarkStart w:id="123" w:name="_MON_1398760348"/>
      <w:bookmarkStart w:id="124" w:name="_MON_1398760376"/>
      <w:bookmarkStart w:id="125" w:name="_MON_1398767143"/>
      <w:bookmarkStart w:id="126" w:name="_MON_1401616961"/>
      <w:bookmarkStart w:id="127" w:name="_MON_1401617836"/>
      <w:bookmarkStart w:id="128" w:name="_MON_1401618455"/>
      <w:bookmarkStart w:id="129" w:name="_MON_1401618459"/>
      <w:bookmarkStart w:id="130" w:name="_MON_1401618462"/>
      <w:bookmarkStart w:id="131" w:name="_MON_1401690105"/>
      <w:bookmarkStart w:id="132" w:name="_MON_1401702747"/>
      <w:bookmarkStart w:id="133" w:name="_MON_1401702788"/>
      <w:bookmarkStart w:id="134" w:name="_MON_1401702888"/>
      <w:bookmarkStart w:id="135" w:name="_MON_14017029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D1D93">
        <w:rPr>
          <w:color w:val="000000"/>
          <w:sz w:val="28"/>
          <w:szCs w:val="28"/>
          <w:lang w:eastAsia="lv-LV"/>
        </w:rPr>
        <w:t xml:space="preserve">2012.gada </w:t>
      </w:r>
      <w:r>
        <w:rPr>
          <w:color w:val="000000"/>
          <w:sz w:val="28"/>
          <w:szCs w:val="28"/>
          <w:lang w:eastAsia="lv-LV"/>
        </w:rPr>
        <w:t>aprīlī</w:t>
      </w:r>
      <w:r w:rsidRPr="00ED1D93">
        <w:rPr>
          <w:color w:val="000000"/>
          <w:sz w:val="28"/>
          <w:szCs w:val="28"/>
          <w:lang w:eastAsia="lv-LV"/>
        </w:rPr>
        <w:t xml:space="preserve"> valstī ir aptuveni </w:t>
      </w:r>
      <w:r>
        <w:rPr>
          <w:color w:val="000000"/>
          <w:sz w:val="28"/>
          <w:szCs w:val="28"/>
          <w:lang w:eastAsia="lv-LV"/>
        </w:rPr>
        <w:t>76</w:t>
      </w:r>
      <w:r w:rsidRPr="00ED1D93">
        <w:rPr>
          <w:color w:val="000000"/>
          <w:sz w:val="28"/>
          <w:szCs w:val="28"/>
          <w:lang w:eastAsia="lv-LV"/>
        </w:rPr>
        <w:t xml:space="preserve"> tūkstoši komercsabiedrības – darba devēji</w:t>
      </w:r>
      <w:r>
        <w:rPr>
          <w:color w:val="000000"/>
          <w:sz w:val="28"/>
          <w:szCs w:val="28"/>
          <w:lang w:eastAsia="lv-LV"/>
        </w:rPr>
        <w:t xml:space="preserve"> (salīdzinot ar 2011.gada aprīli, to skaits ir pieaudzis par 510 komercsabiedrībām)</w:t>
      </w:r>
      <w:r w:rsidRPr="00ED1D93">
        <w:rPr>
          <w:color w:val="000000"/>
          <w:sz w:val="28"/>
          <w:szCs w:val="28"/>
          <w:lang w:eastAsia="lv-LV"/>
        </w:rPr>
        <w:t xml:space="preserve">, </w:t>
      </w:r>
      <w:r>
        <w:rPr>
          <w:color w:val="000000"/>
          <w:sz w:val="28"/>
          <w:szCs w:val="28"/>
          <w:lang w:eastAsia="lv-LV"/>
        </w:rPr>
        <w:t>n</w:t>
      </w:r>
      <w:r w:rsidRPr="00ED1D93">
        <w:rPr>
          <w:color w:val="000000"/>
          <w:sz w:val="28"/>
          <w:szCs w:val="28"/>
          <w:lang w:eastAsia="lv-LV"/>
        </w:rPr>
        <w:t xml:space="preserve">o </w:t>
      </w:r>
      <w:r>
        <w:rPr>
          <w:color w:val="000000"/>
          <w:sz w:val="28"/>
          <w:szCs w:val="28"/>
          <w:lang w:eastAsia="lv-LV"/>
        </w:rPr>
        <w:t>kurām</w:t>
      </w:r>
      <w:r w:rsidRPr="00ED1D93">
        <w:rPr>
          <w:color w:val="000000"/>
          <w:sz w:val="28"/>
          <w:szCs w:val="28"/>
          <w:lang w:eastAsia="lv-LV"/>
        </w:rPr>
        <w:t xml:space="preserve"> </w:t>
      </w:r>
      <w:r>
        <w:rPr>
          <w:color w:val="000000"/>
          <w:sz w:val="28"/>
          <w:szCs w:val="28"/>
          <w:lang w:eastAsia="lv-LV"/>
        </w:rPr>
        <w:t>18</w:t>
      </w:r>
      <w:r w:rsidRPr="00ED1D93">
        <w:rPr>
          <w:color w:val="000000"/>
          <w:sz w:val="28"/>
          <w:szCs w:val="28"/>
          <w:lang w:eastAsia="lv-LV"/>
        </w:rPr>
        <w:t xml:space="preserve"> % </w:t>
      </w:r>
      <w:r>
        <w:rPr>
          <w:color w:val="000000"/>
          <w:sz w:val="28"/>
          <w:szCs w:val="28"/>
          <w:lang w:eastAsia="lv-LV"/>
        </w:rPr>
        <w:t xml:space="preserve">(2011.gada aprīlī – 19 %) </w:t>
      </w:r>
      <w:r w:rsidRPr="00ED1D93">
        <w:rPr>
          <w:color w:val="000000"/>
          <w:sz w:val="28"/>
          <w:szCs w:val="28"/>
          <w:lang w:eastAsia="lv-LV"/>
        </w:rPr>
        <w:t xml:space="preserve">nedeklarē nevienu darba ņēmēju, tādējādi darba samaksa netiek maksāta nevienam darba ņēmējam. Šādu situāciju komersanti skaidro ar to, ka darbu paveic valdes locekļi savu pienākumu ietvaros un algoti darba ņēmēji tiem nav nepieciešami. </w:t>
      </w:r>
    </w:p>
    <w:p w:rsidR="00BA2B09" w:rsidRDefault="00BA2B09" w:rsidP="00EA5B3E">
      <w:pPr>
        <w:shd w:val="clear" w:color="auto" w:fill="FFFFFF"/>
        <w:spacing w:after="0"/>
        <w:ind w:firstLine="720"/>
        <w:jc w:val="both"/>
        <w:rPr>
          <w:color w:val="000000"/>
          <w:sz w:val="28"/>
          <w:szCs w:val="28"/>
          <w:lang w:eastAsia="lv-LV"/>
        </w:rPr>
      </w:pPr>
      <w:r w:rsidRPr="00ED1D93">
        <w:rPr>
          <w:color w:val="000000"/>
          <w:sz w:val="28"/>
          <w:szCs w:val="28"/>
          <w:lang w:eastAsia="lv-LV"/>
        </w:rPr>
        <w:t xml:space="preserve">Lielāko īpatsvaru </w:t>
      </w:r>
      <w:r>
        <w:rPr>
          <w:color w:val="000000"/>
          <w:sz w:val="28"/>
          <w:szCs w:val="28"/>
          <w:lang w:eastAsia="lv-LV"/>
        </w:rPr>
        <w:t xml:space="preserve">darba devēju skaitā </w:t>
      </w:r>
      <w:r w:rsidRPr="00ED1D93">
        <w:rPr>
          <w:color w:val="000000"/>
          <w:sz w:val="28"/>
          <w:szCs w:val="28"/>
          <w:lang w:eastAsia="lv-LV"/>
        </w:rPr>
        <w:t>(</w:t>
      </w:r>
      <w:r>
        <w:rPr>
          <w:color w:val="000000"/>
          <w:sz w:val="28"/>
          <w:szCs w:val="28"/>
          <w:lang w:eastAsia="lv-LV"/>
        </w:rPr>
        <w:t>55</w:t>
      </w:r>
      <w:r w:rsidRPr="00ED1D93">
        <w:rPr>
          <w:color w:val="000000"/>
          <w:sz w:val="28"/>
          <w:szCs w:val="28"/>
          <w:lang w:eastAsia="lv-LV"/>
        </w:rPr>
        <w:t> %)</w:t>
      </w:r>
      <w:r>
        <w:rPr>
          <w:color w:val="000000"/>
          <w:sz w:val="28"/>
          <w:szCs w:val="28"/>
          <w:lang w:eastAsia="lv-LV"/>
        </w:rPr>
        <w:t xml:space="preserve"> gan 2012.gada aprīlī, gan 2011.gada aprīlī</w:t>
      </w:r>
      <w:r w:rsidRPr="00ED1D93">
        <w:rPr>
          <w:color w:val="000000"/>
          <w:sz w:val="28"/>
          <w:szCs w:val="28"/>
          <w:lang w:eastAsia="lv-LV"/>
        </w:rPr>
        <w:t xml:space="preserve"> veido komersanti, kuru deklarētā vidējā darba samaksa ir zem valstī noteiktās minimālās algas, kas </w:t>
      </w:r>
      <w:r>
        <w:rPr>
          <w:color w:val="000000"/>
          <w:sz w:val="28"/>
          <w:szCs w:val="28"/>
          <w:lang w:eastAsia="lv-LV"/>
        </w:rPr>
        <w:t xml:space="preserve">pēc komersanta sniegtās informācija </w:t>
      </w:r>
      <w:r w:rsidRPr="00ED1D93">
        <w:rPr>
          <w:color w:val="000000"/>
          <w:sz w:val="28"/>
          <w:szCs w:val="28"/>
          <w:lang w:eastAsia="lv-LV"/>
        </w:rPr>
        <w:t xml:space="preserve">nozīmē, ka lielākā daļa darba ņēmēju tiek nodarbināti nepilnu darba laiku. </w:t>
      </w:r>
      <w:r>
        <w:rPr>
          <w:color w:val="000000"/>
          <w:sz w:val="28"/>
          <w:szCs w:val="28"/>
          <w:lang w:eastAsia="lv-LV"/>
        </w:rPr>
        <w:t>2012.gada aprīlī un 2011.gada aprīlī d</w:t>
      </w:r>
      <w:r w:rsidRPr="00ED1D93">
        <w:rPr>
          <w:color w:val="000000"/>
          <w:sz w:val="28"/>
          <w:szCs w:val="28"/>
          <w:lang w:eastAsia="lv-LV"/>
        </w:rPr>
        <w:t>arba devēju īpatsvars, kas maksā vidējo algu ne mazāk un ne vairāk kā valstī noteiktās minimālās algas apmērā</w:t>
      </w:r>
      <w:r>
        <w:rPr>
          <w:color w:val="000000"/>
          <w:sz w:val="28"/>
          <w:szCs w:val="28"/>
          <w:lang w:eastAsia="lv-LV"/>
        </w:rPr>
        <w:t xml:space="preserve"> ir 4%, savukārt</w:t>
      </w:r>
      <w:r w:rsidRPr="00ED1D93">
        <w:rPr>
          <w:color w:val="000000"/>
          <w:sz w:val="28"/>
          <w:szCs w:val="28"/>
          <w:lang w:eastAsia="lv-LV"/>
        </w:rPr>
        <w:t xml:space="preserve"> </w:t>
      </w:r>
      <w:r>
        <w:rPr>
          <w:color w:val="000000"/>
          <w:sz w:val="28"/>
          <w:szCs w:val="28"/>
          <w:lang w:eastAsia="lv-LV"/>
        </w:rPr>
        <w:t>t</w:t>
      </w:r>
      <w:r w:rsidRPr="00ED1D93">
        <w:rPr>
          <w:color w:val="000000"/>
          <w:sz w:val="28"/>
          <w:szCs w:val="28"/>
          <w:lang w:eastAsia="lv-LV"/>
        </w:rPr>
        <w:t>ādi darba devēji – komercsabiedrības, kur</w:t>
      </w:r>
      <w:r>
        <w:rPr>
          <w:color w:val="000000"/>
          <w:sz w:val="28"/>
          <w:szCs w:val="28"/>
          <w:lang w:eastAsia="lv-LV"/>
        </w:rPr>
        <w:t>as</w:t>
      </w:r>
      <w:r w:rsidRPr="00ED1D93">
        <w:rPr>
          <w:color w:val="000000"/>
          <w:sz w:val="28"/>
          <w:szCs w:val="28"/>
          <w:lang w:eastAsia="lv-LV"/>
        </w:rPr>
        <w:t xml:space="preserve"> maksā vidējo algu lielāku par Ls 500, ir tikai </w:t>
      </w:r>
      <w:r>
        <w:rPr>
          <w:color w:val="000000"/>
          <w:sz w:val="28"/>
          <w:szCs w:val="28"/>
          <w:lang w:eastAsia="lv-LV"/>
        </w:rPr>
        <w:t>6</w:t>
      </w:r>
      <w:r w:rsidRPr="00ED1D93">
        <w:rPr>
          <w:color w:val="000000"/>
          <w:sz w:val="28"/>
          <w:szCs w:val="28"/>
          <w:lang w:eastAsia="lv-LV"/>
        </w:rPr>
        <w:t>%</w:t>
      </w:r>
      <w:r>
        <w:rPr>
          <w:color w:val="000000"/>
          <w:sz w:val="28"/>
          <w:szCs w:val="28"/>
          <w:lang w:eastAsia="lv-LV"/>
        </w:rPr>
        <w:t>, kas, salīdzinot ar 2011.gada aprīlī, ir par 0,4 procentpunktiem vairāk (skatīt 2.tabulu)</w:t>
      </w:r>
      <w:r w:rsidRPr="00ED1D93">
        <w:rPr>
          <w:color w:val="000000"/>
          <w:sz w:val="28"/>
          <w:szCs w:val="28"/>
          <w:lang w:eastAsia="lv-LV"/>
        </w:rPr>
        <w:t>.</w:t>
      </w:r>
    </w:p>
    <w:p w:rsidR="00BA2B09" w:rsidRDefault="00BA2B09" w:rsidP="00EA5B3E">
      <w:pPr>
        <w:shd w:val="clear" w:color="auto" w:fill="FFFFFF"/>
        <w:spacing w:after="0"/>
        <w:ind w:firstLine="720"/>
        <w:jc w:val="both"/>
        <w:rPr>
          <w:color w:val="000000"/>
          <w:sz w:val="28"/>
          <w:szCs w:val="28"/>
          <w:lang w:eastAsia="lv-LV"/>
        </w:rPr>
      </w:pPr>
    </w:p>
    <w:p w:rsidR="00BA2B09" w:rsidRDefault="00BA2B09" w:rsidP="00EA5B3E">
      <w:pPr>
        <w:shd w:val="clear" w:color="auto" w:fill="FFFFFF"/>
        <w:spacing w:after="0"/>
        <w:ind w:firstLine="720"/>
        <w:jc w:val="both"/>
        <w:rPr>
          <w:color w:val="000000"/>
          <w:sz w:val="28"/>
          <w:szCs w:val="28"/>
          <w:lang w:eastAsia="lv-LV"/>
        </w:rPr>
      </w:pPr>
    </w:p>
    <w:p w:rsidR="00BA2B09" w:rsidRPr="00ED1D93" w:rsidRDefault="00BA2B09" w:rsidP="000C1E7C">
      <w:pPr>
        <w:spacing w:after="0"/>
        <w:jc w:val="right"/>
        <w:rPr>
          <w:color w:val="000000"/>
          <w:sz w:val="24"/>
          <w:szCs w:val="24"/>
          <w:lang w:eastAsia="lv-LV"/>
        </w:rPr>
      </w:pPr>
      <w:r w:rsidRPr="00ED1D93">
        <w:rPr>
          <w:color w:val="000000"/>
          <w:sz w:val="24"/>
          <w:szCs w:val="24"/>
          <w:lang w:eastAsia="lv-LV"/>
        </w:rPr>
        <w:lastRenderedPageBreak/>
        <w:t>2.tabula</w:t>
      </w:r>
    </w:p>
    <w:p w:rsidR="00BA2B09" w:rsidRPr="00961443" w:rsidRDefault="00BA2B09" w:rsidP="000C1E7C">
      <w:pPr>
        <w:spacing w:after="0"/>
        <w:jc w:val="center"/>
        <w:rPr>
          <w:color w:val="000000"/>
          <w:sz w:val="26"/>
          <w:szCs w:val="26"/>
          <w:lang w:eastAsia="lv-LV"/>
        </w:rPr>
      </w:pPr>
      <w:r w:rsidRPr="000C1E7C">
        <w:rPr>
          <w:color w:val="000000"/>
          <w:sz w:val="26"/>
          <w:szCs w:val="26"/>
          <w:lang w:eastAsia="lv-LV"/>
        </w:rPr>
        <w:t>Darba devēju sadalījums pēc darba ņēmējiem aprēķinātās vidējās darba samaksas</w:t>
      </w:r>
    </w:p>
    <w:p w:rsidR="00BA2B09" w:rsidRDefault="00BA2B09" w:rsidP="000C1E7C">
      <w:pPr>
        <w:spacing w:after="0"/>
        <w:jc w:val="center"/>
        <w:rPr>
          <w:color w:val="000000"/>
          <w:sz w:val="26"/>
          <w:szCs w:val="26"/>
          <w:lang w:eastAsia="lv-LV"/>
        </w:rPr>
      </w:pPr>
      <w:r w:rsidRPr="00BE2160">
        <w:rPr>
          <w:color w:val="000000"/>
          <w:sz w:val="26"/>
          <w:szCs w:val="26"/>
          <w:lang w:eastAsia="lv-LV"/>
        </w:rPr>
        <w:t>2012.gada aprīlī, martā un 2011.gada aprīlī</w:t>
      </w:r>
    </w:p>
    <w:p w:rsidR="00BA2B09" w:rsidRPr="002C2A3A" w:rsidRDefault="00BA2B09" w:rsidP="000C1E7C">
      <w:pPr>
        <w:spacing w:after="0"/>
        <w:jc w:val="center"/>
        <w:rPr>
          <w:color w:val="000000"/>
          <w:sz w:val="20"/>
          <w:szCs w:val="20"/>
          <w:lang w:eastAsia="lv-LV"/>
        </w:rPr>
      </w:pPr>
    </w:p>
    <w:bookmarkStart w:id="136" w:name="_MON_1228800851"/>
    <w:bookmarkStart w:id="137" w:name="_MON_1228801055"/>
    <w:bookmarkStart w:id="138" w:name="_MON_1231758713"/>
    <w:bookmarkStart w:id="139" w:name="_MON_1231758803"/>
    <w:bookmarkStart w:id="140" w:name="_MON_1234250851"/>
    <w:bookmarkStart w:id="141" w:name="_MON_1234252182"/>
    <w:bookmarkStart w:id="142" w:name="_MON_1237976509"/>
    <w:bookmarkStart w:id="143" w:name="_MON_1237977211"/>
    <w:bookmarkStart w:id="144" w:name="_MON_1240295324"/>
    <w:bookmarkStart w:id="145" w:name="_MON_1240295377"/>
    <w:bookmarkStart w:id="146" w:name="_MON_1243146843"/>
    <w:bookmarkStart w:id="147" w:name="_MON_1243147048"/>
    <w:bookmarkStart w:id="148" w:name="_MON_1244442306"/>
    <w:bookmarkStart w:id="149" w:name="_MON_1244458568"/>
    <w:bookmarkStart w:id="150" w:name="_MON_1245739145"/>
    <w:bookmarkStart w:id="151" w:name="_MON_1248848000"/>
    <w:bookmarkStart w:id="152" w:name="_MON_1251718537"/>
    <w:bookmarkStart w:id="153" w:name="_MON_1251718567"/>
    <w:bookmarkStart w:id="154" w:name="_MON_1254226222"/>
    <w:bookmarkStart w:id="155" w:name="_MON_1254227834"/>
    <w:bookmarkStart w:id="156" w:name="_MON_1256735326"/>
    <w:bookmarkStart w:id="157" w:name="_MON_1257149119"/>
    <w:bookmarkStart w:id="158" w:name="_MON_1258958274"/>
    <w:bookmarkStart w:id="159" w:name="_MON_1259576253"/>
    <w:bookmarkStart w:id="160" w:name="_MON_1259738972"/>
    <w:bookmarkStart w:id="161" w:name="_MON_1259738993"/>
    <w:bookmarkStart w:id="162" w:name="_MON_1259739047"/>
    <w:bookmarkStart w:id="163" w:name="_MON_1259739066"/>
    <w:bookmarkStart w:id="164" w:name="_MON_1259739083"/>
    <w:bookmarkStart w:id="165" w:name="_MON_1259739112"/>
    <w:bookmarkStart w:id="166" w:name="_MON_1259739157"/>
    <w:bookmarkStart w:id="167" w:name="_MON_1259739191"/>
    <w:bookmarkStart w:id="168" w:name="_MON_1262154808"/>
    <w:bookmarkStart w:id="169" w:name="_MON_1262155456"/>
    <w:bookmarkStart w:id="170" w:name="_MON_1262155618"/>
    <w:bookmarkStart w:id="171" w:name="_MON_1262155628"/>
    <w:bookmarkStart w:id="172" w:name="_MON_1264939138"/>
    <w:bookmarkStart w:id="173" w:name="_MON_1264944426"/>
    <w:bookmarkStart w:id="174" w:name="_MON_1264944778"/>
    <w:bookmarkStart w:id="175" w:name="_MON_1264944787"/>
    <w:bookmarkStart w:id="176" w:name="_MON_1264944801"/>
    <w:bookmarkStart w:id="177" w:name="_MON_1267437883"/>
    <w:bookmarkStart w:id="178" w:name="_MON_1267508280"/>
    <w:bookmarkStart w:id="179" w:name="_MON_1267508372"/>
    <w:bookmarkStart w:id="180" w:name="_MON_1267508394"/>
    <w:bookmarkStart w:id="181" w:name="_MON_1267508694"/>
    <w:bookmarkStart w:id="182" w:name="_MON_1267510823"/>
    <w:bookmarkStart w:id="183" w:name="_MON_1268055100"/>
    <w:bookmarkStart w:id="184" w:name="_MON_1268055146"/>
    <w:bookmarkStart w:id="185" w:name="_MON_1268055157"/>
    <w:bookmarkStart w:id="186" w:name="_MON_1268055173"/>
    <w:bookmarkStart w:id="187" w:name="_MON_1268132634"/>
    <w:bookmarkStart w:id="188" w:name="_MON_1268132647"/>
    <w:bookmarkStart w:id="189" w:name="_MON_1272720675"/>
    <w:bookmarkStart w:id="190" w:name="_MON_1272721099"/>
    <w:bookmarkStart w:id="191" w:name="_MON_1272800960"/>
    <w:bookmarkStart w:id="192" w:name="_MON_1272801617"/>
    <w:bookmarkStart w:id="193" w:name="_MON_1273317928"/>
    <w:bookmarkStart w:id="194" w:name="_MON_1273318044"/>
    <w:bookmarkStart w:id="195" w:name="_MON_1275380369"/>
    <w:bookmarkStart w:id="196" w:name="_MON_1275398161"/>
    <w:bookmarkStart w:id="197" w:name="_MON_1275398756"/>
    <w:bookmarkStart w:id="198" w:name="_MON_1277281066"/>
    <w:bookmarkStart w:id="199" w:name="_MON_1277281408"/>
    <w:bookmarkStart w:id="200" w:name="_MON_1277535801"/>
    <w:bookmarkStart w:id="201" w:name="_MON_1280820060"/>
    <w:bookmarkStart w:id="202" w:name="_MON_1280820957"/>
    <w:bookmarkStart w:id="203" w:name="_MON_1280821003"/>
    <w:bookmarkStart w:id="204" w:name="_MON_1280821654"/>
    <w:bookmarkStart w:id="205" w:name="_MON_1282991347"/>
    <w:bookmarkStart w:id="206" w:name="_MON_1282991434"/>
    <w:bookmarkStart w:id="207" w:name="_MON_1285417473"/>
    <w:bookmarkStart w:id="208" w:name="_MON_1285417674"/>
    <w:bookmarkStart w:id="209" w:name="_MON_1288071226"/>
    <w:bookmarkStart w:id="210" w:name="_MON_1288071491"/>
    <w:bookmarkStart w:id="211" w:name="_MON_1288071784"/>
    <w:bookmarkStart w:id="212" w:name="_MON_1290929715"/>
    <w:bookmarkStart w:id="213" w:name="_MON_1290929762"/>
    <w:bookmarkStart w:id="214" w:name="_MON_1290942754"/>
    <w:bookmarkStart w:id="215" w:name="_MON_1290945733"/>
    <w:bookmarkStart w:id="216" w:name="_MON_1290945810"/>
    <w:bookmarkStart w:id="217" w:name="_MON_1290945942"/>
    <w:bookmarkStart w:id="218" w:name="_MON_1294662310"/>
    <w:bookmarkStart w:id="219" w:name="_MON_1296886668"/>
    <w:bookmarkStart w:id="220" w:name="_MON_1296975764"/>
    <w:bookmarkStart w:id="221" w:name="_MON_1296975925"/>
    <w:bookmarkStart w:id="222" w:name="_MON_1298971518"/>
    <w:bookmarkStart w:id="223" w:name="_MON_1298971829"/>
    <w:bookmarkStart w:id="224" w:name="_MON_1301393415"/>
    <w:bookmarkStart w:id="225" w:name="_MON_1301393954"/>
    <w:bookmarkStart w:id="226" w:name="_MON_1301395371"/>
    <w:bookmarkStart w:id="227" w:name="_MON_1304747227"/>
    <w:bookmarkStart w:id="228" w:name="_MON_1304747690"/>
    <w:bookmarkStart w:id="229" w:name="_MON_1304747701"/>
    <w:bookmarkStart w:id="230" w:name="_MON_1304747714"/>
    <w:bookmarkStart w:id="231" w:name="_MON_1306566348"/>
    <w:bookmarkStart w:id="232" w:name="_MON_1306587669"/>
    <w:bookmarkStart w:id="233" w:name="_MON_1306662569"/>
    <w:bookmarkStart w:id="234" w:name="_MON_1309000840"/>
    <w:bookmarkStart w:id="235" w:name="_MON_1309001173"/>
    <w:bookmarkStart w:id="236" w:name="_MON_1309069476"/>
    <w:bookmarkStart w:id="237" w:name="_MON_1309071151"/>
    <w:bookmarkStart w:id="238" w:name="_MON_1309072092"/>
    <w:bookmarkStart w:id="239" w:name="_MON_1309092303"/>
    <w:bookmarkStart w:id="240" w:name="_MON_1309092320"/>
    <w:bookmarkStart w:id="241" w:name="_MON_1310815383"/>
    <w:bookmarkStart w:id="242" w:name="_MON_1312626692"/>
    <w:bookmarkStart w:id="243" w:name="_MON_1312627166"/>
    <w:bookmarkStart w:id="244" w:name="_MON_1314445729"/>
    <w:bookmarkStart w:id="245" w:name="_MON_1317448979"/>
    <w:bookmarkStart w:id="246" w:name="_MON_1317451024"/>
    <w:bookmarkStart w:id="247" w:name="_MON_1319966786"/>
    <w:bookmarkStart w:id="248" w:name="_MON_1319967655"/>
    <w:bookmarkStart w:id="249" w:name="_MON_1319972889"/>
    <w:bookmarkStart w:id="250" w:name="_MON_1320139684"/>
    <w:bookmarkStart w:id="251" w:name="_MON_1320139712"/>
    <w:bookmarkStart w:id="252" w:name="_MON_1320139730"/>
    <w:bookmarkStart w:id="253" w:name="_MON_1320139982"/>
    <w:bookmarkStart w:id="254" w:name="_MON_1320141482"/>
    <w:bookmarkStart w:id="255" w:name="_MON_1320141520"/>
    <w:bookmarkStart w:id="256" w:name="_MON_1320574058"/>
    <w:bookmarkStart w:id="257" w:name="_MON_1320574075"/>
    <w:bookmarkStart w:id="258" w:name="_MON_1320574090"/>
    <w:bookmarkStart w:id="259" w:name="_MON_1320574107"/>
    <w:bookmarkStart w:id="260" w:name="_MON_1320574135"/>
    <w:bookmarkStart w:id="261" w:name="_MON_1320574148"/>
    <w:bookmarkStart w:id="262" w:name="_MON_1320574156"/>
    <w:bookmarkStart w:id="263" w:name="_MON_1320574174"/>
    <w:bookmarkStart w:id="264" w:name="_MON_1320574184"/>
    <w:bookmarkStart w:id="265" w:name="_MON_1320574229"/>
    <w:bookmarkStart w:id="266" w:name="_MON_1320574271"/>
    <w:bookmarkStart w:id="267" w:name="_MON_1320574293"/>
    <w:bookmarkStart w:id="268" w:name="_MON_1322391004"/>
    <w:bookmarkStart w:id="269" w:name="_MON_1322391337"/>
    <w:bookmarkStart w:id="270" w:name="_MON_1322392201"/>
    <w:bookmarkStart w:id="271" w:name="_MON_1322392837"/>
    <w:bookmarkStart w:id="272" w:name="_MON_1322392863"/>
    <w:bookmarkStart w:id="273" w:name="_MON_1322392984"/>
    <w:bookmarkStart w:id="274" w:name="_MON_1322460733"/>
    <w:bookmarkStart w:id="275" w:name="_MON_1322477560"/>
    <w:bookmarkStart w:id="276" w:name="_MON_1322477575"/>
    <w:bookmarkStart w:id="277" w:name="_MON_1322478802"/>
    <w:bookmarkStart w:id="278" w:name="_MON_1325076512"/>
    <w:bookmarkStart w:id="279" w:name="_MON_1327905471"/>
    <w:bookmarkStart w:id="280" w:name="_MON_1327906030"/>
    <w:bookmarkStart w:id="281" w:name="_MON_1327907151"/>
    <w:bookmarkStart w:id="282" w:name="_MON_1327907524"/>
    <w:bookmarkStart w:id="283" w:name="_MON_1330172416"/>
    <w:bookmarkStart w:id="284" w:name="_MON_1330172903"/>
    <w:bookmarkStart w:id="285" w:name="_MON_1330173367"/>
    <w:bookmarkStart w:id="286" w:name="_MON_1332918870"/>
    <w:bookmarkStart w:id="287" w:name="_MON_1332919801"/>
    <w:bookmarkStart w:id="288" w:name="_MON_1333179041"/>
    <w:bookmarkStart w:id="289" w:name="_MON_1335168163"/>
    <w:bookmarkStart w:id="290" w:name="_MON_1335168244"/>
    <w:bookmarkStart w:id="291" w:name="_MON_1335347928"/>
    <w:bookmarkStart w:id="292" w:name="_MON_1335348215"/>
    <w:bookmarkStart w:id="293" w:name="_MON_1335348263"/>
    <w:bookmarkStart w:id="294" w:name="_MON_1338268972"/>
    <w:bookmarkStart w:id="295" w:name="_MON_1340607629"/>
    <w:bookmarkStart w:id="296" w:name="_MON_1343477671"/>
    <w:bookmarkStart w:id="297" w:name="_MON_1343478314"/>
    <w:bookmarkStart w:id="298" w:name="_MON_1345898935"/>
    <w:bookmarkStart w:id="299" w:name="_MON_1345899098"/>
    <w:bookmarkStart w:id="300" w:name="_MON_1349156537"/>
    <w:bookmarkStart w:id="301" w:name="_MON_1349157427"/>
    <w:bookmarkStart w:id="302" w:name="_MON_1349158159"/>
    <w:bookmarkStart w:id="303" w:name="_MON_1349528104"/>
    <w:bookmarkStart w:id="304" w:name="_MON_1351333339"/>
    <w:bookmarkStart w:id="305" w:name="_MON_1351333943"/>
    <w:bookmarkStart w:id="306" w:name="_MON_1351416741"/>
    <w:bookmarkStart w:id="307" w:name="_MON_1351417637"/>
    <w:bookmarkStart w:id="308" w:name="_MON_1353913189"/>
    <w:bookmarkStart w:id="309" w:name="_MON_1353914153"/>
    <w:bookmarkStart w:id="310" w:name="_MON_1356338288"/>
    <w:bookmarkStart w:id="311" w:name="_MON_1357020522"/>
    <w:bookmarkStart w:id="312" w:name="_MON_1357020906"/>
    <w:bookmarkStart w:id="313" w:name="_MON_1357020921"/>
    <w:bookmarkStart w:id="314" w:name="_MON_1357021202"/>
    <w:bookmarkStart w:id="315" w:name="_MON_1357030226"/>
    <w:bookmarkStart w:id="316" w:name="_MON_1357030245"/>
    <w:bookmarkStart w:id="317" w:name="_MON_1357030259"/>
    <w:bookmarkStart w:id="318" w:name="_MON_1357129621"/>
    <w:bookmarkStart w:id="319" w:name="_MON_1357129674"/>
    <w:bookmarkStart w:id="320" w:name="_MON_1359524811"/>
    <w:bookmarkStart w:id="321" w:name="_MON_1359524994"/>
    <w:bookmarkStart w:id="322" w:name="_MON_1359538275"/>
    <w:bookmarkStart w:id="323" w:name="_MON_1359547564"/>
    <w:bookmarkStart w:id="324" w:name="_MON_1359553068"/>
    <w:bookmarkStart w:id="325" w:name="_MON_1361777068"/>
    <w:bookmarkStart w:id="326" w:name="_MON_1361777102"/>
    <w:bookmarkStart w:id="327" w:name="_MON_1361777171"/>
    <w:bookmarkStart w:id="328" w:name="_MON_1361778422"/>
    <w:bookmarkStart w:id="329" w:name="_MON_1361778470"/>
    <w:bookmarkStart w:id="330" w:name="_MON_1361789226"/>
    <w:bookmarkStart w:id="331" w:name="_MON_1361858219"/>
    <w:bookmarkStart w:id="332" w:name="_MON_1361874862"/>
    <w:bookmarkStart w:id="333" w:name="_MON_1361875224"/>
    <w:bookmarkStart w:id="334" w:name="_MON_1364110706"/>
    <w:bookmarkStart w:id="335" w:name="_MON_1364112583"/>
    <w:bookmarkStart w:id="336" w:name="_MON_1364364525"/>
    <w:bookmarkStart w:id="337" w:name="_MON_1364365164"/>
    <w:bookmarkStart w:id="338" w:name="_MON_1367229853"/>
    <w:bookmarkStart w:id="339" w:name="_MON_1367231124"/>
    <w:bookmarkStart w:id="340" w:name="_MON_1367232945"/>
    <w:bookmarkStart w:id="341" w:name="_MON_1369567910"/>
    <w:bookmarkStart w:id="342" w:name="_MON_1369568337"/>
    <w:bookmarkStart w:id="343" w:name="_MON_1369568702"/>
    <w:bookmarkStart w:id="344" w:name="_MON_1369568970"/>
    <w:bookmarkStart w:id="345" w:name="_MON_1372834206"/>
    <w:bookmarkStart w:id="346" w:name="_MON_1372834888"/>
    <w:bookmarkStart w:id="347" w:name="_MON_1375085266"/>
    <w:bookmarkStart w:id="348" w:name="_MON_1375085289"/>
    <w:bookmarkStart w:id="349" w:name="_MON_1375086337"/>
    <w:bookmarkStart w:id="350" w:name="_MON_1378102004"/>
    <w:bookmarkStart w:id="351" w:name="_MON_1378102025"/>
    <w:bookmarkStart w:id="352" w:name="_MON_1378102311"/>
    <w:bookmarkStart w:id="353" w:name="_MON_1378102661"/>
    <w:bookmarkStart w:id="354" w:name="_MON_1378102744"/>
    <w:bookmarkStart w:id="355" w:name="_MON_1380693673"/>
    <w:bookmarkStart w:id="356" w:name="_MON_1380693695"/>
    <w:bookmarkStart w:id="357" w:name="_MON_1380694668"/>
    <w:bookmarkStart w:id="358" w:name="_MON_1380695323"/>
    <w:bookmarkStart w:id="359" w:name="_MON_1383042405"/>
    <w:bookmarkStart w:id="360" w:name="_MON_1383042426"/>
    <w:bookmarkStart w:id="361" w:name="_MON_1383373397"/>
    <w:bookmarkStart w:id="362" w:name="_MON_1385211467"/>
    <w:bookmarkStart w:id="363" w:name="_MON_1385211485"/>
    <w:bookmarkStart w:id="364" w:name="_MON_1385212463"/>
    <w:bookmarkStart w:id="365" w:name="_MON_1385810877"/>
    <w:bookmarkStart w:id="366" w:name="_MON_1385889788"/>
    <w:bookmarkStart w:id="367" w:name="_MON_1388297018"/>
    <w:bookmarkStart w:id="368" w:name="_MON_1388297035"/>
    <w:bookmarkStart w:id="369" w:name="_MON_1388297619"/>
    <w:bookmarkStart w:id="370" w:name="_MON_1390810366"/>
    <w:bookmarkStart w:id="371" w:name="_MON_1390810385"/>
    <w:bookmarkStart w:id="372" w:name="_MON_1390815928"/>
    <w:bookmarkStart w:id="373" w:name="_MON_1390816161"/>
    <w:bookmarkStart w:id="374" w:name="_MON_1390816212"/>
    <w:bookmarkStart w:id="375" w:name="_MON_1390826750"/>
    <w:bookmarkStart w:id="376" w:name="_MON_1390827198"/>
    <w:bookmarkStart w:id="377" w:name="_MON_1393753130"/>
    <w:bookmarkStart w:id="378" w:name="_MON_1393753148"/>
    <w:bookmarkStart w:id="379" w:name="_MON_1393754306"/>
    <w:bookmarkStart w:id="380" w:name="_MON_1394271298"/>
    <w:bookmarkStart w:id="381" w:name="_MON_1394271362"/>
    <w:bookmarkStart w:id="382" w:name="_MON_1394275643"/>
    <w:bookmarkStart w:id="383" w:name="_MON_1396941618"/>
    <w:bookmarkStart w:id="384" w:name="_MON_1396941640"/>
    <w:bookmarkStart w:id="385" w:name="_MON_1396942045"/>
    <w:bookmarkStart w:id="386" w:name="_MON_1398760799"/>
    <w:bookmarkStart w:id="387" w:name="_MON_1398760819"/>
    <w:bookmarkStart w:id="388" w:name="_MON_1398764129"/>
    <w:bookmarkStart w:id="389" w:name="_MON_1398764472"/>
    <w:bookmarkStart w:id="390" w:name="_MON_1398764784"/>
    <w:bookmarkStart w:id="391" w:name="_MON_1401618072"/>
    <w:bookmarkStart w:id="392" w:name="_MON_1401618582"/>
    <w:bookmarkStart w:id="393" w:name="_MON_1401624775"/>
    <w:bookmarkStart w:id="394" w:name="_MON_1401704451"/>
    <w:bookmarkStart w:id="395" w:name="_MON_1401704500"/>
    <w:bookmarkStart w:id="396" w:name="_MON_1221052704"/>
    <w:bookmarkStart w:id="397" w:name="_MON_1221052759"/>
    <w:bookmarkStart w:id="398" w:name="_MON_1221053236"/>
    <w:bookmarkStart w:id="399" w:name="_MON_1221054589"/>
    <w:bookmarkStart w:id="400" w:name="_MON_1221054750"/>
    <w:bookmarkStart w:id="401" w:name="_MON_1221054775"/>
    <w:bookmarkStart w:id="402" w:name="_MON_1221298430"/>
    <w:bookmarkStart w:id="403" w:name="_MON_1221298525"/>
    <w:bookmarkStart w:id="404" w:name="_MON_1221298613"/>
    <w:bookmarkStart w:id="405" w:name="_MON_1221298728"/>
    <w:bookmarkStart w:id="406" w:name="_MON_1221298787"/>
    <w:bookmarkStart w:id="407" w:name="_MON_1221298804"/>
    <w:bookmarkStart w:id="408" w:name="_MON_1221298851"/>
    <w:bookmarkStart w:id="409" w:name="_MON_1221298862"/>
    <w:bookmarkStart w:id="410" w:name="_MON_1221298977"/>
    <w:bookmarkStart w:id="411" w:name="_MON_1221299512"/>
    <w:bookmarkStart w:id="412" w:name="_MON_1221299957"/>
    <w:bookmarkStart w:id="413" w:name="_MON_1221300003"/>
    <w:bookmarkStart w:id="414" w:name="_MON_1221300059"/>
    <w:bookmarkStart w:id="415" w:name="_MON_1221301163"/>
    <w:bookmarkStart w:id="416" w:name="_MON_1221301177"/>
    <w:bookmarkStart w:id="417" w:name="_MON_1221301398"/>
    <w:bookmarkStart w:id="418" w:name="_MON_1221309414"/>
    <w:bookmarkStart w:id="419" w:name="_MON_1221309467"/>
    <w:bookmarkStart w:id="420" w:name="_MON_1221309522"/>
    <w:bookmarkStart w:id="421" w:name="_MON_1221309605"/>
    <w:bookmarkStart w:id="422" w:name="_MON_1221309673"/>
    <w:bookmarkStart w:id="423" w:name="_MON_1221309734"/>
    <w:bookmarkStart w:id="424" w:name="_MON_1221309771"/>
    <w:bookmarkStart w:id="425" w:name="_MON_1221309800"/>
    <w:bookmarkStart w:id="426" w:name="_MON_1221309823"/>
    <w:bookmarkStart w:id="427" w:name="_MON_1221309838"/>
    <w:bookmarkStart w:id="428" w:name="_MON_1221309899"/>
    <w:bookmarkStart w:id="429" w:name="_MON_1221383947"/>
    <w:bookmarkStart w:id="430" w:name="_MON_1221384012"/>
    <w:bookmarkStart w:id="431" w:name="_MON_1221384039"/>
    <w:bookmarkStart w:id="432" w:name="_MON_1221384082"/>
    <w:bookmarkStart w:id="433" w:name="_MON_1221384089"/>
    <w:bookmarkStart w:id="434" w:name="_MON_1221384113"/>
    <w:bookmarkStart w:id="435" w:name="_MON_1221384135"/>
    <w:bookmarkStart w:id="436" w:name="_MON_1221384225"/>
    <w:bookmarkStart w:id="437" w:name="_MON_1221475848"/>
    <w:bookmarkStart w:id="438" w:name="_MON_1221475904"/>
    <w:bookmarkStart w:id="439" w:name="_MON_1221475921"/>
    <w:bookmarkStart w:id="440" w:name="_MON_1221478225"/>
    <w:bookmarkStart w:id="441" w:name="_MON_1221478239"/>
    <w:bookmarkStart w:id="442" w:name="_MON_1223363677"/>
    <w:bookmarkStart w:id="443" w:name="_MON_1223363892"/>
    <w:bookmarkStart w:id="444" w:name="_MON_1223363922"/>
    <w:bookmarkStart w:id="445" w:name="_MON_1223728039"/>
    <w:bookmarkStart w:id="446" w:name="_MON_1226402046"/>
    <w:bookmarkStart w:id="447" w:name="_MON_1226403514"/>
    <w:bookmarkStart w:id="448" w:name="_MON_1227950050"/>
    <w:bookmarkStart w:id="449" w:name="_MON_1227954189"/>
    <w:bookmarkStart w:id="450" w:name="_MON_1227954410"/>
    <w:bookmarkStart w:id="451" w:name="_MON_122795443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Start w:id="452" w:name="_MON_1228725231"/>
    <w:bookmarkEnd w:id="452"/>
    <w:p w:rsidR="00BA2B09" w:rsidRDefault="00BA2B09" w:rsidP="002C2A3A">
      <w:pPr>
        <w:shd w:val="clear" w:color="auto" w:fill="FFFFFF"/>
        <w:spacing w:after="0"/>
        <w:jc w:val="center"/>
        <w:rPr>
          <w:sz w:val="28"/>
          <w:szCs w:val="28"/>
        </w:rPr>
      </w:pPr>
      <w:r w:rsidRPr="008721F3">
        <w:rPr>
          <w:sz w:val="28"/>
          <w:szCs w:val="28"/>
        </w:rPr>
        <w:object w:dxaOrig="9316" w:dyaOrig="5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72.25pt" o:ole="">
            <v:imagedata r:id="rId11" o:title=""/>
          </v:shape>
          <o:OLEObject Type="Embed" ProgID="Excel.Sheet.8" ShapeID="_x0000_i1025" DrawAspect="Content" ObjectID="_1409135123" r:id="rId12"/>
        </w:object>
      </w:r>
    </w:p>
    <w:p w:rsidR="00BA2B09" w:rsidRPr="002C2A3A" w:rsidRDefault="00BA2B09" w:rsidP="00D92F6C">
      <w:pPr>
        <w:pStyle w:val="ListParagraph"/>
        <w:numPr>
          <w:ilvl w:val="0"/>
          <w:numId w:val="25"/>
        </w:numPr>
        <w:shd w:val="clear" w:color="auto" w:fill="FFFFFF"/>
        <w:tabs>
          <w:tab w:val="left" w:pos="426"/>
        </w:tabs>
        <w:ind w:left="0" w:firstLine="0"/>
        <w:jc w:val="center"/>
        <w:rPr>
          <w:b/>
          <w:bCs/>
          <w:color w:val="000000"/>
          <w:lang w:eastAsia="lv-LV"/>
        </w:rPr>
      </w:pPr>
      <w:r>
        <w:rPr>
          <w:b/>
          <w:bCs/>
          <w:color w:val="000000"/>
          <w:lang w:eastAsia="lv-LV"/>
        </w:rPr>
        <w:t>VID un VDI veiktā darba</w:t>
      </w:r>
      <w:r w:rsidRPr="002C2A3A">
        <w:rPr>
          <w:b/>
          <w:bCs/>
          <w:color w:val="000000"/>
          <w:lang w:eastAsia="lv-LV"/>
        </w:rPr>
        <w:t xml:space="preserve"> rezultāti</w:t>
      </w:r>
    </w:p>
    <w:p w:rsidR="00BA2B09" w:rsidRDefault="00BA2B09" w:rsidP="00D92F6C">
      <w:pPr>
        <w:pStyle w:val="ListParagraph"/>
        <w:numPr>
          <w:ilvl w:val="1"/>
          <w:numId w:val="25"/>
        </w:numPr>
        <w:shd w:val="clear" w:color="auto" w:fill="FFFFFF"/>
        <w:tabs>
          <w:tab w:val="left" w:pos="-8080"/>
        </w:tabs>
        <w:ind w:left="567" w:hanging="567"/>
        <w:jc w:val="center"/>
        <w:rPr>
          <w:b/>
          <w:bCs/>
          <w:color w:val="000000"/>
          <w:lang w:eastAsia="lv-LV"/>
        </w:rPr>
      </w:pPr>
      <w:r w:rsidRPr="002C2A3A">
        <w:rPr>
          <w:b/>
          <w:bCs/>
          <w:color w:val="000000"/>
          <w:lang w:eastAsia="lv-LV"/>
        </w:rPr>
        <w:t>Preventīvais darbs</w:t>
      </w:r>
    </w:p>
    <w:p w:rsidR="00BA2B09" w:rsidRPr="00D92F6C" w:rsidRDefault="00BA2B09" w:rsidP="00D92F6C">
      <w:pPr>
        <w:shd w:val="clear" w:color="auto" w:fill="FFFFFF"/>
        <w:tabs>
          <w:tab w:val="left" w:pos="-8080"/>
        </w:tabs>
        <w:spacing w:after="0"/>
        <w:rPr>
          <w:color w:val="000000"/>
          <w:sz w:val="20"/>
          <w:szCs w:val="20"/>
          <w:lang w:eastAsia="lv-LV"/>
        </w:rPr>
      </w:pPr>
    </w:p>
    <w:p w:rsidR="00BA2B09" w:rsidRDefault="00BA2B09" w:rsidP="00D92F6C">
      <w:pPr>
        <w:pStyle w:val="ListParagraph"/>
        <w:numPr>
          <w:ilvl w:val="2"/>
          <w:numId w:val="25"/>
        </w:numPr>
        <w:shd w:val="clear" w:color="auto" w:fill="FFFFFF"/>
        <w:ind w:left="0" w:firstLine="0"/>
        <w:jc w:val="both"/>
        <w:rPr>
          <w:b/>
          <w:bCs/>
          <w:color w:val="000000"/>
          <w:lang w:eastAsia="lv-LV"/>
        </w:rPr>
      </w:pPr>
      <w:r w:rsidRPr="002C2A3A">
        <w:rPr>
          <w:b/>
          <w:bCs/>
          <w:color w:val="000000"/>
          <w:lang w:eastAsia="lv-LV"/>
        </w:rPr>
        <w:t>VID preventīvais darbs</w:t>
      </w:r>
    </w:p>
    <w:p w:rsidR="00BA2B09" w:rsidRPr="00D40487" w:rsidRDefault="00BA2B09" w:rsidP="00D40487">
      <w:pPr>
        <w:shd w:val="clear" w:color="auto" w:fill="FFFFFF"/>
        <w:spacing w:after="0"/>
        <w:jc w:val="both"/>
        <w:rPr>
          <w:color w:val="000000"/>
          <w:sz w:val="20"/>
          <w:szCs w:val="20"/>
          <w:lang w:eastAsia="lv-LV"/>
        </w:rPr>
      </w:pPr>
    </w:p>
    <w:p w:rsidR="00BA2B09" w:rsidRDefault="00BA2B09" w:rsidP="00D40487">
      <w:pPr>
        <w:shd w:val="clear" w:color="auto" w:fill="FFFFFF"/>
        <w:spacing w:after="0"/>
        <w:ind w:firstLine="720"/>
        <w:jc w:val="both"/>
        <w:rPr>
          <w:color w:val="000000"/>
          <w:sz w:val="28"/>
          <w:szCs w:val="28"/>
          <w:lang w:eastAsia="lv-LV"/>
        </w:rPr>
      </w:pPr>
      <w:r>
        <w:rPr>
          <w:color w:val="000000"/>
          <w:sz w:val="28"/>
          <w:szCs w:val="28"/>
          <w:lang w:eastAsia="lv-LV"/>
        </w:rPr>
        <w:t>VID savas kompetences ietvaros</w:t>
      </w:r>
      <w:r w:rsidRPr="00B60AB9">
        <w:rPr>
          <w:color w:val="000000"/>
          <w:sz w:val="28"/>
          <w:szCs w:val="28"/>
          <w:lang w:eastAsia="lv-LV"/>
        </w:rPr>
        <w:t xml:space="preserve"> </w:t>
      </w:r>
      <w:r>
        <w:rPr>
          <w:color w:val="000000"/>
          <w:sz w:val="28"/>
          <w:szCs w:val="28"/>
        </w:rPr>
        <w:t>ē</w:t>
      </w:r>
      <w:r w:rsidRPr="006D5070">
        <w:rPr>
          <w:color w:val="000000"/>
          <w:sz w:val="28"/>
          <w:szCs w:val="28"/>
        </w:rPr>
        <w:t>nu ekonomikas apkarošan</w:t>
      </w:r>
      <w:r>
        <w:rPr>
          <w:color w:val="000000"/>
          <w:sz w:val="28"/>
          <w:szCs w:val="28"/>
        </w:rPr>
        <w:t>ā</w:t>
      </w:r>
      <w:r w:rsidRPr="00B60AB9">
        <w:rPr>
          <w:color w:val="000000"/>
          <w:sz w:val="28"/>
          <w:szCs w:val="28"/>
          <w:lang w:eastAsia="lv-LV"/>
        </w:rPr>
        <w:t xml:space="preserve"> izmanto visdažādākās nodokļu administrēšanas metodes – gan preventīvās metodes, kas ietver izskaidrojošo, pārliecinošo, konsultējošo darbu, gan represīvās metodes, kas iet</w:t>
      </w:r>
      <w:r>
        <w:rPr>
          <w:color w:val="000000"/>
          <w:sz w:val="28"/>
          <w:szCs w:val="28"/>
          <w:lang w:eastAsia="lv-LV"/>
        </w:rPr>
        <w:t xml:space="preserve">ver nodokļu kontroles pasākumus. </w:t>
      </w:r>
    </w:p>
    <w:p w:rsidR="00BA2B09" w:rsidRDefault="00BA2B09" w:rsidP="00D40487">
      <w:pPr>
        <w:shd w:val="clear" w:color="auto" w:fill="FFFFFF"/>
        <w:spacing w:after="0"/>
        <w:ind w:firstLine="720"/>
        <w:jc w:val="both"/>
        <w:rPr>
          <w:color w:val="000000"/>
          <w:sz w:val="28"/>
          <w:szCs w:val="28"/>
          <w:lang w:eastAsia="lv-LV"/>
        </w:rPr>
      </w:pPr>
      <w:r w:rsidRPr="004F3229">
        <w:rPr>
          <w:color w:val="000000"/>
          <w:sz w:val="28"/>
          <w:szCs w:val="28"/>
          <w:lang w:eastAsia="lv-LV"/>
        </w:rPr>
        <w:t xml:space="preserve">Bez tam </w:t>
      </w:r>
      <w:r>
        <w:rPr>
          <w:color w:val="000000"/>
          <w:sz w:val="28"/>
          <w:szCs w:val="28"/>
          <w:lang w:eastAsia="lv-LV"/>
        </w:rPr>
        <w:t xml:space="preserve">arī sabiedrības iesaistīšanās, sniedzot </w:t>
      </w:r>
      <w:r w:rsidRPr="004F3229">
        <w:rPr>
          <w:color w:val="000000"/>
          <w:sz w:val="28"/>
          <w:szCs w:val="28"/>
          <w:lang w:eastAsia="lv-LV"/>
        </w:rPr>
        <w:t>informācij</w:t>
      </w:r>
      <w:r>
        <w:rPr>
          <w:color w:val="000000"/>
          <w:sz w:val="28"/>
          <w:szCs w:val="28"/>
          <w:lang w:eastAsia="lv-LV"/>
        </w:rPr>
        <w:t>u</w:t>
      </w:r>
      <w:r w:rsidRPr="00732E63">
        <w:rPr>
          <w:color w:val="000000"/>
          <w:sz w:val="28"/>
          <w:szCs w:val="28"/>
          <w:lang w:eastAsia="lv-LV"/>
        </w:rPr>
        <w:t xml:space="preserve"> uz VID bezmaksas uzticības tālruni</w:t>
      </w:r>
      <w:r>
        <w:rPr>
          <w:color w:val="000000"/>
          <w:sz w:val="28"/>
          <w:szCs w:val="28"/>
          <w:lang w:eastAsia="lv-LV"/>
        </w:rPr>
        <w:t xml:space="preserve"> p</w:t>
      </w:r>
      <w:r w:rsidRPr="004F3229">
        <w:rPr>
          <w:color w:val="000000"/>
          <w:sz w:val="28"/>
          <w:szCs w:val="28"/>
          <w:lang w:eastAsia="lv-LV"/>
        </w:rPr>
        <w:t>ar izvairīšanos no nodokļu nomaksa</w:t>
      </w:r>
      <w:r>
        <w:rPr>
          <w:color w:val="000000"/>
          <w:sz w:val="28"/>
          <w:szCs w:val="28"/>
          <w:lang w:eastAsia="lv-LV"/>
        </w:rPr>
        <w:t xml:space="preserve">s, t.sk. </w:t>
      </w:r>
      <w:r w:rsidRPr="004F3229">
        <w:rPr>
          <w:color w:val="000000"/>
          <w:sz w:val="28"/>
          <w:szCs w:val="28"/>
          <w:lang w:eastAsia="lv-LV"/>
        </w:rPr>
        <w:t>saistībā ar aplokšņu algām</w:t>
      </w:r>
      <w:r>
        <w:rPr>
          <w:color w:val="000000"/>
          <w:sz w:val="28"/>
          <w:szCs w:val="28"/>
          <w:lang w:eastAsia="lv-LV"/>
        </w:rPr>
        <w:t>, ļauj</w:t>
      </w:r>
      <w:r w:rsidRPr="004F3229">
        <w:rPr>
          <w:color w:val="000000"/>
          <w:sz w:val="28"/>
          <w:szCs w:val="28"/>
          <w:lang w:eastAsia="lv-LV"/>
        </w:rPr>
        <w:t xml:space="preserve"> operatīvi izmantot </w:t>
      </w:r>
      <w:r>
        <w:rPr>
          <w:color w:val="000000"/>
          <w:sz w:val="28"/>
          <w:szCs w:val="28"/>
          <w:lang w:eastAsia="lv-LV"/>
        </w:rPr>
        <w:t xml:space="preserve">informāciju </w:t>
      </w:r>
      <w:r w:rsidRPr="004F3229">
        <w:rPr>
          <w:color w:val="000000"/>
          <w:sz w:val="28"/>
          <w:szCs w:val="28"/>
          <w:lang w:eastAsia="lv-LV"/>
        </w:rPr>
        <w:t>rezultatīvās pārbaudēs.</w:t>
      </w:r>
      <w:r>
        <w:rPr>
          <w:color w:val="000000"/>
          <w:sz w:val="28"/>
          <w:szCs w:val="28"/>
          <w:lang w:eastAsia="lv-LV"/>
        </w:rPr>
        <w:t xml:space="preserve"> Tā 2012.gada 5 mēnešos VID ir saņēmis 285 sūdzības par nodokļu nemaksāšanu, aplokšņu algām, t.sk. 223 sūdzības saņemtas uz VID bezmaksas uzticības tālruni.</w:t>
      </w:r>
    </w:p>
    <w:p w:rsidR="00BA2B09" w:rsidRDefault="00BA2B09" w:rsidP="00685CCD">
      <w:pPr>
        <w:shd w:val="clear" w:color="auto" w:fill="FFFFFF"/>
        <w:spacing w:after="0"/>
        <w:ind w:firstLine="720"/>
        <w:jc w:val="both"/>
        <w:rPr>
          <w:color w:val="000000"/>
          <w:sz w:val="28"/>
          <w:szCs w:val="28"/>
          <w:lang w:eastAsia="lv-LV"/>
        </w:rPr>
      </w:pPr>
      <w:r w:rsidRPr="006E0BD9">
        <w:rPr>
          <w:sz w:val="28"/>
          <w:szCs w:val="28"/>
        </w:rPr>
        <w:t>2011.</w:t>
      </w:r>
      <w:r>
        <w:rPr>
          <w:sz w:val="28"/>
          <w:szCs w:val="28"/>
        </w:rPr>
        <w:t>gada augustā</w:t>
      </w:r>
      <w:r w:rsidRPr="006E0BD9">
        <w:rPr>
          <w:sz w:val="28"/>
          <w:szCs w:val="28"/>
        </w:rPr>
        <w:t xml:space="preserve"> saskaņā ar Starp</w:t>
      </w:r>
      <w:r>
        <w:rPr>
          <w:sz w:val="28"/>
          <w:szCs w:val="28"/>
        </w:rPr>
        <w:t>tautiskā Valūtas fonda ziņojuma</w:t>
      </w:r>
      <w:r w:rsidRPr="006E0BD9">
        <w:rPr>
          <w:sz w:val="28"/>
          <w:szCs w:val="28"/>
        </w:rPr>
        <w:t xml:space="preserve"> rekomendācijām, lai uzlabotu saistību izpildi ar darbaspēku saistīto nodokļu nomaksā un nereģistrētas saimnieciskās darbības novēršanu</w:t>
      </w:r>
      <w:r>
        <w:rPr>
          <w:sz w:val="28"/>
          <w:szCs w:val="28"/>
        </w:rPr>
        <w:t>,</w:t>
      </w:r>
      <w:r w:rsidRPr="006E0BD9">
        <w:rPr>
          <w:sz w:val="28"/>
          <w:szCs w:val="28"/>
        </w:rPr>
        <w:t xml:space="preserve"> VID tika izveidota „Projekta grupa cīņā pret algu izmaksām aploksnēs” un „Saimnieciskās darbības reģistrācijas nodrošināšanas projektu grupa”.</w:t>
      </w:r>
    </w:p>
    <w:p w:rsidR="00BA2B09" w:rsidRPr="00D40487" w:rsidRDefault="00BA2B09" w:rsidP="00685CCD">
      <w:pPr>
        <w:shd w:val="clear" w:color="auto" w:fill="FFFFFF"/>
        <w:spacing w:after="0"/>
        <w:ind w:firstLine="720"/>
        <w:jc w:val="both"/>
        <w:rPr>
          <w:sz w:val="28"/>
          <w:szCs w:val="28"/>
        </w:rPr>
      </w:pPr>
      <w:r w:rsidRPr="00D40487">
        <w:rPr>
          <w:color w:val="000000"/>
          <w:sz w:val="28"/>
          <w:szCs w:val="28"/>
        </w:rPr>
        <w:t xml:space="preserve">2011.gadā nodokļu administrācijas preventīvo pasākumu rezultātā, pēc kuriem darba devēji paši novērsuši pārkāpumus tika legalizēti </w:t>
      </w:r>
      <w:r w:rsidRPr="00D40487">
        <w:rPr>
          <w:color w:val="000000"/>
          <w:spacing w:val="-2"/>
          <w:sz w:val="28"/>
          <w:szCs w:val="28"/>
        </w:rPr>
        <w:t xml:space="preserve">4070 darba </w:t>
      </w:r>
      <w:r w:rsidRPr="00D40487">
        <w:rPr>
          <w:color w:val="000000"/>
          <w:spacing w:val="-2"/>
          <w:sz w:val="28"/>
          <w:szCs w:val="28"/>
        </w:rPr>
        <w:lastRenderedPageBreak/>
        <w:t xml:space="preserve">ņēmēji un iemaksai valsts budžetā nodokļu maksātāji papildus paši ir aprēķinājuši Ls 750,0 tūkst., tai skaitā valsts sociālās apdrošināšanas obligātās iemaksas </w:t>
      </w:r>
      <w:r>
        <w:rPr>
          <w:color w:val="000000"/>
          <w:sz w:val="28"/>
          <w:szCs w:val="28"/>
        </w:rPr>
        <w:t></w:t>
      </w:r>
      <w:r w:rsidRPr="00D40487">
        <w:rPr>
          <w:color w:val="000000"/>
          <w:spacing w:val="-2"/>
          <w:sz w:val="28"/>
          <w:szCs w:val="28"/>
        </w:rPr>
        <w:t xml:space="preserve">Ls 500,0 tūkst. un iedzīvotāju ienākuma nodoklis </w:t>
      </w:r>
      <w:r w:rsidRPr="00D40487">
        <w:rPr>
          <w:color w:val="000000"/>
          <w:sz w:val="28"/>
          <w:szCs w:val="28"/>
        </w:rPr>
        <w:t>–</w:t>
      </w:r>
      <w:r w:rsidRPr="00D40487">
        <w:rPr>
          <w:color w:val="000000"/>
          <w:spacing w:val="-2"/>
          <w:sz w:val="28"/>
          <w:szCs w:val="28"/>
        </w:rPr>
        <w:t xml:space="preserve"> Ls 250,0 tūkst.</w:t>
      </w:r>
    </w:p>
    <w:p w:rsidR="00BA2B09" w:rsidRPr="00DC2C93" w:rsidRDefault="00BA2B09" w:rsidP="00685CCD">
      <w:pPr>
        <w:shd w:val="clear" w:color="auto" w:fill="FFFFFF"/>
        <w:spacing w:after="0"/>
        <w:ind w:firstLine="720"/>
        <w:jc w:val="both"/>
        <w:rPr>
          <w:color w:val="000000"/>
          <w:sz w:val="28"/>
          <w:szCs w:val="28"/>
          <w:lang w:eastAsia="lv-LV"/>
        </w:rPr>
      </w:pPr>
      <w:r>
        <w:rPr>
          <w:sz w:val="28"/>
          <w:szCs w:val="28"/>
        </w:rPr>
        <w:t xml:space="preserve">Savukārt </w:t>
      </w:r>
      <w:r w:rsidRPr="004C4C05">
        <w:rPr>
          <w:sz w:val="28"/>
          <w:szCs w:val="28"/>
        </w:rPr>
        <w:t xml:space="preserve">2012.gada 5 mēnešos preventīvo pasākumu rezultātā, pēc kuriem darba devēji paši novērsuši pārkāpumus, legalizēti </w:t>
      </w:r>
      <w:r>
        <w:rPr>
          <w:sz w:val="28"/>
          <w:szCs w:val="28"/>
        </w:rPr>
        <w:t>1652</w:t>
      </w:r>
      <w:r w:rsidRPr="004C4C05">
        <w:rPr>
          <w:sz w:val="28"/>
          <w:szCs w:val="28"/>
        </w:rPr>
        <w:t xml:space="preserve"> darba ņēmēji</w:t>
      </w:r>
      <w:r>
        <w:rPr>
          <w:sz w:val="28"/>
          <w:szCs w:val="28"/>
        </w:rPr>
        <w:t>. Salīdzinot ar 2011.gada 5 mēnešiem, legalizēto darba ņēmēju skaits pieaudzis par 240 darba ņēmējiem,</w:t>
      </w:r>
      <w:r w:rsidRPr="004C4C05">
        <w:rPr>
          <w:sz w:val="28"/>
          <w:szCs w:val="28"/>
        </w:rPr>
        <w:t xml:space="preserve"> un iemaksai valsts budžetā nodokļu maksātāji papildus paši ir aprēķinājuši Ls </w:t>
      </w:r>
      <w:r>
        <w:rPr>
          <w:sz w:val="28"/>
          <w:szCs w:val="28"/>
        </w:rPr>
        <w:t>303,2</w:t>
      </w:r>
      <w:r w:rsidRPr="004C4C05">
        <w:rPr>
          <w:sz w:val="28"/>
          <w:szCs w:val="28"/>
        </w:rPr>
        <w:t> tūkst., tai skaitā valsts sociālās apdrošināšanas obligātās iemaksas – Ls </w:t>
      </w:r>
      <w:r>
        <w:rPr>
          <w:sz w:val="28"/>
          <w:szCs w:val="28"/>
        </w:rPr>
        <w:t>202,1</w:t>
      </w:r>
      <w:r w:rsidRPr="004C4C05">
        <w:rPr>
          <w:sz w:val="28"/>
          <w:szCs w:val="28"/>
        </w:rPr>
        <w:t> tūkst. un iedzīvotāju ienākuma nodoklis – Ls </w:t>
      </w:r>
      <w:r>
        <w:rPr>
          <w:sz w:val="28"/>
          <w:szCs w:val="28"/>
        </w:rPr>
        <w:t>101,1</w:t>
      </w:r>
      <w:r w:rsidRPr="004C4C05">
        <w:rPr>
          <w:sz w:val="28"/>
          <w:szCs w:val="28"/>
        </w:rPr>
        <w:t> tūkst</w:t>
      </w:r>
      <w:r>
        <w:rPr>
          <w:sz w:val="28"/>
          <w:szCs w:val="28"/>
        </w:rPr>
        <w:t>, kas, salīdzinot ar 2011.gada 5 mēnešiem, saglabā gandrīz to pašu līmeni (skatīt 3.tabulu)</w:t>
      </w:r>
      <w:r w:rsidRPr="004C4C05">
        <w:rPr>
          <w:sz w:val="28"/>
          <w:szCs w:val="28"/>
        </w:rPr>
        <w:t>.</w:t>
      </w:r>
    </w:p>
    <w:p w:rsidR="00BA2B09" w:rsidRPr="00732E63" w:rsidRDefault="00BA2B09" w:rsidP="00685CCD">
      <w:pPr>
        <w:shd w:val="clear" w:color="auto" w:fill="FFFFFF"/>
        <w:spacing w:after="0"/>
        <w:jc w:val="right"/>
        <w:rPr>
          <w:color w:val="000000"/>
          <w:sz w:val="20"/>
          <w:szCs w:val="20"/>
          <w:lang w:eastAsia="lv-LV"/>
        </w:rPr>
      </w:pPr>
    </w:p>
    <w:p w:rsidR="00BA2B09" w:rsidRPr="00310CCC" w:rsidRDefault="00BA2B09" w:rsidP="00685CCD">
      <w:pPr>
        <w:shd w:val="clear" w:color="auto" w:fill="FFFFFF"/>
        <w:spacing w:after="0"/>
        <w:jc w:val="right"/>
        <w:rPr>
          <w:color w:val="000000"/>
          <w:sz w:val="24"/>
          <w:szCs w:val="24"/>
          <w:lang w:eastAsia="lv-LV"/>
        </w:rPr>
      </w:pPr>
      <w:r>
        <w:rPr>
          <w:color w:val="000000"/>
          <w:sz w:val="24"/>
          <w:szCs w:val="24"/>
          <w:lang w:eastAsia="lv-LV"/>
        </w:rPr>
        <w:t>3</w:t>
      </w:r>
      <w:r w:rsidRPr="00310CCC">
        <w:rPr>
          <w:color w:val="000000"/>
          <w:sz w:val="24"/>
          <w:szCs w:val="24"/>
          <w:lang w:eastAsia="lv-LV"/>
        </w:rPr>
        <w:t>.tabula</w:t>
      </w:r>
    </w:p>
    <w:p w:rsidR="00BA2B09" w:rsidRPr="00FC6704" w:rsidRDefault="00BA2B09" w:rsidP="00685CCD">
      <w:pPr>
        <w:jc w:val="center"/>
        <w:rPr>
          <w:sz w:val="26"/>
          <w:szCs w:val="26"/>
        </w:rPr>
      </w:pPr>
      <w:r w:rsidRPr="00FC6704">
        <w:rPr>
          <w:sz w:val="26"/>
          <w:szCs w:val="26"/>
        </w:rPr>
        <w:t xml:space="preserve">Preventīvā darba rezultāti cīņai </w:t>
      </w:r>
      <w:r>
        <w:rPr>
          <w:sz w:val="26"/>
          <w:szCs w:val="26"/>
        </w:rPr>
        <w:t xml:space="preserve">pret </w:t>
      </w:r>
      <w:r w:rsidRPr="00FC6704">
        <w:rPr>
          <w:sz w:val="26"/>
          <w:szCs w:val="26"/>
        </w:rPr>
        <w:t>algu izmaksām aploksnēs</w:t>
      </w: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3"/>
        <w:gridCol w:w="1134"/>
        <w:gridCol w:w="1275"/>
        <w:gridCol w:w="1476"/>
      </w:tblGrid>
      <w:tr w:rsidR="00BA2B09" w:rsidRPr="009C403E">
        <w:trPr>
          <w:trHeight w:val="769"/>
          <w:jc w:val="center"/>
        </w:trPr>
        <w:tc>
          <w:tcPr>
            <w:tcW w:w="5023" w:type="dxa"/>
            <w:vAlign w:val="center"/>
          </w:tcPr>
          <w:p w:rsidR="00BA2B09" w:rsidRPr="009C403E" w:rsidRDefault="00BA2B09" w:rsidP="00685CCD">
            <w:pPr>
              <w:tabs>
                <w:tab w:val="center" w:pos="4153"/>
                <w:tab w:val="right" w:pos="8306"/>
              </w:tabs>
              <w:jc w:val="center"/>
              <w:rPr>
                <w:sz w:val="20"/>
                <w:szCs w:val="20"/>
              </w:rPr>
            </w:pPr>
            <w:r w:rsidRPr="009C403E">
              <w:rPr>
                <w:sz w:val="20"/>
                <w:szCs w:val="20"/>
              </w:rPr>
              <w:t>Rādītāji</w:t>
            </w:r>
          </w:p>
        </w:tc>
        <w:tc>
          <w:tcPr>
            <w:tcW w:w="1134" w:type="dxa"/>
            <w:vAlign w:val="center"/>
          </w:tcPr>
          <w:p w:rsidR="00BA2B09" w:rsidRPr="009C403E" w:rsidRDefault="00BA2B09" w:rsidP="00830EE3">
            <w:pPr>
              <w:tabs>
                <w:tab w:val="center" w:pos="4153"/>
                <w:tab w:val="right" w:pos="8306"/>
              </w:tabs>
              <w:spacing w:after="0"/>
              <w:jc w:val="center"/>
              <w:rPr>
                <w:b/>
                <w:bCs/>
                <w:sz w:val="20"/>
                <w:szCs w:val="20"/>
              </w:rPr>
            </w:pPr>
            <w:r w:rsidRPr="009C403E">
              <w:rPr>
                <w:b/>
                <w:bCs/>
                <w:sz w:val="20"/>
                <w:szCs w:val="20"/>
              </w:rPr>
              <w:t>2011.gada</w:t>
            </w:r>
          </w:p>
          <w:p w:rsidR="00BA2B09" w:rsidRPr="009C403E" w:rsidRDefault="00BA2B09" w:rsidP="00C34B17">
            <w:pPr>
              <w:tabs>
                <w:tab w:val="center" w:pos="4153"/>
                <w:tab w:val="right" w:pos="8306"/>
              </w:tabs>
              <w:spacing w:after="0"/>
              <w:jc w:val="center"/>
              <w:rPr>
                <w:b/>
                <w:bCs/>
                <w:sz w:val="20"/>
                <w:szCs w:val="20"/>
              </w:rPr>
            </w:pPr>
            <w:r w:rsidRPr="009C403E">
              <w:rPr>
                <w:b/>
                <w:bCs/>
                <w:sz w:val="20"/>
                <w:szCs w:val="20"/>
              </w:rPr>
              <w:t>5 mēneši</w:t>
            </w:r>
          </w:p>
        </w:tc>
        <w:tc>
          <w:tcPr>
            <w:tcW w:w="1275" w:type="dxa"/>
            <w:vAlign w:val="center"/>
          </w:tcPr>
          <w:p w:rsidR="00BA2B09" w:rsidRPr="009C403E" w:rsidRDefault="00BA2B09" w:rsidP="00830EE3">
            <w:pPr>
              <w:tabs>
                <w:tab w:val="center" w:pos="4153"/>
                <w:tab w:val="right" w:pos="8306"/>
              </w:tabs>
              <w:spacing w:after="0"/>
              <w:jc w:val="center"/>
              <w:rPr>
                <w:b/>
                <w:bCs/>
                <w:sz w:val="20"/>
                <w:szCs w:val="20"/>
              </w:rPr>
            </w:pPr>
            <w:r w:rsidRPr="009C403E">
              <w:rPr>
                <w:b/>
                <w:bCs/>
                <w:sz w:val="20"/>
                <w:szCs w:val="20"/>
              </w:rPr>
              <w:t>2012.gada</w:t>
            </w:r>
          </w:p>
          <w:p w:rsidR="00BA2B09" w:rsidRPr="009C403E" w:rsidRDefault="00BA2B09" w:rsidP="00C34B17">
            <w:pPr>
              <w:tabs>
                <w:tab w:val="center" w:pos="4153"/>
                <w:tab w:val="right" w:pos="8306"/>
              </w:tabs>
              <w:spacing w:after="0"/>
              <w:jc w:val="center"/>
              <w:rPr>
                <w:b/>
                <w:bCs/>
                <w:sz w:val="20"/>
                <w:szCs w:val="20"/>
              </w:rPr>
            </w:pPr>
            <w:r w:rsidRPr="009C403E">
              <w:rPr>
                <w:b/>
                <w:bCs/>
                <w:sz w:val="20"/>
                <w:szCs w:val="20"/>
              </w:rPr>
              <w:t>5 mēneši</w:t>
            </w:r>
          </w:p>
        </w:tc>
        <w:tc>
          <w:tcPr>
            <w:tcW w:w="1476" w:type="dxa"/>
            <w:vAlign w:val="center"/>
          </w:tcPr>
          <w:p w:rsidR="00BA2B09" w:rsidRPr="009C403E" w:rsidRDefault="00BA2B09" w:rsidP="0042152A">
            <w:pPr>
              <w:tabs>
                <w:tab w:val="center" w:pos="4153"/>
                <w:tab w:val="right" w:pos="8306"/>
              </w:tabs>
              <w:spacing w:after="0"/>
              <w:jc w:val="center"/>
              <w:rPr>
                <w:b/>
                <w:bCs/>
                <w:sz w:val="20"/>
                <w:szCs w:val="20"/>
              </w:rPr>
            </w:pPr>
            <w:r w:rsidRPr="009C403E">
              <w:rPr>
                <w:b/>
                <w:bCs/>
                <w:sz w:val="20"/>
                <w:szCs w:val="20"/>
              </w:rPr>
              <w:t>Pieaugums/ samazinājums 2012.gada 5 mēnešos, salīdzinot ar 2011.gada 5 mēnešiem</w:t>
            </w:r>
          </w:p>
        </w:tc>
      </w:tr>
      <w:tr w:rsidR="00BA2B09" w:rsidRPr="009C403E">
        <w:trPr>
          <w:jc w:val="center"/>
        </w:trPr>
        <w:tc>
          <w:tcPr>
            <w:tcW w:w="5023" w:type="dxa"/>
            <w:vAlign w:val="center"/>
          </w:tcPr>
          <w:p w:rsidR="00BA2B09" w:rsidRPr="009C403E" w:rsidRDefault="00BA2B09" w:rsidP="00685CCD">
            <w:pPr>
              <w:tabs>
                <w:tab w:val="center" w:pos="4153"/>
                <w:tab w:val="right" w:pos="8306"/>
              </w:tabs>
              <w:rPr>
                <w:sz w:val="20"/>
                <w:szCs w:val="20"/>
              </w:rPr>
            </w:pPr>
            <w:r w:rsidRPr="009C403E">
              <w:rPr>
                <w:sz w:val="20"/>
                <w:szCs w:val="20"/>
              </w:rPr>
              <w:t>Legalizētie darba ņēmēji</w:t>
            </w:r>
          </w:p>
        </w:tc>
        <w:tc>
          <w:tcPr>
            <w:tcW w:w="1134" w:type="dxa"/>
            <w:vAlign w:val="center"/>
          </w:tcPr>
          <w:p w:rsidR="00BA2B09" w:rsidRPr="009C403E" w:rsidRDefault="00BA2B09" w:rsidP="00830EE3">
            <w:pPr>
              <w:tabs>
                <w:tab w:val="center" w:pos="4153"/>
                <w:tab w:val="right" w:pos="8306"/>
              </w:tabs>
              <w:jc w:val="center"/>
              <w:rPr>
                <w:sz w:val="20"/>
                <w:szCs w:val="20"/>
              </w:rPr>
            </w:pPr>
            <w:r w:rsidRPr="009C403E">
              <w:rPr>
                <w:sz w:val="20"/>
                <w:szCs w:val="20"/>
              </w:rPr>
              <w:t>1412</w:t>
            </w:r>
          </w:p>
        </w:tc>
        <w:tc>
          <w:tcPr>
            <w:tcW w:w="1275" w:type="dxa"/>
            <w:vAlign w:val="center"/>
          </w:tcPr>
          <w:p w:rsidR="00BA2B09" w:rsidRPr="009C403E" w:rsidRDefault="00BA2B09" w:rsidP="00830EE3">
            <w:pPr>
              <w:tabs>
                <w:tab w:val="center" w:pos="4153"/>
                <w:tab w:val="right" w:pos="8306"/>
              </w:tabs>
              <w:jc w:val="center"/>
              <w:rPr>
                <w:sz w:val="20"/>
                <w:szCs w:val="20"/>
              </w:rPr>
            </w:pPr>
            <w:r w:rsidRPr="009C403E">
              <w:rPr>
                <w:sz w:val="20"/>
                <w:szCs w:val="20"/>
              </w:rPr>
              <w:t>1652</w:t>
            </w:r>
          </w:p>
        </w:tc>
        <w:tc>
          <w:tcPr>
            <w:tcW w:w="1476" w:type="dxa"/>
            <w:vAlign w:val="center"/>
          </w:tcPr>
          <w:p w:rsidR="00BA2B09" w:rsidRPr="009C403E" w:rsidRDefault="00BA2B09" w:rsidP="0042152A">
            <w:pPr>
              <w:tabs>
                <w:tab w:val="center" w:pos="4153"/>
                <w:tab w:val="right" w:pos="8306"/>
              </w:tabs>
              <w:jc w:val="center"/>
              <w:rPr>
                <w:sz w:val="20"/>
                <w:szCs w:val="20"/>
              </w:rPr>
            </w:pPr>
            <w:r w:rsidRPr="009C403E">
              <w:rPr>
                <w:sz w:val="20"/>
                <w:szCs w:val="20"/>
              </w:rPr>
              <w:t>17 %</w:t>
            </w:r>
          </w:p>
        </w:tc>
      </w:tr>
      <w:tr w:rsidR="00BA2B09" w:rsidRPr="009C403E">
        <w:trPr>
          <w:trHeight w:val="998"/>
          <w:jc w:val="center"/>
        </w:trPr>
        <w:tc>
          <w:tcPr>
            <w:tcW w:w="5023" w:type="dxa"/>
          </w:tcPr>
          <w:p w:rsidR="00BA2B09" w:rsidRPr="009C403E" w:rsidRDefault="00BA2B09" w:rsidP="00987448">
            <w:pPr>
              <w:tabs>
                <w:tab w:val="center" w:pos="4153"/>
                <w:tab w:val="right" w:pos="8306"/>
              </w:tabs>
              <w:spacing w:after="0"/>
              <w:rPr>
                <w:sz w:val="20"/>
                <w:szCs w:val="20"/>
              </w:rPr>
            </w:pPr>
            <w:r w:rsidRPr="009C403E">
              <w:rPr>
                <w:sz w:val="20"/>
                <w:szCs w:val="20"/>
              </w:rPr>
              <w:t xml:space="preserve">Legalizēto darba ņēmēju rezultātā </w:t>
            </w:r>
            <w:r w:rsidRPr="00FC6704">
              <w:rPr>
                <w:color w:val="000000"/>
                <w:sz w:val="20"/>
                <w:szCs w:val="20"/>
                <w:lang w:eastAsia="lv-LV"/>
              </w:rPr>
              <w:t>iemaksai valsts budžetā nodokļu maksātāji</w:t>
            </w:r>
            <w:r>
              <w:rPr>
                <w:color w:val="000000"/>
                <w:sz w:val="20"/>
                <w:szCs w:val="20"/>
                <w:lang w:eastAsia="lv-LV"/>
              </w:rPr>
              <w:t xml:space="preserve"> papildus paši ir aprēķinājuši (t.sk.</w:t>
            </w:r>
            <w:r w:rsidRPr="00FC6704">
              <w:rPr>
                <w:color w:val="000000"/>
                <w:sz w:val="20"/>
                <w:szCs w:val="20"/>
                <w:lang w:eastAsia="lv-LV"/>
              </w:rPr>
              <w:t xml:space="preserve"> valsts sociālās apdrošināšanas obligātās iemaksas </w:t>
            </w:r>
            <w:r>
              <w:rPr>
                <w:color w:val="000000"/>
                <w:sz w:val="20"/>
                <w:szCs w:val="20"/>
                <w:lang w:eastAsia="lv-LV"/>
              </w:rPr>
              <w:t>un iedzīvotāju ienākuma nodokli)</w:t>
            </w:r>
            <w:r w:rsidRPr="00FC6704">
              <w:rPr>
                <w:color w:val="000000"/>
                <w:sz w:val="20"/>
                <w:szCs w:val="20"/>
                <w:lang w:eastAsia="lv-LV"/>
              </w:rPr>
              <w:t xml:space="preserve"> </w:t>
            </w:r>
            <w:r>
              <w:rPr>
                <w:color w:val="000000"/>
                <w:sz w:val="20"/>
                <w:szCs w:val="20"/>
                <w:lang w:eastAsia="lv-LV"/>
              </w:rPr>
              <w:t xml:space="preserve">Ls </w:t>
            </w:r>
            <w:r w:rsidRPr="009C403E">
              <w:rPr>
                <w:sz w:val="20"/>
                <w:szCs w:val="20"/>
              </w:rPr>
              <w:t>tūkst. apmērā</w:t>
            </w:r>
          </w:p>
        </w:tc>
        <w:tc>
          <w:tcPr>
            <w:tcW w:w="1134" w:type="dxa"/>
            <w:vAlign w:val="center"/>
          </w:tcPr>
          <w:p w:rsidR="00BA2B09" w:rsidRPr="009C403E" w:rsidRDefault="00BA2B09" w:rsidP="00830EE3">
            <w:pPr>
              <w:tabs>
                <w:tab w:val="center" w:pos="4153"/>
                <w:tab w:val="right" w:pos="8306"/>
              </w:tabs>
              <w:jc w:val="center"/>
              <w:rPr>
                <w:sz w:val="20"/>
                <w:szCs w:val="20"/>
              </w:rPr>
            </w:pPr>
            <w:r w:rsidRPr="009C403E">
              <w:rPr>
                <w:sz w:val="20"/>
                <w:szCs w:val="20"/>
              </w:rPr>
              <w:t>311,0</w:t>
            </w:r>
          </w:p>
        </w:tc>
        <w:tc>
          <w:tcPr>
            <w:tcW w:w="1275" w:type="dxa"/>
            <w:vAlign w:val="center"/>
          </w:tcPr>
          <w:p w:rsidR="00BA2B09" w:rsidRPr="009C403E" w:rsidRDefault="00BA2B09" w:rsidP="00830EE3">
            <w:pPr>
              <w:tabs>
                <w:tab w:val="center" w:pos="4153"/>
                <w:tab w:val="right" w:pos="8306"/>
              </w:tabs>
              <w:jc w:val="center"/>
              <w:rPr>
                <w:sz w:val="20"/>
                <w:szCs w:val="20"/>
              </w:rPr>
            </w:pPr>
            <w:r w:rsidRPr="009C403E">
              <w:rPr>
                <w:sz w:val="20"/>
                <w:szCs w:val="20"/>
              </w:rPr>
              <w:t>303,2</w:t>
            </w:r>
          </w:p>
        </w:tc>
        <w:tc>
          <w:tcPr>
            <w:tcW w:w="1476" w:type="dxa"/>
            <w:vAlign w:val="center"/>
          </w:tcPr>
          <w:p w:rsidR="00BA2B09" w:rsidRPr="009C403E" w:rsidRDefault="00BA2B09" w:rsidP="0042152A">
            <w:pPr>
              <w:tabs>
                <w:tab w:val="center" w:pos="4153"/>
                <w:tab w:val="right" w:pos="8306"/>
              </w:tabs>
              <w:jc w:val="center"/>
              <w:rPr>
                <w:sz w:val="20"/>
                <w:szCs w:val="20"/>
              </w:rPr>
            </w:pPr>
            <w:r w:rsidRPr="009C403E">
              <w:rPr>
                <w:sz w:val="20"/>
                <w:szCs w:val="20"/>
              </w:rPr>
              <w:t>-3 %</w:t>
            </w:r>
          </w:p>
        </w:tc>
      </w:tr>
    </w:tbl>
    <w:p w:rsidR="00BA2B09" w:rsidRPr="00732E63" w:rsidRDefault="00BA2B09" w:rsidP="00C07567">
      <w:pPr>
        <w:spacing w:after="0"/>
        <w:ind w:firstLine="720"/>
        <w:jc w:val="both"/>
        <w:rPr>
          <w:sz w:val="20"/>
          <w:szCs w:val="20"/>
        </w:rPr>
      </w:pPr>
    </w:p>
    <w:p w:rsidR="00BA2B09" w:rsidRDefault="00BA2B09" w:rsidP="00C07567">
      <w:pPr>
        <w:spacing w:after="0"/>
        <w:ind w:firstLine="720"/>
        <w:jc w:val="both"/>
        <w:rPr>
          <w:sz w:val="28"/>
          <w:szCs w:val="28"/>
        </w:rPr>
      </w:pPr>
      <w:r w:rsidRPr="00D40487">
        <w:rPr>
          <w:sz w:val="28"/>
          <w:szCs w:val="28"/>
        </w:rPr>
        <w:t>Saistībā ar nelegālo nodarbinātību un algām aploksnēs 2012.gada 5 mēnešos organizēti 176 izglītojošie semināri nodokļu maksātājiem, kā arī sniegtas publikācijas vietējos laikrakstos un skaidrojošas informācijas vietējā radio par aktuālajām problēmām saistībā ar nelegālo nodarbinātību un algām aploksnēs.</w:t>
      </w:r>
    </w:p>
    <w:p w:rsidR="00BA2B09" w:rsidRDefault="00BA2B09" w:rsidP="003231FD">
      <w:pPr>
        <w:spacing w:after="0"/>
        <w:ind w:firstLine="720"/>
        <w:jc w:val="both"/>
        <w:rPr>
          <w:sz w:val="28"/>
          <w:szCs w:val="28"/>
        </w:rPr>
      </w:pPr>
      <w:r>
        <w:rPr>
          <w:sz w:val="28"/>
          <w:szCs w:val="28"/>
        </w:rPr>
        <w:t>VID</w:t>
      </w:r>
      <w:r w:rsidRPr="00C07567">
        <w:rPr>
          <w:sz w:val="28"/>
          <w:szCs w:val="28"/>
        </w:rPr>
        <w:t xml:space="preserve"> veic arī preventīvos pasākumus iespējamās nereģistrētās saimnieciskās darbības novēršanā.</w:t>
      </w:r>
      <w:r>
        <w:rPr>
          <w:sz w:val="28"/>
          <w:szCs w:val="28"/>
        </w:rPr>
        <w:t xml:space="preserve"> </w:t>
      </w:r>
      <w:r w:rsidRPr="00C07567">
        <w:rPr>
          <w:sz w:val="28"/>
          <w:szCs w:val="28"/>
        </w:rPr>
        <w:t xml:space="preserve">Izvērtējot VID rīcībā esošo informāciju, </w:t>
      </w:r>
      <w:r>
        <w:rPr>
          <w:sz w:val="28"/>
          <w:szCs w:val="28"/>
        </w:rPr>
        <w:t>tiek</w:t>
      </w:r>
      <w:r w:rsidRPr="00C07567">
        <w:rPr>
          <w:sz w:val="28"/>
          <w:szCs w:val="28"/>
        </w:rPr>
        <w:t xml:space="preserve"> noteiktas saimnieciskās darbības nozares, kurās ir vislielākais nereģistrētas saimnieciskās darbības risks. Līdz ar to </w:t>
      </w:r>
      <w:r>
        <w:rPr>
          <w:sz w:val="28"/>
          <w:szCs w:val="28"/>
        </w:rPr>
        <w:t>VID</w:t>
      </w:r>
      <w:r w:rsidRPr="00C07567">
        <w:rPr>
          <w:sz w:val="28"/>
          <w:szCs w:val="28"/>
        </w:rPr>
        <w:t xml:space="preserve"> 2012.gada </w:t>
      </w:r>
      <w:r>
        <w:rPr>
          <w:sz w:val="28"/>
          <w:szCs w:val="28"/>
        </w:rPr>
        <w:t>5 mēnešos</w:t>
      </w:r>
      <w:r w:rsidRPr="00C07567">
        <w:rPr>
          <w:sz w:val="28"/>
          <w:szCs w:val="28"/>
        </w:rPr>
        <w:t xml:space="preserve"> darbā ar fiziskajām personām, kuras, iespējams, veic nereģistrētu saimniecisko darbību, </w:t>
      </w:r>
      <w:r>
        <w:rPr>
          <w:sz w:val="28"/>
          <w:szCs w:val="28"/>
        </w:rPr>
        <w:t>īpašu uzmanību pievērsa</w:t>
      </w:r>
      <w:r w:rsidRPr="00C07567">
        <w:rPr>
          <w:sz w:val="28"/>
          <w:szCs w:val="28"/>
        </w:rPr>
        <w:t xml:space="preserve"> sludinājumos ievietot</w:t>
      </w:r>
      <w:r>
        <w:rPr>
          <w:sz w:val="28"/>
          <w:szCs w:val="28"/>
        </w:rPr>
        <w:t>ajai</w:t>
      </w:r>
      <w:r w:rsidRPr="00C07567">
        <w:rPr>
          <w:sz w:val="28"/>
          <w:szCs w:val="28"/>
        </w:rPr>
        <w:t xml:space="preserve"> informācij</w:t>
      </w:r>
      <w:r>
        <w:rPr>
          <w:sz w:val="28"/>
          <w:szCs w:val="28"/>
        </w:rPr>
        <w:t>ai</w:t>
      </w:r>
      <w:r w:rsidRPr="00C07567">
        <w:rPr>
          <w:sz w:val="28"/>
          <w:szCs w:val="28"/>
        </w:rPr>
        <w:t xml:space="preserve"> noteiktajās prioritārajās nozarēs </w:t>
      </w:r>
      <w:r>
        <w:rPr>
          <w:sz w:val="28"/>
          <w:szCs w:val="28"/>
        </w:rPr>
        <w:t>–</w:t>
      </w:r>
      <w:r w:rsidRPr="00C07567">
        <w:rPr>
          <w:sz w:val="28"/>
          <w:szCs w:val="28"/>
        </w:rPr>
        <w:t xml:space="preserve"> automobiļu remonts un serviss, mazumtirdzniecība, būvdarbi un nekustamā īpašuma izīrēšana vai iznomāšana.</w:t>
      </w:r>
      <w:r w:rsidRPr="003231FD">
        <w:rPr>
          <w:sz w:val="26"/>
          <w:szCs w:val="26"/>
          <w:lang w:eastAsia="lv-LV"/>
        </w:rPr>
        <w:t xml:space="preserve"> </w:t>
      </w:r>
      <w:r>
        <w:rPr>
          <w:sz w:val="28"/>
          <w:szCs w:val="28"/>
        </w:rPr>
        <w:t>Preventīvā</w:t>
      </w:r>
      <w:r w:rsidRPr="003231FD">
        <w:rPr>
          <w:sz w:val="28"/>
          <w:szCs w:val="28"/>
        </w:rPr>
        <w:t xml:space="preserve"> darba rezultātus 2011.gada </w:t>
      </w:r>
      <w:r>
        <w:rPr>
          <w:sz w:val="28"/>
          <w:szCs w:val="28"/>
        </w:rPr>
        <w:t>5</w:t>
      </w:r>
      <w:r w:rsidRPr="003231FD">
        <w:rPr>
          <w:sz w:val="28"/>
          <w:szCs w:val="28"/>
        </w:rPr>
        <w:t xml:space="preserve"> mēnešos un </w:t>
      </w:r>
      <w:r>
        <w:rPr>
          <w:sz w:val="28"/>
          <w:szCs w:val="28"/>
        </w:rPr>
        <w:t xml:space="preserve">2012.gada 5 mēnešos </w:t>
      </w:r>
      <w:r w:rsidRPr="003231FD">
        <w:rPr>
          <w:sz w:val="28"/>
          <w:szCs w:val="28"/>
        </w:rPr>
        <w:t>raksturo 4</w:t>
      </w:r>
      <w:r>
        <w:rPr>
          <w:sz w:val="28"/>
          <w:szCs w:val="28"/>
        </w:rPr>
        <w:t>.</w:t>
      </w:r>
      <w:r w:rsidRPr="003231FD">
        <w:rPr>
          <w:sz w:val="28"/>
          <w:szCs w:val="28"/>
        </w:rPr>
        <w:t>tabulas rādītāji.</w:t>
      </w:r>
    </w:p>
    <w:p w:rsidR="00BA2B09" w:rsidRDefault="00BA2B09" w:rsidP="003231FD">
      <w:pPr>
        <w:spacing w:after="0"/>
        <w:ind w:firstLine="720"/>
        <w:jc w:val="both"/>
        <w:rPr>
          <w:sz w:val="28"/>
          <w:szCs w:val="28"/>
        </w:rPr>
      </w:pPr>
    </w:p>
    <w:p w:rsidR="00BA2B09" w:rsidRDefault="00BA2B09" w:rsidP="003231FD">
      <w:pPr>
        <w:spacing w:after="0"/>
        <w:ind w:firstLine="720"/>
        <w:jc w:val="both"/>
        <w:rPr>
          <w:sz w:val="28"/>
          <w:szCs w:val="28"/>
        </w:rPr>
      </w:pPr>
    </w:p>
    <w:p w:rsidR="00BA2B09" w:rsidRDefault="00BA2B09" w:rsidP="003231FD">
      <w:pPr>
        <w:spacing w:after="0"/>
        <w:ind w:firstLine="720"/>
        <w:jc w:val="both"/>
        <w:rPr>
          <w:sz w:val="28"/>
          <w:szCs w:val="28"/>
        </w:rPr>
      </w:pPr>
    </w:p>
    <w:p w:rsidR="00BA2B09" w:rsidRPr="00310CCC" w:rsidRDefault="00BA2B09" w:rsidP="000A16B9">
      <w:pPr>
        <w:shd w:val="clear" w:color="auto" w:fill="FFFFFF"/>
        <w:spacing w:after="0"/>
        <w:jc w:val="right"/>
        <w:rPr>
          <w:color w:val="000000"/>
          <w:sz w:val="24"/>
          <w:szCs w:val="24"/>
          <w:lang w:eastAsia="lv-LV"/>
        </w:rPr>
      </w:pPr>
      <w:r>
        <w:rPr>
          <w:color w:val="000000"/>
          <w:sz w:val="24"/>
          <w:szCs w:val="24"/>
          <w:lang w:eastAsia="lv-LV"/>
        </w:rPr>
        <w:lastRenderedPageBreak/>
        <w:t>4</w:t>
      </w:r>
      <w:r w:rsidRPr="00310CCC">
        <w:rPr>
          <w:color w:val="000000"/>
          <w:sz w:val="24"/>
          <w:szCs w:val="24"/>
          <w:lang w:eastAsia="lv-LV"/>
        </w:rPr>
        <w:t>.tabula</w:t>
      </w:r>
    </w:p>
    <w:p w:rsidR="00BA2B09" w:rsidRPr="00FC6704" w:rsidRDefault="00BA2B09" w:rsidP="000A16B9">
      <w:pPr>
        <w:jc w:val="center"/>
        <w:rPr>
          <w:sz w:val="26"/>
          <w:szCs w:val="26"/>
        </w:rPr>
      </w:pPr>
      <w:r w:rsidRPr="00FC6704">
        <w:rPr>
          <w:sz w:val="26"/>
          <w:szCs w:val="26"/>
        </w:rPr>
        <w:t xml:space="preserve">Preventīvā darba rezultāti </w:t>
      </w:r>
      <w:r>
        <w:rPr>
          <w:sz w:val="26"/>
          <w:szCs w:val="26"/>
        </w:rPr>
        <w:t>nereģistrētās saimnieciskās darbības novēršanā</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134"/>
        <w:gridCol w:w="1499"/>
      </w:tblGrid>
      <w:tr w:rsidR="00BA2B09" w:rsidRPr="009C403E">
        <w:trPr>
          <w:trHeight w:val="769"/>
          <w:jc w:val="center"/>
        </w:trPr>
        <w:tc>
          <w:tcPr>
            <w:tcW w:w="5387" w:type="dxa"/>
            <w:vAlign w:val="center"/>
          </w:tcPr>
          <w:p w:rsidR="00BA2B09" w:rsidRPr="009C403E" w:rsidRDefault="00BA2B09" w:rsidP="00E60E74">
            <w:pPr>
              <w:tabs>
                <w:tab w:val="center" w:pos="4153"/>
                <w:tab w:val="right" w:pos="8306"/>
              </w:tabs>
              <w:jc w:val="center"/>
              <w:rPr>
                <w:sz w:val="20"/>
                <w:szCs w:val="20"/>
              </w:rPr>
            </w:pPr>
            <w:r w:rsidRPr="009C403E">
              <w:rPr>
                <w:sz w:val="20"/>
                <w:szCs w:val="20"/>
              </w:rPr>
              <w:t>Rādītāji</w:t>
            </w:r>
          </w:p>
        </w:tc>
        <w:tc>
          <w:tcPr>
            <w:tcW w:w="1134" w:type="dxa"/>
            <w:vAlign w:val="center"/>
          </w:tcPr>
          <w:p w:rsidR="00BA2B09" w:rsidRPr="009C403E" w:rsidRDefault="00BA2B09" w:rsidP="00E60E74">
            <w:pPr>
              <w:tabs>
                <w:tab w:val="center" w:pos="4153"/>
                <w:tab w:val="right" w:pos="8306"/>
              </w:tabs>
              <w:spacing w:after="0"/>
              <w:jc w:val="center"/>
              <w:rPr>
                <w:b/>
                <w:bCs/>
                <w:sz w:val="20"/>
                <w:szCs w:val="20"/>
              </w:rPr>
            </w:pPr>
            <w:r w:rsidRPr="009C403E">
              <w:rPr>
                <w:b/>
                <w:bCs/>
                <w:sz w:val="20"/>
                <w:szCs w:val="20"/>
              </w:rPr>
              <w:t>2011.gada</w:t>
            </w:r>
          </w:p>
          <w:p w:rsidR="00BA2B09" w:rsidRPr="009C403E" w:rsidRDefault="00BA2B09" w:rsidP="00E60E74">
            <w:pPr>
              <w:tabs>
                <w:tab w:val="center" w:pos="4153"/>
                <w:tab w:val="right" w:pos="8306"/>
              </w:tabs>
              <w:spacing w:after="0"/>
              <w:jc w:val="center"/>
              <w:rPr>
                <w:b/>
                <w:bCs/>
                <w:sz w:val="20"/>
                <w:szCs w:val="20"/>
              </w:rPr>
            </w:pPr>
            <w:r w:rsidRPr="009C403E">
              <w:rPr>
                <w:b/>
                <w:bCs/>
                <w:sz w:val="20"/>
                <w:szCs w:val="20"/>
              </w:rPr>
              <w:t>5 mēneši</w:t>
            </w:r>
          </w:p>
        </w:tc>
        <w:tc>
          <w:tcPr>
            <w:tcW w:w="1134" w:type="dxa"/>
            <w:vAlign w:val="center"/>
          </w:tcPr>
          <w:p w:rsidR="00BA2B09" w:rsidRPr="009C403E" w:rsidRDefault="00BA2B09" w:rsidP="00E60E74">
            <w:pPr>
              <w:tabs>
                <w:tab w:val="center" w:pos="4153"/>
                <w:tab w:val="right" w:pos="8306"/>
              </w:tabs>
              <w:spacing w:after="0"/>
              <w:jc w:val="center"/>
              <w:rPr>
                <w:b/>
                <w:bCs/>
                <w:sz w:val="20"/>
                <w:szCs w:val="20"/>
              </w:rPr>
            </w:pPr>
            <w:r w:rsidRPr="009C403E">
              <w:rPr>
                <w:b/>
                <w:bCs/>
                <w:sz w:val="20"/>
                <w:szCs w:val="20"/>
              </w:rPr>
              <w:t>2012.gada</w:t>
            </w:r>
          </w:p>
          <w:p w:rsidR="00BA2B09" w:rsidRPr="009C403E" w:rsidRDefault="00BA2B09" w:rsidP="00E60E74">
            <w:pPr>
              <w:tabs>
                <w:tab w:val="center" w:pos="4153"/>
                <w:tab w:val="right" w:pos="8306"/>
              </w:tabs>
              <w:spacing w:after="0"/>
              <w:jc w:val="center"/>
              <w:rPr>
                <w:b/>
                <w:bCs/>
                <w:sz w:val="20"/>
                <w:szCs w:val="20"/>
              </w:rPr>
            </w:pPr>
            <w:r w:rsidRPr="009C403E">
              <w:rPr>
                <w:b/>
                <w:bCs/>
                <w:sz w:val="20"/>
                <w:szCs w:val="20"/>
              </w:rPr>
              <w:t>5 mēneši</w:t>
            </w:r>
          </w:p>
        </w:tc>
        <w:tc>
          <w:tcPr>
            <w:tcW w:w="1499" w:type="dxa"/>
            <w:vAlign w:val="center"/>
          </w:tcPr>
          <w:p w:rsidR="00BA2B09" w:rsidRPr="009C403E" w:rsidRDefault="00BA2B09" w:rsidP="005B0FE6">
            <w:pPr>
              <w:tabs>
                <w:tab w:val="center" w:pos="4153"/>
                <w:tab w:val="right" w:pos="8306"/>
              </w:tabs>
              <w:spacing w:after="0"/>
              <w:jc w:val="center"/>
              <w:rPr>
                <w:b/>
                <w:bCs/>
                <w:sz w:val="20"/>
                <w:szCs w:val="20"/>
              </w:rPr>
            </w:pPr>
            <w:r w:rsidRPr="009C403E">
              <w:rPr>
                <w:b/>
                <w:bCs/>
                <w:sz w:val="20"/>
                <w:szCs w:val="20"/>
              </w:rPr>
              <w:t>Pieaugums 2012.gada 5 mēnešos, salīdzinot ar 2011.gada 5 mēnešiem</w:t>
            </w:r>
          </w:p>
        </w:tc>
      </w:tr>
      <w:tr w:rsidR="00BA2B09" w:rsidRPr="009C403E">
        <w:trPr>
          <w:jc w:val="center"/>
        </w:trPr>
        <w:tc>
          <w:tcPr>
            <w:tcW w:w="5387" w:type="dxa"/>
            <w:vAlign w:val="center"/>
          </w:tcPr>
          <w:p w:rsidR="00BA2B09" w:rsidRPr="009C403E" w:rsidRDefault="00BA2B09" w:rsidP="000A365A">
            <w:pPr>
              <w:tabs>
                <w:tab w:val="center" w:pos="4153"/>
                <w:tab w:val="right" w:pos="8306"/>
              </w:tabs>
              <w:spacing w:after="0"/>
              <w:rPr>
                <w:sz w:val="20"/>
                <w:szCs w:val="20"/>
              </w:rPr>
            </w:pPr>
            <w:r w:rsidRPr="009C403E">
              <w:rPr>
                <w:sz w:val="20"/>
                <w:szCs w:val="20"/>
              </w:rPr>
              <w:t>Fiziskās personas, kuras legalizēja savu saimniecisko darbību un reģistrējās kā nodokļu maksātājas</w:t>
            </w:r>
          </w:p>
        </w:tc>
        <w:tc>
          <w:tcPr>
            <w:tcW w:w="1134" w:type="dxa"/>
            <w:vAlign w:val="center"/>
          </w:tcPr>
          <w:p w:rsidR="00BA2B09" w:rsidRPr="009C403E" w:rsidRDefault="00BA2B09" w:rsidP="00E60E74">
            <w:pPr>
              <w:tabs>
                <w:tab w:val="center" w:pos="4153"/>
                <w:tab w:val="right" w:pos="8306"/>
              </w:tabs>
              <w:jc w:val="center"/>
              <w:rPr>
                <w:sz w:val="20"/>
                <w:szCs w:val="20"/>
              </w:rPr>
            </w:pPr>
            <w:r w:rsidRPr="009C403E">
              <w:rPr>
                <w:sz w:val="20"/>
                <w:szCs w:val="20"/>
              </w:rPr>
              <w:t>20</w:t>
            </w:r>
          </w:p>
        </w:tc>
        <w:tc>
          <w:tcPr>
            <w:tcW w:w="1134" w:type="dxa"/>
            <w:vAlign w:val="center"/>
          </w:tcPr>
          <w:p w:rsidR="00BA2B09" w:rsidRPr="009C403E" w:rsidRDefault="00BA2B09" w:rsidP="00E60E74">
            <w:pPr>
              <w:tabs>
                <w:tab w:val="center" w:pos="4153"/>
                <w:tab w:val="right" w:pos="8306"/>
              </w:tabs>
              <w:jc w:val="center"/>
              <w:rPr>
                <w:sz w:val="20"/>
                <w:szCs w:val="20"/>
              </w:rPr>
            </w:pPr>
            <w:r w:rsidRPr="009C403E">
              <w:rPr>
                <w:sz w:val="20"/>
                <w:szCs w:val="20"/>
              </w:rPr>
              <w:t>101</w:t>
            </w:r>
          </w:p>
        </w:tc>
        <w:tc>
          <w:tcPr>
            <w:tcW w:w="1499" w:type="dxa"/>
            <w:vAlign w:val="center"/>
          </w:tcPr>
          <w:p w:rsidR="00BA2B09" w:rsidRPr="009C403E" w:rsidRDefault="00BA2B09" w:rsidP="0042152A">
            <w:pPr>
              <w:tabs>
                <w:tab w:val="center" w:pos="4153"/>
                <w:tab w:val="right" w:pos="8306"/>
              </w:tabs>
              <w:jc w:val="center"/>
              <w:rPr>
                <w:sz w:val="20"/>
                <w:szCs w:val="20"/>
              </w:rPr>
            </w:pPr>
            <w:r w:rsidRPr="009C403E">
              <w:rPr>
                <w:sz w:val="20"/>
                <w:szCs w:val="20"/>
              </w:rPr>
              <w:t>405 %</w:t>
            </w:r>
          </w:p>
        </w:tc>
      </w:tr>
      <w:tr w:rsidR="00BA2B09" w:rsidRPr="009C403E">
        <w:trPr>
          <w:jc w:val="center"/>
        </w:trPr>
        <w:tc>
          <w:tcPr>
            <w:tcW w:w="5387" w:type="dxa"/>
          </w:tcPr>
          <w:p w:rsidR="00BA2B09" w:rsidRPr="009C403E" w:rsidRDefault="00BA2B09" w:rsidP="000A365A">
            <w:pPr>
              <w:tabs>
                <w:tab w:val="center" w:pos="4153"/>
                <w:tab w:val="right" w:pos="8306"/>
              </w:tabs>
              <w:spacing w:after="0"/>
              <w:rPr>
                <w:sz w:val="20"/>
                <w:szCs w:val="20"/>
              </w:rPr>
            </w:pPr>
            <w:r w:rsidRPr="009C403E">
              <w:rPr>
                <w:sz w:val="20"/>
                <w:szCs w:val="20"/>
              </w:rPr>
              <w:t>Legalizētās saimnieciskās darbības rezultātā, nodokļu maksātāji deklarēja ienākumus no saimnieciskās darbības Ls tūkst. apmērā</w:t>
            </w:r>
          </w:p>
        </w:tc>
        <w:tc>
          <w:tcPr>
            <w:tcW w:w="1134" w:type="dxa"/>
            <w:vAlign w:val="center"/>
          </w:tcPr>
          <w:p w:rsidR="00BA2B09" w:rsidRPr="009C403E" w:rsidRDefault="00BA2B09" w:rsidP="00E60E74">
            <w:pPr>
              <w:tabs>
                <w:tab w:val="center" w:pos="4153"/>
                <w:tab w:val="right" w:pos="8306"/>
              </w:tabs>
              <w:jc w:val="center"/>
              <w:rPr>
                <w:sz w:val="20"/>
                <w:szCs w:val="20"/>
              </w:rPr>
            </w:pPr>
            <w:r w:rsidRPr="009C403E">
              <w:rPr>
                <w:sz w:val="20"/>
                <w:szCs w:val="20"/>
              </w:rPr>
              <w:t>26,0</w:t>
            </w:r>
          </w:p>
        </w:tc>
        <w:tc>
          <w:tcPr>
            <w:tcW w:w="1134" w:type="dxa"/>
            <w:vAlign w:val="center"/>
          </w:tcPr>
          <w:p w:rsidR="00BA2B09" w:rsidRPr="009C403E" w:rsidRDefault="00BA2B09" w:rsidP="00E60E74">
            <w:pPr>
              <w:tabs>
                <w:tab w:val="center" w:pos="4153"/>
                <w:tab w:val="right" w:pos="8306"/>
              </w:tabs>
              <w:jc w:val="center"/>
              <w:rPr>
                <w:sz w:val="20"/>
                <w:szCs w:val="20"/>
              </w:rPr>
            </w:pPr>
            <w:r w:rsidRPr="009C403E">
              <w:rPr>
                <w:sz w:val="20"/>
                <w:szCs w:val="20"/>
              </w:rPr>
              <w:t>30,9</w:t>
            </w:r>
          </w:p>
        </w:tc>
        <w:tc>
          <w:tcPr>
            <w:tcW w:w="1499" w:type="dxa"/>
            <w:vAlign w:val="center"/>
          </w:tcPr>
          <w:p w:rsidR="00BA2B09" w:rsidRPr="009C403E" w:rsidRDefault="00BA2B09" w:rsidP="0042152A">
            <w:pPr>
              <w:tabs>
                <w:tab w:val="center" w:pos="4153"/>
                <w:tab w:val="right" w:pos="8306"/>
              </w:tabs>
              <w:jc w:val="center"/>
              <w:rPr>
                <w:sz w:val="20"/>
                <w:szCs w:val="20"/>
              </w:rPr>
            </w:pPr>
            <w:r w:rsidRPr="009C403E">
              <w:rPr>
                <w:sz w:val="20"/>
                <w:szCs w:val="20"/>
              </w:rPr>
              <w:t>19 %</w:t>
            </w:r>
          </w:p>
        </w:tc>
      </w:tr>
    </w:tbl>
    <w:p w:rsidR="00BA2B09" w:rsidRPr="003F601F" w:rsidRDefault="00BA2B09" w:rsidP="003F601F">
      <w:pPr>
        <w:pStyle w:val="ListParagraph"/>
        <w:shd w:val="clear" w:color="auto" w:fill="FFFFFF"/>
        <w:ind w:left="0"/>
        <w:jc w:val="both"/>
      </w:pPr>
    </w:p>
    <w:p w:rsidR="00BA2B09" w:rsidRDefault="00BA2B09" w:rsidP="00D92F6C">
      <w:pPr>
        <w:pStyle w:val="ListParagraph"/>
        <w:numPr>
          <w:ilvl w:val="2"/>
          <w:numId w:val="25"/>
        </w:numPr>
        <w:shd w:val="clear" w:color="auto" w:fill="FFFFFF"/>
        <w:ind w:left="0" w:firstLine="0"/>
        <w:jc w:val="both"/>
        <w:rPr>
          <w:b/>
          <w:bCs/>
        </w:rPr>
      </w:pPr>
      <w:r w:rsidRPr="003231FD">
        <w:rPr>
          <w:b/>
          <w:bCs/>
        </w:rPr>
        <w:t>VDI preventīvais darbs</w:t>
      </w:r>
    </w:p>
    <w:p w:rsidR="00BA2B09" w:rsidRPr="003231FD" w:rsidRDefault="00BA2B09" w:rsidP="003231FD">
      <w:pPr>
        <w:shd w:val="clear" w:color="auto" w:fill="FFFFFF"/>
        <w:spacing w:after="0"/>
        <w:jc w:val="both"/>
      </w:pPr>
    </w:p>
    <w:p w:rsidR="00BA2B09" w:rsidRPr="001F29E8" w:rsidRDefault="00BA2B09" w:rsidP="003231FD">
      <w:pPr>
        <w:autoSpaceDE w:val="0"/>
        <w:autoSpaceDN w:val="0"/>
        <w:adjustRightInd w:val="0"/>
        <w:spacing w:after="0"/>
        <w:ind w:firstLine="720"/>
        <w:jc w:val="both"/>
        <w:rPr>
          <w:sz w:val="28"/>
          <w:szCs w:val="28"/>
        </w:rPr>
      </w:pPr>
      <w:r w:rsidRPr="001F29E8">
        <w:rPr>
          <w:sz w:val="28"/>
          <w:szCs w:val="28"/>
        </w:rPr>
        <w:t xml:space="preserve">Kā būtiskākie un nozīmīgākie ir minami </w:t>
      </w:r>
      <w:r>
        <w:rPr>
          <w:sz w:val="28"/>
          <w:szCs w:val="28"/>
        </w:rPr>
        <w:t>šādi</w:t>
      </w:r>
      <w:r w:rsidRPr="001F29E8">
        <w:rPr>
          <w:sz w:val="28"/>
          <w:szCs w:val="28"/>
        </w:rPr>
        <w:t xml:space="preserve"> sabiedrības kopumā un konkrētu sabiedrības </w:t>
      </w:r>
      <w:r>
        <w:rPr>
          <w:sz w:val="28"/>
          <w:szCs w:val="28"/>
        </w:rPr>
        <w:t>mērķgrupu informēšanas pasākumi:</w:t>
      </w:r>
    </w:p>
    <w:p w:rsidR="00BA2B09" w:rsidRPr="001F29E8" w:rsidRDefault="00BA2B09" w:rsidP="001F29E8">
      <w:pPr>
        <w:numPr>
          <w:ilvl w:val="0"/>
          <w:numId w:val="26"/>
        </w:numPr>
        <w:tabs>
          <w:tab w:val="clear" w:pos="720"/>
          <w:tab w:val="num" w:pos="-8222"/>
        </w:tabs>
        <w:autoSpaceDE w:val="0"/>
        <w:autoSpaceDN w:val="0"/>
        <w:adjustRightInd w:val="0"/>
        <w:spacing w:after="0"/>
        <w:ind w:left="0" w:firstLine="709"/>
        <w:jc w:val="both"/>
        <w:rPr>
          <w:sz w:val="28"/>
          <w:szCs w:val="28"/>
        </w:rPr>
      </w:pPr>
      <w:r>
        <w:rPr>
          <w:sz w:val="28"/>
          <w:szCs w:val="28"/>
        </w:rPr>
        <w:t>l</w:t>
      </w:r>
      <w:r w:rsidRPr="001F29E8">
        <w:rPr>
          <w:sz w:val="28"/>
          <w:szCs w:val="28"/>
        </w:rPr>
        <w:t xml:space="preserve">ai informētu un izglītotu darba devējus, t.sk. jaunos komersantus, kas uzsāk uzņēmējdarbību, un nodarbinātos par nereģistrētās nodarbinātības negatīvajiem aspektiem, VDI sadarbojoties ar </w:t>
      </w:r>
      <w:r w:rsidRPr="003A75D5">
        <w:rPr>
          <w:sz w:val="28"/>
          <w:szCs w:val="28"/>
        </w:rPr>
        <w:t>Nodarbinātības valsts aģentūra</w:t>
      </w:r>
      <w:r w:rsidRPr="001F29E8">
        <w:rPr>
          <w:sz w:val="28"/>
          <w:szCs w:val="28"/>
        </w:rPr>
        <w:t xml:space="preserve"> un Latvijas Brīvo arodbiedrību savienību, 2011.gadā izplatī</w:t>
      </w:r>
      <w:r>
        <w:rPr>
          <w:sz w:val="28"/>
          <w:szCs w:val="28"/>
        </w:rPr>
        <w:t>ja</w:t>
      </w:r>
      <w:r w:rsidRPr="001F29E8">
        <w:rPr>
          <w:sz w:val="28"/>
          <w:szCs w:val="28"/>
        </w:rPr>
        <w:t xml:space="preserve"> 12000 informatīv</w:t>
      </w:r>
      <w:r>
        <w:rPr>
          <w:sz w:val="28"/>
          <w:szCs w:val="28"/>
        </w:rPr>
        <w:t>os</w:t>
      </w:r>
      <w:r w:rsidRPr="001F29E8">
        <w:rPr>
          <w:sz w:val="28"/>
          <w:szCs w:val="28"/>
        </w:rPr>
        <w:t xml:space="preserve"> buklet</w:t>
      </w:r>
      <w:r>
        <w:rPr>
          <w:sz w:val="28"/>
          <w:szCs w:val="28"/>
        </w:rPr>
        <w:t>us</w:t>
      </w:r>
      <w:r w:rsidRPr="001F29E8">
        <w:rPr>
          <w:sz w:val="28"/>
          <w:szCs w:val="28"/>
        </w:rPr>
        <w:t>, no tiem, 10000 buklet</w:t>
      </w:r>
      <w:r>
        <w:rPr>
          <w:sz w:val="28"/>
          <w:szCs w:val="28"/>
        </w:rPr>
        <w:t>us</w:t>
      </w:r>
      <w:r w:rsidRPr="001F29E8">
        <w:rPr>
          <w:sz w:val="28"/>
          <w:szCs w:val="28"/>
        </w:rPr>
        <w:t xml:space="preserve"> nodarbinātajiem „Pirms sāc strādāt – paraksti darba līgumu!” un 2000 buklet</w:t>
      </w:r>
      <w:r>
        <w:rPr>
          <w:sz w:val="28"/>
          <w:szCs w:val="28"/>
        </w:rPr>
        <w:t>us</w:t>
      </w:r>
      <w:r w:rsidRPr="001F29E8">
        <w:rPr>
          <w:sz w:val="28"/>
          <w:szCs w:val="28"/>
        </w:rPr>
        <w:t xml:space="preserve"> darba devējiem „Darba devēj, pirms nodarbini, noformē rakstveida darba līgumu!”</w:t>
      </w:r>
      <w:r>
        <w:rPr>
          <w:sz w:val="28"/>
          <w:szCs w:val="28"/>
        </w:rPr>
        <w:t>;</w:t>
      </w:r>
    </w:p>
    <w:p w:rsidR="00BA2B09" w:rsidRPr="001F29E8" w:rsidRDefault="00BA2B09" w:rsidP="001F29E8">
      <w:pPr>
        <w:numPr>
          <w:ilvl w:val="0"/>
          <w:numId w:val="26"/>
        </w:numPr>
        <w:tabs>
          <w:tab w:val="clear" w:pos="720"/>
          <w:tab w:val="num" w:pos="-8222"/>
        </w:tabs>
        <w:autoSpaceDE w:val="0"/>
        <w:autoSpaceDN w:val="0"/>
        <w:adjustRightInd w:val="0"/>
        <w:spacing w:after="0"/>
        <w:ind w:left="0" w:firstLine="709"/>
        <w:jc w:val="both"/>
        <w:rPr>
          <w:sz w:val="28"/>
          <w:szCs w:val="28"/>
        </w:rPr>
      </w:pPr>
      <w:r>
        <w:rPr>
          <w:sz w:val="28"/>
          <w:szCs w:val="28"/>
        </w:rPr>
        <w:t>l</w:t>
      </w:r>
      <w:r w:rsidRPr="001F29E8">
        <w:rPr>
          <w:sz w:val="28"/>
          <w:szCs w:val="28"/>
        </w:rPr>
        <w:t>ai izglītotu sabiedrību par nereģistrētās nodarbinātības negatīvajām sekām</w:t>
      </w:r>
      <w:r>
        <w:rPr>
          <w:sz w:val="28"/>
          <w:szCs w:val="28"/>
        </w:rPr>
        <w:t>,</w:t>
      </w:r>
      <w:r w:rsidRPr="001F29E8">
        <w:rPr>
          <w:sz w:val="28"/>
          <w:szCs w:val="28"/>
        </w:rPr>
        <w:t xml:space="preserve"> 2011.gadā ir sagatavotas 260 preses relīzes un informācija masu medijiem</w:t>
      </w:r>
      <w:r>
        <w:rPr>
          <w:sz w:val="28"/>
          <w:szCs w:val="28"/>
        </w:rPr>
        <w:t>;</w:t>
      </w:r>
    </w:p>
    <w:p w:rsidR="00BA2B09" w:rsidRPr="001F29E8" w:rsidRDefault="00BA2B09" w:rsidP="001F29E8">
      <w:pPr>
        <w:numPr>
          <w:ilvl w:val="0"/>
          <w:numId w:val="26"/>
        </w:numPr>
        <w:tabs>
          <w:tab w:val="clear" w:pos="720"/>
        </w:tabs>
        <w:autoSpaceDE w:val="0"/>
        <w:autoSpaceDN w:val="0"/>
        <w:adjustRightInd w:val="0"/>
        <w:spacing w:after="0"/>
        <w:ind w:left="0" w:firstLine="709"/>
        <w:jc w:val="both"/>
        <w:rPr>
          <w:sz w:val="28"/>
          <w:szCs w:val="28"/>
        </w:rPr>
      </w:pPr>
      <w:r w:rsidRPr="001F29E8">
        <w:rPr>
          <w:sz w:val="28"/>
          <w:szCs w:val="28"/>
        </w:rPr>
        <w:t xml:space="preserve">2011.gadā saņemti 458 ziņojumi, bet 2012.gada </w:t>
      </w:r>
      <w:r>
        <w:rPr>
          <w:sz w:val="28"/>
          <w:szCs w:val="28"/>
        </w:rPr>
        <w:t>5</w:t>
      </w:r>
      <w:r w:rsidRPr="001F29E8">
        <w:rPr>
          <w:sz w:val="28"/>
          <w:szCs w:val="28"/>
        </w:rPr>
        <w:t xml:space="preserve"> mēnešos – 260</w:t>
      </w:r>
      <w:r>
        <w:rPr>
          <w:sz w:val="28"/>
          <w:szCs w:val="28"/>
        </w:rPr>
        <w:t> </w:t>
      </w:r>
      <w:r w:rsidRPr="001F29E8">
        <w:rPr>
          <w:sz w:val="28"/>
          <w:szCs w:val="28"/>
        </w:rPr>
        <w:t>ziņojumi pa anonīmo telefonu un elektroniski (</w:t>
      </w:r>
      <w:hyperlink r:id="rId13" w:history="1">
        <w:r w:rsidRPr="001F29E8">
          <w:rPr>
            <w:sz w:val="28"/>
            <w:szCs w:val="28"/>
          </w:rPr>
          <w:t>nelegals@vdi.gov.lv</w:t>
        </w:r>
      </w:hyperlink>
      <w:r w:rsidRPr="001F29E8">
        <w:rPr>
          <w:sz w:val="28"/>
          <w:szCs w:val="28"/>
        </w:rPr>
        <w:t xml:space="preserve"> un </w:t>
      </w:r>
      <w:hyperlink r:id="rId14" w:history="1">
        <w:r w:rsidRPr="001F29E8">
          <w:rPr>
            <w:sz w:val="28"/>
            <w:szCs w:val="28"/>
          </w:rPr>
          <w:t>www.vdi.gov.lv</w:t>
        </w:r>
      </w:hyperlink>
      <w:r w:rsidRPr="001F29E8">
        <w:rPr>
          <w:sz w:val="28"/>
          <w:szCs w:val="28"/>
        </w:rPr>
        <w:t>) par nereģistrētās nodarbinātības gadījumiem</w:t>
      </w:r>
      <w:r>
        <w:rPr>
          <w:sz w:val="28"/>
          <w:szCs w:val="28"/>
        </w:rPr>
        <w:t>;</w:t>
      </w:r>
    </w:p>
    <w:p w:rsidR="00BA2B09" w:rsidRPr="001F29E8" w:rsidRDefault="00BA2B09" w:rsidP="001F29E8">
      <w:pPr>
        <w:numPr>
          <w:ilvl w:val="0"/>
          <w:numId w:val="26"/>
        </w:numPr>
        <w:tabs>
          <w:tab w:val="clear" w:pos="720"/>
          <w:tab w:val="num" w:pos="-8364"/>
        </w:tabs>
        <w:autoSpaceDE w:val="0"/>
        <w:autoSpaceDN w:val="0"/>
        <w:adjustRightInd w:val="0"/>
        <w:spacing w:after="0"/>
        <w:ind w:left="0" w:firstLine="709"/>
        <w:jc w:val="both"/>
        <w:rPr>
          <w:sz w:val="28"/>
          <w:szCs w:val="28"/>
        </w:rPr>
      </w:pPr>
      <w:r w:rsidRPr="001F29E8">
        <w:rPr>
          <w:sz w:val="28"/>
          <w:szCs w:val="28"/>
        </w:rPr>
        <w:t xml:space="preserve">Eiropas Savienības akcijas „Atpakaļ uz savu skolu” ietvaros VDI 2011.gadā organizējusi </w:t>
      </w:r>
      <w:r>
        <w:rPr>
          <w:sz w:val="28"/>
          <w:szCs w:val="28"/>
        </w:rPr>
        <w:t>piecus</w:t>
      </w:r>
      <w:r w:rsidRPr="001F29E8">
        <w:rPr>
          <w:sz w:val="28"/>
          <w:szCs w:val="28"/>
        </w:rPr>
        <w:t xml:space="preserve"> informēšanas pasākumus un sniegusi informāciju Labklājības ministrijas rīkotajā atvērto durvju dienu pasākumā skolēniem un jauniešiem par darba aizsardzības un darba tiesību jautājumiem. Eiropas Savienības akcijas „Atpakaļ uz savu skolu” ietvaros VDI 2012.gadā organizējusi informēšanas pasākumus 8 skolās, informējot 288 skolēnus par darba aizsardzības un darba tiesību jautājumiem</w:t>
      </w:r>
      <w:r>
        <w:rPr>
          <w:sz w:val="28"/>
          <w:szCs w:val="28"/>
        </w:rPr>
        <w:t>;</w:t>
      </w:r>
      <w:r w:rsidRPr="001F29E8">
        <w:rPr>
          <w:sz w:val="28"/>
          <w:szCs w:val="28"/>
        </w:rPr>
        <w:t xml:space="preserve"> </w:t>
      </w:r>
    </w:p>
    <w:p w:rsidR="00BA2B09" w:rsidRPr="001F29E8" w:rsidRDefault="00BA2B09" w:rsidP="001F29E8">
      <w:pPr>
        <w:numPr>
          <w:ilvl w:val="0"/>
          <w:numId w:val="26"/>
        </w:numPr>
        <w:tabs>
          <w:tab w:val="clear" w:pos="720"/>
          <w:tab w:val="num" w:pos="-8222"/>
        </w:tabs>
        <w:autoSpaceDE w:val="0"/>
        <w:autoSpaceDN w:val="0"/>
        <w:adjustRightInd w:val="0"/>
        <w:spacing w:after="0"/>
        <w:ind w:left="0" w:firstLine="709"/>
        <w:jc w:val="both"/>
        <w:rPr>
          <w:sz w:val="28"/>
          <w:szCs w:val="28"/>
        </w:rPr>
      </w:pPr>
      <w:r>
        <w:rPr>
          <w:sz w:val="28"/>
          <w:szCs w:val="28"/>
        </w:rPr>
        <w:t>2011.gada 16.</w:t>
      </w:r>
      <w:r w:rsidRPr="001F29E8">
        <w:rPr>
          <w:sz w:val="28"/>
          <w:szCs w:val="28"/>
        </w:rPr>
        <w:t>februārī „Ēnu dienas” ietvaros 11 skolēni iepazinās ar VDI darbinieku darba procesu, dodoties arī uzņēmumu apsekojumos, kā arī tika informēti par darba tiesību un darba aizsardzības jautājumiem</w:t>
      </w:r>
      <w:r>
        <w:rPr>
          <w:sz w:val="28"/>
          <w:szCs w:val="28"/>
        </w:rPr>
        <w:t>;</w:t>
      </w:r>
    </w:p>
    <w:p w:rsidR="00BA2B09" w:rsidRDefault="00BA2B09" w:rsidP="001F29E8">
      <w:pPr>
        <w:numPr>
          <w:ilvl w:val="0"/>
          <w:numId w:val="26"/>
        </w:numPr>
        <w:tabs>
          <w:tab w:val="clear" w:pos="720"/>
          <w:tab w:val="num" w:pos="-8364"/>
        </w:tabs>
        <w:autoSpaceDE w:val="0"/>
        <w:autoSpaceDN w:val="0"/>
        <w:adjustRightInd w:val="0"/>
        <w:spacing w:after="0"/>
        <w:ind w:left="0" w:firstLine="709"/>
        <w:jc w:val="both"/>
        <w:rPr>
          <w:sz w:val="28"/>
          <w:szCs w:val="28"/>
        </w:rPr>
      </w:pPr>
      <w:r>
        <w:rPr>
          <w:sz w:val="28"/>
          <w:szCs w:val="28"/>
        </w:rPr>
        <w:t>i</w:t>
      </w:r>
      <w:r w:rsidRPr="001F29E8">
        <w:rPr>
          <w:sz w:val="28"/>
          <w:szCs w:val="28"/>
        </w:rPr>
        <w:t xml:space="preserve">zstrādāta aptaujas anketa un veikta skolēnu un jauniešu aptauja šādās mājas lapās: </w:t>
      </w:r>
      <w:hyperlink r:id="rId15" w:history="1">
        <w:r w:rsidRPr="001F29E8">
          <w:rPr>
            <w:sz w:val="28"/>
            <w:szCs w:val="28"/>
          </w:rPr>
          <w:t>www.vdi.gov.lv</w:t>
        </w:r>
      </w:hyperlink>
      <w:r w:rsidRPr="001F29E8">
        <w:rPr>
          <w:sz w:val="28"/>
          <w:szCs w:val="28"/>
        </w:rPr>
        <w:t xml:space="preserve">, </w:t>
      </w:r>
      <w:hyperlink r:id="rId16" w:history="1">
        <w:r w:rsidRPr="001F29E8">
          <w:rPr>
            <w:sz w:val="28"/>
            <w:szCs w:val="28"/>
          </w:rPr>
          <w:t>www.jaunatneslietas.lv</w:t>
        </w:r>
      </w:hyperlink>
      <w:r w:rsidRPr="001F29E8">
        <w:rPr>
          <w:sz w:val="28"/>
          <w:szCs w:val="28"/>
        </w:rPr>
        <w:t xml:space="preserve"> un </w:t>
      </w:r>
      <w:hyperlink r:id="rId17" w:history="1">
        <w:r w:rsidRPr="001F29E8">
          <w:rPr>
            <w:sz w:val="28"/>
            <w:szCs w:val="28"/>
          </w:rPr>
          <w:t>www.prakse.lv</w:t>
        </w:r>
      </w:hyperlink>
      <w:r>
        <w:rPr>
          <w:sz w:val="28"/>
          <w:szCs w:val="28"/>
        </w:rPr>
        <w:t>.</w:t>
      </w:r>
    </w:p>
    <w:p w:rsidR="00BA2B09" w:rsidRDefault="00BA2B09" w:rsidP="001F29E8">
      <w:pPr>
        <w:shd w:val="clear" w:color="auto" w:fill="FFFFFF"/>
        <w:spacing w:after="0"/>
        <w:jc w:val="both"/>
        <w:rPr>
          <w:sz w:val="20"/>
          <w:szCs w:val="20"/>
        </w:rPr>
      </w:pPr>
    </w:p>
    <w:p w:rsidR="00BA2B09" w:rsidRDefault="00BA2B09" w:rsidP="001F29E8">
      <w:pPr>
        <w:shd w:val="clear" w:color="auto" w:fill="FFFFFF"/>
        <w:spacing w:after="0"/>
        <w:jc w:val="both"/>
        <w:rPr>
          <w:sz w:val="20"/>
          <w:szCs w:val="20"/>
        </w:rPr>
      </w:pPr>
    </w:p>
    <w:p w:rsidR="00BA2B09" w:rsidRDefault="00BA2B09" w:rsidP="001F29E8">
      <w:pPr>
        <w:shd w:val="clear" w:color="auto" w:fill="FFFFFF"/>
        <w:spacing w:after="0"/>
        <w:jc w:val="both"/>
        <w:rPr>
          <w:sz w:val="20"/>
          <w:szCs w:val="20"/>
        </w:rPr>
      </w:pPr>
    </w:p>
    <w:p w:rsidR="00BA2B09" w:rsidRDefault="00BA2B09" w:rsidP="00D92F6C">
      <w:pPr>
        <w:pStyle w:val="ListParagraph"/>
        <w:numPr>
          <w:ilvl w:val="1"/>
          <w:numId w:val="25"/>
        </w:numPr>
        <w:shd w:val="clear" w:color="auto" w:fill="FFFFFF"/>
        <w:ind w:left="567" w:hanging="567"/>
        <w:jc w:val="center"/>
        <w:rPr>
          <w:b/>
          <w:bCs/>
        </w:rPr>
      </w:pPr>
      <w:r w:rsidRPr="003231FD">
        <w:rPr>
          <w:b/>
          <w:bCs/>
        </w:rPr>
        <w:lastRenderedPageBreak/>
        <w:t>Kontroles pasākumi</w:t>
      </w:r>
    </w:p>
    <w:p w:rsidR="00BA2B09" w:rsidRPr="00D92F6C" w:rsidRDefault="00BA2B09" w:rsidP="00D92F6C">
      <w:pPr>
        <w:shd w:val="clear" w:color="auto" w:fill="FFFFFF"/>
        <w:spacing w:after="0"/>
        <w:rPr>
          <w:sz w:val="20"/>
          <w:szCs w:val="20"/>
        </w:rPr>
      </w:pPr>
    </w:p>
    <w:p w:rsidR="00BA2B09" w:rsidRDefault="00BA2B09" w:rsidP="00D92F6C">
      <w:pPr>
        <w:pStyle w:val="ListParagraph"/>
        <w:numPr>
          <w:ilvl w:val="2"/>
          <w:numId w:val="25"/>
        </w:numPr>
        <w:shd w:val="clear" w:color="auto" w:fill="FFFFFF"/>
        <w:ind w:left="0" w:firstLine="0"/>
        <w:jc w:val="both"/>
        <w:rPr>
          <w:b/>
          <w:bCs/>
        </w:rPr>
      </w:pPr>
      <w:r w:rsidRPr="003231FD">
        <w:rPr>
          <w:b/>
          <w:bCs/>
        </w:rPr>
        <w:t>VID kontroles pasākumi</w:t>
      </w:r>
    </w:p>
    <w:p w:rsidR="00BA2B09" w:rsidRPr="003231FD" w:rsidRDefault="00BA2B09" w:rsidP="003231FD">
      <w:pPr>
        <w:shd w:val="clear" w:color="auto" w:fill="FFFFFF"/>
        <w:spacing w:after="0"/>
        <w:jc w:val="both"/>
        <w:rPr>
          <w:sz w:val="20"/>
          <w:szCs w:val="20"/>
        </w:rPr>
      </w:pPr>
    </w:p>
    <w:p w:rsidR="00BA2B09" w:rsidRPr="0042152A" w:rsidRDefault="00BA2B09" w:rsidP="003231FD">
      <w:pPr>
        <w:shd w:val="clear" w:color="auto" w:fill="FFFFFF"/>
        <w:spacing w:after="0"/>
        <w:ind w:firstLine="720"/>
        <w:jc w:val="both"/>
        <w:rPr>
          <w:sz w:val="28"/>
          <w:szCs w:val="28"/>
        </w:rPr>
      </w:pPr>
      <w:r w:rsidRPr="0042152A">
        <w:rPr>
          <w:sz w:val="28"/>
          <w:szCs w:val="28"/>
        </w:rPr>
        <w:t>Cīņai pret algu izmaksām aploksnēs VID veic</w:t>
      </w:r>
      <w:r>
        <w:rPr>
          <w:sz w:val="28"/>
          <w:szCs w:val="28"/>
        </w:rPr>
        <w:t xml:space="preserve"> arī nodokļu </w:t>
      </w:r>
      <w:r w:rsidRPr="0042152A">
        <w:rPr>
          <w:sz w:val="28"/>
          <w:szCs w:val="28"/>
        </w:rPr>
        <w:t xml:space="preserve">kontroles pasākumus, kuru rezultātā </w:t>
      </w:r>
      <w:r>
        <w:rPr>
          <w:sz w:val="28"/>
          <w:szCs w:val="28"/>
        </w:rPr>
        <w:t xml:space="preserve">tiek </w:t>
      </w:r>
      <w:r w:rsidRPr="0042152A">
        <w:rPr>
          <w:sz w:val="28"/>
          <w:szCs w:val="28"/>
        </w:rPr>
        <w:t>sasniegts gan preventīvs efekts, gan represīvā ietekme uz nodokļu maksātāju nodokļu saistību izpildi.</w:t>
      </w:r>
    </w:p>
    <w:p w:rsidR="00BA2B09" w:rsidRDefault="00BA2B09" w:rsidP="00A97749">
      <w:pPr>
        <w:shd w:val="clear" w:color="auto" w:fill="FFFFFF"/>
        <w:spacing w:after="0"/>
        <w:ind w:firstLine="720"/>
        <w:jc w:val="both"/>
        <w:rPr>
          <w:sz w:val="28"/>
          <w:szCs w:val="28"/>
        </w:rPr>
      </w:pPr>
      <w:r w:rsidRPr="0042152A">
        <w:rPr>
          <w:sz w:val="28"/>
          <w:szCs w:val="28"/>
        </w:rPr>
        <w:t>2012.gada 5 mēnešos veiktas 2019 darba devēju tematiskās pārbaudes, par konstatētajiem</w:t>
      </w:r>
      <w:r>
        <w:rPr>
          <w:sz w:val="28"/>
          <w:szCs w:val="28"/>
        </w:rPr>
        <w:t xml:space="preserve"> dažāda veida </w:t>
      </w:r>
      <w:r w:rsidRPr="0042152A">
        <w:rPr>
          <w:sz w:val="28"/>
          <w:szCs w:val="28"/>
        </w:rPr>
        <w:t>pārkāpumiem saskaņā ar Latvijas Administratīvo pārkāpumu kodeksu piemērots naudas sods Ls 31,2 tūkst. apmērā.</w:t>
      </w:r>
      <w:r w:rsidRPr="00A97749">
        <w:t xml:space="preserve"> </w:t>
      </w:r>
      <w:r w:rsidRPr="00A97749">
        <w:rPr>
          <w:sz w:val="28"/>
          <w:szCs w:val="28"/>
        </w:rPr>
        <w:t>Darba devēju tematiskajās pārbaud</w:t>
      </w:r>
      <w:r>
        <w:rPr>
          <w:sz w:val="28"/>
          <w:szCs w:val="28"/>
        </w:rPr>
        <w:t>ēs konstatēto pārkāpumu raksturu</w:t>
      </w:r>
      <w:r w:rsidRPr="00A97749">
        <w:rPr>
          <w:sz w:val="28"/>
          <w:szCs w:val="28"/>
        </w:rPr>
        <w:t xml:space="preserve"> 2011.gada 5 mēnešos un 2012.gada 5</w:t>
      </w:r>
      <w:r>
        <w:rPr>
          <w:sz w:val="28"/>
          <w:szCs w:val="28"/>
        </w:rPr>
        <w:t> </w:t>
      </w:r>
      <w:r w:rsidRPr="00A97749">
        <w:rPr>
          <w:sz w:val="28"/>
          <w:szCs w:val="28"/>
        </w:rPr>
        <w:t xml:space="preserve">mēnešos raksturo </w:t>
      </w:r>
      <w:r>
        <w:rPr>
          <w:sz w:val="28"/>
          <w:szCs w:val="28"/>
        </w:rPr>
        <w:t>5</w:t>
      </w:r>
      <w:r w:rsidRPr="00A97749">
        <w:rPr>
          <w:sz w:val="28"/>
          <w:szCs w:val="28"/>
        </w:rPr>
        <w:t>.tabulas rādītāji.</w:t>
      </w:r>
    </w:p>
    <w:p w:rsidR="00BA2B09" w:rsidRPr="00732E63" w:rsidRDefault="00BA2B09" w:rsidP="00A97749">
      <w:pPr>
        <w:shd w:val="clear" w:color="auto" w:fill="FFFFFF"/>
        <w:spacing w:after="0"/>
        <w:ind w:firstLine="720"/>
        <w:jc w:val="both"/>
        <w:rPr>
          <w:sz w:val="20"/>
          <w:szCs w:val="20"/>
        </w:rPr>
      </w:pPr>
    </w:p>
    <w:p w:rsidR="00BA2B09" w:rsidRPr="009404FC" w:rsidRDefault="00BA2B09" w:rsidP="002C2ABA">
      <w:pPr>
        <w:shd w:val="clear" w:color="auto" w:fill="FFFFFF"/>
        <w:spacing w:after="0"/>
        <w:jc w:val="right"/>
        <w:rPr>
          <w:color w:val="000000"/>
          <w:sz w:val="26"/>
          <w:szCs w:val="26"/>
          <w:lang w:eastAsia="lv-LV"/>
        </w:rPr>
      </w:pPr>
      <w:r w:rsidRPr="009404FC">
        <w:rPr>
          <w:color w:val="000000"/>
          <w:sz w:val="26"/>
          <w:szCs w:val="26"/>
          <w:lang w:eastAsia="lv-LV"/>
        </w:rPr>
        <w:t>5.tabula</w:t>
      </w:r>
    </w:p>
    <w:p w:rsidR="00BA2B09" w:rsidRDefault="00BA2B09" w:rsidP="002C2ABA">
      <w:pPr>
        <w:tabs>
          <w:tab w:val="left" w:pos="-8364"/>
          <w:tab w:val="left" w:pos="-8222"/>
        </w:tabs>
        <w:spacing w:after="0"/>
        <w:jc w:val="center"/>
        <w:rPr>
          <w:sz w:val="26"/>
          <w:szCs w:val="26"/>
        </w:rPr>
      </w:pPr>
      <w:r w:rsidRPr="002C2ABA">
        <w:rPr>
          <w:sz w:val="26"/>
          <w:szCs w:val="26"/>
        </w:rPr>
        <w:t>Darba devēju tematiskajās pārbaudēs konstatēto pārkāpumu raksturs</w:t>
      </w:r>
    </w:p>
    <w:p w:rsidR="00BA2B09" w:rsidRPr="00FE3A33" w:rsidRDefault="00BA2B09" w:rsidP="00FE3A33">
      <w:pPr>
        <w:tabs>
          <w:tab w:val="left" w:pos="-8364"/>
          <w:tab w:val="left" w:pos="-8222"/>
        </w:tabs>
        <w:spacing w:after="0"/>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275"/>
        <w:gridCol w:w="1134"/>
        <w:gridCol w:w="1524"/>
      </w:tblGrid>
      <w:tr w:rsidR="00BA2B09" w:rsidRPr="009C403E">
        <w:tc>
          <w:tcPr>
            <w:tcW w:w="5070" w:type="dxa"/>
            <w:vAlign w:val="center"/>
          </w:tcPr>
          <w:p w:rsidR="00BA2B09" w:rsidRPr="009C403E" w:rsidRDefault="00BA2B09" w:rsidP="009C403E">
            <w:pPr>
              <w:spacing w:after="0"/>
              <w:jc w:val="center"/>
              <w:rPr>
                <w:b/>
                <w:bCs/>
                <w:sz w:val="20"/>
                <w:szCs w:val="20"/>
                <w:lang w:eastAsia="lv-LV"/>
              </w:rPr>
            </w:pPr>
            <w:r w:rsidRPr="009C403E">
              <w:rPr>
                <w:b/>
                <w:bCs/>
                <w:sz w:val="20"/>
                <w:szCs w:val="20"/>
                <w:lang w:eastAsia="lv-LV"/>
              </w:rPr>
              <w:t>Pārkāpuma raksturs</w:t>
            </w:r>
          </w:p>
        </w:tc>
        <w:tc>
          <w:tcPr>
            <w:tcW w:w="1275" w:type="dxa"/>
            <w:vAlign w:val="center"/>
          </w:tcPr>
          <w:p w:rsidR="00BA2B09" w:rsidRPr="009C403E" w:rsidRDefault="00BA2B09" w:rsidP="009C403E">
            <w:pPr>
              <w:spacing w:after="0"/>
              <w:jc w:val="center"/>
              <w:rPr>
                <w:b/>
                <w:bCs/>
                <w:sz w:val="20"/>
                <w:szCs w:val="20"/>
                <w:lang w:eastAsia="lv-LV"/>
              </w:rPr>
            </w:pPr>
            <w:r w:rsidRPr="009C403E">
              <w:rPr>
                <w:b/>
                <w:bCs/>
                <w:sz w:val="20"/>
                <w:szCs w:val="20"/>
                <w:lang w:eastAsia="lv-LV"/>
              </w:rPr>
              <w:t>2011.gada</w:t>
            </w:r>
          </w:p>
          <w:p w:rsidR="00BA2B09" w:rsidRPr="009C403E" w:rsidRDefault="00BA2B09" w:rsidP="009C403E">
            <w:pPr>
              <w:spacing w:after="0"/>
              <w:jc w:val="center"/>
              <w:rPr>
                <w:b/>
                <w:bCs/>
                <w:sz w:val="20"/>
                <w:szCs w:val="20"/>
                <w:lang w:eastAsia="lv-LV"/>
              </w:rPr>
            </w:pPr>
            <w:r w:rsidRPr="009C403E">
              <w:rPr>
                <w:b/>
                <w:bCs/>
                <w:sz w:val="20"/>
                <w:szCs w:val="20"/>
                <w:lang w:eastAsia="lv-LV"/>
              </w:rPr>
              <w:t xml:space="preserve"> 5 mēneši</w:t>
            </w:r>
          </w:p>
        </w:tc>
        <w:tc>
          <w:tcPr>
            <w:tcW w:w="1134" w:type="dxa"/>
            <w:vAlign w:val="center"/>
          </w:tcPr>
          <w:p w:rsidR="00BA2B09" w:rsidRPr="009C403E" w:rsidRDefault="00BA2B09" w:rsidP="009C403E">
            <w:pPr>
              <w:spacing w:after="0"/>
              <w:jc w:val="center"/>
              <w:rPr>
                <w:b/>
                <w:bCs/>
                <w:sz w:val="20"/>
                <w:szCs w:val="20"/>
                <w:lang w:eastAsia="lv-LV"/>
              </w:rPr>
            </w:pPr>
            <w:r w:rsidRPr="009C403E">
              <w:rPr>
                <w:b/>
                <w:bCs/>
                <w:sz w:val="20"/>
                <w:szCs w:val="20"/>
                <w:lang w:eastAsia="lv-LV"/>
              </w:rPr>
              <w:t>2012.gada 5mēneši</w:t>
            </w:r>
          </w:p>
        </w:tc>
        <w:tc>
          <w:tcPr>
            <w:tcW w:w="1524" w:type="dxa"/>
            <w:vAlign w:val="center"/>
          </w:tcPr>
          <w:p w:rsidR="00BA2B09" w:rsidRPr="009C403E" w:rsidRDefault="00BA2B09" w:rsidP="009C403E">
            <w:pPr>
              <w:spacing w:after="0"/>
              <w:jc w:val="center"/>
              <w:rPr>
                <w:b/>
                <w:bCs/>
                <w:sz w:val="20"/>
                <w:szCs w:val="20"/>
                <w:lang w:eastAsia="lv-LV"/>
              </w:rPr>
            </w:pPr>
            <w:r w:rsidRPr="009C403E">
              <w:rPr>
                <w:b/>
                <w:bCs/>
                <w:sz w:val="20"/>
                <w:szCs w:val="20"/>
                <w:lang w:eastAsia="lv-LV"/>
              </w:rPr>
              <w:t xml:space="preserve">Pieaugums/ samazinājums 2012.gada </w:t>
            </w:r>
          </w:p>
          <w:p w:rsidR="00BA2B09" w:rsidRPr="009C403E" w:rsidRDefault="00BA2B09" w:rsidP="009C403E">
            <w:pPr>
              <w:spacing w:after="0"/>
              <w:jc w:val="center"/>
              <w:rPr>
                <w:b/>
                <w:bCs/>
                <w:sz w:val="20"/>
                <w:szCs w:val="20"/>
                <w:lang w:eastAsia="lv-LV"/>
              </w:rPr>
            </w:pPr>
            <w:r w:rsidRPr="009C403E">
              <w:rPr>
                <w:b/>
                <w:bCs/>
                <w:sz w:val="20"/>
                <w:szCs w:val="20"/>
                <w:lang w:eastAsia="lv-LV"/>
              </w:rPr>
              <w:t xml:space="preserve">5 mēnešos, salīdzinot ar 2011.gada </w:t>
            </w:r>
          </w:p>
          <w:p w:rsidR="00BA2B09" w:rsidRPr="009C403E" w:rsidRDefault="00BA2B09" w:rsidP="009C403E">
            <w:pPr>
              <w:spacing w:after="0"/>
              <w:jc w:val="center"/>
              <w:rPr>
                <w:b/>
                <w:bCs/>
                <w:sz w:val="20"/>
                <w:szCs w:val="20"/>
                <w:lang w:eastAsia="lv-LV"/>
              </w:rPr>
            </w:pPr>
            <w:r w:rsidRPr="009C403E">
              <w:rPr>
                <w:b/>
                <w:bCs/>
                <w:sz w:val="20"/>
                <w:szCs w:val="20"/>
                <w:lang w:eastAsia="lv-LV"/>
              </w:rPr>
              <w:t>5 mēnešiem</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 xml:space="preserve">Netiek pareizi aprēķināti un/vai maksāti nodokļi no darba algām </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594</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887</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49%</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Darbu regulējošo normatīvo aktu pārkāpumi</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32</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51</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59%</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Pārkāpumi darba laika uzskaitē</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304</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548</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80%</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Darba ņēmēju skaits, kas strādā bez darba līguma</w:t>
            </w:r>
          </w:p>
        </w:tc>
        <w:tc>
          <w:tcPr>
            <w:tcW w:w="1275" w:type="dxa"/>
            <w:vAlign w:val="center"/>
          </w:tcPr>
          <w:p w:rsidR="00BA2B09" w:rsidRPr="009C403E" w:rsidRDefault="00BA2B09" w:rsidP="009C403E">
            <w:pPr>
              <w:spacing w:after="0"/>
              <w:jc w:val="center"/>
              <w:rPr>
                <w:sz w:val="20"/>
                <w:szCs w:val="20"/>
                <w:lang w:eastAsia="lv-LV"/>
              </w:rPr>
            </w:pPr>
            <w:r w:rsidRPr="009C403E">
              <w:rPr>
                <w:sz w:val="20"/>
                <w:szCs w:val="20"/>
                <w:lang w:eastAsia="lv-LV"/>
              </w:rPr>
              <w:t>77</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75</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-3%</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VID iesniegtie Darba devēju ziņojumi neatbilst grāmatvedības datiem</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42</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44</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5%</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VID nav iesniegtas ziņas par darba ņēmēju kustību</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289</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418</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45%</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Nav nodarbinātā apliecības</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0</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8</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100%</w:t>
            </w:r>
          </w:p>
        </w:tc>
      </w:tr>
      <w:tr w:rsidR="00BA2B09" w:rsidRPr="009C403E">
        <w:tc>
          <w:tcPr>
            <w:tcW w:w="5070" w:type="dxa"/>
            <w:vAlign w:val="center"/>
          </w:tcPr>
          <w:p w:rsidR="00BA2B09" w:rsidRPr="009C403E" w:rsidRDefault="00BA2B09" w:rsidP="009C403E">
            <w:pPr>
              <w:spacing w:after="0"/>
              <w:rPr>
                <w:sz w:val="20"/>
                <w:szCs w:val="20"/>
                <w:lang w:eastAsia="lv-LV"/>
              </w:rPr>
            </w:pPr>
            <w:r w:rsidRPr="009C403E">
              <w:rPr>
                <w:sz w:val="20"/>
                <w:szCs w:val="20"/>
                <w:lang w:eastAsia="lv-LV"/>
              </w:rPr>
              <w:t>Citi pārkāpumi</w:t>
            </w:r>
          </w:p>
        </w:tc>
        <w:tc>
          <w:tcPr>
            <w:tcW w:w="1275" w:type="dxa"/>
            <w:vAlign w:val="center"/>
          </w:tcPr>
          <w:p w:rsidR="00BA2B09" w:rsidRPr="009C403E" w:rsidRDefault="00BA2B09" w:rsidP="009C403E">
            <w:pPr>
              <w:spacing w:after="0"/>
              <w:jc w:val="center"/>
              <w:rPr>
                <w:color w:val="000000"/>
                <w:sz w:val="20"/>
                <w:szCs w:val="20"/>
                <w:lang w:eastAsia="lv-LV"/>
              </w:rPr>
            </w:pPr>
            <w:r w:rsidRPr="009C403E">
              <w:rPr>
                <w:color w:val="000000"/>
                <w:sz w:val="20"/>
                <w:szCs w:val="20"/>
                <w:lang w:eastAsia="lv-LV"/>
              </w:rPr>
              <w:t>64</w:t>
            </w:r>
          </w:p>
        </w:tc>
        <w:tc>
          <w:tcPr>
            <w:tcW w:w="113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108</w:t>
            </w:r>
          </w:p>
        </w:tc>
        <w:tc>
          <w:tcPr>
            <w:tcW w:w="1524" w:type="dxa"/>
            <w:vAlign w:val="center"/>
          </w:tcPr>
          <w:p w:rsidR="00BA2B09" w:rsidRPr="009C403E" w:rsidRDefault="00BA2B09" w:rsidP="009C403E">
            <w:pPr>
              <w:spacing w:after="0"/>
              <w:jc w:val="center"/>
              <w:rPr>
                <w:sz w:val="20"/>
                <w:szCs w:val="20"/>
                <w:lang w:eastAsia="lv-LV"/>
              </w:rPr>
            </w:pPr>
            <w:r w:rsidRPr="009C403E">
              <w:rPr>
                <w:sz w:val="20"/>
                <w:szCs w:val="20"/>
                <w:lang w:eastAsia="lv-LV"/>
              </w:rPr>
              <w:t>69%</w:t>
            </w:r>
          </w:p>
        </w:tc>
      </w:tr>
    </w:tbl>
    <w:p w:rsidR="00BA2B09" w:rsidRPr="00A97749" w:rsidRDefault="00BA2B09" w:rsidP="00A97749">
      <w:pPr>
        <w:shd w:val="clear" w:color="auto" w:fill="FFFFFF"/>
        <w:spacing w:after="0"/>
        <w:jc w:val="both"/>
        <w:rPr>
          <w:sz w:val="20"/>
          <w:szCs w:val="20"/>
        </w:rPr>
      </w:pPr>
      <w:bookmarkStart w:id="453" w:name="_MON_1403531226"/>
      <w:bookmarkStart w:id="454" w:name="_MON_1403531245"/>
      <w:bookmarkStart w:id="455" w:name="_MON_1403531312"/>
      <w:bookmarkStart w:id="456" w:name="_MON_1403531320"/>
      <w:bookmarkStart w:id="457" w:name="_MON_1403531334"/>
      <w:bookmarkStart w:id="458" w:name="_MON_1403531358"/>
      <w:bookmarkStart w:id="459" w:name="_MON_1403531403"/>
      <w:bookmarkStart w:id="460" w:name="_MON_1403531414"/>
      <w:bookmarkStart w:id="461" w:name="_MON_1390043453"/>
      <w:bookmarkStart w:id="462" w:name="_MON_1403530880"/>
      <w:bookmarkEnd w:id="453"/>
      <w:bookmarkEnd w:id="454"/>
      <w:bookmarkEnd w:id="455"/>
      <w:bookmarkEnd w:id="456"/>
      <w:bookmarkEnd w:id="457"/>
      <w:bookmarkEnd w:id="458"/>
      <w:bookmarkEnd w:id="459"/>
      <w:bookmarkEnd w:id="460"/>
      <w:bookmarkEnd w:id="461"/>
      <w:bookmarkEnd w:id="462"/>
    </w:p>
    <w:p w:rsidR="00BA2B09" w:rsidRDefault="00BA2B09" w:rsidP="0042152A">
      <w:pPr>
        <w:shd w:val="clear" w:color="auto" w:fill="FFFFFF"/>
        <w:spacing w:after="0"/>
        <w:ind w:firstLine="720"/>
        <w:jc w:val="both"/>
        <w:rPr>
          <w:sz w:val="28"/>
          <w:szCs w:val="28"/>
        </w:rPr>
      </w:pPr>
      <w:r>
        <w:rPr>
          <w:sz w:val="28"/>
          <w:szCs w:val="28"/>
        </w:rPr>
        <w:t>Tematisko pārbaužu</w:t>
      </w:r>
      <w:r w:rsidRPr="00170982">
        <w:rPr>
          <w:sz w:val="28"/>
          <w:szCs w:val="28"/>
        </w:rPr>
        <w:t xml:space="preserve"> laikā ne tikai tiek atklāti pārkāpumi un piemēroti sodi, bet arī veikts preventīvais darbs. Tā, darba devēju tematisko pārbaužu rezultātā 2012.gada 5 mēnešos nodokļu maksātāji paši aprēķinājuši papildus iemaksai valsts budžetā valsts sociālās apdrošināšanas obligātās iemaksas un iedzīvotāju ienākuma nodokli Ls 190,3 tūkst. apmērā, kas divas reizes pārsniedz 2011.gada attiecīgā perioda rādītājus.</w:t>
      </w:r>
    </w:p>
    <w:p w:rsidR="00BA2B09" w:rsidRPr="0042152A" w:rsidRDefault="00BA2B09" w:rsidP="0042152A">
      <w:pPr>
        <w:shd w:val="clear" w:color="auto" w:fill="FFFFFF"/>
        <w:spacing w:after="0"/>
        <w:ind w:firstLine="720"/>
        <w:jc w:val="both"/>
        <w:rPr>
          <w:sz w:val="28"/>
          <w:szCs w:val="28"/>
        </w:rPr>
      </w:pPr>
      <w:r>
        <w:rPr>
          <w:sz w:val="28"/>
          <w:szCs w:val="28"/>
        </w:rPr>
        <w:t>Lai darbu tieši aplokšņu</w:t>
      </w:r>
      <w:r w:rsidRPr="00170982">
        <w:rPr>
          <w:sz w:val="28"/>
          <w:szCs w:val="28"/>
        </w:rPr>
        <w:t xml:space="preserve"> algu jomā</w:t>
      </w:r>
      <w:r>
        <w:rPr>
          <w:sz w:val="28"/>
          <w:szCs w:val="28"/>
        </w:rPr>
        <w:t xml:space="preserve"> padarītu efektīvāku</w:t>
      </w:r>
      <w:r w:rsidRPr="00170982">
        <w:rPr>
          <w:sz w:val="28"/>
          <w:szCs w:val="28"/>
        </w:rPr>
        <w:t xml:space="preserve">, no 2011.gada 1.novembra </w:t>
      </w:r>
      <w:r>
        <w:rPr>
          <w:sz w:val="28"/>
          <w:szCs w:val="28"/>
        </w:rPr>
        <w:t xml:space="preserve">VID </w:t>
      </w:r>
      <w:r w:rsidRPr="00170982">
        <w:rPr>
          <w:sz w:val="28"/>
          <w:szCs w:val="28"/>
        </w:rPr>
        <w:t>Nodokļu kontroles pārvaldē ir noteikta specializācija vienai audita daļa</w:t>
      </w:r>
      <w:r>
        <w:rPr>
          <w:sz w:val="28"/>
          <w:szCs w:val="28"/>
        </w:rPr>
        <w:t>i, kura</w:t>
      </w:r>
      <w:r w:rsidRPr="00170982">
        <w:rPr>
          <w:sz w:val="28"/>
          <w:szCs w:val="28"/>
        </w:rPr>
        <w:t xml:space="preserve"> veic nodokļu auditus</w:t>
      </w:r>
      <w:r>
        <w:rPr>
          <w:sz w:val="28"/>
          <w:szCs w:val="28"/>
        </w:rPr>
        <w:t xml:space="preserve"> tikai saistībā ar aplokšņu</w:t>
      </w:r>
      <w:r w:rsidRPr="00170982">
        <w:rPr>
          <w:sz w:val="28"/>
          <w:szCs w:val="28"/>
        </w:rPr>
        <w:t xml:space="preserve"> algām.</w:t>
      </w:r>
    </w:p>
    <w:p w:rsidR="00BA2B09" w:rsidRDefault="00BA2B09" w:rsidP="00747362">
      <w:pPr>
        <w:spacing w:after="0"/>
        <w:ind w:firstLine="720"/>
        <w:jc w:val="both"/>
        <w:rPr>
          <w:sz w:val="28"/>
          <w:szCs w:val="28"/>
        </w:rPr>
      </w:pPr>
      <w:r w:rsidRPr="00763F85">
        <w:rPr>
          <w:sz w:val="28"/>
          <w:szCs w:val="28"/>
        </w:rPr>
        <w:t xml:space="preserve">Kopumā 2012.gada 5 mēnešos juridiskajām personām valsts sociālās apdrošināšanas obligātās iemaksas tika auditētas 204 nodokļu auditos, no tiem 76 nodokļu auditos papildus aprēķinātas valsts sociālās apdrošināšanas obligātās iemaksas un soda nauda Ls 787,4 tūkst. apmērā. Savukārt juridiskajām personām iedzīvotāju ienākuma nodoklis tika auditēts 197 nodokļu auditos, no tiem 45 nodokļu auditos papildus aprēķināts </w:t>
      </w:r>
      <w:r w:rsidRPr="00763F85">
        <w:rPr>
          <w:sz w:val="28"/>
          <w:szCs w:val="28"/>
        </w:rPr>
        <w:lastRenderedPageBreak/>
        <w:t xml:space="preserve">iedzīvotāju ienākuma nodoklis un soda nauda Ls 400,0 tūkst. </w:t>
      </w:r>
      <w:r>
        <w:rPr>
          <w:sz w:val="28"/>
          <w:szCs w:val="28"/>
        </w:rPr>
        <w:t>apmērā. Tajā skaitā saistībā ar algu izmaksām aploksnēs</w:t>
      </w:r>
      <w:r w:rsidRPr="004C4C05">
        <w:rPr>
          <w:sz w:val="28"/>
          <w:szCs w:val="28"/>
        </w:rPr>
        <w:t xml:space="preserve"> 46 nodokļu auditos papildus aprēķinātas valsts sociālās apdrošināšanas obligātās iemaksas un soda nauda Ls 570,9 tūkst. apmērā</w:t>
      </w:r>
      <w:r>
        <w:rPr>
          <w:sz w:val="28"/>
          <w:szCs w:val="28"/>
        </w:rPr>
        <w:t xml:space="preserve"> un</w:t>
      </w:r>
      <w:r w:rsidRPr="0049469C">
        <w:rPr>
          <w:sz w:val="28"/>
          <w:szCs w:val="28"/>
        </w:rPr>
        <w:t xml:space="preserve"> 2</w:t>
      </w:r>
      <w:r w:rsidRPr="004C4C05">
        <w:rPr>
          <w:sz w:val="28"/>
          <w:szCs w:val="28"/>
        </w:rPr>
        <w:t>9 nodokļu auditos papildus aprēķināts iedzīvotāju ienākuma nodoklis un soda nauda Ls 312,7 tūkst. apmērā</w:t>
      </w:r>
      <w:r>
        <w:rPr>
          <w:sz w:val="28"/>
          <w:szCs w:val="28"/>
        </w:rPr>
        <w:t xml:space="preserve"> (skatīt 6.tabulu). Bez tam no šiem auditiem 41 nodokļu auditā papildus aprēķināts pievienotās vērtības nodoklis Ls 1275,2 tūkst. apmērā un 25 nodokļu auditos papildus aprēķināts uzņēmumu ienākuma nodoklis Ls 349,2 tūkst. apmērā, kas nozīmē, ka šajos auditos tika atklāti un iegūti pierādījumi aplokšņu algu izmaksu avotiem.</w:t>
      </w:r>
    </w:p>
    <w:p w:rsidR="00BA2B09" w:rsidRPr="00716040" w:rsidRDefault="00BA2B09" w:rsidP="00685CCD">
      <w:pPr>
        <w:spacing w:after="0"/>
        <w:ind w:firstLine="851"/>
        <w:jc w:val="right"/>
        <w:rPr>
          <w:sz w:val="24"/>
          <w:szCs w:val="24"/>
        </w:rPr>
      </w:pPr>
      <w:r>
        <w:rPr>
          <w:sz w:val="24"/>
          <w:szCs w:val="24"/>
        </w:rPr>
        <w:t>6</w:t>
      </w:r>
      <w:r w:rsidRPr="00716040">
        <w:rPr>
          <w:sz w:val="24"/>
          <w:szCs w:val="24"/>
        </w:rPr>
        <w:t>.tabula</w:t>
      </w:r>
    </w:p>
    <w:p w:rsidR="00BA2B09" w:rsidRPr="00310CCC" w:rsidRDefault="00BA2B09" w:rsidP="00685CCD">
      <w:pPr>
        <w:spacing w:after="0"/>
        <w:jc w:val="center"/>
        <w:rPr>
          <w:sz w:val="26"/>
          <w:szCs w:val="26"/>
        </w:rPr>
      </w:pPr>
      <w:r>
        <w:rPr>
          <w:sz w:val="26"/>
          <w:szCs w:val="26"/>
        </w:rPr>
        <w:t>Nodokļu k</w:t>
      </w:r>
      <w:r w:rsidRPr="00310CCC">
        <w:rPr>
          <w:sz w:val="26"/>
          <w:szCs w:val="26"/>
        </w:rPr>
        <w:t>ontroles pasākumu rezultāti cīņai pret algu izmaksām aploksnēs</w:t>
      </w:r>
    </w:p>
    <w:p w:rsidR="00BA2B09" w:rsidRPr="003B44DB" w:rsidRDefault="00BA2B09" w:rsidP="00685CCD">
      <w:pPr>
        <w:spacing w:after="0"/>
        <w:ind w:firstLine="851"/>
        <w:jc w:val="center"/>
        <w:rPr>
          <w:sz w:val="20"/>
          <w:szCs w:val="20"/>
        </w:rPr>
      </w:pPr>
    </w:p>
    <w:tbl>
      <w:tblPr>
        <w:tblW w:w="8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2"/>
        <w:gridCol w:w="1134"/>
        <w:gridCol w:w="1134"/>
        <w:gridCol w:w="1584"/>
      </w:tblGrid>
      <w:tr w:rsidR="00BA2B09" w:rsidRPr="009C403E">
        <w:trPr>
          <w:jc w:val="center"/>
        </w:trPr>
        <w:tc>
          <w:tcPr>
            <w:tcW w:w="4772"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Rādītāji</w:t>
            </w:r>
          </w:p>
        </w:tc>
        <w:tc>
          <w:tcPr>
            <w:tcW w:w="1134" w:type="dxa"/>
            <w:vAlign w:val="center"/>
          </w:tcPr>
          <w:p w:rsidR="00BA2B09" w:rsidRPr="009C403E" w:rsidRDefault="00BA2B09" w:rsidP="00472A05">
            <w:pPr>
              <w:tabs>
                <w:tab w:val="center" w:pos="4153"/>
                <w:tab w:val="right" w:pos="8306"/>
              </w:tabs>
              <w:spacing w:after="0"/>
              <w:jc w:val="center"/>
              <w:rPr>
                <w:b/>
                <w:bCs/>
                <w:sz w:val="20"/>
                <w:szCs w:val="20"/>
              </w:rPr>
            </w:pPr>
            <w:r w:rsidRPr="009C403E">
              <w:rPr>
                <w:b/>
                <w:bCs/>
                <w:sz w:val="20"/>
                <w:szCs w:val="20"/>
              </w:rPr>
              <w:t>2011.gada</w:t>
            </w:r>
          </w:p>
          <w:p w:rsidR="00BA2B09" w:rsidRPr="009C403E" w:rsidRDefault="00BA2B09" w:rsidP="00472A05">
            <w:pPr>
              <w:tabs>
                <w:tab w:val="center" w:pos="4153"/>
                <w:tab w:val="right" w:pos="8306"/>
              </w:tabs>
              <w:spacing w:after="0"/>
              <w:jc w:val="center"/>
              <w:rPr>
                <w:b/>
                <w:bCs/>
                <w:sz w:val="20"/>
                <w:szCs w:val="20"/>
              </w:rPr>
            </w:pPr>
            <w:r w:rsidRPr="009C403E">
              <w:rPr>
                <w:b/>
                <w:bCs/>
                <w:sz w:val="20"/>
                <w:szCs w:val="20"/>
              </w:rPr>
              <w:t>5 mēneši</w:t>
            </w:r>
          </w:p>
        </w:tc>
        <w:tc>
          <w:tcPr>
            <w:tcW w:w="1134" w:type="dxa"/>
            <w:vAlign w:val="center"/>
          </w:tcPr>
          <w:p w:rsidR="00BA2B09" w:rsidRPr="009C403E" w:rsidRDefault="00BA2B09" w:rsidP="00472A05">
            <w:pPr>
              <w:tabs>
                <w:tab w:val="center" w:pos="4153"/>
                <w:tab w:val="right" w:pos="8306"/>
              </w:tabs>
              <w:spacing w:after="0"/>
              <w:jc w:val="center"/>
              <w:rPr>
                <w:b/>
                <w:bCs/>
                <w:sz w:val="20"/>
                <w:szCs w:val="20"/>
              </w:rPr>
            </w:pPr>
            <w:r w:rsidRPr="009C403E">
              <w:rPr>
                <w:b/>
                <w:bCs/>
                <w:sz w:val="20"/>
                <w:szCs w:val="20"/>
              </w:rPr>
              <w:t>2012.gada</w:t>
            </w:r>
          </w:p>
          <w:p w:rsidR="00BA2B09" w:rsidRPr="009C403E" w:rsidRDefault="00BA2B09" w:rsidP="00472A05">
            <w:pPr>
              <w:tabs>
                <w:tab w:val="center" w:pos="4153"/>
                <w:tab w:val="right" w:pos="8306"/>
              </w:tabs>
              <w:spacing w:after="0"/>
              <w:jc w:val="center"/>
              <w:rPr>
                <w:b/>
                <w:bCs/>
                <w:sz w:val="20"/>
                <w:szCs w:val="20"/>
              </w:rPr>
            </w:pPr>
            <w:r w:rsidRPr="009C403E">
              <w:rPr>
                <w:b/>
                <w:bCs/>
                <w:sz w:val="20"/>
                <w:szCs w:val="20"/>
              </w:rPr>
              <w:t>5 mēneši</w:t>
            </w:r>
          </w:p>
        </w:tc>
        <w:tc>
          <w:tcPr>
            <w:tcW w:w="1584" w:type="dxa"/>
            <w:vAlign w:val="center"/>
          </w:tcPr>
          <w:p w:rsidR="00BA2B09" w:rsidRPr="009C403E" w:rsidRDefault="00BA2B09" w:rsidP="008208C1">
            <w:pPr>
              <w:tabs>
                <w:tab w:val="center" w:pos="4153"/>
                <w:tab w:val="right" w:pos="8306"/>
              </w:tabs>
              <w:spacing w:after="0"/>
              <w:jc w:val="center"/>
              <w:rPr>
                <w:b/>
                <w:bCs/>
                <w:sz w:val="20"/>
                <w:szCs w:val="20"/>
              </w:rPr>
            </w:pPr>
            <w:r w:rsidRPr="009C403E">
              <w:rPr>
                <w:b/>
                <w:bCs/>
                <w:sz w:val="20"/>
                <w:szCs w:val="20"/>
              </w:rPr>
              <w:t>Pieaugums 2012.gada 5 mēnešos, salīdzinot ar 2011.gada 5 mēnešiem</w:t>
            </w:r>
          </w:p>
        </w:tc>
      </w:tr>
      <w:tr w:rsidR="00BA2B09" w:rsidRPr="009C403E">
        <w:trPr>
          <w:jc w:val="center"/>
        </w:trPr>
        <w:tc>
          <w:tcPr>
            <w:tcW w:w="4772" w:type="dxa"/>
            <w:vAlign w:val="center"/>
          </w:tcPr>
          <w:p w:rsidR="00BA2B09" w:rsidRPr="009C403E" w:rsidRDefault="00BA2B09" w:rsidP="00472A05">
            <w:pPr>
              <w:tabs>
                <w:tab w:val="center" w:pos="4153"/>
                <w:tab w:val="right" w:pos="8306"/>
              </w:tabs>
              <w:spacing w:after="0"/>
              <w:rPr>
                <w:sz w:val="20"/>
                <w:szCs w:val="20"/>
              </w:rPr>
            </w:pPr>
            <w:r w:rsidRPr="009C403E">
              <w:rPr>
                <w:sz w:val="20"/>
                <w:szCs w:val="20"/>
              </w:rPr>
              <w:t>Darba devēju veiktās tematiskās pārbaudes (skaits)</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1971</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2019</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2 %</w:t>
            </w:r>
          </w:p>
        </w:tc>
      </w:tr>
      <w:tr w:rsidR="00BA2B09" w:rsidRPr="009C403E">
        <w:trPr>
          <w:jc w:val="center"/>
        </w:trPr>
        <w:tc>
          <w:tcPr>
            <w:tcW w:w="4772" w:type="dxa"/>
          </w:tcPr>
          <w:p w:rsidR="00BA2B09" w:rsidRPr="009C403E" w:rsidRDefault="00BA2B09" w:rsidP="00472A05">
            <w:pPr>
              <w:tabs>
                <w:tab w:val="center" w:pos="4153"/>
                <w:tab w:val="right" w:pos="8306"/>
              </w:tabs>
              <w:spacing w:after="0"/>
              <w:rPr>
                <w:sz w:val="20"/>
                <w:szCs w:val="20"/>
              </w:rPr>
            </w:pPr>
            <w:r w:rsidRPr="009C403E">
              <w:rPr>
                <w:sz w:val="20"/>
                <w:szCs w:val="20"/>
              </w:rPr>
              <w:t xml:space="preserve">Darba devēju tematiskajās pārbaudēs piemērots naudas sods, Ls tūkst. </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14,6</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31,2</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114 %</w:t>
            </w:r>
          </w:p>
        </w:tc>
      </w:tr>
      <w:tr w:rsidR="00BA2B09" w:rsidRPr="009C403E">
        <w:trPr>
          <w:jc w:val="center"/>
        </w:trPr>
        <w:tc>
          <w:tcPr>
            <w:tcW w:w="4772" w:type="dxa"/>
          </w:tcPr>
          <w:p w:rsidR="00BA2B09" w:rsidRPr="009C403E" w:rsidRDefault="00BA2B09" w:rsidP="00472A05">
            <w:pPr>
              <w:tabs>
                <w:tab w:val="center" w:pos="4153"/>
                <w:tab w:val="right" w:pos="8306"/>
              </w:tabs>
              <w:spacing w:after="0"/>
              <w:rPr>
                <w:sz w:val="20"/>
                <w:szCs w:val="20"/>
              </w:rPr>
            </w:pPr>
            <w:r w:rsidRPr="009C403E">
              <w:rPr>
                <w:sz w:val="20"/>
                <w:szCs w:val="20"/>
              </w:rPr>
              <w:t xml:space="preserve">Tematisko pārbaužu rezultātā nodokļu maksātāji paši aprēķinājuši iemaksai budžetā VSAOI, Ls tūkst. </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99,3</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190,3</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92 %</w:t>
            </w:r>
          </w:p>
        </w:tc>
      </w:tr>
      <w:tr w:rsidR="00BA2B09" w:rsidRPr="009C403E">
        <w:trPr>
          <w:jc w:val="center"/>
        </w:trPr>
        <w:tc>
          <w:tcPr>
            <w:tcW w:w="4772" w:type="dxa"/>
          </w:tcPr>
          <w:p w:rsidR="00BA2B09" w:rsidRPr="009C403E" w:rsidRDefault="00BA2B09" w:rsidP="00260B26">
            <w:pPr>
              <w:tabs>
                <w:tab w:val="center" w:pos="4153"/>
                <w:tab w:val="right" w:pos="8306"/>
              </w:tabs>
              <w:spacing w:after="0"/>
              <w:rPr>
                <w:sz w:val="20"/>
                <w:szCs w:val="20"/>
              </w:rPr>
            </w:pPr>
            <w:r w:rsidRPr="009C403E">
              <w:rPr>
                <w:sz w:val="20"/>
                <w:szCs w:val="20"/>
              </w:rPr>
              <w:t>Juridiskajām personām veiktie auditi saistībā ar algu izmaksām aploksnēs:</w:t>
            </w:r>
          </w:p>
        </w:tc>
        <w:tc>
          <w:tcPr>
            <w:tcW w:w="1134" w:type="dxa"/>
            <w:vAlign w:val="center"/>
          </w:tcPr>
          <w:p w:rsidR="00BA2B09" w:rsidRPr="009C403E" w:rsidRDefault="00BA2B09" w:rsidP="00472A05">
            <w:pPr>
              <w:tabs>
                <w:tab w:val="center" w:pos="4153"/>
                <w:tab w:val="right" w:pos="8306"/>
              </w:tabs>
              <w:spacing w:after="0"/>
              <w:jc w:val="center"/>
              <w:rPr>
                <w:sz w:val="20"/>
                <w:szCs w:val="20"/>
              </w:rPr>
            </w:pPr>
          </w:p>
        </w:tc>
        <w:tc>
          <w:tcPr>
            <w:tcW w:w="1134" w:type="dxa"/>
            <w:vAlign w:val="center"/>
          </w:tcPr>
          <w:p w:rsidR="00BA2B09" w:rsidRPr="009C403E" w:rsidRDefault="00BA2B09" w:rsidP="00472A05">
            <w:pPr>
              <w:tabs>
                <w:tab w:val="center" w:pos="4153"/>
                <w:tab w:val="right" w:pos="8306"/>
              </w:tabs>
              <w:spacing w:after="0"/>
              <w:jc w:val="center"/>
              <w:rPr>
                <w:sz w:val="20"/>
                <w:szCs w:val="20"/>
              </w:rPr>
            </w:pPr>
          </w:p>
        </w:tc>
        <w:tc>
          <w:tcPr>
            <w:tcW w:w="1584" w:type="dxa"/>
            <w:vAlign w:val="center"/>
          </w:tcPr>
          <w:p w:rsidR="00BA2B09" w:rsidRPr="009C403E" w:rsidRDefault="00BA2B09" w:rsidP="00472A05">
            <w:pPr>
              <w:tabs>
                <w:tab w:val="center" w:pos="4153"/>
                <w:tab w:val="right" w:pos="8306"/>
              </w:tabs>
              <w:spacing w:after="0"/>
              <w:jc w:val="center"/>
              <w:rPr>
                <w:sz w:val="20"/>
                <w:szCs w:val="20"/>
              </w:rPr>
            </w:pPr>
          </w:p>
        </w:tc>
      </w:tr>
      <w:tr w:rsidR="00BA2B09" w:rsidRPr="009C403E">
        <w:trPr>
          <w:jc w:val="center"/>
        </w:trPr>
        <w:tc>
          <w:tcPr>
            <w:tcW w:w="4772" w:type="dxa"/>
          </w:tcPr>
          <w:p w:rsidR="00BA2B09" w:rsidRPr="009C403E" w:rsidRDefault="00BA2B09" w:rsidP="00260B26">
            <w:pPr>
              <w:tabs>
                <w:tab w:val="center" w:pos="4153"/>
                <w:tab w:val="right" w:pos="8306"/>
              </w:tabs>
              <w:spacing w:after="0"/>
              <w:rPr>
                <w:sz w:val="20"/>
                <w:szCs w:val="20"/>
              </w:rPr>
            </w:pPr>
            <w:r w:rsidRPr="009C403E">
              <w:rPr>
                <w:sz w:val="20"/>
                <w:szCs w:val="20"/>
              </w:rPr>
              <w:t xml:space="preserve">    IIN auditu skaits</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13</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29</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123 %</w:t>
            </w:r>
          </w:p>
        </w:tc>
      </w:tr>
      <w:tr w:rsidR="00BA2B09" w:rsidRPr="009C403E">
        <w:trPr>
          <w:jc w:val="center"/>
        </w:trPr>
        <w:tc>
          <w:tcPr>
            <w:tcW w:w="4772" w:type="dxa"/>
          </w:tcPr>
          <w:p w:rsidR="00BA2B09" w:rsidRPr="009C403E" w:rsidRDefault="00BA2B09" w:rsidP="00260B26">
            <w:pPr>
              <w:tabs>
                <w:tab w:val="center" w:pos="4153"/>
                <w:tab w:val="right" w:pos="8306"/>
              </w:tabs>
              <w:spacing w:after="0"/>
              <w:rPr>
                <w:sz w:val="20"/>
                <w:szCs w:val="20"/>
              </w:rPr>
            </w:pPr>
            <w:r w:rsidRPr="009C403E">
              <w:rPr>
                <w:sz w:val="20"/>
                <w:szCs w:val="20"/>
              </w:rPr>
              <w:t xml:space="preserve">    papildus aprēķināts IIN un soda nauda, Ls tūkst.</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10,0</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312,7</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3027 %</w:t>
            </w:r>
          </w:p>
        </w:tc>
      </w:tr>
      <w:tr w:rsidR="00BA2B09" w:rsidRPr="009C403E">
        <w:trPr>
          <w:jc w:val="center"/>
        </w:trPr>
        <w:tc>
          <w:tcPr>
            <w:tcW w:w="4772" w:type="dxa"/>
          </w:tcPr>
          <w:p w:rsidR="00BA2B09" w:rsidRPr="009C403E" w:rsidRDefault="00BA2B09" w:rsidP="00260B26">
            <w:pPr>
              <w:tabs>
                <w:tab w:val="center" w:pos="4153"/>
                <w:tab w:val="right" w:pos="8306"/>
              </w:tabs>
              <w:spacing w:after="0"/>
              <w:rPr>
                <w:sz w:val="20"/>
                <w:szCs w:val="20"/>
              </w:rPr>
            </w:pPr>
            <w:r w:rsidRPr="009C403E">
              <w:rPr>
                <w:sz w:val="20"/>
                <w:szCs w:val="20"/>
              </w:rPr>
              <w:t xml:space="preserve">    VSAOI auditu skaits</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24</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46</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92 %</w:t>
            </w:r>
          </w:p>
        </w:tc>
      </w:tr>
      <w:tr w:rsidR="00BA2B09" w:rsidRPr="009C403E">
        <w:trPr>
          <w:jc w:val="center"/>
        </w:trPr>
        <w:tc>
          <w:tcPr>
            <w:tcW w:w="4772" w:type="dxa"/>
          </w:tcPr>
          <w:p w:rsidR="00BA2B09" w:rsidRPr="009C403E" w:rsidRDefault="00BA2B09" w:rsidP="00260B26">
            <w:pPr>
              <w:tabs>
                <w:tab w:val="center" w:pos="4153"/>
                <w:tab w:val="right" w:pos="8306"/>
              </w:tabs>
              <w:spacing w:after="0"/>
              <w:rPr>
                <w:sz w:val="20"/>
                <w:szCs w:val="20"/>
              </w:rPr>
            </w:pPr>
            <w:r w:rsidRPr="009C403E">
              <w:rPr>
                <w:sz w:val="20"/>
                <w:szCs w:val="20"/>
              </w:rPr>
              <w:t xml:space="preserve">    papildus aprēķinātas VSAOI un soda nauda, Ls tūkst.</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212,9</w:t>
            </w:r>
          </w:p>
        </w:tc>
        <w:tc>
          <w:tcPr>
            <w:tcW w:w="113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570,9</w:t>
            </w:r>
          </w:p>
        </w:tc>
        <w:tc>
          <w:tcPr>
            <w:tcW w:w="1584" w:type="dxa"/>
            <w:vAlign w:val="center"/>
          </w:tcPr>
          <w:p w:rsidR="00BA2B09" w:rsidRPr="009C403E" w:rsidRDefault="00BA2B09" w:rsidP="00472A05">
            <w:pPr>
              <w:tabs>
                <w:tab w:val="center" w:pos="4153"/>
                <w:tab w:val="right" w:pos="8306"/>
              </w:tabs>
              <w:spacing w:after="0"/>
              <w:jc w:val="center"/>
              <w:rPr>
                <w:sz w:val="20"/>
                <w:szCs w:val="20"/>
              </w:rPr>
            </w:pPr>
            <w:r w:rsidRPr="009C403E">
              <w:rPr>
                <w:sz w:val="20"/>
                <w:szCs w:val="20"/>
              </w:rPr>
              <w:t>168 %</w:t>
            </w:r>
          </w:p>
        </w:tc>
      </w:tr>
    </w:tbl>
    <w:p w:rsidR="00BA2B09" w:rsidRDefault="00BA2B09" w:rsidP="00FB0ADE">
      <w:pPr>
        <w:spacing w:after="0"/>
        <w:ind w:firstLine="720"/>
        <w:jc w:val="both"/>
        <w:rPr>
          <w:sz w:val="28"/>
          <w:szCs w:val="28"/>
        </w:rPr>
      </w:pPr>
    </w:p>
    <w:p w:rsidR="00BA2B09" w:rsidRPr="00B34A1D" w:rsidRDefault="00BA2B09" w:rsidP="00D92F6C">
      <w:pPr>
        <w:pStyle w:val="ListParagraph"/>
        <w:numPr>
          <w:ilvl w:val="2"/>
          <w:numId w:val="25"/>
        </w:numPr>
        <w:ind w:left="0" w:firstLine="0"/>
        <w:jc w:val="both"/>
        <w:rPr>
          <w:b/>
          <w:bCs/>
        </w:rPr>
      </w:pPr>
      <w:r w:rsidRPr="00B34A1D">
        <w:rPr>
          <w:b/>
          <w:bCs/>
        </w:rPr>
        <w:t>VDI kontroles pasākumi</w:t>
      </w:r>
    </w:p>
    <w:p w:rsidR="00BA2B09" w:rsidRPr="001C745F" w:rsidRDefault="00BA2B09" w:rsidP="00747362">
      <w:pPr>
        <w:spacing w:after="0"/>
        <w:ind w:firstLine="709"/>
        <w:jc w:val="right"/>
        <w:rPr>
          <w:sz w:val="26"/>
          <w:szCs w:val="26"/>
        </w:rPr>
      </w:pPr>
      <w:r>
        <w:rPr>
          <w:sz w:val="26"/>
          <w:szCs w:val="26"/>
        </w:rPr>
        <w:t>7</w:t>
      </w:r>
      <w:r w:rsidRPr="001C745F">
        <w:rPr>
          <w:sz w:val="26"/>
          <w:szCs w:val="26"/>
        </w:rPr>
        <w:t>.tabula</w:t>
      </w:r>
    </w:p>
    <w:p w:rsidR="00BA2B09" w:rsidRDefault="00BA2B09" w:rsidP="001C745F">
      <w:pPr>
        <w:spacing w:after="0"/>
        <w:jc w:val="center"/>
        <w:rPr>
          <w:sz w:val="26"/>
          <w:szCs w:val="26"/>
        </w:rPr>
      </w:pPr>
      <w:r w:rsidRPr="001C745F">
        <w:rPr>
          <w:sz w:val="26"/>
          <w:szCs w:val="26"/>
        </w:rPr>
        <w:t>VDI skaitliskie rādītāji nereģistrētās nodarbinātības mazināšanā</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1984"/>
        <w:gridCol w:w="2693"/>
        <w:gridCol w:w="1985"/>
      </w:tblGrid>
      <w:tr w:rsidR="00BA2B09" w:rsidRPr="009C403E">
        <w:trPr>
          <w:trHeight w:val="255"/>
          <w:tblHeader/>
        </w:trPr>
        <w:tc>
          <w:tcPr>
            <w:tcW w:w="2978" w:type="dxa"/>
            <w:tcBorders>
              <w:top w:val="nil"/>
              <w:left w:val="nil"/>
            </w:tcBorders>
          </w:tcPr>
          <w:p w:rsidR="00BA2B09" w:rsidRPr="009C403E" w:rsidRDefault="00BA2B09" w:rsidP="009C403E">
            <w:pPr>
              <w:spacing w:after="0"/>
              <w:jc w:val="center"/>
              <w:rPr>
                <w:sz w:val="20"/>
                <w:szCs w:val="20"/>
              </w:rPr>
            </w:pPr>
          </w:p>
        </w:tc>
        <w:tc>
          <w:tcPr>
            <w:tcW w:w="1984" w:type="dxa"/>
          </w:tcPr>
          <w:p w:rsidR="00BA2B09" w:rsidRPr="009C403E" w:rsidRDefault="00BA2B09" w:rsidP="009C403E">
            <w:pPr>
              <w:spacing w:after="0"/>
              <w:jc w:val="center"/>
              <w:rPr>
                <w:b/>
                <w:bCs/>
                <w:sz w:val="20"/>
                <w:szCs w:val="20"/>
              </w:rPr>
            </w:pPr>
            <w:r w:rsidRPr="009C403E">
              <w:rPr>
                <w:b/>
                <w:bCs/>
                <w:sz w:val="20"/>
                <w:szCs w:val="20"/>
              </w:rPr>
              <w:t>2010.gads</w:t>
            </w:r>
          </w:p>
        </w:tc>
        <w:tc>
          <w:tcPr>
            <w:tcW w:w="2693" w:type="dxa"/>
          </w:tcPr>
          <w:p w:rsidR="00BA2B09" w:rsidRPr="009C403E" w:rsidRDefault="00BA2B09" w:rsidP="009C403E">
            <w:pPr>
              <w:spacing w:after="0"/>
              <w:jc w:val="center"/>
              <w:rPr>
                <w:b/>
                <w:bCs/>
                <w:sz w:val="20"/>
                <w:szCs w:val="20"/>
              </w:rPr>
            </w:pPr>
            <w:r w:rsidRPr="009C403E">
              <w:rPr>
                <w:b/>
                <w:bCs/>
                <w:sz w:val="20"/>
                <w:szCs w:val="20"/>
              </w:rPr>
              <w:t>2011.gads</w:t>
            </w:r>
          </w:p>
        </w:tc>
        <w:tc>
          <w:tcPr>
            <w:tcW w:w="1985" w:type="dxa"/>
          </w:tcPr>
          <w:p w:rsidR="00BA2B09" w:rsidRPr="009C403E" w:rsidRDefault="00BA2B09" w:rsidP="009C403E">
            <w:pPr>
              <w:spacing w:after="0"/>
              <w:jc w:val="center"/>
              <w:rPr>
                <w:b/>
                <w:bCs/>
                <w:sz w:val="20"/>
                <w:szCs w:val="20"/>
              </w:rPr>
            </w:pPr>
            <w:r w:rsidRPr="009C403E">
              <w:rPr>
                <w:b/>
                <w:bCs/>
                <w:sz w:val="20"/>
                <w:szCs w:val="20"/>
              </w:rPr>
              <w:t>2012.gada 5 mēneši</w:t>
            </w:r>
          </w:p>
        </w:tc>
      </w:tr>
      <w:tr w:rsidR="00BA2B09" w:rsidRPr="009C403E">
        <w:trPr>
          <w:trHeight w:val="2370"/>
        </w:trPr>
        <w:tc>
          <w:tcPr>
            <w:tcW w:w="2978" w:type="dxa"/>
            <w:vAlign w:val="center"/>
          </w:tcPr>
          <w:p w:rsidR="00BA2B09" w:rsidRPr="009C403E" w:rsidRDefault="00BA2B09" w:rsidP="009C403E">
            <w:pPr>
              <w:spacing w:after="0"/>
              <w:rPr>
                <w:sz w:val="20"/>
                <w:szCs w:val="20"/>
              </w:rPr>
            </w:pPr>
            <w:r w:rsidRPr="009C403E">
              <w:rPr>
                <w:sz w:val="20"/>
                <w:szCs w:val="20"/>
              </w:rPr>
              <w:t>Pasākumu plānā paredzētais rezultatīvais rādītājs</w:t>
            </w:r>
          </w:p>
        </w:tc>
        <w:tc>
          <w:tcPr>
            <w:tcW w:w="1984" w:type="dxa"/>
          </w:tcPr>
          <w:p w:rsidR="00BA2B09" w:rsidRPr="009C403E" w:rsidRDefault="00BA2B09" w:rsidP="009C403E">
            <w:pPr>
              <w:spacing w:after="0"/>
              <w:jc w:val="center"/>
              <w:rPr>
                <w:sz w:val="20"/>
                <w:szCs w:val="20"/>
              </w:rPr>
            </w:pPr>
            <w:r w:rsidRPr="009C403E">
              <w:rPr>
                <w:sz w:val="20"/>
                <w:szCs w:val="20"/>
              </w:rPr>
              <w:t>3000 apsekojumu/ 20 % VDI apsekojumu ir rezultatīvi – atklāti nereģistrēti darbinieki; katru gadu vismaz 5% no uzņēmumiem tiek apsekoti atkārtoti (Pasākumu plāns nereģistrētās nodarbinātības mazināšanai 2010. – 2013.gadam)</w:t>
            </w:r>
          </w:p>
        </w:tc>
        <w:tc>
          <w:tcPr>
            <w:tcW w:w="2693" w:type="dxa"/>
          </w:tcPr>
          <w:p w:rsidR="00BA2B09" w:rsidRPr="009C403E" w:rsidRDefault="00BA2B09" w:rsidP="009C403E">
            <w:pPr>
              <w:spacing w:after="0"/>
              <w:jc w:val="center"/>
              <w:rPr>
                <w:sz w:val="20"/>
                <w:szCs w:val="20"/>
              </w:rPr>
            </w:pPr>
            <w:r w:rsidRPr="009C403E">
              <w:rPr>
                <w:sz w:val="20"/>
                <w:szCs w:val="20"/>
              </w:rPr>
              <w:t>3000 apsekojumu/ 25 % VDI apsekojumu ir rezultatīvi - atklāti nereģistrēti darbinieki; katru gadu vismaz 5% no uzņēmumiem tiek apsekoti atkārtoti (Pasākumu plāns nereģistrētās nodarbinātības mazināšanai 2010. – 2013.gadam)</w:t>
            </w:r>
          </w:p>
        </w:tc>
        <w:tc>
          <w:tcPr>
            <w:tcW w:w="1985" w:type="dxa"/>
          </w:tcPr>
          <w:p w:rsidR="00BA2B09" w:rsidRPr="009C403E" w:rsidRDefault="00BA2B09" w:rsidP="009C403E">
            <w:pPr>
              <w:spacing w:after="0"/>
              <w:jc w:val="center"/>
              <w:rPr>
                <w:sz w:val="20"/>
                <w:szCs w:val="20"/>
              </w:rPr>
            </w:pPr>
            <w:r w:rsidRPr="009C403E">
              <w:rPr>
                <w:sz w:val="20"/>
                <w:szCs w:val="20"/>
              </w:rPr>
              <w:t>3000 apsekojumu/ 25 % VDI apsekojumu ir rezultatīvi - atklāti nereģistrēti darbinieki; katru gadu vismaz 5% no uzņēmumiem tiek apsekoti atkārtoti (Pasākumu plāns nereģistrētās nodarbinātības mazināšanai 2010. – 2013.gadam)</w:t>
            </w:r>
          </w:p>
        </w:tc>
      </w:tr>
      <w:tr w:rsidR="00BA2B09" w:rsidRPr="009C403E">
        <w:trPr>
          <w:trHeight w:val="255"/>
        </w:trPr>
        <w:tc>
          <w:tcPr>
            <w:tcW w:w="2978" w:type="dxa"/>
            <w:vAlign w:val="center"/>
          </w:tcPr>
          <w:p w:rsidR="00BA2B09" w:rsidRPr="009C403E" w:rsidRDefault="00BA2B09" w:rsidP="009C403E">
            <w:pPr>
              <w:spacing w:after="0"/>
              <w:rPr>
                <w:sz w:val="20"/>
                <w:szCs w:val="20"/>
              </w:rPr>
            </w:pPr>
            <w:r w:rsidRPr="009C403E">
              <w:rPr>
                <w:sz w:val="20"/>
                <w:szCs w:val="20"/>
              </w:rPr>
              <w:t>Veikto apsekojumu skaits un % lielums</w:t>
            </w:r>
          </w:p>
        </w:tc>
        <w:tc>
          <w:tcPr>
            <w:tcW w:w="1984" w:type="dxa"/>
            <w:vAlign w:val="center"/>
          </w:tcPr>
          <w:p w:rsidR="00BA2B09" w:rsidRPr="009C403E" w:rsidRDefault="00BA2B09" w:rsidP="009C403E">
            <w:pPr>
              <w:spacing w:after="0"/>
              <w:jc w:val="center"/>
              <w:rPr>
                <w:sz w:val="20"/>
                <w:szCs w:val="20"/>
              </w:rPr>
            </w:pPr>
            <w:r w:rsidRPr="009C403E">
              <w:rPr>
                <w:sz w:val="20"/>
                <w:szCs w:val="20"/>
              </w:rPr>
              <w:t>3264/ 108,8%</w:t>
            </w:r>
          </w:p>
        </w:tc>
        <w:tc>
          <w:tcPr>
            <w:tcW w:w="2693" w:type="dxa"/>
            <w:vAlign w:val="center"/>
          </w:tcPr>
          <w:p w:rsidR="00BA2B09" w:rsidRPr="009C403E" w:rsidRDefault="00BA2B09" w:rsidP="009C403E">
            <w:pPr>
              <w:spacing w:after="0"/>
              <w:jc w:val="center"/>
              <w:rPr>
                <w:sz w:val="20"/>
                <w:szCs w:val="20"/>
              </w:rPr>
            </w:pPr>
            <w:r w:rsidRPr="009C403E">
              <w:rPr>
                <w:sz w:val="20"/>
                <w:szCs w:val="20"/>
              </w:rPr>
              <w:t>3248/ 108,3%</w:t>
            </w:r>
          </w:p>
        </w:tc>
        <w:tc>
          <w:tcPr>
            <w:tcW w:w="1985" w:type="dxa"/>
            <w:vAlign w:val="center"/>
          </w:tcPr>
          <w:p w:rsidR="00BA2B09" w:rsidRPr="009C403E" w:rsidRDefault="00BA2B09" w:rsidP="009C403E">
            <w:pPr>
              <w:spacing w:after="0"/>
              <w:jc w:val="center"/>
              <w:rPr>
                <w:sz w:val="20"/>
                <w:szCs w:val="20"/>
              </w:rPr>
            </w:pPr>
            <w:r w:rsidRPr="009C403E">
              <w:rPr>
                <w:sz w:val="20"/>
                <w:szCs w:val="20"/>
              </w:rPr>
              <w:t>1292/ 43%</w:t>
            </w:r>
          </w:p>
        </w:tc>
      </w:tr>
      <w:tr w:rsidR="00BA2B09" w:rsidRPr="009C403E">
        <w:trPr>
          <w:trHeight w:val="2595"/>
        </w:trPr>
        <w:tc>
          <w:tcPr>
            <w:tcW w:w="2978" w:type="dxa"/>
            <w:vAlign w:val="center"/>
          </w:tcPr>
          <w:p w:rsidR="00BA2B09" w:rsidRPr="009C403E" w:rsidRDefault="00BA2B09" w:rsidP="009C403E">
            <w:pPr>
              <w:spacing w:after="0"/>
              <w:rPr>
                <w:sz w:val="20"/>
                <w:szCs w:val="20"/>
              </w:rPr>
            </w:pPr>
            <w:r w:rsidRPr="009C403E">
              <w:rPr>
                <w:sz w:val="20"/>
                <w:szCs w:val="20"/>
              </w:rPr>
              <w:lastRenderedPageBreak/>
              <w:t xml:space="preserve">Apsekojumu rezultativitāte (konstatēti nereģistrēti nodarbinātie/ uz „pirmās dienas” darba līguma pamata nodarbinātie) un kopējais % lielums </w:t>
            </w:r>
          </w:p>
        </w:tc>
        <w:tc>
          <w:tcPr>
            <w:tcW w:w="1984" w:type="dxa"/>
          </w:tcPr>
          <w:p w:rsidR="00BA2B09" w:rsidRPr="009C403E" w:rsidRDefault="00BA2B09" w:rsidP="009C403E">
            <w:pPr>
              <w:spacing w:after="0"/>
              <w:jc w:val="center"/>
              <w:rPr>
                <w:sz w:val="20"/>
                <w:szCs w:val="20"/>
              </w:rPr>
            </w:pPr>
            <w:r w:rsidRPr="009C403E">
              <w:rPr>
                <w:sz w:val="20"/>
                <w:szCs w:val="20"/>
              </w:rPr>
              <w:t>1823 nereģistrēti nodarbinātie /1220 uz „pirmās dienas” darba līguma pamata nodarbinātie, 31,7% apsekojumi rezultatīvi (481 apsekojumā konstatēti nereģistrēti nodarbinātie, 553 apsekojumos - uz „pirmās dienas” darba līguma pamata nodarbinātie).</w:t>
            </w:r>
          </w:p>
        </w:tc>
        <w:tc>
          <w:tcPr>
            <w:tcW w:w="2693" w:type="dxa"/>
          </w:tcPr>
          <w:p w:rsidR="00BA2B09" w:rsidRPr="009C403E" w:rsidRDefault="00BA2B09" w:rsidP="009C403E">
            <w:pPr>
              <w:spacing w:after="0"/>
              <w:jc w:val="center"/>
              <w:rPr>
                <w:sz w:val="20"/>
                <w:szCs w:val="20"/>
              </w:rPr>
            </w:pPr>
            <w:r w:rsidRPr="009C403E">
              <w:rPr>
                <w:sz w:val="20"/>
                <w:szCs w:val="20"/>
              </w:rPr>
              <w:t>2958 nereģistrēti nodarbinātie/ 410 uz „pirmās dienas” darba līguma pamata nodarbinātie, 34,05 % apsekojumi rezultatīvi (885 apsekojumā konstatēti nereģistrēti nodarbinātie, 221 apsekojumos - uz „pirmās dienas” darba līguma pamata nodarbinātie).</w:t>
            </w:r>
          </w:p>
        </w:tc>
        <w:tc>
          <w:tcPr>
            <w:tcW w:w="1985" w:type="dxa"/>
          </w:tcPr>
          <w:p w:rsidR="00BA2B09" w:rsidRPr="009C403E" w:rsidRDefault="00BA2B09" w:rsidP="009C403E">
            <w:pPr>
              <w:spacing w:after="0"/>
              <w:jc w:val="center"/>
              <w:rPr>
                <w:sz w:val="20"/>
                <w:szCs w:val="20"/>
              </w:rPr>
            </w:pPr>
            <w:r w:rsidRPr="009C403E">
              <w:rPr>
                <w:sz w:val="20"/>
                <w:szCs w:val="20"/>
              </w:rPr>
              <w:t>1214 nereģistrēti nodarbinātie/ 102 uz „pirmās dienas” darba līguma pamata nodarbinātie, 32,3 % apsekojumi rezultatīvi (362 apsekojumā konstatēti nereģistrēti nodarbinātie, 55 apsekojumos - uz „pirmās dienas” darba līguma pamata nodarbinātie).</w:t>
            </w:r>
          </w:p>
        </w:tc>
      </w:tr>
      <w:tr w:rsidR="00BA2B09" w:rsidRPr="009C403E">
        <w:trPr>
          <w:trHeight w:val="510"/>
        </w:trPr>
        <w:tc>
          <w:tcPr>
            <w:tcW w:w="2978" w:type="dxa"/>
            <w:vAlign w:val="center"/>
          </w:tcPr>
          <w:p w:rsidR="00BA2B09" w:rsidRPr="009C403E" w:rsidRDefault="00BA2B09" w:rsidP="009C403E">
            <w:pPr>
              <w:spacing w:after="0"/>
              <w:rPr>
                <w:sz w:val="20"/>
                <w:szCs w:val="20"/>
              </w:rPr>
            </w:pPr>
            <w:r w:rsidRPr="009C403E">
              <w:rPr>
                <w:sz w:val="20"/>
                <w:szCs w:val="20"/>
              </w:rPr>
              <w:t>Pēc pārbaudes noslēgto darba līgumu skaits/ valsts budžeta ieņēmumu pieaugums, Ls tūkst.</w:t>
            </w:r>
          </w:p>
        </w:tc>
        <w:tc>
          <w:tcPr>
            <w:tcW w:w="1984" w:type="dxa"/>
            <w:vAlign w:val="center"/>
          </w:tcPr>
          <w:p w:rsidR="00BA2B09" w:rsidRPr="009C403E" w:rsidRDefault="00BA2B09" w:rsidP="009C403E">
            <w:pPr>
              <w:spacing w:after="0"/>
              <w:jc w:val="center"/>
              <w:rPr>
                <w:sz w:val="20"/>
                <w:szCs w:val="20"/>
              </w:rPr>
            </w:pPr>
            <w:r w:rsidRPr="009C403E">
              <w:rPr>
                <w:sz w:val="20"/>
                <w:szCs w:val="20"/>
              </w:rPr>
              <w:t>1607/ 1047,3</w:t>
            </w:r>
          </w:p>
        </w:tc>
        <w:tc>
          <w:tcPr>
            <w:tcW w:w="2693" w:type="dxa"/>
            <w:vAlign w:val="center"/>
          </w:tcPr>
          <w:p w:rsidR="00BA2B09" w:rsidRPr="009C403E" w:rsidRDefault="00BA2B09" w:rsidP="009C403E">
            <w:pPr>
              <w:spacing w:after="0"/>
              <w:jc w:val="center"/>
              <w:rPr>
                <w:sz w:val="20"/>
                <w:szCs w:val="20"/>
              </w:rPr>
            </w:pPr>
            <w:r w:rsidRPr="009C403E">
              <w:rPr>
                <w:sz w:val="20"/>
                <w:szCs w:val="20"/>
              </w:rPr>
              <w:t>1 006/ 104,3</w:t>
            </w:r>
          </w:p>
        </w:tc>
        <w:tc>
          <w:tcPr>
            <w:tcW w:w="1985" w:type="dxa"/>
            <w:vAlign w:val="center"/>
          </w:tcPr>
          <w:p w:rsidR="00BA2B09" w:rsidRPr="009C403E" w:rsidRDefault="00BA2B09" w:rsidP="009C403E">
            <w:pPr>
              <w:spacing w:after="0"/>
              <w:jc w:val="center"/>
              <w:rPr>
                <w:sz w:val="20"/>
                <w:szCs w:val="20"/>
              </w:rPr>
            </w:pPr>
            <w:r w:rsidRPr="009C403E">
              <w:rPr>
                <w:sz w:val="20"/>
                <w:szCs w:val="20"/>
              </w:rPr>
              <w:t>319/ 33,1</w:t>
            </w:r>
          </w:p>
        </w:tc>
      </w:tr>
      <w:tr w:rsidR="00BA2B09" w:rsidRPr="009C403E">
        <w:trPr>
          <w:trHeight w:val="1020"/>
        </w:trPr>
        <w:tc>
          <w:tcPr>
            <w:tcW w:w="2978" w:type="dxa"/>
            <w:vAlign w:val="center"/>
          </w:tcPr>
          <w:p w:rsidR="00BA2B09" w:rsidRPr="009C403E" w:rsidRDefault="00BA2B09" w:rsidP="009C403E">
            <w:pPr>
              <w:spacing w:after="0"/>
              <w:rPr>
                <w:sz w:val="20"/>
                <w:szCs w:val="20"/>
              </w:rPr>
            </w:pPr>
            <w:r w:rsidRPr="009C403E">
              <w:rPr>
                <w:sz w:val="20"/>
                <w:szCs w:val="20"/>
              </w:rPr>
              <w:t>Personu, kuras darba attiecības uzsākušas pārbaudes dienā vai dienu pirms tās (uz „pirmās dienas” darba līguma pamata nodarbināto), skaits, un % lielums</w:t>
            </w:r>
          </w:p>
        </w:tc>
        <w:tc>
          <w:tcPr>
            <w:tcW w:w="1984" w:type="dxa"/>
            <w:vAlign w:val="center"/>
          </w:tcPr>
          <w:p w:rsidR="00BA2B09" w:rsidRPr="009C403E" w:rsidRDefault="00BA2B09" w:rsidP="009C403E">
            <w:pPr>
              <w:spacing w:after="0"/>
              <w:jc w:val="center"/>
              <w:rPr>
                <w:sz w:val="20"/>
                <w:szCs w:val="20"/>
              </w:rPr>
            </w:pPr>
            <w:r w:rsidRPr="009C403E">
              <w:rPr>
                <w:sz w:val="20"/>
                <w:szCs w:val="20"/>
              </w:rPr>
              <w:t>1220</w:t>
            </w:r>
          </w:p>
        </w:tc>
        <w:tc>
          <w:tcPr>
            <w:tcW w:w="2693" w:type="dxa"/>
            <w:vAlign w:val="center"/>
          </w:tcPr>
          <w:p w:rsidR="00BA2B09" w:rsidRPr="009C403E" w:rsidRDefault="00BA2B09" w:rsidP="009C403E">
            <w:pPr>
              <w:spacing w:after="0"/>
              <w:jc w:val="center"/>
              <w:rPr>
                <w:sz w:val="20"/>
                <w:szCs w:val="20"/>
              </w:rPr>
            </w:pPr>
            <w:r w:rsidRPr="009C403E">
              <w:rPr>
                <w:sz w:val="20"/>
                <w:szCs w:val="20"/>
              </w:rPr>
              <w:t>410</w:t>
            </w:r>
          </w:p>
        </w:tc>
        <w:tc>
          <w:tcPr>
            <w:tcW w:w="1985" w:type="dxa"/>
            <w:vAlign w:val="center"/>
          </w:tcPr>
          <w:p w:rsidR="00BA2B09" w:rsidRPr="009C403E" w:rsidRDefault="00BA2B09" w:rsidP="009C403E">
            <w:pPr>
              <w:spacing w:after="0"/>
              <w:jc w:val="center"/>
              <w:rPr>
                <w:sz w:val="20"/>
                <w:szCs w:val="20"/>
              </w:rPr>
            </w:pPr>
            <w:r w:rsidRPr="009C403E">
              <w:rPr>
                <w:sz w:val="20"/>
                <w:szCs w:val="20"/>
              </w:rPr>
              <w:t>102</w:t>
            </w:r>
          </w:p>
        </w:tc>
      </w:tr>
      <w:tr w:rsidR="00BA2B09" w:rsidRPr="009C403E">
        <w:trPr>
          <w:trHeight w:val="510"/>
        </w:trPr>
        <w:tc>
          <w:tcPr>
            <w:tcW w:w="2978" w:type="dxa"/>
            <w:vAlign w:val="center"/>
          </w:tcPr>
          <w:p w:rsidR="00BA2B09" w:rsidRPr="009C403E" w:rsidRDefault="00BA2B09" w:rsidP="009C403E">
            <w:pPr>
              <w:spacing w:after="0"/>
              <w:rPr>
                <w:sz w:val="20"/>
                <w:szCs w:val="20"/>
              </w:rPr>
            </w:pPr>
            <w:r w:rsidRPr="009C403E">
              <w:rPr>
                <w:sz w:val="20"/>
                <w:szCs w:val="20"/>
              </w:rPr>
              <w:t>Atkārtoti apsekoto uzņēmumu skaits, un % lielums</w:t>
            </w:r>
          </w:p>
        </w:tc>
        <w:tc>
          <w:tcPr>
            <w:tcW w:w="1984" w:type="dxa"/>
            <w:vAlign w:val="center"/>
          </w:tcPr>
          <w:p w:rsidR="00BA2B09" w:rsidRPr="009C403E" w:rsidRDefault="00BA2B09" w:rsidP="009C403E">
            <w:pPr>
              <w:spacing w:after="0"/>
              <w:jc w:val="center"/>
              <w:rPr>
                <w:sz w:val="20"/>
                <w:szCs w:val="20"/>
              </w:rPr>
            </w:pPr>
            <w:r w:rsidRPr="009C403E">
              <w:rPr>
                <w:sz w:val="20"/>
                <w:szCs w:val="20"/>
              </w:rPr>
              <w:t>323 (7,14%)</w:t>
            </w:r>
          </w:p>
        </w:tc>
        <w:tc>
          <w:tcPr>
            <w:tcW w:w="2693" w:type="dxa"/>
            <w:vAlign w:val="center"/>
          </w:tcPr>
          <w:p w:rsidR="00BA2B09" w:rsidRPr="009C403E" w:rsidRDefault="00BA2B09" w:rsidP="009C403E">
            <w:pPr>
              <w:spacing w:after="0"/>
              <w:jc w:val="center"/>
              <w:rPr>
                <w:sz w:val="20"/>
                <w:szCs w:val="20"/>
              </w:rPr>
            </w:pPr>
            <w:r w:rsidRPr="009C403E">
              <w:rPr>
                <w:sz w:val="20"/>
                <w:szCs w:val="20"/>
              </w:rPr>
              <w:t>119 (7%)</w:t>
            </w:r>
          </w:p>
        </w:tc>
        <w:tc>
          <w:tcPr>
            <w:tcW w:w="1985" w:type="dxa"/>
            <w:vAlign w:val="center"/>
          </w:tcPr>
          <w:p w:rsidR="00BA2B09" w:rsidRPr="009C403E" w:rsidRDefault="00BA2B09" w:rsidP="009C403E">
            <w:pPr>
              <w:spacing w:after="0"/>
              <w:jc w:val="center"/>
              <w:rPr>
                <w:sz w:val="20"/>
                <w:szCs w:val="20"/>
              </w:rPr>
            </w:pPr>
            <w:r w:rsidRPr="009C403E">
              <w:rPr>
                <w:sz w:val="20"/>
                <w:szCs w:val="20"/>
              </w:rPr>
              <w:t>142/ 11%</w:t>
            </w:r>
          </w:p>
        </w:tc>
      </w:tr>
      <w:tr w:rsidR="00BA2B09" w:rsidRPr="009C403E">
        <w:trPr>
          <w:trHeight w:val="255"/>
        </w:trPr>
        <w:tc>
          <w:tcPr>
            <w:tcW w:w="2978" w:type="dxa"/>
            <w:vAlign w:val="center"/>
          </w:tcPr>
          <w:p w:rsidR="00BA2B09" w:rsidRPr="009C403E" w:rsidRDefault="00BA2B09" w:rsidP="009C403E">
            <w:pPr>
              <w:spacing w:after="0"/>
              <w:rPr>
                <w:sz w:val="20"/>
                <w:szCs w:val="20"/>
              </w:rPr>
            </w:pPr>
            <w:r w:rsidRPr="009C403E">
              <w:rPr>
                <w:sz w:val="20"/>
                <w:szCs w:val="20"/>
              </w:rPr>
              <w:t>Piemērotā naudas soda apmērs, Ls tūkst.</w:t>
            </w:r>
          </w:p>
        </w:tc>
        <w:tc>
          <w:tcPr>
            <w:tcW w:w="1984" w:type="dxa"/>
            <w:vAlign w:val="center"/>
          </w:tcPr>
          <w:p w:rsidR="00BA2B09" w:rsidRPr="009C403E" w:rsidRDefault="00BA2B09" w:rsidP="009C403E">
            <w:pPr>
              <w:spacing w:after="0"/>
              <w:jc w:val="center"/>
              <w:rPr>
                <w:sz w:val="20"/>
                <w:szCs w:val="20"/>
              </w:rPr>
            </w:pPr>
            <w:r w:rsidRPr="009C403E">
              <w:rPr>
                <w:sz w:val="20"/>
                <w:szCs w:val="20"/>
              </w:rPr>
              <w:t>400,3</w:t>
            </w:r>
          </w:p>
        </w:tc>
        <w:tc>
          <w:tcPr>
            <w:tcW w:w="2693" w:type="dxa"/>
            <w:vAlign w:val="center"/>
          </w:tcPr>
          <w:p w:rsidR="00BA2B09" w:rsidRPr="009C403E" w:rsidRDefault="00BA2B09" w:rsidP="009C403E">
            <w:pPr>
              <w:spacing w:after="0"/>
              <w:jc w:val="center"/>
              <w:rPr>
                <w:sz w:val="20"/>
                <w:szCs w:val="20"/>
              </w:rPr>
            </w:pPr>
            <w:r w:rsidRPr="009C403E">
              <w:rPr>
                <w:sz w:val="20"/>
                <w:szCs w:val="20"/>
              </w:rPr>
              <w:t>882,4</w:t>
            </w:r>
          </w:p>
        </w:tc>
        <w:tc>
          <w:tcPr>
            <w:tcW w:w="1985" w:type="dxa"/>
            <w:vAlign w:val="center"/>
          </w:tcPr>
          <w:p w:rsidR="00BA2B09" w:rsidRPr="009C403E" w:rsidRDefault="00BA2B09" w:rsidP="009C403E">
            <w:pPr>
              <w:spacing w:after="0"/>
              <w:jc w:val="center"/>
              <w:rPr>
                <w:sz w:val="20"/>
                <w:szCs w:val="20"/>
              </w:rPr>
            </w:pPr>
            <w:r w:rsidRPr="009C403E">
              <w:rPr>
                <w:sz w:val="20"/>
                <w:szCs w:val="20"/>
              </w:rPr>
              <w:t>467,6</w:t>
            </w:r>
          </w:p>
        </w:tc>
      </w:tr>
      <w:tr w:rsidR="00BA2B09" w:rsidRPr="009C403E">
        <w:trPr>
          <w:trHeight w:val="1275"/>
        </w:trPr>
        <w:tc>
          <w:tcPr>
            <w:tcW w:w="2978" w:type="dxa"/>
            <w:vAlign w:val="center"/>
          </w:tcPr>
          <w:p w:rsidR="00BA2B09" w:rsidRPr="009C403E" w:rsidRDefault="00BA2B09" w:rsidP="009C403E">
            <w:pPr>
              <w:spacing w:after="0"/>
              <w:rPr>
                <w:sz w:val="20"/>
                <w:szCs w:val="20"/>
              </w:rPr>
            </w:pPr>
            <w:r w:rsidRPr="009C403E">
              <w:rPr>
                <w:sz w:val="20"/>
                <w:szCs w:val="20"/>
              </w:rPr>
              <w:t>Nozares ar visaugstāko atklāto nereģistrēti nodarbināto personu īpatsvaru un % lielums</w:t>
            </w:r>
          </w:p>
        </w:tc>
        <w:tc>
          <w:tcPr>
            <w:tcW w:w="1984" w:type="dxa"/>
          </w:tcPr>
          <w:p w:rsidR="00BA2B09" w:rsidRPr="009C403E" w:rsidRDefault="00BA2B09" w:rsidP="009C403E">
            <w:pPr>
              <w:spacing w:after="0"/>
              <w:jc w:val="center"/>
              <w:rPr>
                <w:sz w:val="20"/>
                <w:szCs w:val="20"/>
              </w:rPr>
            </w:pPr>
            <w:r w:rsidRPr="009C403E">
              <w:rPr>
                <w:sz w:val="20"/>
                <w:szCs w:val="20"/>
              </w:rPr>
              <w:t xml:space="preserve">būvniecība (39,3%), apstrādes rūpniecība (10,1%), izklaides un atpūtas pasākumu organizēšana (9,6%) </w:t>
            </w:r>
          </w:p>
        </w:tc>
        <w:tc>
          <w:tcPr>
            <w:tcW w:w="2693" w:type="dxa"/>
          </w:tcPr>
          <w:p w:rsidR="00BA2B09" w:rsidRPr="009C403E" w:rsidRDefault="00BA2B09" w:rsidP="009C403E">
            <w:pPr>
              <w:spacing w:after="0"/>
              <w:jc w:val="center"/>
              <w:rPr>
                <w:sz w:val="20"/>
                <w:szCs w:val="20"/>
              </w:rPr>
            </w:pPr>
            <w:r w:rsidRPr="009C403E">
              <w:rPr>
                <w:sz w:val="20"/>
                <w:szCs w:val="20"/>
              </w:rPr>
              <w:t>būvniecība (24,1%), apstrādes rūpniecība (18,5%), tirdzniecībā (14%) un transporta nozarē (9,5%)</w:t>
            </w:r>
          </w:p>
        </w:tc>
        <w:tc>
          <w:tcPr>
            <w:tcW w:w="1985" w:type="dxa"/>
          </w:tcPr>
          <w:p w:rsidR="00BA2B09" w:rsidRPr="009C403E" w:rsidRDefault="00BA2B09" w:rsidP="009C403E">
            <w:pPr>
              <w:spacing w:after="0"/>
              <w:jc w:val="center"/>
              <w:rPr>
                <w:sz w:val="20"/>
                <w:szCs w:val="20"/>
              </w:rPr>
            </w:pPr>
            <w:r w:rsidRPr="009C403E">
              <w:rPr>
                <w:sz w:val="20"/>
                <w:szCs w:val="20"/>
              </w:rPr>
              <w:t>transporta nozare (22%), būvniecība (17,5%), apstrādes rūpniecība (12%) un tirdzniecība (11%)</w:t>
            </w:r>
          </w:p>
        </w:tc>
      </w:tr>
      <w:tr w:rsidR="00BA2B09" w:rsidRPr="009C403E">
        <w:trPr>
          <w:trHeight w:val="1275"/>
        </w:trPr>
        <w:tc>
          <w:tcPr>
            <w:tcW w:w="2978" w:type="dxa"/>
            <w:vAlign w:val="center"/>
          </w:tcPr>
          <w:p w:rsidR="00BA2B09" w:rsidRPr="009C403E" w:rsidRDefault="00BA2B09" w:rsidP="009C403E">
            <w:pPr>
              <w:spacing w:after="0"/>
              <w:rPr>
                <w:sz w:val="20"/>
                <w:szCs w:val="20"/>
              </w:rPr>
            </w:pPr>
            <w:r w:rsidRPr="009C403E">
              <w:rPr>
                <w:sz w:val="20"/>
                <w:szCs w:val="20"/>
              </w:rPr>
              <w:t>Nozares ar visaugstāko „pirmās dienas” darba līgumu īpatsvaru un % lielums</w:t>
            </w:r>
          </w:p>
        </w:tc>
        <w:tc>
          <w:tcPr>
            <w:tcW w:w="1984" w:type="dxa"/>
          </w:tcPr>
          <w:p w:rsidR="00BA2B09" w:rsidRPr="009C403E" w:rsidRDefault="00BA2B09" w:rsidP="009C403E">
            <w:pPr>
              <w:spacing w:after="0"/>
              <w:jc w:val="center"/>
              <w:rPr>
                <w:sz w:val="20"/>
                <w:szCs w:val="20"/>
              </w:rPr>
            </w:pPr>
            <w:r w:rsidRPr="009C403E">
              <w:rPr>
                <w:sz w:val="20"/>
                <w:szCs w:val="20"/>
              </w:rPr>
              <w:t xml:space="preserve">būvniecība (36,8%), apstrādes rūpniecība (20,2%), tirdzniecība (15,8%) </w:t>
            </w:r>
          </w:p>
        </w:tc>
        <w:tc>
          <w:tcPr>
            <w:tcW w:w="2693" w:type="dxa"/>
          </w:tcPr>
          <w:p w:rsidR="00BA2B09" w:rsidRPr="009C403E" w:rsidRDefault="00BA2B09" w:rsidP="009C403E">
            <w:pPr>
              <w:spacing w:after="0"/>
              <w:jc w:val="center"/>
              <w:rPr>
                <w:sz w:val="20"/>
                <w:szCs w:val="20"/>
              </w:rPr>
            </w:pPr>
            <w:r w:rsidRPr="009C403E">
              <w:rPr>
                <w:sz w:val="20"/>
                <w:szCs w:val="20"/>
              </w:rPr>
              <w:t xml:space="preserve">būvniecība (39,3%), apstrādes rūpniecība (19,5%), tirdzniecība (11,7%) lauksaimniecība (11,3%) </w:t>
            </w:r>
          </w:p>
        </w:tc>
        <w:tc>
          <w:tcPr>
            <w:tcW w:w="1985" w:type="dxa"/>
          </w:tcPr>
          <w:p w:rsidR="00BA2B09" w:rsidRPr="009C403E" w:rsidRDefault="00BA2B09" w:rsidP="009C403E">
            <w:pPr>
              <w:spacing w:after="0"/>
              <w:jc w:val="center"/>
              <w:rPr>
                <w:sz w:val="20"/>
                <w:szCs w:val="20"/>
              </w:rPr>
            </w:pPr>
            <w:r w:rsidRPr="009C403E">
              <w:rPr>
                <w:sz w:val="20"/>
                <w:szCs w:val="20"/>
              </w:rPr>
              <w:t>būvniecība (39,2%), apstrādes rūpniecība (19,6%) un tirdzniecība (14,7%)</w:t>
            </w:r>
          </w:p>
        </w:tc>
      </w:tr>
      <w:tr w:rsidR="00BA2B09" w:rsidRPr="009C403E">
        <w:trPr>
          <w:trHeight w:val="510"/>
        </w:trPr>
        <w:tc>
          <w:tcPr>
            <w:tcW w:w="2978" w:type="dxa"/>
            <w:vAlign w:val="center"/>
          </w:tcPr>
          <w:p w:rsidR="00BA2B09" w:rsidRPr="009C403E" w:rsidRDefault="00BA2B09" w:rsidP="009C403E">
            <w:pPr>
              <w:spacing w:after="0"/>
              <w:rPr>
                <w:sz w:val="20"/>
                <w:szCs w:val="20"/>
              </w:rPr>
            </w:pPr>
            <w:r w:rsidRPr="009C403E">
              <w:rPr>
                <w:sz w:val="20"/>
                <w:szCs w:val="20"/>
              </w:rPr>
              <w:t>Nereģistrēti nodarbināto bezdarbnieku skaits un % lielums</w:t>
            </w:r>
          </w:p>
        </w:tc>
        <w:tc>
          <w:tcPr>
            <w:tcW w:w="1984" w:type="dxa"/>
            <w:vAlign w:val="center"/>
          </w:tcPr>
          <w:p w:rsidR="00BA2B09" w:rsidRPr="009C403E" w:rsidRDefault="00BA2B09" w:rsidP="009C403E">
            <w:pPr>
              <w:spacing w:after="0"/>
              <w:jc w:val="center"/>
              <w:rPr>
                <w:sz w:val="20"/>
                <w:szCs w:val="20"/>
              </w:rPr>
            </w:pPr>
            <w:r w:rsidRPr="009C403E">
              <w:rPr>
                <w:sz w:val="20"/>
                <w:szCs w:val="20"/>
              </w:rPr>
              <w:t>238 (13,1%)</w:t>
            </w:r>
          </w:p>
        </w:tc>
        <w:tc>
          <w:tcPr>
            <w:tcW w:w="2693" w:type="dxa"/>
            <w:vAlign w:val="center"/>
          </w:tcPr>
          <w:p w:rsidR="00BA2B09" w:rsidRPr="009C403E" w:rsidRDefault="00BA2B09" w:rsidP="009C403E">
            <w:pPr>
              <w:spacing w:after="0"/>
              <w:jc w:val="center"/>
              <w:rPr>
                <w:sz w:val="20"/>
                <w:szCs w:val="20"/>
              </w:rPr>
            </w:pPr>
            <w:r w:rsidRPr="009C403E">
              <w:rPr>
                <w:sz w:val="20"/>
                <w:szCs w:val="20"/>
              </w:rPr>
              <w:t>225 (7,6%)</w:t>
            </w:r>
          </w:p>
        </w:tc>
        <w:tc>
          <w:tcPr>
            <w:tcW w:w="1985" w:type="dxa"/>
            <w:vAlign w:val="center"/>
          </w:tcPr>
          <w:p w:rsidR="00BA2B09" w:rsidRPr="009C403E" w:rsidRDefault="00BA2B09" w:rsidP="009C403E">
            <w:pPr>
              <w:spacing w:after="0"/>
              <w:jc w:val="center"/>
              <w:rPr>
                <w:sz w:val="20"/>
                <w:szCs w:val="20"/>
              </w:rPr>
            </w:pPr>
            <w:r w:rsidRPr="009C403E">
              <w:rPr>
                <w:sz w:val="20"/>
                <w:szCs w:val="20"/>
              </w:rPr>
              <w:t>92 (7,6%)</w:t>
            </w:r>
          </w:p>
        </w:tc>
      </w:tr>
    </w:tbl>
    <w:p w:rsidR="00BA2B09" w:rsidRPr="00B34A1D" w:rsidRDefault="00BA2B09" w:rsidP="00B34A1D">
      <w:pPr>
        <w:spacing w:after="0"/>
        <w:jc w:val="both"/>
        <w:rPr>
          <w:sz w:val="28"/>
          <w:szCs w:val="28"/>
          <w:lang w:eastAsia="lv-LV"/>
        </w:rPr>
      </w:pPr>
    </w:p>
    <w:p w:rsidR="00BA2B09" w:rsidRDefault="00BA2B09" w:rsidP="00D92F6C">
      <w:pPr>
        <w:pStyle w:val="ListParagraph"/>
        <w:numPr>
          <w:ilvl w:val="0"/>
          <w:numId w:val="25"/>
        </w:numPr>
        <w:ind w:left="426" w:hanging="426"/>
        <w:jc w:val="center"/>
        <w:rPr>
          <w:b/>
          <w:bCs/>
          <w:lang w:eastAsia="lv-LV"/>
        </w:rPr>
      </w:pPr>
      <w:r w:rsidRPr="000560F1">
        <w:rPr>
          <w:b/>
          <w:bCs/>
          <w:lang w:eastAsia="lv-LV"/>
        </w:rPr>
        <w:t>Sadarbība</w:t>
      </w:r>
    </w:p>
    <w:p w:rsidR="00BA2B09" w:rsidRPr="00D92F6C" w:rsidRDefault="00BA2B09" w:rsidP="00D92F6C">
      <w:pPr>
        <w:spacing w:after="0"/>
        <w:rPr>
          <w:sz w:val="20"/>
          <w:szCs w:val="20"/>
          <w:lang w:eastAsia="lv-LV"/>
        </w:rPr>
      </w:pPr>
    </w:p>
    <w:p w:rsidR="00BA2B09" w:rsidRDefault="00BA2B09" w:rsidP="00D92F6C">
      <w:pPr>
        <w:spacing w:after="0"/>
        <w:ind w:firstLine="720"/>
        <w:jc w:val="both"/>
        <w:rPr>
          <w:sz w:val="28"/>
          <w:szCs w:val="28"/>
        </w:rPr>
      </w:pPr>
      <w:r w:rsidRPr="00472A05">
        <w:rPr>
          <w:sz w:val="28"/>
          <w:szCs w:val="28"/>
        </w:rPr>
        <w:t xml:space="preserve">VID </w:t>
      </w:r>
      <w:r>
        <w:rPr>
          <w:sz w:val="28"/>
          <w:szCs w:val="28"/>
        </w:rPr>
        <w:t xml:space="preserve">un VDI </w:t>
      </w:r>
      <w:r w:rsidRPr="00472A05">
        <w:rPr>
          <w:sz w:val="28"/>
          <w:szCs w:val="28"/>
        </w:rPr>
        <w:t xml:space="preserve">ir būtiski iegūt informāciju par juridisko un fizisko personu saimniecisko un finansiālo darbību un veikt tās analīzi, lai savlaicīgi identificētu nodokļu nemaksāšanas riskus. Tādēļ </w:t>
      </w:r>
      <w:r>
        <w:rPr>
          <w:sz w:val="28"/>
          <w:szCs w:val="28"/>
        </w:rPr>
        <w:t xml:space="preserve">gan </w:t>
      </w:r>
      <w:r w:rsidRPr="00472A05">
        <w:rPr>
          <w:sz w:val="28"/>
          <w:szCs w:val="28"/>
        </w:rPr>
        <w:t>VID</w:t>
      </w:r>
      <w:r>
        <w:rPr>
          <w:sz w:val="28"/>
          <w:szCs w:val="28"/>
        </w:rPr>
        <w:t>, gan VDI</w:t>
      </w:r>
      <w:r w:rsidRPr="00472A05">
        <w:rPr>
          <w:sz w:val="28"/>
          <w:szCs w:val="28"/>
        </w:rPr>
        <w:t xml:space="preserve"> aktīvi meklē iespējamos informācijas avotus, slēdzot starpresoru vienošanās un sadarbības līgumus ar valsts un pašvaldību institūcijām, </w:t>
      </w:r>
      <w:r>
        <w:rPr>
          <w:sz w:val="28"/>
          <w:szCs w:val="28"/>
        </w:rPr>
        <w:t>nozaru asociācijām</w:t>
      </w:r>
      <w:r w:rsidRPr="00472A05">
        <w:rPr>
          <w:sz w:val="28"/>
          <w:szCs w:val="28"/>
        </w:rPr>
        <w:t>, kā arī pilnveido jau noslēgtos.</w:t>
      </w:r>
    </w:p>
    <w:p w:rsidR="00BA2B09" w:rsidRPr="00DC5762" w:rsidRDefault="00BA2B09" w:rsidP="000E5BBE">
      <w:pPr>
        <w:spacing w:after="0"/>
        <w:jc w:val="both"/>
        <w:rPr>
          <w:sz w:val="28"/>
          <w:szCs w:val="28"/>
        </w:rPr>
      </w:pPr>
    </w:p>
    <w:p w:rsidR="00BA2B09" w:rsidRDefault="00BA2B09" w:rsidP="00D92F6C">
      <w:pPr>
        <w:pStyle w:val="ListParagraph"/>
        <w:numPr>
          <w:ilvl w:val="1"/>
          <w:numId w:val="25"/>
        </w:numPr>
        <w:tabs>
          <w:tab w:val="left" w:pos="567"/>
        </w:tabs>
        <w:ind w:left="0" w:firstLine="0"/>
        <w:jc w:val="center"/>
        <w:rPr>
          <w:b/>
          <w:bCs/>
          <w:lang w:eastAsia="lv-LV"/>
        </w:rPr>
      </w:pPr>
      <w:r w:rsidRPr="000560F1">
        <w:rPr>
          <w:b/>
          <w:bCs/>
          <w:lang w:eastAsia="lv-LV"/>
        </w:rPr>
        <w:t>VID sadarbība ar VDI</w:t>
      </w:r>
    </w:p>
    <w:p w:rsidR="00BA2B09" w:rsidRPr="00D92F6C" w:rsidRDefault="00BA2B09" w:rsidP="00D92F6C">
      <w:pPr>
        <w:pStyle w:val="ListParagraph"/>
        <w:tabs>
          <w:tab w:val="left" w:pos="567"/>
        </w:tabs>
        <w:ind w:left="0"/>
        <w:rPr>
          <w:sz w:val="20"/>
          <w:szCs w:val="20"/>
          <w:lang w:eastAsia="lv-LV"/>
        </w:rPr>
      </w:pPr>
    </w:p>
    <w:p w:rsidR="00BA2B09" w:rsidRDefault="00BA2B09" w:rsidP="00472A05">
      <w:pPr>
        <w:spacing w:after="0"/>
        <w:ind w:firstLine="720"/>
        <w:jc w:val="both"/>
        <w:rPr>
          <w:sz w:val="28"/>
          <w:szCs w:val="28"/>
          <w:lang w:eastAsia="lv-LV"/>
        </w:rPr>
      </w:pPr>
      <w:r>
        <w:rPr>
          <w:sz w:val="28"/>
          <w:szCs w:val="28"/>
          <w:lang w:eastAsia="lv-LV"/>
        </w:rPr>
        <w:t xml:space="preserve">Starp </w:t>
      </w:r>
      <w:r w:rsidRPr="00A250C2">
        <w:rPr>
          <w:sz w:val="28"/>
          <w:szCs w:val="28"/>
          <w:lang w:eastAsia="lv-LV"/>
        </w:rPr>
        <w:t xml:space="preserve">VID </w:t>
      </w:r>
      <w:r>
        <w:rPr>
          <w:sz w:val="28"/>
          <w:szCs w:val="28"/>
          <w:lang w:eastAsia="lv-LV"/>
        </w:rPr>
        <w:t xml:space="preserve">un VDI </w:t>
      </w:r>
      <w:r w:rsidRPr="00A250C2">
        <w:rPr>
          <w:sz w:val="28"/>
          <w:szCs w:val="28"/>
          <w:lang w:eastAsia="lv-LV"/>
        </w:rPr>
        <w:t>ir izveidojusies veiksmīga sadarbība</w:t>
      </w:r>
      <w:r>
        <w:rPr>
          <w:sz w:val="28"/>
          <w:szCs w:val="28"/>
          <w:lang w:eastAsia="lv-LV"/>
        </w:rPr>
        <w:t>, kas</w:t>
      </w:r>
      <w:r w:rsidRPr="00A250C2">
        <w:rPr>
          <w:sz w:val="28"/>
          <w:szCs w:val="28"/>
          <w:lang w:eastAsia="lv-LV"/>
        </w:rPr>
        <w:t xml:space="preserve"> notiek saskaņā ar 2006.gada 18.aprīlī noslēgtajām divām VID un VDI starpresoru </w:t>
      </w:r>
      <w:r w:rsidRPr="00A250C2">
        <w:rPr>
          <w:sz w:val="28"/>
          <w:szCs w:val="28"/>
          <w:lang w:eastAsia="lv-LV"/>
        </w:rPr>
        <w:lastRenderedPageBreak/>
        <w:t>vienošanām par savstarpējo sadarbību un VID Informācijas sistēmu lietošanu. VID un VDI savstarpēji apmainās ar gandrīz visu to rīcībā esošo informāciju, kura veicina un ir nepieciešama darbam cīņā pret algu izmaksām aplok</w:t>
      </w:r>
      <w:r>
        <w:rPr>
          <w:sz w:val="28"/>
          <w:szCs w:val="28"/>
          <w:lang w:eastAsia="lv-LV"/>
        </w:rPr>
        <w:t>snēs un nelegālo nodarbinātību, kā arī piedalās kopīgās pārbaudēs.</w:t>
      </w:r>
    </w:p>
    <w:p w:rsidR="00BA2B09" w:rsidRPr="00A250C2" w:rsidRDefault="00BA2B09" w:rsidP="00A250C2">
      <w:pPr>
        <w:spacing w:after="0"/>
        <w:ind w:firstLine="720"/>
        <w:jc w:val="both"/>
        <w:rPr>
          <w:sz w:val="28"/>
          <w:szCs w:val="28"/>
          <w:lang w:eastAsia="lv-LV"/>
        </w:rPr>
      </w:pPr>
      <w:r w:rsidRPr="00A250C2">
        <w:rPr>
          <w:sz w:val="28"/>
          <w:szCs w:val="28"/>
          <w:lang w:eastAsia="lv-LV"/>
        </w:rPr>
        <w:t xml:space="preserve">VID darbinieki ar VID </w:t>
      </w:r>
      <w:r w:rsidRPr="00A250C2">
        <w:rPr>
          <w:i/>
          <w:iCs/>
          <w:sz w:val="28"/>
          <w:szCs w:val="28"/>
          <w:lang w:eastAsia="lv-LV"/>
        </w:rPr>
        <w:t>FTPS</w:t>
      </w:r>
      <w:r w:rsidRPr="00A250C2">
        <w:rPr>
          <w:sz w:val="28"/>
          <w:szCs w:val="28"/>
          <w:lang w:eastAsia="lv-LV"/>
        </w:rPr>
        <w:t xml:space="preserve"> </w:t>
      </w:r>
      <w:r w:rsidRPr="00A250C2">
        <w:rPr>
          <w:i/>
          <w:iCs/>
          <w:sz w:val="28"/>
          <w:szCs w:val="28"/>
          <w:lang w:eastAsia="lv-LV"/>
        </w:rPr>
        <w:t>(File Transfer Protocol over SSL)</w:t>
      </w:r>
      <w:r>
        <w:rPr>
          <w:i/>
          <w:iCs/>
          <w:sz w:val="28"/>
          <w:szCs w:val="28"/>
          <w:lang w:eastAsia="lv-LV"/>
        </w:rPr>
        <w:t xml:space="preserve"> </w:t>
      </w:r>
      <w:r w:rsidRPr="00A250C2">
        <w:rPr>
          <w:sz w:val="28"/>
          <w:szCs w:val="28"/>
          <w:lang w:eastAsia="lv-LV"/>
        </w:rPr>
        <w:t>servera palīdzību VDI sniedz informāciju par veiktajās pārbaudēs konstatētajiem pārkāpumiem, kurus VID darbinieki savas kompetences ietvaros acīmredzami un nepārprotami var klasificēt kā darba tiesisko attiecību un darba aizsardzību regulējošo normatīvo aktu pārkāpumus, piemēram, darba līgumu rakstveida formas neievērošana; nodarbināto sarakstu, apliecību neesamība būvniecības un mežsaimniecības darbos.</w:t>
      </w:r>
    </w:p>
    <w:p w:rsidR="00BA2B09" w:rsidRDefault="00BA2B09" w:rsidP="00A250C2">
      <w:pPr>
        <w:spacing w:after="0"/>
        <w:ind w:firstLine="720"/>
        <w:jc w:val="both"/>
        <w:rPr>
          <w:sz w:val="28"/>
          <w:szCs w:val="28"/>
          <w:lang w:eastAsia="lv-LV"/>
        </w:rPr>
      </w:pPr>
      <w:r w:rsidRPr="00A250C2">
        <w:rPr>
          <w:sz w:val="28"/>
          <w:szCs w:val="28"/>
          <w:lang w:eastAsia="lv-LV"/>
        </w:rPr>
        <w:t xml:space="preserve">Savukārt VDI darbinieki ar VID </w:t>
      </w:r>
      <w:r w:rsidRPr="00A250C2">
        <w:rPr>
          <w:i/>
          <w:iCs/>
          <w:sz w:val="28"/>
          <w:szCs w:val="28"/>
          <w:lang w:eastAsia="lv-LV"/>
        </w:rPr>
        <w:t>FTPS</w:t>
      </w:r>
      <w:r w:rsidRPr="00A250C2">
        <w:rPr>
          <w:sz w:val="28"/>
          <w:szCs w:val="28"/>
          <w:lang w:eastAsia="lv-LV"/>
        </w:rPr>
        <w:t xml:space="preserve"> servera palīdzību VID sniedz informāciju par veiktajās pārbaudēs konstatētajiem gadījumiem, kad darba devējs nav noslēdzis rakstveida darba līgumu ar darba ņēmēju. </w:t>
      </w:r>
    </w:p>
    <w:p w:rsidR="00BA2B09" w:rsidRDefault="00BA2B09" w:rsidP="00A250C2">
      <w:pPr>
        <w:spacing w:after="0"/>
        <w:ind w:firstLine="720"/>
        <w:jc w:val="both"/>
        <w:rPr>
          <w:sz w:val="28"/>
          <w:szCs w:val="28"/>
          <w:lang w:eastAsia="lv-LV"/>
        </w:rPr>
      </w:pPr>
      <w:r>
        <w:rPr>
          <w:sz w:val="28"/>
          <w:szCs w:val="28"/>
          <w:lang w:eastAsia="lv-LV"/>
        </w:rPr>
        <w:t>Informācijas apmaiņas</w:t>
      </w:r>
      <w:r w:rsidRPr="00B34A1D">
        <w:rPr>
          <w:sz w:val="28"/>
          <w:szCs w:val="28"/>
          <w:lang w:eastAsia="lv-LV"/>
        </w:rPr>
        <w:t xml:space="preserve"> rezultātus 2011.gada </w:t>
      </w:r>
      <w:r>
        <w:rPr>
          <w:sz w:val="28"/>
          <w:szCs w:val="28"/>
          <w:lang w:eastAsia="lv-LV"/>
        </w:rPr>
        <w:t>5</w:t>
      </w:r>
      <w:r w:rsidRPr="00B34A1D">
        <w:rPr>
          <w:sz w:val="28"/>
          <w:szCs w:val="28"/>
          <w:lang w:eastAsia="lv-LV"/>
        </w:rPr>
        <w:t xml:space="preserve"> mēnešos un </w:t>
      </w:r>
      <w:r>
        <w:rPr>
          <w:sz w:val="28"/>
          <w:szCs w:val="28"/>
          <w:lang w:eastAsia="lv-LV"/>
        </w:rPr>
        <w:t>2012.gada 5 </w:t>
      </w:r>
      <w:r w:rsidRPr="00B34A1D">
        <w:rPr>
          <w:sz w:val="28"/>
          <w:szCs w:val="28"/>
          <w:lang w:eastAsia="lv-LV"/>
        </w:rPr>
        <w:t xml:space="preserve"> mēnešos raksturo </w:t>
      </w:r>
      <w:r>
        <w:rPr>
          <w:sz w:val="28"/>
          <w:szCs w:val="28"/>
          <w:lang w:eastAsia="lv-LV"/>
        </w:rPr>
        <w:t>8</w:t>
      </w:r>
      <w:r w:rsidRPr="00B34A1D">
        <w:rPr>
          <w:sz w:val="28"/>
          <w:szCs w:val="28"/>
          <w:lang w:eastAsia="lv-LV"/>
        </w:rPr>
        <w:t>.tabulas rādītāji.</w:t>
      </w:r>
    </w:p>
    <w:p w:rsidR="00BA2B09" w:rsidRPr="002D50E1" w:rsidRDefault="00BA2B09" w:rsidP="00A250C2">
      <w:pPr>
        <w:spacing w:after="0"/>
        <w:ind w:firstLine="720"/>
        <w:jc w:val="both"/>
        <w:rPr>
          <w:sz w:val="20"/>
          <w:szCs w:val="20"/>
          <w:lang w:eastAsia="lv-LV"/>
        </w:rPr>
      </w:pPr>
    </w:p>
    <w:p w:rsidR="00BA2B09" w:rsidRPr="00716040" w:rsidRDefault="00BA2B09" w:rsidP="007E3A4D">
      <w:pPr>
        <w:spacing w:after="0"/>
        <w:ind w:firstLine="851"/>
        <w:jc w:val="right"/>
        <w:rPr>
          <w:sz w:val="24"/>
          <w:szCs w:val="24"/>
        </w:rPr>
      </w:pPr>
      <w:r>
        <w:rPr>
          <w:sz w:val="24"/>
          <w:szCs w:val="24"/>
        </w:rPr>
        <w:t>8</w:t>
      </w:r>
      <w:r w:rsidRPr="00716040">
        <w:rPr>
          <w:sz w:val="24"/>
          <w:szCs w:val="24"/>
        </w:rPr>
        <w:t>.tabula</w:t>
      </w:r>
    </w:p>
    <w:p w:rsidR="00BA2B09" w:rsidRPr="00310CCC" w:rsidRDefault="00BA2B09" w:rsidP="007E3A4D">
      <w:pPr>
        <w:spacing w:after="0"/>
        <w:jc w:val="center"/>
        <w:rPr>
          <w:sz w:val="26"/>
          <w:szCs w:val="26"/>
        </w:rPr>
      </w:pPr>
      <w:r>
        <w:rPr>
          <w:sz w:val="26"/>
          <w:szCs w:val="26"/>
        </w:rPr>
        <w:t>VID un VDI informācijas apmaiņa</w:t>
      </w:r>
    </w:p>
    <w:p w:rsidR="00BA2B09" w:rsidRPr="008278AD" w:rsidRDefault="00BA2B09" w:rsidP="007E3A4D">
      <w:pPr>
        <w:spacing w:after="0"/>
        <w:ind w:firstLine="851"/>
        <w:jc w:val="center"/>
        <w:rPr>
          <w:sz w:val="20"/>
          <w:szCs w:val="20"/>
        </w:rPr>
      </w:pPr>
    </w:p>
    <w:tbl>
      <w:tblPr>
        <w:tblW w:w="7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7"/>
        <w:gridCol w:w="1560"/>
        <w:gridCol w:w="1529"/>
      </w:tblGrid>
      <w:tr w:rsidR="00BA2B09" w:rsidRPr="009C403E">
        <w:trPr>
          <w:jc w:val="center"/>
        </w:trPr>
        <w:tc>
          <w:tcPr>
            <w:tcW w:w="4677"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Rādītāji</w:t>
            </w:r>
          </w:p>
        </w:tc>
        <w:tc>
          <w:tcPr>
            <w:tcW w:w="1560" w:type="dxa"/>
            <w:vAlign w:val="center"/>
          </w:tcPr>
          <w:p w:rsidR="00BA2B09" w:rsidRPr="009C403E" w:rsidRDefault="00BA2B09" w:rsidP="007E3A4D">
            <w:pPr>
              <w:tabs>
                <w:tab w:val="center" w:pos="4153"/>
                <w:tab w:val="right" w:pos="8306"/>
              </w:tabs>
              <w:spacing w:after="0"/>
              <w:jc w:val="center"/>
              <w:rPr>
                <w:b/>
                <w:bCs/>
                <w:sz w:val="20"/>
                <w:szCs w:val="20"/>
              </w:rPr>
            </w:pPr>
            <w:r w:rsidRPr="009C403E">
              <w:rPr>
                <w:b/>
                <w:bCs/>
                <w:sz w:val="20"/>
                <w:szCs w:val="20"/>
              </w:rPr>
              <w:t>2011.gada</w:t>
            </w:r>
          </w:p>
          <w:p w:rsidR="00BA2B09" w:rsidRPr="009C403E" w:rsidRDefault="00BA2B09" w:rsidP="007E3A4D">
            <w:pPr>
              <w:tabs>
                <w:tab w:val="center" w:pos="4153"/>
                <w:tab w:val="right" w:pos="8306"/>
              </w:tabs>
              <w:spacing w:after="0"/>
              <w:jc w:val="center"/>
              <w:rPr>
                <w:b/>
                <w:bCs/>
                <w:sz w:val="20"/>
                <w:szCs w:val="20"/>
              </w:rPr>
            </w:pPr>
            <w:r w:rsidRPr="009C403E">
              <w:rPr>
                <w:b/>
                <w:bCs/>
                <w:sz w:val="20"/>
                <w:szCs w:val="20"/>
              </w:rPr>
              <w:t>5 mēneši</w:t>
            </w:r>
          </w:p>
        </w:tc>
        <w:tc>
          <w:tcPr>
            <w:tcW w:w="1529" w:type="dxa"/>
            <w:vAlign w:val="center"/>
          </w:tcPr>
          <w:p w:rsidR="00BA2B09" w:rsidRPr="009C403E" w:rsidRDefault="00BA2B09" w:rsidP="007E3A4D">
            <w:pPr>
              <w:tabs>
                <w:tab w:val="center" w:pos="4153"/>
                <w:tab w:val="right" w:pos="8306"/>
              </w:tabs>
              <w:spacing w:after="0"/>
              <w:jc w:val="center"/>
              <w:rPr>
                <w:b/>
                <w:bCs/>
                <w:sz w:val="20"/>
                <w:szCs w:val="20"/>
              </w:rPr>
            </w:pPr>
            <w:r w:rsidRPr="009C403E">
              <w:rPr>
                <w:b/>
                <w:bCs/>
                <w:sz w:val="20"/>
                <w:szCs w:val="20"/>
              </w:rPr>
              <w:t>2012.gada</w:t>
            </w:r>
          </w:p>
          <w:p w:rsidR="00BA2B09" w:rsidRPr="009C403E" w:rsidRDefault="00BA2B09" w:rsidP="007E3A4D">
            <w:pPr>
              <w:tabs>
                <w:tab w:val="center" w:pos="4153"/>
                <w:tab w:val="right" w:pos="8306"/>
              </w:tabs>
              <w:spacing w:after="0"/>
              <w:jc w:val="center"/>
              <w:rPr>
                <w:b/>
                <w:bCs/>
                <w:sz w:val="20"/>
                <w:szCs w:val="20"/>
              </w:rPr>
            </w:pPr>
            <w:r w:rsidRPr="009C403E">
              <w:rPr>
                <w:b/>
                <w:bCs/>
                <w:sz w:val="20"/>
                <w:szCs w:val="20"/>
              </w:rPr>
              <w:t>5 mēneši</w:t>
            </w:r>
          </w:p>
        </w:tc>
      </w:tr>
      <w:tr w:rsidR="00BA2B09" w:rsidRPr="009C403E">
        <w:trPr>
          <w:jc w:val="center"/>
        </w:trPr>
        <w:tc>
          <w:tcPr>
            <w:tcW w:w="4677" w:type="dxa"/>
            <w:vAlign w:val="center"/>
          </w:tcPr>
          <w:p w:rsidR="00BA2B09" w:rsidRPr="009C403E" w:rsidRDefault="00BA2B09" w:rsidP="00932694">
            <w:pPr>
              <w:tabs>
                <w:tab w:val="center" w:pos="4153"/>
                <w:tab w:val="right" w:pos="8306"/>
              </w:tabs>
              <w:spacing w:after="0"/>
              <w:rPr>
                <w:sz w:val="20"/>
                <w:szCs w:val="20"/>
              </w:rPr>
            </w:pPr>
            <w:r w:rsidRPr="009C403E">
              <w:rPr>
                <w:spacing w:val="-6"/>
                <w:sz w:val="20"/>
                <w:szCs w:val="20"/>
              </w:rPr>
              <w:t xml:space="preserve">Informācija par nodokļu maksātājiem (skaits), kuriem VID veiktajās tematiskajās pārbaudēs konstatēti darba tiesisko attiecību reglamentējošo normatīvo aktu pārkāpumi, novietota uz VID </w:t>
            </w:r>
            <w:r w:rsidRPr="009C403E">
              <w:rPr>
                <w:i/>
                <w:iCs/>
                <w:spacing w:val="-6"/>
                <w:sz w:val="20"/>
                <w:szCs w:val="20"/>
              </w:rPr>
              <w:t>FTPS</w:t>
            </w:r>
          </w:p>
        </w:tc>
        <w:tc>
          <w:tcPr>
            <w:tcW w:w="1560"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89</w:t>
            </w:r>
          </w:p>
        </w:tc>
        <w:tc>
          <w:tcPr>
            <w:tcW w:w="1529"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667</w:t>
            </w:r>
          </w:p>
        </w:tc>
      </w:tr>
      <w:tr w:rsidR="00BA2B09" w:rsidRPr="009C403E">
        <w:trPr>
          <w:jc w:val="center"/>
        </w:trPr>
        <w:tc>
          <w:tcPr>
            <w:tcW w:w="4677" w:type="dxa"/>
          </w:tcPr>
          <w:p w:rsidR="00BA2B09" w:rsidRPr="009C403E" w:rsidRDefault="00BA2B09" w:rsidP="007E3A4D">
            <w:pPr>
              <w:tabs>
                <w:tab w:val="center" w:pos="4153"/>
                <w:tab w:val="right" w:pos="8306"/>
              </w:tabs>
              <w:spacing w:after="0"/>
              <w:rPr>
                <w:sz w:val="20"/>
                <w:szCs w:val="20"/>
              </w:rPr>
            </w:pPr>
            <w:r w:rsidRPr="009C403E">
              <w:rPr>
                <w:sz w:val="20"/>
                <w:szCs w:val="20"/>
              </w:rPr>
              <w:t xml:space="preserve">Informācija par nodokļu maksātājiem (skaits), kuriem VID veiktajās tematiskajās pārbaudēs nav konstatējis pārkāpumus saistībā ar nereģistrēto nodarbinātību, novietota uz </w:t>
            </w:r>
            <w:r w:rsidRPr="009C403E">
              <w:rPr>
                <w:spacing w:val="-6"/>
                <w:sz w:val="20"/>
                <w:szCs w:val="20"/>
              </w:rPr>
              <w:t xml:space="preserve">VID </w:t>
            </w:r>
            <w:r w:rsidRPr="009C403E">
              <w:rPr>
                <w:i/>
                <w:iCs/>
                <w:spacing w:val="-6"/>
                <w:sz w:val="20"/>
                <w:szCs w:val="20"/>
              </w:rPr>
              <w:t>FTPS</w:t>
            </w:r>
          </w:p>
        </w:tc>
        <w:tc>
          <w:tcPr>
            <w:tcW w:w="1560"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856</w:t>
            </w:r>
          </w:p>
        </w:tc>
        <w:tc>
          <w:tcPr>
            <w:tcW w:w="1529"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376</w:t>
            </w:r>
          </w:p>
        </w:tc>
      </w:tr>
      <w:tr w:rsidR="00BA2B09" w:rsidRPr="009C403E">
        <w:trPr>
          <w:jc w:val="center"/>
        </w:trPr>
        <w:tc>
          <w:tcPr>
            <w:tcW w:w="4677" w:type="dxa"/>
          </w:tcPr>
          <w:p w:rsidR="00BA2B09" w:rsidRPr="009C403E" w:rsidRDefault="00BA2B09" w:rsidP="009826A6">
            <w:pPr>
              <w:tabs>
                <w:tab w:val="center" w:pos="4153"/>
                <w:tab w:val="right" w:pos="8306"/>
              </w:tabs>
              <w:spacing w:after="0"/>
              <w:rPr>
                <w:sz w:val="20"/>
                <w:szCs w:val="20"/>
              </w:rPr>
            </w:pPr>
            <w:r w:rsidRPr="009C403E">
              <w:rPr>
                <w:sz w:val="20"/>
                <w:szCs w:val="20"/>
              </w:rPr>
              <w:t>Informācija par VDI veiktajās pārbaudēs konstatētajiem gadījumiem, kad darba devējs nav noslēdzis rakstveida darba līgumu ar darba ņēmēju</w:t>
            </w:r>
            <w:r w:rsidRPr="009C403E">
              <w:rPr>
                <w:spacing w:val="-6"/>
                <w:sz w:val="20"/>
                <w:szCs w:val="20"/>
              </w:rPr>
              <w:t xml:space="preserve"> (skaits) novietota uz VID </w:t>
            </w:r>
            <w:r w:rsidRPr="009C403E">
              <w:rPr>
                <w:i/>
                <w:iCs/>
                <w:spacing w:val="-6"/>
                <w:sz w:val="20"/>
                <w:szCs w:val="20"/>
              </w:rPr>
              <w:t xml:space="preserve">FTPS </w:t>
            </w:r>
          </w:p>
        </w:tc>
        <w:tc>
          <w:tcPr>
            <w:tcW w:w="1560"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1372</w:t>
            </w:r>
          </w:p>
        </w:tc>
        <w:tc>
          <w:tcPr>
            <w:tcW w:w="1529" w:type="dxa"/>
            <w:vAlign w:val="center"/>
          </w:tcPr>
          <w:p w:rsidR="00BA2B09" w:rsidRPr="009C403E" w:rsidRDefault="00BA2B09" w:rsidP="007E3A4D">
            <w:pPr>
              <w:tabs>
                <w:tab w:val="center" w:pos="4153"/>
                <w:tab w:val="right" w:pos="8306"/>
              </w:tabs>
              <w:spacing w:after="0"/>
              <w:jc w:val="center"/>
              <w:rPr>
                <w:sz w:val="20"/>
                <w:szCs w:val="20"/>
              </w:rPr>
            </w:pPr>
            <w:r w:rsidRPr="009C403E">
              <w:rPr>
                <w:sz w:val="20"/>
                <w:szCs w:val="20"/>
              </w:rPr>
              <w:t>677</w:t>
            </w:r>
          </w:p>
        </w:tc>
      </w:tr>
    </w:tbl>
    <w:p w:rsidR="00BA2B09" w:rsidRPr="007E3A4D" w:rsidRDefault="00BA2B09" w:rsidP="00A250C2">
      <w:pPr>
        <w:spacing w:after="0"/>
        <w:ind w:firstLine="720"/>
        <w:jc w:val="both"/>
        <w:rPr>
          <w:sz w:val="20"/>
          <w:szCs w:val="20"/>
          <w:lang w:eastAsia="lv-LV"/>
        </w:rPr>
      </w:pPr>
    </w:p>
    <w:p w:rsidR="00BA2B09" w:rsidRDefault="00BA2B09" w:rsidP="00FB0ADE">
      <w:pPr>
        <w:spacing w:after="0"/>
        <w:ind w:firstLine="720"/>
        <w:jc w:val="both"/>
        <w:rPr>
          <w:sz w:val="28"/>
          <w:szCs w:val="28"/>
          <w:lang w:eastAsia="lv-LV"/>
        </w:rPr>
      </w:pPr>
      <w:r>
        <w:rPr>
          <w:sz w:val="28"/>
          <w:szCs w:val="28"/>
          <w:lang w:eastAsia="lv-LV"/>
        </w:rPr>
        <w:t>S</w:t>
      </w:r>
      <w:r w:rsidRPr="00A250C2">
        <w:rPr>
          <w:sz w:val="28"/>
          <w:szCs w:val="28"/>
          <w:lang w:eastAsia="lv-LV"/>
        </w:rPr>
        <w:t>avstarpēji apmainoties ar informāciju p</w:t>
      </w:r>
      <w:r>
        <w:rPr>
          <w:sz w:val="28"/>
          <w:szCs w:val="28"/>
          <w:lang w:eastAsia="lv-LV"/>
        </w:rPr>
        <w:t>ar pārbaužu rezultātiem, uzsvars</w:t>
      </w:r>
      <w:r w:rsidRPr="00A250C2">
        <w:rPr>
          <w:sz w:val="28"/>
          <w:szCs w:val="28"/>
          <w:lang w:eastAsia="lv-LV"/>
        </w:rPr>
        <w:t xml:space="preserve"> </w:t>
      </w:r>
      <w:r>
        <w:rPr>
          <w:sz w:val="28"/>
          <w:szCs w:val="28"/>
          <w:lang w:eastAsia="lv-LV"/>
        </w:rPr>
        <w:t>tiek likts uz</w:t>
      </w:r>
      <w:r w:rsidRPr="00A250C2">
        <w:rPr>
          <w:sz w:val="28"/>
          <w:szCs w:val="28"/>
          <w:lang w:eastAsia="lv-LV"/>
        </w:rPr>
        <w:t xml:space="preserve"> faktiem par konstatētajiem pārkāpumiem, t.i. uz </w:t>
      </w:r>
      <w:r w:rsidRPr="00A250C2">
        <w:rPr>
          <w:rFonts w:eastAsia="SimSun"/>
          <w:color w:val="000000"/>
          <w:sz w:val="28"/>
          <w:szCs w:val="28"/>
          <w:lang w:eastAsia="zh-CN"/>
        </w:rPr>
        <w:t>“</w:t>
      </w:r>
      <w:r w:rsidRPr="00A250C2">
        <w:rPr>
          <w:sz w:val="28"/>
          <w:szCs w:val="28"/>
          <w:lang w:eastAsia="lv-LV"/>
        </w:rPr>
        <w:t xml:space="preserve">slikto” pieredzi. Taču arī pārbaudēs iegūtā </w:t>
      </w:r>
      <w:r w:rsidRPr="00A250C2">
        <w:rPr>
          <w:rFonts w:eastAsia="SimSun"/>
          <w:color w:val="000000"/>
          <w:sz w:val="28"/>
          <w:szCs w:val="28"/>
          <w:lang w:eastAsia="zh-CN"/>
        </w:rPr>
        <w:t>“</w:t>
      </w:r>
      <w:r w:rsidRPr="00A250C2">
        <w:rPr>
          <w:sz w:val="28"/>
          <w:szCs w:val="28"/>
          <w:lang w:eastAsia="lv-LV"/>
        </w:rPr>
        <w:t xml:space="preserve">pozitīvā” informācija par nodokļu maksātājiem, kuri godprātīgi ievēro normatīvo aktu prasības un kuru darbībā pārkāpumi nav konstatēti, ir nozīmīga, jo tā sekmē abu iestāžu kontrolējošo struktūrvienību darba efektivitāti, lieki netērējot resursus pārbaužu veikšanai tiem nodokļu maksātājiem, kuriem kāda no institūcijām jau ir veikusi pārbaudi un pārkāpumus nav konstatējusi. </w:t>
      </w:r>
      <w:r>
        <w:rPr>
          <w:sz w:val="28"/>
          <w:szCs w:val="28"/>
          <w:lang w:eastAsia="lv-LV"/>
        </w:rPr>
        <w:t xml:space="preserve">Šobrīd </w:t>
      </w:r>
      <w:r w:rsidRPr="00A250C2">
        <w:rPr>
          <w:sz w:val="28"/>
          <w:szCs w:val="28"/>
          <w:lang w:eastAsia="lv-LV"/>
        </w:rPr>
        <w:t xml:space="preserve">VID uz VID </w:t>
      </w:r>
      <w:r w:rsidRPr="00A250C2">
        <w:rPr>
          <w:i/>
          <w:iCs/>
          <w:sz w:val="28"/>
          <w:szCs w:val="28"/>
          <w:lang w:eastAsia="lv-LV"/>
        </w:rPr>
        <w:t>FTPS</w:t>
      </w:r>
      <w:r w:rsidRPr="00A250C2">
        <w:rPr>
          <w:sz w:val="28"/>
          <w:szCs w:val="28"/>
          <w:lang w:eastAsia="lv-LV"/>
        </w:rPr>
        <w:t xml:space="preserve"> servera novieto informāciju par tiem nodokļu maksātājiem, kuriem, veicot darba devēju pārbaudes, pārkāpumi saistībā ar nereģistrētu nodarbinātību nav konstatēti. </w:t>
      </w:r>
      <w:r>
        <w:rPr>
          <w:sz w:val="28"/>
          <w:szCs w:val="28"/>
          <w:lang w:eastAsia="lv-LV"/>
        </w:rPr>
        <w:t>Taču</w:t>
      </w:r>
      <w:r w:rsidRPr="00C94F38">
        <w:rPr>
          <w:sz w:val="28"/>
          <w:szCs w:val="28"/>
          <w:lang w:eastAsia="lv-LV"/>
        </w:rPr>
        <w:t xml:space="preserve"> </w:t>
      </w:r>
      <w:r>
        <w:rPr>
          <w:sz w:val="28"/>
          <w:szCs w:val="28"/>
          <w:lang w:eastAsia="lv-LV"/>
        </w:rPr>
        <w:t xml:space="preserve">saskaņošanas procesā ir </w:t>
      </w:r>
      <w:r w:rsidRPr="00A250C2">
        <w:rPr>
          <w:sz w:val="28"/>
          <w:szCs w:val="28"/>
          <w:lang w:eastAsia="lv-LV"/>
        </w:rPr>
        <w:t xml:space="preserve">starpresoru vienošanās grozījumu projekts, kurā paredzēts, ka </w:t>
      </w:r>
      <w:r>
        <w:rPr>
          <w:sz w:val="28"/>
          <w:szCs w:val="28"/>
          <w:lang w:eastAsia="lv-LV"/>
        </w:rPr>
        <w:t xml:space="preserve">arī </w:t>
      </w:r>
      <w:r w:rsidRPr="00A250C2">
        <w:rPr>
          <w:sz w:val="28"/>
          <w:szCs w:val="28"/>
          <w:lang w:eastAsia="lv-LV"/>
        </w:rPr>
        <w:t xml:space="preserve">VDI uz VID </w:t>
      </w:r>
      <w:r w:rsidRPr="00A250C2">
        <w:rPr>
          <w:i/>
          <w:iCs/>
          <w:sz w:val="28"/>
          <w:szCs w:val="28"/>
          <w:lang w:eastAsia="lv-LV"/>
        </w:rPr>
        <w:t>FTPS</w:t>
      </w:r>
      <w:r w:rsidRPr="00A250C2">
        <w:rPr>
          <w:sz w:val="28"/>
          <w:szCs w:val="28"/>
          <w:lang w:eastAsia="lv-LV"/>
        </w:rPr>
        <w:t xml:space="preserve"> servera novieto</w:t>
      </w:r>
      <w:r>
        <w:rPr>
          <w:sz w:val="28"/>
          <w:szCs w:val="28"/>
          <w:lang w:eastAsia="lv-LV"/>
        </w:rPr>
        <w:t>s</w:t>
      </w:r>
      <w:r w:rsidRPr="00A250C2">
        <w:rPr>
          <w:sz w:val="28"/>
          <w:szCs w:val="28"/>
          <w:lang w:eastAsia="lv-LV"/>
        </w:rPr>
        <w:t xml:space="preserve"> </w:t>
      </w:r>
      <w:r w:rsidRPr="00A250C2">
        <w:rPr>
          <w:sz w:val="28"/>
          <w:szCs w:val="28"/>
          <w:lang w:eastAsia="lv-LV"/>
        </w:rPr>
        <w:lastRenderedPageBreak/>
        <w:t>informāciju par nodokļu maksātājiem, kuriem, veicot nelegālās nodarbinātības mazināšanas pārbaudes, nav konstatēti pārkāpumi</w:t>
      </w:r>
      <w:r>
        <w:rPr>
          <w:sz w:val="28"/>
          <w:szCs w:val="28"/>
          <w:lang w:eastAsia="lv-LV"/>
        </w:rPr>
        <w:t>, savukārt</w:t>
      </w:r>
      <w:r w:rsidRPr="00853E99">
        <w:rPr>
          <w:sz w:val="28"/>
          <w:szCs w:val="28"/>
        </w:rPr>
        <w:t xml:space="preserve"> </w:t>
      </w:r>
      <w:r>
        <w:rPr>
          <w:sz w:val="28"/>
          <w:szCs w:val="28"/>
        </w:rPr>
        <w:t>VID informēs par</w:t>
      </w:r>
      <w:r w:rsidRPr="00853E99">
        <w:rPr>
          <w:sz w:val="28"/>
          <w:szCs w:val="28"/>
        </w:rPr>
        <w:t xml:space="preserve"> </w:t>
      </w:r>
      <w:r>
        <w:rPr>
          <w:sz w:val="28"/>
          <w:szCs w:val="28"/>
        </w:rPr>
        <w:t>darba devējiem, kuri</w:t>
      </w:r>
      <w:r w:rsidRPr="00853E99">
        <w:rPr>
          <w:sz w:val="28"/>
          <w:szCs w:val="28"/>
        </w:rPr>
        <w:t xml:space="preserve"> preventīv</w:t>
      </w:r>
      <w:r>
        <w:rPr>
          <w:sz w:val="28"/>
          <w:szCs w:val="28"/>
        </w:rPr>
        <w:t>ā</w:t>
      </w:r>
      <w:r w:rsidRPr="00853E99">
        <w:rPr>
          <w:sz w:val="28"/>
          <w:szCs w:val="28"/>
        </w:rPr>
        <w:t xml:space="preserve"> </w:t>
      </w:r>
      <w:r>
        <w:rPr>
          <w:sz w:val="28"/>
          <w:szCs w:val="28"/>
        </w:rPr>
        <w:t>darba rezultātā</w:t>
      </w:r>
      <w:r w:rsidRPr="00853E99">
        <w:rPr>
          <w:sz w:val="28"/>
          <w:szCs w:val="28"/>
        </w:rPr>
        <w:t xml:space="preserve"> nepalielina atalgojumu darba ņēmējiem</w:t>
      </w:r>
      <w:r>
        <w:rPr>
          <w:sz w:val="28"/>
          <w:szCs w:val="28"/>
        </w:rPr>
        <w:t>,</w:t>
      </w:r>
      <w:r w:rsidRPr="00853E99">
        <w:rPr>
          <w:sz w:val="28"/>
          <w:szCs w:val="28"/>
        </w:rPr>
        <w:t xml:space="preserve"> un kuru sniegtā informācija nav ticama</w:t>
      </w:r>
      <w:r w:rsidRPr="00853E99">
        <w:rPr>
          <w:sz w:val="28"/>
          <w:szCs w:val="28"/>
          <w:lang w:eastAsia="lv-LV"/>
        </w:rPr>
        <w:t>.</w:t>
      </w:r>
      <w:r w:rsidRPr="00A250C2">
        <w:rPr>
          <w:sz w:val="28"/>
          <w:szCs w:val="28"/>
          <w:lang w:eastAsia="lv-LV"/>
        </w:rPr>
        <w:t xml:space="preserve"> </w:t>
      </w:r>
    </w:p>
    <w:p w:rsidR="00BA2B09" w:rsidRDefault="00BA2B09" w:rsidP="00FB0ADE">
      <w:pPr>
        <w:spacing w:after="0"/>
        <w:ind w:firstLine="720"/>
        <w:jc w:val="both"/>
        <w:rPr>
          <w:sz w:val="28"/>
          <w:szCs w:val="28"/>
          <w:lang w:eastAsia="lv-LV"/>
        </w:rPr>
      </w:pPr>
      <w:r>
        <w:rPr>
          <w:sz w:val="28"/>
          <w:szCs w:val="28"/>
          <w:lang w:eastAsia="lv-LV"/>
        </w:rPr>
        <w:t>Papildus jau iepriekš minētajai informācijas apmaiņai VID pēc VDI pieprasījumiem regulāri gatavo dažādu VDI nepieciešamo informāciju tās funkciju nodrošināšanai, piemēram VDI kampaņu veikšanai.</w:t>
      </w:r>
    </w:p>
    <w:p w:rsidR="00BA2B09" w:rsidRPr="00DC5762" w:rsidRDefault="00BA2B09" w:rsidP="00326561">
      <w:pPr>
        <w:spacing w:after="0"/>
        <w:jc w:val="both"/>
        <w:rPr>
          <w:sz w:val="28"/>
          <w:szCs w:val="28"/>
          <w:lang w:eastAsia="lv-LV"/>
        </w:rPr>
      </w:pPr>
    </w:p>
    <w:p w:rsidR="00BA2B09" w:rsidRDefault="00BA2B09" w:rsidP="00D92F6C">
      <w:pPr>
        <w:pStyle w:val="ListParagraph"/>
        <w:numPr>
          <w:ilvl w:val="1"/>
          <w:numId w:val="25"/>
        </w:numPr>
        <w:tabs>
          <w:tab w:val="left" w:pos="-8222"/>
        </w:tabs>
        <w:ind w:left="0" w:firstLine="0"/>
        <w:jc w:val="center"/>
        <w:rPr>
          <w:b/>
          <w:bCs/>
        </w:rPr>
      </w:pPr>
      <w:r w:rsidRPr="000560F1">
        <w:rPr>
          <w:b/>
          <w:bCs/>
        </w:rPr>
        <w:t>VID sadarbība ar nozaru asociācijām</w:t>
      </w:r>
    </w:p>
    <w:p w:rsidR="00BA2B09" w:rsidRPr="00950CB0" w:rsidRDefault="00BA2B09" w:rsidP="00950CB0">
      <w:pPr>
        <w:tabs>
          <w:tab w:val="left" w:pos="-8222"/>
        </w:tabs>
        <w:spacing w:after="0"/>
        <w:jc w:val="both"/>
        <w:rPr>
          <w:sz w:val="20"/>
          <w:szCs w:val="20"/>
        </w:rPr>
      </w:pPr>
    </w:p>
    <w:p w:rsidR="00BA2B09" w:rsidRDefault="00BA2B09" w:rsidP="00950CB0">
      <w:pPr>
        <w:tabs>
          <w:tab w:val="left" w:pos="-8222"/>
        </w:tabs>
        <w:spacing w:after="0"/>
        <w:jc w:val="both"/>
        <w:rPr>
          <w:sz w:val="28"/>
          <w:szCs w:val="28"/>
        </w:rPr>
      </w:pPr>
      <w:r>
        <w:tab/>
      </w:r>
      <w:r w:rsidRPr="00CF2D82">
        <w:rPr>
          <w:sz w:val="28"/>
          <w:szCs w:val="28"/>
        </w:rPr>
        <w:t xml:space="preserve">2010.gada vasarā VID uzsāka sadarbības formas veidošanu ar komersantiem – vienošanās slēgšanu ar nozaru asociācijām, lai kopīgi cīnītos ar izvairīšanos no nodokļu nomaksas un aplokšņu algām, veicinātu godīgas konkurences apstākļus, kā arī ieinteresētu pašus komersantus izrādīt iniciatīvu un izpratni sakārtot savas nozares nodokļu saistību izpildes jautājumus. Šobrīd </w:t>
      </w:r>
      <w:r>
        <w:rPr>
          <w:sz w:val="28"/>
          <w:szCs w:val="28"/>
        </w:rPr>
        <w:t>jau</w:t>
      </w:r>
      <w:r w:rsidRPr="00CF2D82">
        <w:rPr>
          <w:sz w:val="28"/>
          <w:szCs w:val="28"/>
        </w:rPr>
        <w:t xml:space="preserve"> ir noslēgtas</w:t>
      </w:r>
      <w:r>
        <w:rPr>
          <w:sz w:val="28"/>
          <w:szCs w:val="28"/>
        </w:rPr>
        <w:t xml:space="preserve"> </w:t>
      </w:r>
      <w:r w:rsidRPr="00CF2D82">
        <w:rPr>
          <w:sz w:val="28"/>
          <w:szCs w:val="28"/>
        </w:rPr>
        <w:t>vienošanās ar</w:t>
      </w:r>
      <w:r>
        <w:rPr>
          <w:sz w:val="28"/>
          <w:szCs w:val="28"/>
        </w:rPr>
        <w:t xml:space="preserve"> </w:t>
      </w:r>
      <w:r w:rsidRPr="00CF2D82">
        <w:rPr>
          <w:sz w:val="28"/>
          <w:szCs w:val="28"/>
        </w:rPr>
        <w:t>12</w:t>
      </w:r>
      <w:r>
        <w:rPr>
          <w:sz w:val="28"/>
          <w:szCs w:val="28"/>
        </w:rPr>
        <w:t> </w:t>
      </w:r>
      <w:r w:rsidRPr="00CF2D82">
        <w:rPr>
          <w:sz w:val="28"/>
          <w:szCs w:val="28"/>
        </w:rPr>
        <w:t>nozaru asociācijām.</w:t>
      </w:r>
    </w:p>
    <w:p w:rsidR="00BA2B09" w:rsidRPr="006D5070" w:rsidRDefault="00BA2B09" w:rsidP="009B0871">
      <w:pPr>
        <w:autoSpaceDE w:val="0"/>
        <w:autoSpaceDN w:val="0"/>
        <w:adjustRightInd w:val="0"/>
        <w:spacing w:after="0"/>
        <w:ind w:firstLine="720"/>
        <w:jc w:val="both"/>
        <w:rPr>
          <w:sz w:val="28"/>
          <w:szCs w:val="28"/>
        </w:rPr>
      </w:pPr>
      <w:r>
        <w:rPr>
          <w:sz w:val="28"/>
          <w:szCs w:val="28"/>
        </w:rPr>
        <w:t>V</w:t>
      </w:r>
      <w:r w:rsidRPr="006D5070">
        <w:rPr>
          <w:sz w:val="28"/>
          <w:szCs w:val="28"/>
        </w:rPr>
        <w:t>ienošan</w:t>
      </w:r>
      <w:r>
        <w:rPr>
          <w:sz w:val="28"/>
          <w:szCs w:val="28"/>
        </w:rPr>
        <w:t>ā</w:t>
      </w:r>
      <w:r w:rsidRPr="006D5070">
        <w:rPr>
          <w:sz w:val="28"/>
          <w:szCs w:val="28"/>
        </w:rPr>
        <w:t>s</w:t>
      </w:r>
      <w:r>
        <w:rPr>
          <w:sz w:val="28"/>
          <w:szCs w:val="28"/>
        </w:rPr>
        <w:t xml:space="preserve"> par s</w:t>
      </w:r>
      <w:r w:rsidRPr="006D5070">
        <w:rPr>
          <w:sz w:val="28"/>
          <w:szCs w:val="28"/>
        </w:rPr>
        <w:t>adarbīb</w:t>
      </w:r>
      <w:r>
        <w:rPr>
          <w:sz w:val="28"/>
          <w:szCs w:val="28"/>
        </w:rPr>
        <w:t>u</w:t>
      </w:r>
      <w:r w:rsidRPr="001D350B">
        <w:rPr>
          <w:sz w:val="28"/>
          <w:szCs w:val="28"/>
        </w:rPr>
        <w:t xml:space="preserve"> </w:t>
      </w:r>
      <w:r>
        <w:rPr>
          <w:sz w:val="28"/>
          <w:szCs w:val="28"/>
        </w:rPr>
        <w:t xml:space="preserve">paredz to, ka paši </w:t>
      </w:r>
      <w:r w:rsidRPr="006D5070">
        <w:rPr>
          <w:sz w:val="28"/>
          <w:szCs w:val="28"/>
        </w:rPr>
        <w:t>nozaru asociāciju biedri apņ</w:t>
      </w:r>
      <w:r>
        <w:rPr>
          <w:sz w:val="28"/>
          <w:szCs w:val="28"/>
        </w:rPr>
        <w:t>e</w:t>
      </w:r>
      <w:r w:rsidRPr="006D5070">
        <w:rPr>
          <w:sz w:val="28"/>
          <w:szCs w:val="28"/>
        </w:rPr>
        <w:t>m</w:t>
      </w:r>
      <w:r>
        <w:rPr>
          <w:sz w:val="28"/>
          <w:szCs w:val="28"/>
        </w:rPr>
        <w:t xml:space="preserve">as </w:t>
      </w:r>
      <w:r w:rsidRPr="006D5070">
        <w:rPr>
          <w:sz w:val="28"/>
          <w:szCs w:val="28"/>
        </w:rPr>
        <w:t>noteiktā laik</w:t>
      </w:r>
      <w:r>
        <w:rPr>
          <w:sz w:val="28"/>
          <w:szCs w:val="28"/>
        </w:rPr>
        <w:t>ā</w:t>
      </w:r>
      <w:r w:rsidRPr="006D5070">
        <w:rPr>
          <w:sz w:val="28"/>
          <w:szCs w:val="28"/>
        </w:rPr>
        <w:t xml:space="preserve"> sasnieg</w:t>
      </w:r>
      <w:r>
        <w:rPr>
          <w:sz w:val="28"/>
          <w:szCs w:val="28"/>
        </w:rPr>
        <w:t>t</w:t>
      </w:r>
      <w:r w:rsidRPr="001D350B">
        <w:rPr>
          <w:sz w:val="28"/>
          <w:szCs w:val="28"/>
        </w:rPr>
        <w:t xml:space="preserve"> </w:t>
      </w:r>
      <w:r>
        <w:rPr>
          <w:sz w:val="28"/>
          <w:szCs w:val="28"/>
        </w:rPr>
        <w:t xml:space="preserve">vienošanās noteiktos rādītājus – </w:t>
      </w:r>
      <w:r w:rsidRPr="006D5070">
        <w:rPr>
          <w:sz w:val="28"/>
          <w:szCs w:val="28"/>
        </w:rPr>
        <w:t>algu lieluma ziņā un samaksāt</w:t>
      </w:r>
      <w:r>
        <w:rPr>
          <w:sz w:val="28"/>
          <w:szCs w:val="28"/>
        </w:rPr>
        <w:t>os</w:t>
      </w:r>
      <w:r w:rsidRPr="006D5070">
        <w:rPr>
          <w:sz w:val="28"/>
          <w:szCs w:val="28"/>
        </w:rPr>
        <w:t xml:space="preserve"> nodok</w:t>
      </w:r>
      <w:r>
        <w:rPr>
          <w:sz w:val="28"/>
          <w:szCs w:val="28"/>
        </w:rPr>
        <w:t>ļus</w:t>
      </w:r>
      <w:r w:rsidRPr="006D5070">
        <w:rPr>
          <w:sz w:val="28"/>
          <w:szCs w:val="28"/>
        </w:rPr>
        <w:t xml:space="preserve"> uz vienu apgrozījuma latu.</w:t>
      </w:r>
      <w:r>
        <w:rPr>
          <w:sz w:val="28"/>
          <w:szCs w:val="28"/>
        </w:rPr>
        <w:t xml:space="preserve"> Tādējādi paši nozaru asociāciju biedri savstarpēji veicina deklarētās darba samaksas un nodokļu palielināšanos.</w:t>
      </w:r>
    </w:p>
    <w:p w:rsidR="00BA2B09" w:rsidRDefault="00BA2B09" w:rsidP="00CF2D82">
      <w:pPr>
        <w:tabs>
          <w:tab w:val="left" w:pos="-8222"/>
        </w:tabs>
        <w:spacing w:after="0"/>
        <w:jc w:val="both"/>
        <w:rPr>
          <w:sz w:val="28"/>
          <w:szCs w:val="28"/>
        </w:rPr>
      </w:pPr>
      <w:r w:rsidRPr="00CF2D82">
        <w:rPr>
          <w:sz w:val="28"/>
          <w:szCs w:val="28"/>
        </w:rPr>
        <w:tab/>
        <w:t xml:space="preserve">Sadarbības ietvaros nozaru asociācijas sniedz VID informāciju par konkrētu nodokļu maksātāju pārkāpumiem nodokļu jomā, kura tiek izmantota nodokļu administrēšanas procesā, uzskatot, ka asociācijas sniegtajai informācijai ir augsta ticamības pakāpe. Asociācijas informē VID par konkrētās nozares tehnoloģiskā procesa īpatnībām un negodprātīgo komersantu iespējām „slēpt” ar nodokli apliekamo objektu kādā no tā posmiem, sniedzot konkrētās nozares atsevišķu komersantu veikto darījumu ekonomisko izvērtējumu no nodokļa maksāšanas izvairīšanās iespēju aspekta, kura tiek izmantota nodokļu maksātāja analīzes procesā, kā arī sniedz ziņas par informācijas avotiem, ko VID var izmantot, novērtējot konkrētas nozares komersantu deklarēto ar nodokli apliekamo objektu. Turklāt atsevišķas asociācijas nodokļu kontroles darbiniekiem </w:t>
      </w:r>
      <w:r>
        <w:rPr>
          <w:sz w:val="28"/>
          <w:szCs w:val="28"/>
        </w:rPr>
        <w:t>organizēja</w:t>
      </w:r>
      <w:r w:rsidRPr="00CF2D82">
        <w:rPr>
          <w:sz w:val="28"/>
          <w:szCs w:val="28"/>
        </w:rPr>
        <w:t xml:space="preserve"> praktiskas mācības, lai izprastu konkrētas nozares specifiku un vērstu uzmanību uz augstākiem riskiem, kurus būtu jāpārbauda nodokļu kontroles procesā.</w:t>
      </w:r>
      <w:r>
        <w:rPr>
          <w:sz w:val="28"/>
          <w:szCs w:val="28"/>
        </w:rPr>
        <w:t xml:space="preserve"> </w:t>
      </w:r>
    </w:p>
    <w:p w:rsidR="00BA2B09" w:rsidRDefault="00BA2B09" w:rsidP="00CF2D82">
      <w:pPr>
        <w:tabs>
          <w:tab w:val="left" w:pos="-8222"/>
        </w:tabs>
        <w:spacing w:after="0"/>
        <w:jc w:val="both"/>
        <w:rPr>
          <w:sz w:val="28"/>
          <w:szCs w:val="28"/>
        </w:rPr>
      </w:pPr>
      <w:r>
        <w:rPr>
          <w:sz w:val="28"/>
          <w:szCs w:val="28"/>
        </w:rPr>
        <w:tab/>
        <w:t xml:space="preserve">Kā piemēru veiksmīgai sadarbībai ar VID, var minēt </w:t>
      </w:r>
      <w:r w:rsidRPr="006B15F8">
        <w:rPr>
          <w:sz w:val="28"/>
          <w:szCs w:val="28"/>
        </w:rPr>
        <w:t>Latv</w:t>
      </w:r>
      <w:r>
        <w:rPr>
          <w:sz w:val="28"/>
          <w:szCs w:val="28"/>
        </w:rPr>
        <w:t xml:space="preserve">ijas Drošības biznesa asociāciju, kas regulāri sniedz informāciju par pārkāpumiem drošības biznesa uzņēmumos, kura VID tiek izmantota, veicot rezultatīvas pārbaudes, kā arī izzināto problēmu risināšanai sniedz priekšlikumus grozījumiem normatīvajos aktos. Pēc Latvijas drošības biznesa asociācijas sniegtās informācijas 2011.gadā 11 nodokļu auditos papildus aprēķināti Ls 775,4 tūkst., savukārt 2012.gada 5 mēnešos divos nodokļu </w:t>
      </w:r>
      <w:r w:rsidRPr="00AB5563">
        <w:rPr>
          <w:sz w:val="28"/>
          <w:szCs w:val="28"/>
        </w:rPr>
        <w:t>auditos papildus aprēķināt</w:t>
      </w:r>
      <w:r>
        <w:rPr>
          <w:sz w:val="28"/>
          <w:szCs w:val="28"/>
        </w:rPr>
        <w:t>i</w:t>
      </w:r>
      <w:r w:rsidRPr="00AB5563">
        <w:rPr>
          <w:sz w:val="28"/>
          <w:szCs w:val="28"/>
        </w:rPr>
        <w:t xml:space="preserve"> Ls</w:t>
      </w:r>
      <w:r>
        <w:rPr>
          <w:sz w:val="28"/>
          <w:szCs w:val="28"/>
        </w:rPr>
        <w:t> 312,1 </w:t>
      </w:r>
      <w:r w:rsidRPr="00AB5563">
        <w:rPr>
          <w:sz w:val="28"/>
          <w:szCs w:val="28"/>
        </w:rPr>
        <w:t>tūkst.</w:t>
      </w:r>
      <w:r>
        <w:rPr>
          <w:sz w:val="28"/>
          <w:szCs w:val="28"/>
        </w:rPr>
        <w:t xml:space="preserve"> Bez tam 2011.gadā 24 tematiskajās </w:t>
      </w:r>
      <w:r>
        <w:rPr>
          <w:sz w:val="28"/>
          <w:szCs w:val="28"/>
        </w:rPr>
        <w:lastRenderedPageBreak/>
        <w:t>pārbaudēs</w:t>
      </w:r>
      <w:r w:rsidRPr="00437E79">
        <w:rPr>
          <w:sz w:val="28"/>
          <w:szCs w:val="28"/>
        </w:rPr>
        <w:t xml:space="preserve"> </w:t>
      </w:r>
      <w:r w:rsidRPr="0042152A">
        <w:rPr>
          <w:sz w:val="28"/>
          <w:szCs w:val="28"/>
        </w:rPr>
        <w:t>par konstatētajiem</w:t>
      </w:r>
      <w:r>
        <w:rPr>
          <w:sz w:val="28"/>
          <w:szCs w:val="28"/>
        </w:rPr>
        <w:t xml:space="preserve"> </w:t>
      </w:r>
      <w:r w:rsidRPr="0042152A">
        <w:rPr>
          <w:sz w:val="28"/>
          <w:szCs w:val="28"/>
        </w:rPr>
        <w:t>pārkāpumiem saskaņā ar Latvijas Administratīvo pārkāpumu kodeksu piemērots naudas sods Ls </w:t>
      </w:r>
      <w:r>
        <w:rPr>
          <w:sz w:val="28"/>
          <w:szCs w:val="28"/>
        </w:rPr>
        <w:t>35</w:t>
      </w:r>
      <w:r w:rsidRPr="0042152A">
        <w:rPr>
          <w:sz w:val="28"/>
          <w:szCs w:val="28"/>
        </w:rPr>
        <w:t>,</w:t>
      </w:r>
      <w:r>
        <w:rPr>
          <w:sz w:val="28"/>
          <w:szCs w:val="28"/>
        </w:rPr>
        <w:t>7</w:t>
      </w:r>
      <w:r w:rsidRPr="0042152A">
        <w:rPr>
          <w:sz w:val="28"/>
          <w:szCs w:val="28"/>
        </w:rPr>
        <w:t> tūkst</w:t>
      </w:r>
      <w:r>
        <w:rPr>
          <w:sz w:val="28"/>
          <w:szCs w:val="28"/>
        </w:rPr>
        <w:t xml:space="preserve">. apmērā, savukārt 2012.gada 5 mēnešos 3 tematiskajās pārbaudēs </w:t>
      </w:r>
      <w:r w:rsidRPr="00AB5563">
        <w:rPr>
          <w:sz w:val="28"/>
          <w:szCs w:val="28"/>
        </w:rPr>
        <w:t>par konstatētajiem pārkāpumiem piemērots naudas sods Ls </w:t>
      </w:r>
      <w:r>
        <w:rPr>
          <w:sz w:val="28"/>
          <w:szCs w:val="28"/>
        </w:rPr>
        <w:t>1,1 tūkst. apmērā.</w:t>
      </w:r>
    </w:p>
    <w:p w:rsidR="00BA2B09" w:rsidRDefault="00BA2B09" w:rsidP="00CF2D82">
      <w:pPr>
        <w:tabs>
          <w:tab w:val="left" w:pos="-8222"/>
        </w:tabs>
        <w:spacing w:after="0"/>
        <w:jc w:val="both"/>
        <w:rPr>
          <w:sz w:val="28"/>
          <w:szCs w:val="28"/>
        </w:rPr>
      </w:pPr>
      <w:r>
        <w:rPr>
          <w:sz w:val="28"/>
          <w:szCs w:val="28"/>
        </w:rPr>
        <w:tab/>
      </w:r>
    </w:p>
    <w:p w:rsidR="00BA2B09" w:rsidRDefault="00BA2B09" w:rsidP="00D92F6C">
      <w:pPr>
        <w:pStyle w:val="ListParagraph"/>
        <w:numPr>
          <w:ilvl w:val="0"/>
          <w:numId w:val="25"/>
        </w:numPr>
        <w:tabs>
          <w:tab w:val="left" w:pos="-8222"/>
        </w:tabs>
        <w:ind w:left="426" w:hanging="426"/>
        <w:jc w:val="center"/>
        <w:rPr>
          <w:b/>
          <w:bCs/>
        </w:rPr>
      </w:pPr>
      <w:bookmarkStart w:id="463" w:name="_MON_1390048041"/>
      <w:bookmarkStart w:id="464" w:name="_MON_1392804274"/>
      <w:bookmarkStart w:id="465" w:name="_MON_1390047884"/>
      <w:bookmarkStart w:id="466" w:name="_MON_1395555019"/>
      <w:bookmarkStart w:id="467" w:name="_MON_1398508749"/>
      <w:bookmarkEnd w:id="463"/>
      <w:bookmarkEnd w:id="464"/>
      <w:bookmarkEnd w:id="465"/>
      <w:bookmarkEnd w:id="466"/>
      <w:bookmarkEnd w:id="467"/>
      <w:r w:rsidRPr="00DC5762">
        <w:rPr>
          <w:b/>
          <w:bCs/>
        </w:rPr>
        <w:t>Izmaiņas normatīvajos aktos</w:t>
      </w:r>
    </w:p>
    <w:p w:rsidR="00BA2B09" w:rsidRPr="00DC5762" w:rsidRDefault="00BA2B09" w:rsidP="00DC5762">
      <w:pPr>
        <w:tabs>
          <w:tab w:val="left" w:pos="-8222"/>
        </w:tabs>
        <w:spacing w:after="0"/>
        <w:jc w:val="both"/>
        <w:rPr>
          <w:sz w:val="20"/>
          <w:szCs w:val="20"/>
        </w:rPr>
      </w:pPr>
    </w:p>
    <w:p w:rsidR="00BA2B09" w:rsidRDefault="00BA2B09" w:rsidP="00DC5762">
      <w:pPr>
        <w:tabs>
          <w:tab w:val="left" w:pos="-8222"/>
        </w:tabs>
        <w:spacing w:after="0"/>
        <w:jc w:val="both"/>
        <w:rPr>
          <w:sz w:val="28"/>
          <w:szCs w:val="28"/>
        </w:rPr>
      </w:pPr>
      <w:r>
        <w:rPr>
          <w:sz w:val="26"/>
          <w:szCs w:val="26"/>
        </w:rPr>
        <w:tab/>
      </w:r>
      <w:r w:rsidRPr="00E3408E">
        <w:rPr>
          <w:sz w:val="28"/>
          <w:szCs w:val="28"/>
        </w:rPr>
        <w:t>Lai efektīvāk veiktu cīņu ar ēnu ekonomiku</w:t>
      </w:r>
      <w:r>
        <w:rPr>
          <w:sz w:val="28"/>
          <w:szCs w:val="28"/>
        </w:rPr>
        <w:t xml:space="preserve">, </w:t>
      </w:r>
      <w:r w:rsidRPr="00E3408E">
        <w:rPr>
          <w:sz w:val="28"/>
          <w:szCs w:val="28"/>
        </w:rPr>
        <w:t>2011.gadā</w:t>
      </w:r>
      <w:r>
        <w:rPr>
          <w:sz w:val="28"/>
          <w:szCs w:val="28"/>
        </w:rPr>
        <w:t>, sadarbojoties Labklājības ministrijai un Finanšu ministrijai,</w:t>
      </w:r>
      <w:r w:rsidRPr="00E3408E">
        <w:rPr>
          <w:sz w:val="28"/>
          <w:szCs w:val="28"/>
        </w:rPr>
        <w:t xml:space="preserve"> </w:t>
      </w:r>
      <w:r>
        <w:rPr>
          <w:sz w:val="28"/>
          <w:szCs w:val="28"/>
        </w:rPr>
        <w:t>tika sagatavoti</w:t>
      </w:r>
      <w:r w:rsidRPr="00E3408E">
        <w:rPr>
          <w:sz w:val="28"/>
          <w:szCs w:val="28"/>
        </w:rPr>
        <w:t xml:space="preserve"> priekšlikum</w:t>
      </w:r>
      <w:r>
        <w:rPr>
          <w:sz w:val="28"/>
          <w:szCs w:val="28"/>
        </w:rPr>
        <w:t>i grozījumiem normatīvajos aktos</w:t>
      </w:r>
      <w:r w:rsidRPr="00E3408E">
        <w:rPr>
          <w:sz w:val="28"/>
          <w:szCs w:val="28"/>
        </w:rPr>
        <w:t>, kas tika pieņemt</w:t>
      </w:r>
      <w:r>
        <w:rPr>
          <w:sz w:val="28"/>
          <w:szCs w:val="28"/>
        </w:rPr>
        <w:t>i Saeimā un</w:t>
      </w:r>
      <w:r w:rsidRPr="00E3408E">
        <w:rPr>
          <w:sz w:val="28"/>
          <w:szCs w:val="28"/>
        </w:rPr>
        <w:t xml:space="preserve"> stājās spēkā no 2012.gada 1.janvāra:</w:t>
      </w:r>
    </w:p>
    <w:p w:rsidR="00BA2B09" w:rsidRDefault="00BA2B09" w:rsidP="00E3408E">
      <w:pPr>
        <w:tabs>
          <w:tab w:val="left" w:pos="-8222"/>
        </w:tabs>
        <w:spacing w:after="0"/>
        <w:jc w:val="both"/>
        <w:rPr>
          <w:sz w:val="28"/>
          <w:szCs w:val="28"/>
        </w:rPr>
      </w:pPr>
      <w:r>
        <w:rPr>
          <w:sz w:val="28"/>
          <w:szCs w:val="28"/>
        </w:rPr>
        <w:tab/>
        <w:t>• L</w:t>
      </w:r>
      <w:r w:rsidRPr="00E3408E">
        <w:rPr>
          <w:sz w:val="28"/>
          <w:szCs w:val="28"/>
        </w:rPr>
        <w:t>ikum</w:t>
      </w:r>
      <w:r>
        <w:rPr>
          <w:sz w:val="28"/>
          <w:szCs w:val="28"/>
        </w:rPr>
        <w:t>ā</w:t>
      </w:r>
      <w:r w:rsidRPr="00E3408E">
        <w:rPr>
          <w:sz w:val="28"/>
          <w:szCs w:val="28"/>
        </w:rPr>
        <w:t xml:space="preserve"> „Par valsts sociālo apdrošināšanu”:</w:t>
      </w:r>
    </w:p>
    <w:p w:rsidR="00BA2B09" w:rsidRDefault="00BA2B09" w:rsidP="00E3408E">
      <w:pPr>
        <w:tabs>
          <w:tab w:val="left" w:pos="-8222"/>
        </w:tabs>
        <w:spacing w:after="0"/>
        <w:jc w:val="both"/>
        <w:rPr>
          <w:sz w:val="28"/>
          <w:szCs w:val="28"/>
        </w:rPr>
      </w:pPr>
      <w:r>
        <w:rPr>
          <w:sz w:val="28"/>
          <w:szCs w:val="28"/>
        </w:rPr>
        <w:tab/>
        <w:t xml:space="preserve">- </w:t>
      </w:r>
      <w:r w:rsidRPr="00E3408E">
        <w:rPr>
          <w:sz w:val="28"/>
          <w:szCs w:val="28"/>
        </w:rPr>
        <w:t xml:space="preserve">veikti </w:t>
      </w:r>
      <w:r>
        <w:rPr>
          <w:sz w:val="28"/>
          <w:szCs w:val="28"/>
        </w:rPr>
        <w:t xml:space="preserve">likuma </w:t>
      </w:r>
      <w:r w:rsidRPr="00E3408E">
        <w:rPr>
          <w:sz w:val="28"/>
          <w:szCs w:val="28"/>
        </w:rPr>
        <w:t>precizējumi</w:t>
      </w:r>
      <w:r>
        <w:rPr>
          <w:sz w:val="28"/>
          <w:szCs w:val="28"/>
        </w:rPr>
        <w:t xml:space="preserve"> </w:t>
      </w:r>
      <w:r w:rsidRPr="009F43B8">
        <w:rPr>
          <w:i/>
          <w:iCs/>
          <w:sz w:val="28"/>
          <w:szCs w:val="28"/>
        </w:rPr>
        <w:t>(16.</w:t>
      </w:r>
      <w:r w:rsidRPr="009F43B8">
        <w:rPr>
          <w:i/>
          <w:iCs/>
          <w:sz w:val="28"/>
          <w:szCs w:val="28"/>
          <w:vertAlign w:val="superscript"/>
        </w:rPr>
        <w:t>1</w:t>
      </w:r>
      <w:r w:rsidRPr="009F43B8">
        <w:rPr>
          <w:i/>
          <w:iCs/>
          <w:sz w:val="28"/>
          <w:szCs w:val="28"/>
        </w:rPr>
        <w:t xml:space="preserve"> panta 1.</w:t>
      </w:r>
      <w:r w:rsidRPr="009F43B8">
        <w:rPr>
          <w:i/>
          <w:iCs/>
          <w:sz w:val="28"/>
          <w:szCs w:val="28"/>
          <w:vertAlign w:val="superscript"/>
        </w:rPr>
        <w:t>1</w:t>
      </w:r>
      <w:r w:rsidRPr="009F43B8">
        <w:rPr>
          <w:i/>
          <w:iCs/>
          <w:sz w:val="28"/>
          <w:szCs w:val="28"/>
        </w:rPr>
        <w:t xml:space="preserve"> daļā)</w:t>
      </w:r>
      <w:r w:rsidRPr="00E3408E">
        <w:rPr>
          <w:sz w:val="28"/>
          <w:szCs w:val="28"/>
        </w:rPr>
        <w:t xml:space="preserve">, kas nosaka, ka </w:t>
      </w:r>
      <w:r>
        <w:rPr>
          <w:sz w:val="28"/>
          <w:szCs w:val="28"/>
        </w:rPr>
        <w:t>VID</w:t>
      </w:r>
      <w:r w:rsidRPr="00E3408E">
        <w:rPr>
          <w:sz w:val="28"/>
          <w:szCs w:val="28"/>
        </w:rPr>
        <w:t xml:space="preserve"> ir tiesības piedzīt no darba devēja obligātās iemaksas no summas, kas atbilst VID rīcībā esošajai informācijai par personai aprēķināmo atlīdzību</w:t>
      </w:r>
      <w:r>
        <w:rPr>
          <w:sz w:val="28"/>
          <w:szCs w:val="28"/>
        </w:rPr>
        <w:t>, un</w:t>
      </w:r>
      <w:r w:rsidRPr="00E3408E">
        <w:rPr>
          <w:sz w:val="28"/>
          <w:szCs w:val="28"/>
        </w:rPr>
        <w:t xml:space="preserve"> ka </w:t>
      </w:r>
      <w:r>
        <w:rPr>
          <w:sz w:val="28"/>
          <w:szCs w:val="28"/>
        </w:rPr>
        <w:t>VID</w:t>
      </w:r>
      <w:r w:rsidRPr="00E3408E">
        <w:rPr>
          <w:sz w:val="28"/>
          <w:szCs w:val="28"/>
        </w:rPr>
        <w:t xml:space="preserve"> ir tiesības piedzīt soda naudu trīskāršā obligāto iemaksu apmērā, ja darba ienākumu izmaksas fakts nav konstatēts;</w:t>
      </w:r>
    </w:p>
    <w:p w:rsidR="00BA2B09" w:rsidRDefault="00BA2B09" w:rsidP="00E3408E">
      <w:pPr>
        <w:tabs>
          <w:tab w:val="left" w:pos="-8222"/>
        </w:tabs>
        <w:spacing w:after="0"/>
        <w:jc w:val="both"/>
        <w:rPr>
          <w:sz w:val="28"/>
          <w:szCs w:val="28"/>
        </w:rPr>
      </w:pPr>
      <w:r>
        <w:rPr>
          <w:sz w:val="28"/>
          <w:szCs w:val="28"/>
        </w:rPr>
        <w:tab/>
        <w:t xml:space="preserve">- </w:t>
      </w:r>
      <w:r w:rsidRPr="00E3408E">
        <w:rPr>
          <w:sz w:val="28"/>
          <w:szCs w:val="28"/>
        </w:rPr>
        <w:t xml:space="preserve">iekļauta jauna </w:t>
      </w:r>
      <w:r>
        <w:rPr>
          <w:sz w:val="28"/>
          <w:szCs w:val="28"/>
        </w:rPr>
        <w:t xml:space="preserve">likuma </w:t>
      </w:r>
      <w:r w:rsidRPr="00E3408E">
        <w:rPr>
          <w:sz w:val="28"/>
          <w:szCs w:val="28"/>
        </w:rPr>
        <w:t xml:space="preserve">norma </w:t>
      </w:r>
      <w:r w:rsidRPr="009F43B8">
        <w:rPr>
          <w:i/>
          <w:iCs/>
          <w:sz w:val="28"/>
          <w:szCs w:val="28"/>
        </w:rPr>
        <w:t>(16.</w:t>
      </w:r>
      <w:r w:rsidRPr="009F43B8">
        <w:rPr>
          <w:i/>
          <w:iCs/>
          <w:sz w:val="28"/>
          <w:szCs w:val="28"/>
          <w:vertAlign w:val="superscript"/>
        </w:rPr>
        <w:t>1</w:t>
      </w:r>
      <w:r w:rsidRPr="009F43B8">
        <w:rPr>
          <w:i/>
          <w:iCs/>
          <w:sz w:val="28"/>
          <w:szCs w:val="28"/>
        </w:rPr>
        <w:t xml:space="preserve"> panta 5.</w:t>
      </w:r>
      <w:r w:rsidRPr="009F43B8">
        <w:rPr>
          <w:i/>
          <w:iCs/>
          <w:sz w:val="28"/>
          <w:szCs w:val="28"/>
          <w:vertAlign w:val="superscript"/>
        </w:rPr>
        <w:t>1</w:t>
      </w:r>
      <w:r w:rsidRPr="009F43B8">
        <w:rPr>
          <w:i/>
          <w:iCs/>
          <w:sz w:val="28"/>
          <w:szCs w:val="28"/>
        </w:rPr>
        <w:t xml:space="preserve"> daļa)</w:t>
      </w:r>
      <w:r w:rsidRPr="00E3408E">
        <w:rPr>
          <w:sz w:val="28"/>
          <w:szCs w:val="28"/>
        </w:rPr>
        <w:t xml:space="preserve">, kas nosaka, ka </w:t>
      </w:r>
      <w:r>
        <w:rPr>
          <w:sz w:val="28"/>
          <w:szCs w:val="28"/>
        </w:rPr>
        <w:t>VID</w:t>
      </w:r>
      <w:r w:rsidRPr="00E3408E">
        <w:rPr>
          <w:sz w:val="28"/>
          <w:szCs w:val="28"/>
        </w:rPr>
        <w:t>, veicot nodokļu revīziju (auditu), pie konkrētiem nosacījumiem ir tiesības precizēt darba devēja darba ņēmējam aprēķinātos darba ienākumus, vienlaikus dodot darba devējam iespēju nodrošināt pierādījumus norādīto darba ienākumu aprēķinam. Tādējādi, iespējams, samazināsies to darba devēju skaits, kuri darba ņēmējiem daļu no darba algas izmaksā, nenorādot grāmatvedības uzskaitē un neieturot normatīvajos aktos noteiktos nodokļus;</w:t>
      </w:r>
    </w:p>
    <w:p w:rsidR="00BA2B09" w:rsidRPr="00E3408E" w:rsidRDefault="00BA2B09" w:rsidP="00E3408E">
      <w:pPr>
        <w:tabs>
          <w:tab w:val="left" w:pos="-8222"/>
        </w:tabs>
        <w:spacing w:after="0"/>
        <w:jc w:val="both"/>
        <w:rPr>
          <w:sz w:val="28"/>
          <w:szCs w:val="28"/>
        </w:rPr>
      </w:pPr>
      <w:r>
        <w:rPr>
          <w:sz w:val="28"/>
          <w:szCs w:val="28"/>
        </w:rPr>
        <w:tab/>
        <w:t xml:space="preserve">- </w:t>
      </w:r>
      <w:r w:rsidRPr="00E3408E">
        <w:rPr>
          <w:sz w:val="28"/>
          <w:szCs w:val="28"/>
        </w:rPr>
        <w:t xml:space="preserve">iekļauta jauna </w:t>
      </w:r>
      <w:r>
        <w:rPr>
          <w:sz w:val="28"/>
          <w:szCs w:val="28"/>
        </w:rPr>
        <w:t xml:space="preserve">likuma </w:t>
      </w:r>
      <w:r w:rsidRPr="00E3408E">
        <w:rPr>
          <w:sz w:val="28"/>
          <w:szCs w:val="28"/>
        </w:rPr>
        <w:t xml:space="preserve">norma </w:t>
      </w:r>
      <w:r w:rsidRPr="009F43B8">
        <w:rPr>
          <w:i/>
          <w:iCs/>
          <w:sz w:val="28"/>
          <w:szCs w:val="28"/>
        </w:rPr>
        <w:t>(16.</w:t>
      </w:r>
      <w:r w:rsidRPr="009F43B8">
        <w:rPr>
          <w:i/>
          <w:iCs/>
          <w:sz w:val="28"/>
          <w:szCs w:val="28"/>
          <w:vertAlign w:val="superscript"/>
        </w:rPr>
        <w:t>1</w:t>
      </w:r>
      <w:r w:rsidRPr="009F43B8">
        <w:rPr>
          <w:i/>
          <w:iCs/>
          <w:sz w:val="28"/>
          <w:szCs w:val="28"/>
        </w:rPr>
        <w:t xml:space="preserve"> panta 5.</w:t>
      </w:r>
      <w:r w:rsidRPr="009F43B8">
        <w:rPr>
          <w:i/>
          <w:iCs/>
          <w:sz w:val="28"/>
          <w:szCs w:val="28"/>
          <w:vertAlign w:val="superscript"/>
        </w:rPr>
        <w:t>2</w:t>
      </w:r>
      <w:r w:rsidRPr="009F43B8">
        <w:rPr>
          <w:i/>
          <w:iCs/>
          <w:sz w:val="28"/>
          <w:szCs w:val="28"/>
        </w:rPr>
        <w:t xml:space="preserve"> daļa)</w:t>
      </w:r>
      <w:r w:rsidRPr="00E3408E">
        <w:rPr>
          <w:sz w:val="28"/>
          <w:szCs w:val="28"/>
        </w:rPr>
        <w:t>, kas nosaka, ja darba devēja aprēķināmie darba ņēmēja darba ienākumi ir noteikti, pamatojoties uz aprēķinu saskaņā ar šā panta 5.</w:t>
      </w:r>
      <w:r w:rsidRPr="009F43B8">
        <w:rPr>
          <w:sz w:val="28"/>
          <w:szCs w:val="28"/>
          <w:vertAlign w:val="superscript"/>
        </w:rPr>
        <w:t>1</w:t>
      </w:r>
      <w:r w:rsidRPr="00E3408E">
        <w:rPr>
          <w:sz w:val="28"/>
          <w:szCs w:val="28"/>
        </w:rPr>
        <w:t xml:space="preserve"> daļu, </w:t>
      </w:r>
      <w:r>
        <w:rPr>
          <w:sz w:val="28"/>
          <w:szCs w:val="28"/>
        </w:rPr>
        <w:t>VID</w:t>
      </w:r>
      <w:r w:rsidRPr="00E3408E">
        <w:rPr>
          <w:sz w:val="28"/>
          <w:szCs w:val="28"/>
        </w:rPr>
        <w:t xml:space="preserve"> piedzen no darba devēja obligāto iemaksu starpību starp obligāto iemaksu summu, kura noteikta, pamatojoties uz aprēķinu, kas veikts saskaņā ar </w:t>
      </w:r>
      <w:r>
        <w:rPr>
          <w:sz w:val="28"/>
          <w:szCs w:val="28"/>
        </w:rPr>
        <w:t>VID</w:t>
      </w:r>
      <w:r w:rsidRPr="00E3408E">
        <w:rPr>
          <w:sz w:val="28"/>
          <w:szCs w:val="28"/>
        </w:rPr>
        <w:t xml:space="preserve"> rīcībā esošo informāciju, un darba devēja aprēķināto obligāto iemaksu summu, kā arī soda naudu trīskāršā obligāto iemaksu apmērā.</w:t>
      </w:r>
    </w:p>
    <w:p w:rsidR="00BA2B09" w:rsidRPr="00E3408E" w:rsidRDefault="00BA2B09" w:rsidP="00E3408E">
      <w:pPr>
        <w:tabs>
          <w:tab w:val="left" w:pos="-8222"/>
        </w:tabs>
        <w:spacing w:after="0"/>
        <w:jc w:val="both"/>
        <w:rPr>
          <w:sz w:val="28"/>
          <w:szCs w:val="28"/>
        </w:rPr>
      </w:pPr>
      <w:r>
        <w:rPr>
          <w:sz w:val="28"/>
          <w:szCs w:val="28"/>
        </w:rPr>
        <w:tab/>
        <w:t xml:space="preserve">• </w:t>
      </w:r>
      <w:r w:rsidRPr="00E3408E">
        <w:rPr>
          <w:sz w:val="28"/>
          <w:szCs w:val="28"/>
        </w:rPr>
        <w:t>Likum</w:t>
      </w:r>
      <w:r>
        <w:rPr>
          <w:sz w:val="28"/>
          <w:szCs w:val="28"/>
        </w:rPr>
        <w:t>ā</w:t>
      </w:r>
      <w:r w:rsidRPr="00E3408E">
        <w:rPr>
          <w:sz w:val="28"/>
          <w:szCs w:val="28"/>
        </w:rPr>
        <w:t xml:space="preserve"> „Par iedzīvotāju ienākuma nodokli”:</w:t>
      </w:r>
    </w:p>
    <w:p w:rsidR="00BA2B09" w:rsidRDefault="00BA2B09" w:rsidP="00E3408E">
      <w:pPr>
        <w:tabs>
          <w:tab w:val="left" w:pos="-8222"/>
        </w:tabs>
        <w:spacing w:after="0"/>
        <w:jc w:val="both"/>
        <w:rPr>
          <w:sz w:val="28"/>
          <w:szCs w:val="28"/>
        </w:rPr>
      </w:pPr>
      <w:r>
        <w:rPr>
          <w:sz w:val="28"/>
          <w:szCs w:val="28"/>
        </w:rPr>
        <w:tab/>
        <w:t xml:space="preserve">- </w:t>
      </w:r>
      <w:r w:rsidRPr="00E3408E">
        <w:rPr>
          <w:sz w:val="28"/>
          <w:szCs w:val="28"/>
        </w:rPr>
        <w:t xml:space="preserve">veikti </w:t>
      </w:r>
      <w:r>
        <w:rPr>
          <w:sz w:val="28"/>
          <w:szCs w:val="28"/>
        </w:rPr>
        <w:t xml:space="preserve">likuma </w:t>
      </w:r>
      <w:r w:rsidRPr="00E3408E">
        <w:rPr>
          <w:sz w:val="28"/>
          <w:szCs w:val="28"/>
        </w:rPr>
        <w:t>precizējumi</w:t>
      </w:r>
      <w:r>
        <w:rPr>
          <w:sz w:val="28"/>
          <w:szCs w:val="28"/>
        </w:rPr>
        <w:t xml:space="preserve"> </w:t>
      </w:r>
      <w:r w:rsidRPr="009F43B8">
        <w:rPr>
          <w:i/>
          <w:iCs/>
          <w:sz w:val="28"/>
          <w:szCs w:val="28"/>
        </w:rPr>
        <w:t>(31.</w:t>
      </w:r>
      <w:r w:rsidRPr="009F43B8">
        <w:rPr>
          <w:i/>
          <w:iCs/>
          <w:sz w:val="28"/>
          <w:szCs w:val="28"/>
          <w:vertAlign w:val="superscript"/>
        </w:rPr>
        <w:t>2</w:t>
      </w:r>
      <w:r w:rsidRPr="009F43B8">
        <w:rPr>
          <w:i/>
          <w:iCs/>
          <w:sz w:val="28"/>
          <w:szCs w:val="28"/>
        </w:rPr>
        <w:t xml:space="preserve"> panta 1.</w:t>
      </w:r>
      <w:r w:rsidRPr="009F43B8">
        <w:rPr>
          <w:i/>
          <w:iCs/>
          <w:sz w:val="28"/>
          <w:szCs w:val="28"/>
          <w:vertAlign w:val="superscript"/>
        </w:rPr>
        <w:t>1</w:t>
      </w:r>
      <w:r w:rsidRPr="009F43B8">
        <w:rPr>
          <w:i/>
          <w:iCs/>
          <w:sz w:val="28"/>
          <w:szCs w:val="28"/>
        </w:rPr>
        <w:t xml:space="preserve"> daļā)</w:t>
      </w:r>
      <w:r w:rsidRPr="00E3408E">
        <w:rPr>
          <w:sz w:val="28"/>
          <w:szCs w:val="28"/>
        </w:rPr>
        <w:t>, saskaņojot minētā likuma normas ar likuma „Par valsts sociālo apdrošināšanu 16.</w:t>
      </w:r>
      <w:r w:rsidRPr="009F43B8">
        <w:rPr>
          <w:sz w:val="28"/>
          <w:szCs w:val="28"/>
          <w:vertAlign w:val="superscript"/>
        </w:rPr>
        <w:t>1</w:t>
      </w:r>
      <w:r w:rsidRPr="00E3408E">
        <w:rPr>
          <w:sz w:val="28"/>
          <w:szCs w:val="28"/>
        </w:rPr>
        <w:t xml:space="preserve"> panta </w:t>
      </w:r>
      <w:r>
        <w:rPr>
          <w:sz w:val="28"/>
          <w:szCs w:val="28"/>
        </w:rPr>
        <w:t xml:space="preserve">pirmā </w:t>
      </w:r>
      <w:r w:rsidRPr="00E3408E">
        <w:rPr>
          <w:sz w:val="28"/>
          <w:szCs w:val="28"/>
        </w:rPr>
        <w:t>daļā un 1.</w:t>
      </w:r>
      <w:r w:rsidRPr="009F43B8">
        <w:rPr>
          <w:sz w:val="28"/>
          <w:szCs w:val="28"/>
          <w:vertAlign w:val="superscript"/>
        </w:rPr>
        <w:t>1</w:t>
      </w:r>
      <w:r w:rsidRPr="00E3408E">
        <w:rPr>
          <w:sz w:val="28"/>
          <w:szCs w:val="28"/>
        </w:rPr>
        <w:t xml:space="preserve"> daļā noteiktajām soda sankcijām, tādējādi nodrošinot, ka VID ir tiesības no darba devēja piedzīt soda naudu trīskāršā nodokļa apmērā no summas, kas noteikta atbilstoši </w:t>
      </w:r>
      <w:r>
        <w:rPr>
          <w:sz w:val="28"/>
          <w:szCs w:val="28"/>
        </w:rPr>
        <w:t>VID</w:t>
      </w:r>
      <w:r w:rsidRPr="00E3408E">
        <w:rPr>
          <w:sz w:val="28"/>
          <w:szCs w:val="28"/>
        </w:rPr>
        <w:t xml:space="preserve"> rīcībā esošajai informācijai par personai aprēķināmo atlīdzību, ja tā ir lielāka par normatīvajos aktos noteiktās minimālās mēneša darba algas apmēru, vai no normatīvajos aktos noteiktā minimālās darba algas apmēra, ja aprēķināmā atlīdzība ir vienāda ar to vai mazāka vai ja tās lielumu nav iespējams noteikt, ja konstatē, ka fiziskā persona (arī tad, ja nav iespējams identificēt konkrēto darba veicēju) uz līguma pamata vai bez līguma noslēgšanas sistemātiski gūst ienākumu, kurš </w:t>
      </w:r>
      <w:r w:rsidRPr="00E3408E">
        <w:rPr>
          <w:sz w:val="28"/>
          <w:szCs w:val="28"/>
        </w:rPr>
        <w:lastRenderedPageBreak/>
        <w:t>liecina par darba attiecībām un par kuru jāmaksā algas nodoklis, bet šis ienākums nav uzrādīts darba devēja grāmatvedības uzskaitē vai izmaksas faktu nav iespējams konstatēt, vai nav iespējams identificēt konkrēto darba veicēju;</w:t>
      </w:r>
    </w:p>
    <w:p w:rsidR="00BA2B09" w:rsidRDefault="00BA2B09" w:rsidP="00E3408E">
      <w:pPr>
        <w:tabs>
          <w:tab w:val="left" w:pos="-8222"/>
        </w:tabs>
        <w:spacing w:after="0"/>
        <w:jc w:val="both"/>
        <w:rPr>
          <w:sz w:val="28"/>
          <w:szCs w:val="28"/>
        </w:rPr>
      </w:pPr>
      <w:r>
        <w:rPr>
          <w:sz w:val="28"/>
          <w:szCs w:val="28"/>
        </w:rPr>
        <w:tab/>
        <w:t xml:space="preserve">- </w:t>
      </w:r>
      <w:r w:rsidRPr="00E3408E">
        <w:rPr>
          <w:sz w:val="28"/>
          <w:szCs w:val="28"/>
        </w:rPr>
        <w:t xml:space="preserve">iekļauta jauna </w:t>
      </w:r>
      <w:r>
        <w:rPr>
          <w:sz w:val="28"/>
          <w:szCs w:val="28"/>
        </w:rPr>
        <w:t xml:space="preserve">likuma </w:t>
      </w:r>
      <w:r w:rsidRPr="00E3408E">
        <w:rPr>
          <w:sz w:val="28"/>
          <w:szCs w:val="28"/>
        </w:rPr>
        <w:t>norma</w:t>
      </w:r>
      <w:r>
        <w:rPr>
          <w:sz w:val="28"/>
          <w:szCs w:val="28"/>
        </w:rPr>
        <w:t xml:space="preserve"> </w:t>
      </w:r>
      <w:r w:rsidRPr="009F43B8">
        <w:rPr>
          <w:i/>
          <w:iCs/>
          <w:sz w:val="28"/>
          <w:szCs w:val="28"/>
        </w:rPr>
        <w:t>(31.</w:t>
      </w:r>
      <w:r w:rsidRPr="009F43B8">
        <w:rPr>
          <w:i/>
          <w:iCs/>
          <w:sz w:val="28"/>
          <w:szCs w:val="28"/>
          <w:vertAlign w:val="superscript"/>
        </w:rPr>
        <w:t>2</w:t>
      </w:r>
      <w:r w:rsidRPr="009F43B8">
        <w:rPr>
          <w:i/>
          <w:iCs/>
          <w:sz w:val="28"/>
          <w:szCs w:val="28"/>
        </w:rPr>
        <w:t xml:space="preserve"> panta 1.</w:t>
      </w:r>
      <w:r w:rsidRPr="009F43B8">
        <w:rPr>
          <w:i/>
          <w:iCs/>
          <w:sz w:val="28"/>
          <w:szCs w:val="28"/>
          <w:vertAlign w:val="superscript"/>
        </w:rPr>
        <w:t>2</w:t>
      </w:r>
      <w:r w:rsidRPr="009F43B8">
        <w:rPr>
          <w:i/>
          <w:iCs/>
          <w:sz w:val="28"/>
          <w:szCs w:val="28"/>
        </w:rPr>
        <w:t xml:space="preserve"> daļa)</w:t>
      </w:r>
      <w:r w:rsidRPr="00E3408E">
        <w:rPr>
          <w:sz w:val="28"/>
          <w:szCs w:val="28"/>
        </w:rPr>
        <w:t xml:space="preserve">, kas nosaka soda sankciju piemērošanu gadījumos, kad nodarbinātības periodu nav iespējams noteikt. Minētajā gadījumā uzskatāms, ka persona nodarbināta trīs mēnešus un </w:t>
      </w:r>
      <w:r>
        <w:rPr>
          <w:sz w:val="28"/>
          <w:szCs w:val="28"/>
        </w:rPr>
        <w:t>VID</w:t>
      </w:r>
      <w:r w:rsidRPr="00E3408E">
        <w:rPr>
          <w:sz w:val="28"/>
          <w:szCs w:val="28"/>
        </w:rPr>
        <w:t xml:space="preserve"> piedzen soda naudu par trijiem kalendāra mēnešiem, ieskaitot to kalendāra mēnesi, kurā pārkāpums atklāts, ja vien darba devējs vai darbinieks nevar pierādīt īsāku darba tiesisko attiecību pastāvēšanas ilgumu.</w:t>
      </w:r>
    </w:p>
    <w:p w:rsidR="00BA2B09" w:rsidRDefault="00BA2B09" w:rsidP="00E3408E">
      <w:pPr>
        <w:tabs>
          <w:tab w:val="left" w:pos="-8222"/>
        </w:tabs>
        <w:spacing w:after="0"/>
        <w:jc w:val="both"/>
        <w:rPr>
          <w:sz w:val="28"/>
          <w:szCs w:val="28"/>
        </w:rPr>
      </w:pPr>
      <w:r>
        <w:rPr>
          <w:sz w:val="28"/>
          <w:szCs w:val="28"/>
        </w:rPr>
        <w:tab/>
      </w:r>
      <w:r w:rsidRPr="003D52D0">
        <w:rPr>
          <w:sz w:val="28"/>
          <w:szCs w:val="28"/>
        </w:rPr>
        <w:t>Labklājības ministrija ir izstrādājusi Ministru kabineta noteikumu projektu „Grozījumi Ministru kabineta 2010.gada 7.septembra noteikumos Nr.827 “Noteikumi par valsts sociālās apdrošināšanas obligāto iemaksu veicēju reģistrāciju un ziņojumiem par valsts sociālās apdrošināšanas obligātajām iemaksām un iedzīvotāju ienākuma nodokli””</w:t>
      </w:r>
      <w:r>
        <w:rPr>
          <w:sz w:val="28"/>
          <w:szCs w:val="28"/>
        </w:rPr>
        <w:t>, kas</w:t>
      </w:r>
      <w:r w:rsidRPr="003D52D0">
        <w:rPr>
          <w:sz w:val="28"/>
          <w:szCs w:val="28"/>
        </w:rPr>
        <w:t xml:space="preserve"> 2012.gada 21.jūnijā izsludināts Valsts sekretāru sanāksmē. Lai saistībā ar ēnu ekonomikas apkarošanu ierobežotu ar nodarbinātību saistītos nodokļu saistību izpildes pārkāpumus un informācija būtu operatīvi pieejama, noteikumu projekts paredz, ka</w:t>
      </w:r>
      <w:r>
        <w:rPr>
          <w:sz w:val="28"/>
          <w:szCs w:val="28"/>
        </w:rPr>
        <w:t>:</w:t>
      </w:r>
    </w:p>
    <w:p w:rsidR="00BA2B09" w:rsidRDefault="00BA2B09" w:rsidP="00E3408E">
      <w:pPr>
        <w:tabs>
          <w:tab w:val="left" w:pos="-8222"/>
        </w:tabs>
        <w:spacing w:after="0"/>
        <w:jc w:val="both"/>
        <w:rPr>
          <w:sz w:val="28"/>
          <w:szCs w:val="28"/>
        </w:rPr>
      </w:pPr>
      <w:r>
        <w:rPr>
          <w:sz w:val="28"/>
          <w:szCs w:val="28"/>
        </w:rPr>
        <w:tab/>
        <w:t>-</w:t>
      </w:r>
      <w:r w:rsidRPr="003D52D0">
        <w:rPr>
          <w:sz w:val="28"/>
          <w:szCs w:val="28"/>
        </w:rPr>
        <w:t xml:space="preserve"> ziņas par darba ņēmējiem, kuriem piešķirts vai beidzies atvaļinājums bez darba algas saglabāšanas, darba devējam būtu jāiesniedz VID triju darba dienu laikā, t.i., tāpat kā citas ziņas par darba ņēmēja statusa maiņu. Darba devējiem, kuri informāciju iesniedz elektroniski elektroniskajā deklarēšanas sistēmā, ziņas par darba ņēmēja statusa iegūšanu būtu jāiesniedz līdz brīdim, kad persona uzsāk darbu. Savukārt tiem darba devējiem, kuri ziņas par darba ņēmēja statusa iegūšanu sniedz papīra formā, tiktu saglabāta līdzšinējā kārtība, t.i., ziņas būtu jāsniedz ne vēlāk kā vienu dienu pirms persona uzsāk darbu</w:t>
      </w:r>
      <w:r>
        <w:rPr>
          <w:sz w:val="28"/>
          <w:szCs w:val="28"/>
        </w:rPr>
        <w:t>;</w:t>
      </w:r>
    </w:p>
    <w:p w:rsidR="00BA2B09" w:rsidRDefault="00BA2B09" w:rsidP="00E3408E">
      <w:pPr>
        <w:tabs>
          <w:tab w:val="left" w:pos="-8222"/>
        </w:tabs>
        <w:spacing w:after="0"/>
        <w:jc w:val="both"/>
        <w:rPr>
          <w:sz w:val="28"/>
          <w:szCs w:val="28"/>
        </w:rPr>
      </w:pPr>
      <w:r>
        <w:rPr>
          <w:sz w:val="28"/>
          <w:szCs w:val="28"/>
        </w:rPr>
        <w:tab/>
        <w:t>-</w:t>
      </w:r>
      <w:r w:rsidRPr="00F36A25">
        <w:rPr>
          <w:sz w:val="26"/>
          <w:szCs w:val="26"/>
        </w:rPr>
        <w:t xml:space="preserve"> </w:t>
      </w:r>
      <w:r w:rsidRPr="00F36A25">
        <w:rPr>
          <w:sz w:val="28"/>
          <w:szCs w:val="28"/>
        </w:rPr>
        <w:t>turpmāk darba devējam, kas noslēdzis uzņēmuma līgumu ar fizisku personu, kura nav reģistrējusies VID kā saimnieciskās darbības veicēja, katru fizisku personu būs jāreģistrē VID, iesniedzot ziņas par darba ņēmēju uzņēmuma līguma noslēgšanas un uzņēmuma līguma izbeigšanas dienā. Attiecībā uz uzņēmumu līgumiem, kuri ir noslēgti pirms šo noteikumu spēkā stāšanās un, kuru darbība turpināsies noteikumu spēkā stāšanās dienā, darba devējam būs jāiesniedz VID ziņas 30 dienu laikā pēc grozījumu noteikumos stāšanās spēkā.</w:t>
      </w:r>
      <w:r w:rsidRPr="00F36A25">
        <w:rPr>
          <w:sz w:val="26"/>
          <w:szCs w:val="26"/>
        </w:rPr>
        <w:t xml:space="preserve"> </w:t>
      </w:r>
      <w:r w:rsidRPr="001B5C79">
        <w:rPr>
          <w:sz w:val="28"/>
          <w:szCs w:val="28"/>
        </w:rPr>
        <w:t>Šādas izmaiņas nepieciešamas, jo</w:t>
      </w:r>
      <w:r>
        <w:rPr>
          <w:sz w:val="28"/>
          <w:szCs w:val="28"/>
        </w:rPr>
        <w:t>,</w:t>
      </w:r>
      <w:r w:rsidRPr="001B5C79">
        <w:rPr>
          <w:sz w:val="28"/>
          <w:szCs w:val="28"/>
        </w:rPr>
        <w:t xml:space="preserve"> veicot kontroles pasākumus, VID un VDI ir konstatējusi gadījumus, kad ar personu faktiski ir noslēgts uzņēmuma līgums, bet pastāvošās attiecības ir uzskatāmas par darba attiecībām un starp pusēm ir slēdzams darba līgums, kā arī lai </w:t>
      </w:r>
      <w:r w:rsidRPr="001B5C79">
        <w:rPr>
          <w:color w:val="000000"/>
          <w:sz w:val="28"/>
          <w:szCs w:val="28"/>
        </w:rPr>
        <w:t xml:space="preserve">VDI sadarbībā ar VID būtu iespēja efektīvāk kontrolēt darba tiesisko attiecību reglamentējošo normatīvo aktu ievērošanu, un fiziskā persona noslēgtā līguma formas dēļ nezaudētu Darba likumā darbiniekam paredzētās sociālās garantijas (piemēram, </w:t>
      </w:r>
      <w:r w:rsidRPr="001B5C79">
        <w:rPr>
          <w:sz w:val="28"/>
          <w:szCs w:val="28"/>
        </w:rPr>
        <w:t xml:space="preserve">personai, kura nodarbināta uz uzņēmuma līguma </w:t>
      </w:r>
      <w:r w:rsidRPr="001B5C79">
        <w:rPr>
          <w:sz w:val="28"/>
          <w:szCs w:val="28"/>
        </w:rPr>
        <w:lastRenderedPageBreak/>
        <w:t>pamata, nav tiesību uz ikgadējo apmaksāto atvaļinājumu un samaksu par virsstundu darbu)</w:t>
      </w:r>
      <w:r w:rsidRPr="003A75D5">
        <w:rPr>
          <w:sz w:val="28"/>
          <w:szCs w:val="28"/>
        </w:rPr>
        <w:t xml:space="preserve">. </w:t>
      </w:r>
    </w:p>
    <w:p w:rsidR="00BA2B09" w:rsidRPr="00DC5762" w:rsidRDefault="00BA2B09" w:rsidP="00E3408E">
      <w:pPr>
        <w:tabs>
          <w:tab w:val="left" w:pos="-8222"/>
        </w:tabs>
        <w:spacing w:after="0"/>
        <w:jc w:val="both"/>
        <w:rPr>
          <w:sz w:val="28"/>
          <w:szCs w:val="28"/>
        </w:rPr>
      </w:pPr>
    </w:p>
    <w:p w:rsidR="00BA2B09" w:rsidRDefault="00BA2B09" w:rsidP="00D92F6C">
      <w:pPr>
        <w:pStyle w:val="ListParagraph"/>
        <w:numPr>
          <w:ilvl w:val="0"/>
          <w:numId w:val="25"/>
        </w:numPr>
        <w:ind w:left="426" w:hanging="426"/>
        <w:jc w:val="center"/>
        <w:rPr>
          <w:b/>
          <w:bCs/>
        </w:rPr>
      </w:pPr>
      <w:r w:rsidRPr="00DC5762">
        <w:rPr>
          <w:b/>
          <w:bCs/>
        </w:rPr>
        <w:t>VDI kapacitātes stiprināšanai nepieciešamās investīcijas</w:t>
      </w:r>
    </w:p>
    <w:p w:rsidR="00BA2B09" w:rsidRPr="00DC5762" w:rsidRDefault="00BA2B09" w:rsidP="00DC5762">
      <w:pPr>
        <w:spacing w:after="0"/>
        <w:jc w:val="both"/>
        <w:rPr>
          <w:sz w:val="20"/>
          <w:szCs w:val="20"/>
        </w:rPr>
      </w:pPr>
    </w:p>
    <w:p w:rsidR="00BA2B09" w:rsidRPr="00693786" w:rsidRDefault="00BA2B09" w:rsidP="00693786">
      <w:pPr>
        <w:spacing w:after="0"/>
        <w:ind w:firstLine="720"/>
        <w:jc w:val="both"/>
        <w:rPr>
          <w:sz w:val="28"/>
          <w:szCs w:val="28"/>
        </w:rPr>
      </w:pPr>
      <w:r w:rsidRPr="00693786">
        <w:rPr>
          <w:sz w:val="28"/>
          <w:szCs w:val="28"/>
        </w:rPr>
        <w:t xml:space="preserve">VDI ir Labklājības ministrijas pārraudzībā esoša tiešās pārvaldes iestāde, kuras funkcija ir valsts uzraudzības un kontroles īstenošana darba tiesisko attiecību un darba aizsardzības jomā. </w:t>
      </w:r>
    </w:p>
    <w:p w:rsidR="00BA2B09" w:rsidRPr="00693786" w:rsidRDefault="00BA2B09" w:rsidP="00693786">
      <w:pPr>
        <w:spacing w:after="0"/>
        <w:ind w:firstLine="720"/>
        <w:jc w:val="both"/>
        <w:rPr>
          <w:sz w:val="28"/>
          <w:szCs w:val="28"/>
        </w:rPr>
      </w:pPr>
      <w:r w:rsidRPr="00693786">
        <w:rPr>
          <w:sz w:val="28"/>
          <w:szCs w:val="28"/>
        </w:rPr>
        <w:t>VDI mērķis ir, uzraugot darba tiesisko attiecību prasību ievērošanu, t.sk apkarojot nereģistrēto nodarbinātību, uzlabot uzņēmējdarbības vidi kopumā Latvijā, veicinot godīgu konkurenci uzņēmumu starpā (samazinot nelegālu darbību rezultātā gūtās priekšrocības) un samazināt darbinieku tiesību pārkāpumu skaitu, kā arī, uzraugot darba aizsardzības prasību ievērošanu, samazināt darba negadījumu skaitu. Lai īstenotu šo mērķi, nepieciešama spēcīga šo jomu kontrolējoša valsts institūcija. Budžeta konsolidācijas periodā (no 2009. līdz 2011.gadam) VDI finansējums ir samazināts no Ls 2,85 milj. 2008.gadā līdz Ls 1,38 milj. 2011.gadā un VDI amatpersonu un darbinieku amata vietu skaits sarucis no 238 līdz 160 (inspektoru amata vietu skaita izmaiņas: no 139 līdz 111). Neskatoties uz finansējuma samazinājumu, VDI iepriekšējos gados ir izpildījusi rezultatīvos rādītājus – gadā veikusi vairāk kā 10 000 apsekojumus. Lai tuvotos VDI mērķiem par godīgas konkurences veicināšanu uzņēmējdarbībā un darba negadījumu skaita samazināšanu, VDI darbība jākoncentrē (jāstiprina) nozarēs ar augstiem nereģistrētās nodarbinātības riskiem un ievērojamiem uzņēmējdarbības apjomiem, piemēram, mežsaimniecībā, apstrādes rūpniecībā un būvniecībā.</w:t>
      </w:r>
    </w:p>
    <w:p w:rsidR="00BA2B09" w:rsidRPr="00693786" w:rsidRDefault="00BA2B09" w:rsidP="00693786">
      <w:pPr>
        <w:spacing w:after="0"/>
        <w:ind w:firstLine="720"/>
        <w:jc w:val="both"/>
        <w:rPr>
          <w:sz w:val="28"/>
          <w:szCs w:val="28"/>
        </w:rPr>
      </w:pPr>
      <w:r w:rsidRPr="00693786">
        <w:rPr>
          <w:sz w:val="28"/>
          <w:szCs w:val="28"/>
        </w:rPr>
        <w:t>VDI ir identificējusi šādas nepieciešamās investīcijas tās kapacitātes celšanā:</w:t>
      </w:r>
    </w:p>
    <w:p w:rsidR="00BA2B09" w:rsidRPr="00693786" w:rsidRDefault="00BA2B09" w:rsidP="00693786">
      <w:pPr>
        <w:spacing w:after="0"/>
        <w:ind w:firstLine="720"/>
        <w:jc w:val="both"/>
        <w:rPr>
          <w:sz w:val="28"/>
          <w:szCs w:val="28"/>
        </w:rPr>
      </w:pPr>
      <w:r w:rsidRPr="00693786">
        <w:rPr>
          <w:sz w:val="28"/>
          <w:szCs w:val="28"/>
        </w:rPr>
        <w:t>1)</w:t>
      </w:r>
      <w:r w:rsidRPr="00693786">
        <w:rPr>
          <w:sz w:val="28"/>
          <w:szCs w:val="28"/>
        </w:rPr>
        <w:tab/>
        <w:t>VDI inspektoru atalgojuma celšana līdz 90% no Ministru kabineta 2009.gada 22.decembra noteikumos Nr.1651 „Noteikumi par valsts un pašvaldību institūciju amatpersonu un darbinieku darba samaksu, kvalifikācijas pakāpēm un to noteikšanas kārtību” noteiktās maksimālās algas attiecīgajam mēnešalgas grupas un kvalifikācijas līmeņa pārim.</w:t>
      </w:r>
    </w:p>
    <w:p w:rsidR="00BA2B09" w:rsidRPr="00693786" w:rsidRDefault="00BA2B09" w:rsidP="00693786">
      <w:pPr>
        <w:spacing w:after="0"/>
        <w:ind w:firstLine="720"/>
        <w:jc w:val="both"/>
        <w:rPr>
          <w:sz w:val="28"/>
          <w:szCs w:val="28"/>
        </w:rPr>
      </w:pPr>
      <w:r w:rsidRPr="00693786">
        <w:rPr>
          <w:sz w:val="28"/>
          <w:szCs w:val="28"/>
        </w:rPr>
        <w:t xml:space="preserve">Pēdējo divu gadu laikā VDI saglabājas augsta amatpersonu mainība, inspektoriem meklējot darba piedāvājumus ar lielāku atalgojumu. Personāla mainība 2011.gadā sasniedza 21%. 2012.gada pirmajā pusgadā no dienesta inspekcijā (galvenokārt tieši zemā atalgojuma dēļ) aizgāja 14 inspektori, tostarp 3 nesen civildienestu uzsākušie. Kamēr jaunpieņemtie inspektori gūst pieredzi, inspekcijas kapacitāte (spēja identificēt un kvalitatīvi pierādīt nereģistrēto nodarbinātību un Darba likuma un darba aizsardzības prasību neievērošanu) ir mazāka, un mazāks ir inspekcijas pienesums uzņēmējdarbības vides sakārtošanā. Lai noturētu un motivētu esošos kvalificētos inspektorus un veicinātu to apmierinātību ar esošo darbu, inspektoriem būtu nepieciešams palielināt atalgojumu – līdz 90% no Ministru </w:t>
      </w:r>
      <w:r w:rsidRPr="00693786">
        <w:rPr>
          <w:sz w:val="28"/>
          <w:szCs w:val="28"/>
        </w:rPr>
        <w:lastRenderedPageBreak/>
        <w:t>kabineta 2009.gada 22.decembra noteikumos Nr.1651 „Noteikumi par valsts un pašvaldību institūciju amatpersonu un darbinieku darba samaksu, kvalifikācijas pakāpēm un to noteikšanas kārtību” noteiktajām maksimālajām amatpersonu un darbinieku mēnešalgām ministriju padotībā esošajās iestādēs, jo inspektora atalgojums, uzsākot civildienestu VDI (ar 1.kvalifikācijas līmeni), veido vien Ls 350 bruto mēnesī (aptuveni Ls 245 neto, gadījumā, ja inspektoram nav apgādājamo vai citu nodokļu atvieglojumu), bet 2012.gada sākumā visu līmeņu inspektoru atalgojums veidoja vidēji 76% no iepriekš minēto Ministru kabineta noteikumos paredzētās maksimālās mēnešalgas. Atalgojuma palielināšanai kopā nepieciešami Ls 150 950 (t.sk. darba devēja valsts sociālās apdrošināšanas obligātās iemaksas – Ls 29 226) gadā.</w:t>
      </w:r>
    </w:p>
    <w:p w:rsidR="00BA2B09" w:rsidRPr="00693786" w:rsidRDefault="00BA2B09" w:rsidP="00693786">
      <w:pPr>
        <w:spacing w:after="0"/>
        <w:ind w:firstLine="720"/>
        <w:jc w:val="both"/>
        <w:rPr>
          <w:sz w:val="28"/>
          <w:szCs w:val="28"/>
        </w:rPr>
      </w:pPr>
      <w:r w:rsidRPr="00693786">
        <w:rPr>
          <w:sz w:val="28"/>
          <w:szCs w:val="28"/>
        </w:rPr>
        <w:t>2)</w:t>
      </w:r>
      <w:r w:rsidRPr="00693786">
        <w:rPr>
          <w:sz w:val="28"/>
          <w:szCs w:val="28"/>
        </w:rPr>
        <w:tab/>
        <w:t>Papildus 20 inspektoru un 2 juriskonsultu amata vietas.</w:t>
      </w:r>
    </w:p>
    <w:p w:rsidR="00BA2B09" w:rsidRPr="00693786" w:rsidRDefault="00BA2B09" w:rsidP="00693786">
      <w:pPr>
        <w:spacing w:after="0"/>
        <w:ind w:firstLine="720"/>
        <w:jc w:val="both"/>
        <w:rPr>
          <w:sz w:val="28"/>
          <w:szCs w:val="28"/>
        </w:rPr>
      </w:pPr>
      <w:r w:rsidRPr="00693786">
        <w:rPr>
          <w:sz w:val="28"/>
          <w:szCs w:val="28"/>
        </w:rPr>
        <w:t xml:space="preserve">Lai nodrošinātu plašāku VDI uzraudzību un veicinātu drošas darba vides un tiesiskas uzņēmējdarbības vides veidošanos, un cīnītos ar darbiniekiem nolīgtā atalgojuma vai nodokļu nemaksāšanu uzņēmumos, nepieciešami papildus 20 inspektori darba tiesību un darba aizsardzības jomā. VDI pieredze liecina, ka nereti darba devēju pārkāpumi darba tiesību un darba aizsardzības jomās ir cieši saistīti, jo šo jomu prasību neievērošana darba devējiem palīdz samazināt izdevumus īstermiņā. 2011.gadā VDI konstatēja par 62% vairāk nereģistrēti nodarbināto personu kā gadu iepriekš, un arī darba negadījumos bojā gājušo skaits salīdzinājumā ar iepriekšējo gadu pieauga par 32%, kas kopumā liecina par pietiekami plaši izplatītu un apzinātu uzņēmēju rīcību, lai apietu nodokļu maksāšanu valstij un izmantotu nolīgtos darbiniekus, nenodrošinot šo darbinieku tiesību aizsardzības minimumu, t.sk., neveicot pietiekamas darbības darba vietās pastāvošo risku mazināšanai. </w:t>
      </w:r>
    </w:p>
    <w:p w:rsidR="00BA2B09" w:rsidRPr="00693786" w:rsidRDefault="00BA2B09" w:rsidP="00693786">
      <w:pPr>
        <w:spacing w:after="0"/>
        <w:ind w:firstLine="720"/>
        <w:jc w:val="both"/>
        <w:rPr>
          <w:sz w:val="28"/>
          <w:szCs w:val="28"/>
        </w:rPr>
      </w:pPr>
      <w:r w:rsidRPr="00CD7CF2">
        <w:rPr>
          <w:sz w:val="28"/>
          <w:szCs w:val="28"/>
        </w:rPr>
        <w:t>Papildus 20 inspektoru amata vietu izveide ļautu palielināt gadā veikto apsekojumu (t.sk. preventīvo) skaitu par 1500 pirmajā gadā un 2000 turpmākajos gados, un tādējādi darba devējiem sarežģīt gan iespēju nodarbināt darbiniekus nereģistrēti, gan arī mazināt darbinieku nodarbināšanu dzīvībai bīstamos un veselībai kaitīgos apstākļos.</w:t>
      </w:r>
      <w:r>
        <w:rPr>
          <w:sz w:val="28"/>
          <w:szCs w:val="28"/>
        </w:rPr>
        <w:t xml:space="preserve"> </w:t>
      </w:r>
      <w:r w:rsidRPr="00693786">
        <w:rPr>
          <w:sz w:val="28"/>
          <w:szCs w:val="28"/>
        </w:rPr>
        <w:t>Šobrīd VDI apseko gadā tikai 8% no valstī reģistrētajiem uzņēmumiem.</w:t>
      </w:r>
    </w:p>
    <w:p w:rsidR="00BA2B09" w:rsidRPr="00693786" w:rsidRDefault="00BA2B09" w:rsidP="00693786">
      <w:pPr>
        <w:spacing w:after="0"/>
        <w:ind w:firstLine="720"/>
        <w:jc w:val="both"/>
        <w:rPr>
          <w:sz w:val="28"/>
          <w:szCs w:val="28"/>
        </w:rPr>
      </w:pPr>
      <w:r w:rsidRPr="00693786">
        <w:rPr>
          <w:sz w:val="28"/>
          <w:szCs w:val="28"/>
        </w:rPr>
        <w:t>Ņemot vērā salīdzinoši augstos sodus par nereģistrētu nodarbinātību (no Ls 750 līdz Ls 5 000), VDI turpina pieaugt pārsūdzēto inspektoru pieņemto lēmumu skaits (2011.gadā pārsūdzību skaita pieaugums bija 44%). Lai VDI, izskatot pārsūdzību, spētu ievērot Administratīvā procesa likumā noteiktos termiņos, kā arī lai atbilstošs administratīvais akts ātrāk stātos spēkā un atturētu darba devēju no turpmākas normatīvo aktu neievērošanas, VDI nepieciešamas papildus 2 juriskonsultu amata vietas.</w:t>
      </w:r>
    </w:p>
    <w:p w:rsidR="00BA2B09" w:rsidRPr="00693786" w:rsidRDefault="00BA2B09" w:rsidP="00693786">
      <w:pPr>
        <w:spacing w:after="0"/>
        <w:ind w:firstLine="720"/>
        <w:jc w:val="both"/>
        <w:rPr>
          <w:sz w:val="28"/>
          <w:szCs w:val="28"/>
        </w:rPr>
      </w:pPr>
      <w:r w:rsidRPr="00693786">
        <w:rPr>
          <w:sz w:val="28"/>
          <w:szCs w:val="28"/>
        </w:rPr>
        <w:t>20 inspektoru un 2 juriskonsultu amata vietu izveidei nepieciešams finansējums amatpersonu atlīdzībai kopā veido Ls 128 291 amatu vietu izveides gadā un Ls 138 944 turpmākajos gados.</w:t>
      </w:r>
    </w:p>
    <w:p w:rsidR="00BA2B09" w:rsidRPr="00693786" w:rsidRDefault="00BA2B09" w:rsidP="00693786">
      <w:pPr>
        <w:spacing w:after="0"/>
        <w:ind w:firstLine="720"/>
        <w:jc w:val="both"/>
        <w:rPr>
          <w:sz w:val="28"/>
          <w:szCs w:val="28"/>
        </w:rPr>
      </w:pPr>
      <w:r w:rsidRPr="00693786">
        <w:rPr>
          <w:sz w:val="28"/>
          <w:szCs w:val="28"/>
        </w:rPr>
        <w:t>3)</w:t>
      </w:r>
      <w:r w:rsidRPr="00693786">
        <w:rPr>
          <w:sz w:val="28"/>
          <w:szCs w:val="28"/>
        </w:rPr>
        <w:tab/>
        <w:t>VDI autoparka paplašināšana un sakārtošana.</w:t>
      </w:r>
    </w:p>
    <w:p w:rsidR="00BA2B09" w:rsidRPr="00693786" w:rsidRDefault="00BA2B09" w:rsidP="00693786">
      <w:pPr>
        <w:spacing w:after="0"/>
        <w:ind w:firstLine="720"/>
        <w:jc w:val="both"/>
        <w:rPr>
          <w:sz w:val="28"/>
          <w:szCs w:val="28"/>
        </w:rPr>
      </w:pPr>
      <w:r w:rsidRPr="00693786">
        <w:rPr>
          <w:sz w:val="28"/>
          <w:szCs w:val="28"/>
        </w:rPr>
        <w:lastRenderedPageBreak/>
        <w:t>Šobrīd VDI apsekojumu veikšanai inspektori izmanto 6 inspekcijas īpašumā esošus un 13 nomātus vieglos pasažieru transportlīdzekļus, no kuriem viens ir paaugstinātas caurgājamības (apvidus) transportlīdzeklis (Zemgalē). Lai inspektori varētu pildīt savus pienākumus un doties uzņēmumu apsekojumos arī tad, kad visi transportlīdzekļi ir aizņemti, ir noslēgti 23 patapinājuma līgumi par inspektoru personīgo automašīnu izmantošanu. Sakarā ar ierobežotajām iestādes budžeta iespējām par patapināto automašīnu lietošanu netiek maksāta kompensācija, vienīgi tiek izmantota par VDI līdzekļiem iegādāta degviela.</w:t>
      </w:r>
    </w:p>
    <w:p w:rsidR="00BA2B09" w:rsidRPr="00693786" w:rsidRDefault="00BA2B09" w:rsidP="00693786">
      <w:pPr>
        <w:spacing w:after="0"/>
        <w:ind w:firstLine="720"/>
        <w:jc w:val="both"/>
        <w:rPr>
          <w:sz w:val="28"/>
          <w:szCs w:val="28"/>
        </w:rPr>
      </w:pPr>
      <w:r w:rsidRPr="00693786">
        <w:rPr>
          <w:sz w:val="28"/>
          <w:szCs w:val="28"/>
        </w:rPr>
        <w:t>Lai turpmāk nodrošinātu iespēju inspektoriem operatīvi piekļūt objektiem mežos, kur varētu tikt nodarbinātas nereģistrētas personas, inspekcijai nepieciešamas papildus 4 apvidus automašīnas (džipi) – pa vienam katrā reģionālajā inspekcijā, kur šobrīd tādu nav. Lai padarītu transportlīdzekļu izmantošanu uzskatāmāku, loģiskāku un vieglāk kontrolējamu (izņemot VDI struktūrvienībās, kurās nepieciešamība pēc transportlīdzekļiem ir neregulāra) būtu jāatsakās no patapināto privāto transportlīdzekļu izmantošanas un jāpalielina visiem apsekojumus veicošajiem inspektoriem pieejamo transportlīdzekļu skaits.</w:t>
      </w:r>
    </w:p>
    <w:p w:rsidR="00BA2B09" w:rsidRPr="00693786" w:rsidRDefault="00BA2B09" w:rsidP="00693786">
      <w:pPr>
        <w:spacing w:after="0"/>
        <w:ind w:firstLine="720"/>
        <w:jc w:val="both"/>
        <w:rPr>
          <w:sz w:val="28"/>
          <w:szCs w:val="28"/>
        </w:rPr>
      </w:pPr>
      <w:r w:rsidRPr="00693786">
        <w:rPr>
          <w:sz w:val="28"/>
          <w:szCs w:val="28"/>
        </w:rPr>
        <w:t xml:space="preserve">Atsakoties no 13 patapināto privāto automašīnu izmantošanas un, ņemot vērā papildus 20 inspektoriem nepieciešamos transportlīdzekļus nereģistrētās nodarbinātības apkarošanā un darba aizsardzības apsekojumu veikšanā, inspekcijai nepieciešami 20 dienesta transportlīdzekļi (t.sk. viens mikroautobuss nereģistrētās nodarbinātības apkarošanas operācijām). Nepieciešamos 24 (4+20) transportlīdzekļus nomājot, to lietošanas izdevumi (noma, uzturēšana, degviela, stāvvietas) gadā veidotu Ls 132 720. </w:t>
      </w:r>
    </w:p>
    <w:p w:rsidR="00BA2B09" w:rsidRDefault="00BA2B09" w:rsidP="00693786">
      <w:pPr>
        <w:spacing w:after="0"/>
        <w:jc w:val="both"/>
        <w:rPr>
          <w:sz w:val="28"/>
          <w:szCs w:val="28"/>
        </w:rPr>
      </w:pPr>
      <w:r w:rsidRPr="00693786">
        <w:rPr>
          <w:sz w:val="28"/>
          <w:szCs w:val="28"/>
        </w:rPr>
        <w:tab/>
        <w:t>Šī gada 16.augusta sēdē Ministru kabinets atbalstīja valsts budžeta līdzekļu novirzīšanu prioritārajiem pasākumiem 2013. – 2015.gadā, kur Valsts darba inspekcijas kapacitātes uzlabošanai paredzēts šāds finansējums: 2013.gadā – Ls 411 961 (</w:t>
      </w:r>
      <w:r>
        <w:rPr>
          <w:sz w:val="28"/>
          <w:szCs w:val="28"/>
        </w:rPr>
        <w:t xml:space="preserve">t.sk. atalgojuma palielināšanai </w:t>
      </w:r>
      <w:r w:rsidRPr="00693786">
        <w:rPr>
          <w:sz w:val="28"/>
          <w:szCs w:val="28"/>
        </w:rPr>
        <w:t xml:space="preserve">Ls 150 950, </w:t>
      </w:r>
      <w:r>
        <w:rPr>
          <w:sz w:val="28"/>
          <w:szCs w:val="28"/>
        </w:rPr>
        <w:t xml:space="preserve">papildu amata vietu izveidei </w:t>
      </w:r>
      <w:r w:rsidRPr="00693786">
        <w:rPr>
          <w:sz w:val="28"/>
          <w:szCs w:val="28"/>
        </w:rPr>
        <w:t xml:space="preserve">Ls 128 291, </w:t>
      </w:r>
      <w:r>
        <w:rPr>
          <w:sz w:val="28"/>
          <w:szCs w:val="28"/>
        </w:rPr>
        <w:t xml:space="preserve">transportlīdzekļu nomai </w:t>
      </w:r>
      <w:r w:rsidRPr="00693786">
        <w:rPr>
          <w:sz w:val="28"/>
          <w:szCs w:val="28"/>
        </w:rPr>
        <w:t xml:space="preserve">Ls 132 720), 2014.gadā –Ls </w:t>
      </w:r>
      <w:r w:rsidRPr="00693786">
        <w:rPr>
          <w:sz w:val="28"/>
          <w:szCs w:val="28"/>
        </w:rPr>
        <w:tab/>
        <w:t>422 614 (</w:t>
      </w:r>
      <w:r>
        <w:rPr>
          <w:sz w:val="28"/>
          <w:szCs w:val="28"/>
        </w:rPr>
        <w:t xml:space="preserve">t.sk. atalgojuma palielināšanai </w:t>
      </w:r>
      <w:r w:rsidRPr="00693786">
        <w:rPr>
          <w:sz w:val="28"/>
          <w:szCs w:val="28"/>
        </w:rPr>
        <w:t>Ls 150 950,</w:t>
      </w:r>
      <w:r>
        <w:rPr>
          <w:sz w:val="28"/>
          <w:szCs w:val="28"/>
        </w:rPr>
        <w:t xml:space="preserve"> papildu amata vietu izveidei</w:t>
      </w:r>
      <w:r w:rsidRPr="00693786">
        <w:rPr>
          <w:sz w:val="28"/>
          <w:szCs w:val="28"/>
        </w:rPr>
        <w:t xml:space="preserve"> Ls 138 944,</w:t>
      </w:r>
      <w:r>
        <w:rPr>
          <w:sz w:val="28"/>
          <w:szCs w:val="28"/>
        </w:rPr>
        <w:t xml:space="preserve"> </w:t>
      </w:r>
      <w:r w:rsidRPr="00693786">
        <w:rPr>
          <w:sz w:val="28"/>
          <w:szCs w:val="28"/>
        </w:rPr>
        <w:t xml:space="preserve"> </w:t>
      </w:r>
      <w:r>
        <w:rPr>
          <w:sz w:val="28"/>
          <w:szCs w:val="28"/>
        </w:rPr>
        <w:t xml:space="preserve">transportlīdzekļu nomai </w:t>
      </w:r>
      <w:r w:rsidRPr="00693786">
        <w:rPr>
          <w:sz w:val="28"/>
          <w:szCs w:val="28"/>
        </w:rPr>
        <w:t>Ls 132 720) un 2015.gadā – Ls 422 614 (</w:t>
      </w:r>
      <w:r>
        <w:rPr>
          <w:sz w:val="28"/>
          <w:szCs w:val="28"/>
        </w:rPr>
        <w:t xml:space="preserve">t.sk. atalgojuma palielināšanai </w:t>
      </w:r>
      <w:r w:rsidRPr="00693786">
        <w:rPr>
          <w:sz w:val="28"/>
          <w:szCs w:val="28"/>
        </w:rPr>
        <w:t>Ls 150 950,</w:t>
      </w:r>
      <w:r>
        <w:rPr>
          <w:sz w:val="28"/>
          <w:szCs w:val="28"/>
        </w:rPr>
        <w:t>papildu amata vietu izveidei</w:t>
      </w:r>
      <w:r w:rsidRPr="00693786">
        <w:rPr>
          <w:sz w:val="28"/>
          <w:szCs w:val="28"/>
        </w:rPr>
        <w:t xml:space="preserve"> Ls 138 944, </w:t>
      </w:r>
      <w:r>
        <w:rPr>
          <w:sz w:val="28"/>
          <w:szCs w:val="28"/>
        </w:rPr>
        <w:t xml:space="preserve">transportlīdzekļu nomai </w:t>
      </w:r>
      <w:r w:rsidRPr="00693786">
        <w:rPr>
          <w:sz w:val="28"/>
          <w:szCs w:val="28"/>
        </w:rPr>
        <w:t>Ls 132 720).</w:t>
      </w:r>
    </w:p>
    <w:p w:rsidR="00BA2B09" w:rsidRDefault="00BA2B09" w:rsidP="00221DE2">
      <w:pPr>
        <w:spacing w:after="0"/>
        <w:jc w:val="center"/>
        <w:rPr>
          <w:b/>
          <w:bCs/>
          <w:sz w:val="28"/>
          <w:szCs w:val="28"/>
        </w:rPr>
      </w:pPr>
    </w:p>
    <w:p w:rsidR="00BA2B09" w:rsidRDefault="00BA2B09" w:rsidP="00221DE2">
      <w:pPr>
        <w:spacing w:after="0"/>
        <w:jc w:val="center"/>
        <w:rPr>
          <w:b/>
          <w:bCs/>
          <w:sz w:val="28"/>
          <w:szCs w:val="28"/>
        </w:rPr>
      </w:pPr>
      <w:r>
        <w:rPr>
          <w:b/>
          <w:bCs/>
          <w:sz w:val="28"/>
          <w:szCs w:val="28"/>
        </w:rPr>
        <w:t xml:space="preserve">Kopsavilkums un priekšlikumi </w:t>
      </w:r>
    </w:p>
    <w:p w:rsidR="00BA2B09" w:rsidRPr="00732E63" w:rsidRDefault="00BA2B09" w:rsidP="00221DE2">
      <w:pPr>
        <w:spacing w:after="0"/>
        <w:jc w:val="center"/>
        <w:rPr>
          <w:sz w:val="20"/>
          <w:szCs w:val="20"/>
        </w:rPr>
      </w:pPr>
    </w:p>
    <w:p w:rsidR="00BA2B09" w:rsidRDefault="00BA2B09" w:rsidP="003D47E8">
      <w:pPr>
        <w:shd w:val="clear" w:color="auto" w:fill="FFFFFF"/>
        <w:spacing w:after="0"/>
        <w:ind w:firstLine="720"/>
        <w:jc w:val="both"/>
        <w:rPr>
          <w:sz w:val="28"/>
          <w:szCs w:val="28"/>
        </w:rPr>
      </w:pPr>
      <w:r>
        <w:rPr>
          <w:sz w:val="28"/>
          <w:szCs w:val="28"/>
        </w:rPr>
        <w:t xml:space="preserve">Tā kā viena no VID nodokļu administrēšanas darba prioritātēm jau vairākus gadus ir aplokšņu algu mazināšana un VDI viens no galvenajiem darba virzieniem ir nereģistrētās nodarbinātības mazināšana, jāatzīst, ka savas kompetences ietvaros, izmantojot gan preventīvās, gan represīvās metodes, VID un VDI ir panākuši regulārus, pastāvīgus, pozitīvus sava darba rādītāju </w:t>
      </w:r>
      <w:r>
        <w:rPr>
          <w:sz w:val="28"/>
          <w:szCs w:val="28"/>
        </w:rPr>
        <w:lastRenderedPageBreak/>
        <w:t xml:space="preserve">uzlabojumus. </w:t>
      </w:r>
      <w:r w:rsidRPr="00437BF6">
        <w:rPr>
          <w:sz w:val="28"/>
          <w:szCs w:val="28"/>
        </w:rPr>
        <w:t>Taču</w:t>
      </w:r>
      <w:r>
        <w:rPr>
          <w:sz w:val="28"/>
          <w:szCs w:val="28"/>
        </w:rPr>
        <w:t>,</w:t>
      </w:r>
      <w:r w:rsidRPr="00437BF6">
        <w:rPr>
          <w:sz w:val="28"/>
          <w:szCs w:val="28"/>
        </w:rPr>
        <w:t xml:space="preserve"> neskatoties uz VID un VDI maksimāli iespējami darīto, </w:t>
      </w:r>
      <w:r>
        <w:rPr>
          <w:sz w:val="28"/>
          <w:szCs w:val="28"/>
        </w:rPr>
        <w:t xml:space="preserve">pilnveidojot darba metodes, pārskatot darba organizēšanu, </w:t>
      </w:r>
      <w:r w:rsidRPr="00437BF6">
        <w:rPr>
          <w:sz w:val="28"/>
          <w:szCs w:val="28"/>
        </w:rPr>
        <w:t xml:space="preserve">izmantojot normatīvajos aktos noteiktās tiesības un rīcībā esošos līdzekļus un informāciju, </w:t>
      </w:r>
      <w:r>
        <w:rPr>
          <w:sz w:val="28"/>
          <w:szCs w:val="28"/>
        </w:rPr>
        <w:t>situācijas</w:t>
      </w:r>
      <w:r w:rsidRPr="00437BF6">
        <w:rPr>
          <w:sz w:val="28"/>
          <w:szCs w:val="28"/>
        </w:rPr>
        <w:t xml:space="preserve"> uzlabojumi</w:t>
      </w:r>
      <w:r>
        <w:rPr>
          <w:sz w:val="28"/>
          <w:szCs w:val="28"/>
        </w:rPr>
        <w:t xml:space="preserve"> valstī </w:t>
      </w:r>
      <w:r w:rsidRPr="00437BF6">
        <w:rPr>
          <w:sz w:val="28"/>
          <w:szCs w:val="28"/>
        </w:rPr>
        <w:t>saistībā ar darba samaksas un līdz ar to maksājumu budžetā, kurus no tās aprēķina (valsts sociālās apdrošināšanas obligātās iemaksas un iedzīvotāju ien</w:t>
      </w:r>
      <w:r>
        <w:rPr>
          <w:sz w:val="28"/>
          <w:szCs w:val="28"/>
        </w:rPr>
        <w:t>ākuma nodoklis), patiesā apmēra</w:t>
      </w:r>
      <w:r w:rsidRPr="00437BF6">
        <w:rPr>
          <w:sz w:val="28"/>
          <w:szCs w:val="28"/>
        </w:rPr>
        <w:t xml:space="preserve"> deklarēšanu nav </w:t>
      </w:r>
      <w:r>
        <w:rPr>
          <w:sz w:val="28"/>
          <w:szCs w:val="28"/>
        </w:rPr>
        <w:t>pietiekami</w:t>
      </w:r>
      <w:r w:rsidRPr="00437BF6">
        <w:rPr>
          <w:sz w:val="28"/>
          <w:szCs w:val="28"/>
        </w:rPr>
        <w:t>.</w:t>
      </w:r>
    </w:p>
    <w:p w:rsidR="00BA2B09" w:rsidRDefault="00BA2B09" w:rsidP="00DC5762">
      <w:pPr>
        <w:shd w:val="clear" w:color="auto" w:fill="FFFFFF"/>
        <w:spacing w:after="0"/>
        <w:ind w:firstLine="720"/>
        <w:jc w:val="both"/>
        <w:rPr>
          <w:color w:val="000000"/>
          <w:sz w:val="28"/>
          <w:szCs w:val="28"/>
          <w:lang w:eastAsia="lv-LV"/>
        </w:rPr>
      </w:pPr>
      <w:r>
        <w:rPr>
          <w:color w:val="000000"/>
          <w:sz w:val="28"/>
          <w:szCs w:val="28"/>
          <w:lang w:eastAsia="lv-LV"/>
        </w:rPr>
        <w:t xml:space="preserve">Ziņojumā minētie rādītāji </w:t>
      </w:r>
      <w:r w:rsidRPr="00DC5762">
        <w:rPr>
          <w:color w:val="000000"/>
          <w:sz w:val="28"/>
          <w:szCs w:val="28"/>
          <w:lang w:eastAsia="lv-LV"/>
        </w:rPr>
        <w:t xml:space="preserve">kopsakarā liecina par </w:t>
      </w:r>
      <w:r>
        <w:rPr>
          <w:color w:val="000000"/>
          <w:sz w:val="28"/>
          <w:szCs w:val="28"/>
          <w:lang w:eastAsia="lv-LV"/>
        </w:rPr>
        <w:t>plašas</w:t>
      </w:r>
      <w:r w:rsidRPr="00DC5762">
        <w:rPr>
          <w:color w:val="000000"/>
          <w:sz w:val="28"/>
          <w:szCs w:val="28"/>
          <w:lang w:eastAsia="lv-LV"/>
        </w:rPr>
        <w:t xml:space="preserve"> sabiedr</w:t>
      </w:r>
      <w:r>
        <w:rPr>
          <w:color w:val="000000"/>
          <w:sz w:val="28"/>
          <w:szCs w:val="28"/>
          <w:lang w:eastAsia="lv-LV"/>
        </w:rPr>
        <w:t xml:space="preserve">ības daļas negatīvo attieksmi pret nodokļu maksāšanu, kuru VID un VDI </w:t>
      </w:r>
      <w:r w:rsidRPr="00DC5762">
        <w:rPr>
          <w:color w:val="000000"/>
          <w:sz w:val="28"/>
          <w:szCs w:val="28"/>
          <w:lang w:eastAsia="lv-LV"/>
        </w:rPr>
        <w:t xml:space="preserve">tikai ar saviem spēkiem nav iespējams atrisināt, un situāciju būtiski uzlabot. </w:t>
      </w:r>
    </w:p>
    <w:p w:rsidR="00BA2B09" w:rsidRPr="00DC5762" w:rsidRDefault="00BA2B09" w:rsidP="00DC5762">
      <w:pPr>
        <w:shd w:val="clear" w:color="auto" w:fill="FFFFFF"/>
        <w:spacing w:after="0"/>
        <w:ind w:firstLine="720"/>
        <w:jc w:val="both"/>
        <w:rPr>
          <w:color w:val="000000"/>
          <w:sz w:val="28"/>
          <w:szCs w:val="28"/>
          <w:lang w:eastAsia="lv-LV"/>
        </w:rPr>
      </w:pPr>
      <w:r w:rsidRPr="00DC5762">
        <w:rPr>
          <w:color w:val="000000"/>
          <w:sz w:val="28"/>
          <w:szCs w:val="28"/>
          <w:lang w:eastAsia="lv-LV"/>
        </w:rPr>
        <w:t>Līdz ar to nākotnē, neko kardināli nemainot, nav iemesla cerībām, ka situācija uzlabosies un deklarētā darba samaksa, kā arī maksājumi budžetā, kurus aprēķina no šīs deklarētās darba samaksas, būtiski palielināsies un būs pietiekami budžeta izdevumu daļas finansēšanai. Diemžēl VID un VDI var cīnīties tikai ar sekām</w:t>
      </w:r>
      <w:r>
        <w:rPr>
          <w:color w:val="000000"/>
          <w:sz w:val="28"/>
          <w:szCs w:val="28"/>
          <w:lang w:eastAsia="lv-LV"/>
        </w:rPr>
        <w:t>, strādājot ar ierobežotu komersantu</w:t>
      </w:r>
      <w:r w:rsidRPr="00DC5762">
        <w:rPr>
          <w:color w:val="000000"/>
          <w:sz w:val="28"/>
          <w:szCs w:val="28"/>
          <w:lang w:eastAsia="lv-LV"/>
        </w:rPr>
        <w:t xml:space="preserve"> loku, bet, kā redzams, „darba lauks” ir liela daļa komersantu. Tādēļ nekavējoties ir jārod un jāievieš dažādi kompleksi pasākumi, kā panākt, lai darba devējs nevarētu nedeklarēt visus savu darba ņēmēju darba ienākumus, jau preventīvi radot apstākļus, ka tas nav izdevīgi un iespējami ne tikai darba devējam, bet arī darba ņēmējam. Tas tiešā veidā ietekmētu ēnu ekonomikas samazināšanu. </w:t>
      </w:r>
      <w:r>
        <w:rPr>
          <w:color w:val="000000"/>
          <w:sz w:val="28"/>
          <w:szCs w:val="28"/>
          <w:lang w:eastAsia="lv-LV"/>
        </w:rPr>
        <w:t xml:space="preserve">Tādējādi visām valsts institūcijām vienoti jāstrādā un aktīvi jāiesaistās šīs problēmas risināšanā, </w:t>
      </w:r>
      <w:r w:rsidRPr="00DC5762">
        <w:rPr>
          <w:color w:val="000000"/>
          <w:sz w:val="28"/>
          <w:szCs w:val="28"/>
          <w:lang w:eastAsia="lv-LV"/>
        </w:rPr>
        <w:t xml:space="preserve">jāgūst </w:t>
      </w:r>
      <w:r>
        <w:rPr>
          <w:color w:val="000000"/>
          <w:sz w:val="28"/>
          <w:szCs w:val="28"/>
          <w:lang w:eastAsia="lv-LV"/>
        </w:rPr>
        <w:t xml:space="preserve">arī plašs </w:t>
      </w:r>
      <w:r w:rsidRPr="00DC5762">
        <w:rPr>
          <w:color w:val="000000"/>
          <w:sz w:val="28"/>
          <w:szCs w:val="28"/>
          <w:lang w:eastAsia="lv-LV"/>
        </w:rPr>
        <w:t>atbalsts sabiedrībā.</w:t>
      </w:r>
    </w:p>
    <w:p w:rsidR="00BA2B09" w:rsidRDefault="00BA2B09" w:rsidP="00A83606">
      <w:pPr>
        <w:shd w:val="clear" w:color="auto" w:fill="FFFFFF"/>
        <w:spacing w:after="0"/>
        <w:ind w:firstLine="720"/>
        <w:jc w:val="both"/>
        <w:rPr>
          <w:color w:val="000000"/>
          <w:sz w:val="28"/>
          <w:szCs w:val="28"/>
          <w:lang w:eastAsia="lv-LV"/>
        </w:rPr>
      </w:pPr>
      <w:r>
        <w:rPr>
          <w:color w:val="000000"/>
          <w:sz w:val="28"/>
          <w:szCs w:val="28"/>
          <w:lang w:eastAsia="lv-LV"/>
        </w:rPr>
        <w:t>K</w:t>
      </w:r>
      <w:r w:rsidRPr="003D47E8">
        <w:rPr>
          <w:color w:val="000000"/>
          <w:sz w:val="28"/>
          <w:szCs w:val="28"/>
          <w:lang w:eastAsia="lv-LV"/>
        </w:rPr>
        <w:t>ā dažus no iespējamiem risin</w:t>
      </w:r>
      <w:r>
        <w:rPr>
          <w:color w:val="000000"/>
          <w:sz w:val="28"/>
          <w:szCs w:val="28"/>
          <w:lang w:eastAsia="lv-LV"/>
        </w:rPr>
        <w:t xml:space="preserve">ājumiem situācijas uzlabošanai, </w:t>
      </w:r>
      <w:r w:rsidRPr="00C430FC">
        <w:rPr>
          <w:color w:val="000000"/>
          <w:sz w:val="28"/>
          <w:szCs w:val="28"/>
          <w:lang w:eastAsia="lv-LV"/>
        </w:rPr>
        <w:t>sniedz</w:t>
      </w:r>
      <w:r>
        <w:rPr>
          <w:color w:val="000000"/>
          <w:sz w:val="28"/>
          <w:szCs w:val="28"/>
          <w:lang w:eastAsia="lv-LV"/>
        </w:rPr>
        <w:t>am</w:t>
      </w:r>
      <w:r w:rsidRPr="003D47E8">
        <w:rPr>
          <w:color w:val="000000"/>
          <w:sz w:val="28"/>
          <w:szCs w:val="28"/>
          <w:lang w:eastAsia="lv-LV"/>
        </w:rPr>
        <w:t xml:space="preserve"> priekšlikumus </w:t>
      </w:r>
      <w:r>
        <w:rPr>
          <w:color w:val="000000"/>
          <w:sz w:val="28"/>
          <w:szCs w:val="28"/>
          <w:lang w:eastAsia="lv-LV"/>
        </w:rPr>
        <w:t>grozījumiem normatīvajos aktos:</w:t>
      </w:r>
    </w:p>
    <w:p w:rsidR="00BA2B09" w:rsidRDefault="00BA2B09" w:rsidP="00A83606">
      <w:pPr>
        <w:shd w:val="clear" w:color="auto" w:fill="FFFFFF"/>
        <w:spacing w:after="0"/>
        <w:ind w:firstLine="720"/>
        <w:jc w:val="both"/>
        <w:rPr>
          <w:color w:val="000000"/>
          <w:sz w:val="28"/>
          <w:szCs w:val="28"/>
        </w:rPr>
      </w:pPr>
      <w:r w:rsidRPr="00A83606">
        <w:rPr>
          <w:i/>
          <w:iCs/>
          <w:color w:val="000000"/>
          <w:sz w:val="28"/>
          <w:szCs w:val="28"/>
          <w:lang w:eastAsia="lv-LV"/>
        </w:rPr>
        <w:t xml:space="preserve">1) Darba samaksas noteikšana valdes loceklim. </w:t>
      </w:r>
      <w:r>
        <w:rPr>
          <w:color w:val="000000"/>
          <w:sz w:val="28"/>
          <w:szCs w:val="28"/>
          <w:lang w:eastAsia="lv-LV"/>
        </w:rPr>
        <w:t xml:space="preserve">Bieži tiek konstatēts, ka </w:t>
      </w:r>
      <w:r>
        <w:rPr>
          <w:color w:val="000000"/>
          <w:sz w:val="28"/>
          <w:szCs w:val="28"/>
        </w:rPr>
        <w:t>kapitālsabiedrības nedeklarē darba samaksu nevienam darbiniekam, lai gan veic aktīvu saimniecisko darbību – 5,05 tūkst. kapitālsabiedrības uzrādījušas ar pievienotās vērtības nodokli apliekamus darījumus</w:t>
      </w:r>
      <w:r w:rsidRPr="004A5DDB">
        <w:rPr>
          <w:color w:val="000000"/>
          <w:sz w:val="28"/>
          <w:szCs w:val="28"/>
        </w:rPr>
        <w:t xml:space="preserve"> </w:t>
      </w:r>
      <w:r>
        <w:rPr>
          <w:color w:val="000000"/>
          <w:sz w:val="28"/>
          <w:szCs w:val="28"/>
        </w:rPr>
        <w:t>pēdējo 2012.gada 6 mēnešu laikā, bet kurām nav deklarēts neviens darba ņēmējs ar aprēķināto darba samaksu, kas lielāka par Ls 0.</w:t>
      </w:r>
      <w:r w:rsidRPr="00A83606">
        <w:rPr>
          <w:color w:val="000000"/>
          <w:sz w:val="28"/>
          <w:szCs w:val="28"/>
        </w:rPr>
        <w:t xml:space="preserve"> </w:t>
      </w:r>
      <w:r>
        <w:rPr>
          <w:color w:val="000000"/>
          <w:sz w:val="28"/>
          <w:szCs w:val="28"/>
        </w:rPr>
        <w:t>Tikai nelielu daļu - 11% no šīm kapitālsabiedrībām var uzskatīt par salīdzinoši jauniem uzņēmumiem, jo tie dibināti pēc 2011.gada  1.janvāra, bet vecāki par 5 gadiem ir vairāk kā 63% no šiem uzņēmumiem.</w:t>
      </w:r>
    </w:p>
    <w:p w:rsidR="00BA2B09" w:rsidRDefault="00BA2B09" w:rsidP="00EC79E7">
      <w:pPr>
        <w:shd w:val="clear" w:color="auto" w:fill="FFFFFF"/>
        <w:spacing w:after="0"/>
        <w:ind w:firstLine="720"/>
        <w:jc w:val="both"/>
        <w:rPr>
          <w:color w:val="000000"/>
          <w:sz w:val="28"/>
          <w:szCs w:val="28"/>
        </w:rPr>
      </w:pPr>
      <w:r w:rsidRPr="001457A8">
        <w:rPr>
          <w:color w:val="000000"/>
          <w:sz w:val="28"/>
          <w:szCs w:val="28"/>
        </w:rPr>
        <w:t xml:space="preserve">Tādējādi normatīvajos aktos  būtu jānosaka, ka šādās kapitālsabiedrībās ir jābūt deklarētam vismaz vienam darba ņēmējam ar darba samaksu, kas varētu būt arī kapitālsabiedrības valdes loceklis ar obligāti nosakāmu atlīdzību, kas atbilst viņa pienākumiem, ja tas papildu valdes locekļa pienākumiem </w:t>
      </w:r>
      <w:r>
        <w:rPr>
          <w:color w:val="000000"/>
          <w:sz w:val="28"/>
          <w:szCs w:val="28"/>
        </w:rPr>
        <w:t xml:space="preserve">ilglaicīgi </w:t>
      </w:r>
      <w:r w:rsidRPr="001457A8">
        <w:rPr>
          <w:color w:val="000000"/>
          <w:sz w:val="28"/>
          <w:szCs w:val="28"/>
        </w:rPr>
        <w:t>veic citus pienākumus</w:t>
      </w:r>
      <w:r>
        <w:rPr>
          <w:color w:val="000000"/>
          <w:sz w:val="28"/>
          <w:szCs w:val="28"/>
        </w:rPr>
        <w:t>, piemēram, pārdevēja, šofera - ekspeditora, šuvēja utml.</w:t>
      </w:r>
    </w:p>
    <w:p w:rsidR="00BA2B09" w:rsidRDefault="00BA2B09" w:rsidP="00EC79E7">
      <w:pPr>
        <w:shd w:val="clear" w:color="auto" w:fill="FFFFFF"/>
        <w:spacing w:after="0"/>
        <w:ind w:firstLine="720"/>
        <w:jc w:val="both"/>
        <w:rPr>
          <w:color w:val="000000"/>
          <w:sz w:val="28"/>
          <w:szCs w:val="28"/>
        </w:rPr>
      </w:pPr>
      <w:r>
        <w:rPr>
          <w:color w:val="000000"/>
          <w:sz w:val="28"/>
          <w:szCs w:val="28"/>
        </w:rPr>
        <w:t>Taču jautājuma risināšanai par normatīvo aktu grozījumiem ir  nepieciešama padziļināta izpēte, lai visām iesaistītajām  institūcijām būtu kopēja izpratne un vienots viedoklis, jo šobrīd tas ir atšķirīgs.</w:t>
      </w:r>
    </w:p>
    <w:p w:rsidR="00BA2B09" w:rsidRPr="002C5A8B" w:rsidRDefault="00BA2B09" w:rsidP="00EC79E7">
      <w:pPr>
        <w:shd w:val="clear" w:color="auto" w:fill="FFFFFF"/>
        <w:spacing w:after="0"/>
        <w:ind w:firstLine="720"/>
        <w:jc w:val="both"/>
        <w:rPr>
          <w:color w:val="000000"/>
          <w:sz w:val="28"/>
          <w:szCs w:val="28"/>
        </w:rPr>
      </w:pPr>
      <w:r>
        <w:rPr>
          <w:color w:val="000000"/>
          <w:sz w:val="28"/>
          <w:szCs w:val="28"/>
        </w:rPr>
        <w:lastRenderedPageBreak/>
        <w:t>Tā, piemēram, Labklājības un Finanšu ministrija ierosina izvērtēt nepieciešamos grozījumus Komerclikumā.  Savukārt Tieslietu ministrija tam nepiekrīt, jo pēc viņu ieskatiem, s</w:t>
      </w:r>
      <w:r w:rsidRPr="002C5A8B">
        <w:rPr>
          <w:color w:val="000000"/>
          <w:sz w:val="28"/>
          <w:szCs w:val="28"/>
        </w:rPr>
        <w:t xml:space="preserve">askaņā ar Komerclikuma regulējumu valdes loceklis amatā tiek iecelts, pamatojoties uz dalībnieku sapulces vai padomes lēmumu. Atlīdzība valdes loceklim izriet no pilnvarojuma tiesiskajām attiecībām. Saskaņā ar Komerclikuma noteikumiem valdes locekļiem ir tiesības uz atlīdzību atbilstoši viņa pienākumu apjomam un sabiedrības finansiālajam stāvoklim. Sabiedrībā ar ierobežotu atbildību atlīdzības apmēru nosaka ar padomes lēmumu, bet, ja nav padomes, </w:t>
      </w:r>
      <w:r w:rsidRPr="00EC79E7">
        <w:rPr>
          <w:rFonts w:ascii="Symbol" w:hAnsi="Symbol" w:cs="Symbol"/>
          <w:color w:val="000000"/>
          <w:sz w:val="28"/>
          <w:szCs w:val="28"/>
        </w:rPr>
        <w:t></w:t>
      </w:r>
      <w:r w:rsidRPr="002C5A8B">
        <w:rPr>
          <w:color w:val="000000"/>
          <w:sz w:val="28"/>
          <w:szCs w:val="28"/>
        </w:rPr>
        <w:t xml:space="preserve"> ar dalībnieku lēmumu, savukārt, akciju sabiedrībā atlīdzības apmēru nosaka padome, bet akcionāru sapulcei ir tiesības lemt par valdes locekļiem paredzētās atlīdzības noteikšanas vispārējiem principiem, veidiem un kritērijiem. Komerclikums nenosaka obligātu pienākumu maksāt atlīdzību par valdes locekļa pienākumu pildīšanu, bet gan ļauj pusēm vienoties gan par atlīdzības nepieciešamību, gan par konkrētu atlīdzības apmēru. Līdz ar to starp valdes locekli un sabiedrību noslēgtais pilnvarojuma līgums, kā jebkurš pilnvarojuma līgums, var būt gan atlīdzības, gan bezatlīdzības līgums.</w:t>
      </w:r>
      <w:r>
        <w:rPr>
          <w:color w:val="000000"/>
          <w:sz w:val="28"/>
          <w:szCs w:val="28"/>
        </w:rPr>
        <w:t xml:space="preserve"> </w:t>
      </w:r>
      <w:r w:rsidRPr="002C5A8B">
        <w:rPr>
          <w:color w:val="000000"/>
          <w:sz w:val="28"/>
          <w:szCs w:val="28"/>
        </w:rPr>
        <w:t xml:space="preserve">Minētais regulējums gan neliedz sabiedrībai ar valdes locekli noslēgt arī citu civiltiesisku līgumu, piemēram, uzņēmuma līgumu vai darba līgumu. Ja ar valdes locekli tiek noslēgts darba līgums, uz valdes locekli attiecas arī darba tiesisko attiecību regulējums, ciktāl tas nenonāk pretrunā ar Komerclikumu un komerctiesību principiem. Līdz ar to valdes loceklim rodas arī pienākums veikt nodokļu nomaksu par ienākumu, ko tas guvis kā darba ņēmējs. </w:t>
      </w:r>
    </w:p>
    <w:p w:rsidR="00BA2B09" w:rsidRPr="00A83606" w:rsidRDefault="00BA2B09" w:rsidP="00A83606">
      <w:pPr>
        <w:pStyle w:val="ListParagraph"/>
        <w:numPr>
          <w:ilvl w:val="0"/>
          <w:numId w:val="32"/>
        </w:numPr>
        <w:shd w:val="clear" w:color="auto" w:fill="FFFFFF"/>
        <w:ind w:left="0" w:firstLine="709"/>
        <w:jc w:val="both"/>
        <w:rPr>
          <w:i/>
          <w:iCs/>
          <w:color w:val="000000"/>
          <w:lang w:eastAsia="lv-LV"/>
        </w:rPr>
      </w:pPr>
      <w:r>
        <w:rPr>
          <w:i/>
          <w:iCs/>
          <w:color w:val="000000"/>
        </w:rPr>
        <w:t>D</w:t>
      </w:r>
      <w:r w:rsidRPr="00A83606">
        <w:rPr>
          <w:i/>
          <w:iCs/>
          <w:color w:val="000000"/>
        </w:rPr>
        <w:t>arba devēju</w:t>
      </w:r>
      <w:r>
        <w:rPr>
          <w:i/>
          <w:iCs/>
          <w:color w:val="000000"/>
        </w:rPr>
        <w:t xml:space="preserve"> stimulēšana</w:t>
      </w:r>
      <w:r w:rsidRPr="00A83606">
        <w:rPr>
          <w:i/>
          <w:iCs/>
          <w:color w:val="000000"/>
        </w:rPr>
        <w:t xml:space="preserve"> </w:t>
      </w:r>
      <w:r>
        <w:rPr>
          <w:i/>
          <w:iCs/>
          <w:color w:val="000000"/>
        </w:rPr>
        <w:t>deklarēt darba ņēmēju patiesos ienākumus</w:t>
      </w:r>
      <w:r w:rsidRPr="00A83606">
        <w:rPr>
          <w:i/>
          <w:iCs/>
          <w:color w:val="000000"/>
        </w:rPr>
        <w:t>:</w:t>
      </w:r>
    </w:p>
    <w:p w:rsidR="00BA2B09" w:rsidRPr="00EC69F4" w:rsidRDefault="00BA2B09" w:rsidP="00245BD6">
      <w:pPr>
        <w:shd w:val="clear" w:color="auto" w:fill="FFFFFF"/>
        <w:spacing w:after="0"/>
        <w:ind w:firstLine="720"/>
        <w:jc w:val="both"/>
        <w:rPr>
          <w:color w:val="000000"/>
          <w:sz w:val="28"/>
          <w:szCs w:val="28"/>
        </w:rPr>
      </w:pPr>
      <w:r w:rsidRPr="00EC69F4">
        <w:rPr>
          <w:color w:val="000000"/>
          <w:sz w:val="28"/>
          <w:szCs w:val="28"/>
        </w:rPr>
        <w:t>-</w:t>
      </w:r>
      <w:r w:rsidRPr="00EC69F4">
        <w:rPr>
          <w:i/>
          <w:iCs/>
          <w:color w:val="000000"/>
          <w:sz w:val="28"/>
          <w:szCs w:val="28"/>
        </w:rPr>
        <w:t xml:space="preserve"> </w:t>
      </w:r>
      <w:r w:rsidRPr="00EC69F4">
        <w:rPr>
          <w:color w:val="000000"/>
          <w:sz w:val="28"/>
          <w:szCs w:val="28"/>
        </w:rPr>
        <w:t xml:space="preserve">rosināt pašvaldībām </w:t>
      </w:r>
      <w:r>
        <w:rPr>
          <w:color w:val="000000"/>
          <w:sz w:val="28"/>
          <w:szCs w:val="28"/>
        </w:rPr>
        <w:t xml:space="preserve">savas kompetences ietvaros vairāk iesaistīties ēnu ekonomikas mazināšanā, piemēram, piemērojot </w:t>
      </w:r>
      <w:r w:rsidRPr="00EC69F4">
        <w:rPr>
          <w:color w:val="000000"/>
          <w:sz w:val="28"/>
          <w:szCs w:val="28"/>
        </w:rPr>
        <w:t>dažādas atlaides, bonusus (piemēram nekustamā īpašuma nodokļa atlaidi) tās teritorijā strādājošajiem komersantiem,</w:t>
      </w:r>
      <w:r w:rsidRPr="00EC69F4">
        <w:rPr>
          <w:color w:val="000000"/>
          <w:sz w:val="28"/>
          <w:szCs w:val="28"/>
          <w:lang w:eastAsia="lv-LV"/>
        </w:rPr>
        <w:t xml:space="preserve"> </w:t>
      </w:r>
      <w:r w:rsidRPr="00EC69F4">
        <w:rPr>
          <w:color w:val="000000"/>
          <w:sz w:val="28"/>
          <w:szCs w:val="28"/>
        </w:rPr>
        <w:t>kuriem darba samaksa pārsniedz strādājošo mēneša vidējo darba samaksu nozarē konkrētajā reģionā (pēc Centrālās statistikas pārvaldes mājas lapā publicētās informācijas)</w:t>
      </w:r>
      <w:r>
        <w:rPr>
          <w:color w:val="000000"/>
          <w:sz w:val="28"/>
          <w:szCs w:val="28"/>
        </w:rPr>
        <w:t>. Šajā procesā aicināt aktīvi piedalīties Latvijas Pašvaldību savienību, apkopojot labāko praksi un pieredzi šajā jautājumā, to izplatot pašvaldībās, kā arī aktīvāk iesaistīties nereģistrētās uzņēmējdarbības identificēšanā un ziņošanā VID</w:t>
      </w:r>
      <w:r w:rsidRPr="00EC69F4">
        <w:rPr>
          <w:color w:val="000000"/>
          <w:sz w:val="28"/>
          <w:szCs w:val="28"/>
        </w:rPr>
        <w:t>;</w:t>
      </w:r>
    </w:p>
    <w:p w:rsidR="00BA2B09" w:rsidRDefault="00BA2B09" w:rsidP="00EC69F4">
      <w:pPr>
        <w:shd w:val="clear" w:color="auto" w:fill="FFFFFF"/>
        <w:spacing w:after="0"/>
        <w:ind w:firstLine="720"/>
        <w:jc w:val="both"/>
        <w:rPr>
          <w:color w:val="000000"/>
          <w:sz w:val="28"/>
          <w:szCs w:val="28"/>
        </w:rPr>
      </w:pPr>
      <w:r w:rsidRPr="00EC69F4">
        <w:rPr>
          <w:color w:val="000000"/>
          <w:sz w:val="28"/>
          <w:szCs w:val="28"/>
        </w:rPr>
        <w:t>-</w:t>
      </w:r>
      <w:r>
        <w:rPr>
          <w:color w:val="000000"/>
          <w:sz w:val="28"/>
          <w:szCs w:val="28"/>
        </w:rPr>
        <w:t xml:space="preserve"> rosināt Latvijas Darba devēju konfederāciju, nozaru asociācijas, arodbiedrības aktīvāk diskutēt par darba koplīgumu, ģenerālvienošanos noslēgšanas nepieciešamību, tādējādi radot iespēju nodokļu maksātājiem vairāk iesaistīties konkurences apstākļu sakārtošanā, piemēram, iepriekš minētajā līgumā vai vienošanā nosakot minimālo darba samaksu pa profesiju grupām</w:t>
      </w:r>
      <w:r w:rsidRPr="00EC69F4">
        <w:rPr>
          <w:color w:val="000000"/>
          <w:sz w:val="28"/>
          <w:szCs w:val="28"/>
        </w:rPr>
        <w:t xml:space="preserve">. </w:t>
      </w:r>
    </w:p>
    <w:p w:rsidR="00BA2B09" w:rsidRDefault="00BA2B09" w:rsidP="00EC69F4">
      <w:pPr>
        <w:shd w:val="clear" w:color="auto" w:fill="FFFFFF"/>
        <w:spacing w:after="0"/>
        <w:ind w:firstLine="720"/>
        <w:jc w:val="both"/>
        <w:rPr>
          <w:color w:val="000000"/>
          <w:sz w:val="28"/>
          <w:szCs w:val="28"/>
        </w:rPr>
      </w:pPr>
      <w:r w:rsidRPr="00EC69F4">
        <w:rPr>
          <w:color w:val="000000"/>
          <w:sz w:val="28"/>
          <w:szCs w:val="28"/>
        </w:rPr>
        <w:t>Normatīvajos aktos jānosaka precīza uzņēmuma pamatdarbības veida</w:t>
      </w:r>
      <w:r>
        <w:rPr>
          <w:color w:val="000000"/>
          <w:sz w:val="28"/>
          <w:szCs w:val="28"/>
        </w:rPr>
        <w:t xml:space="preserve"> (nozares)</w:t>
      </w:r>
      <w:r w:rsidRPr="00EC69F4">
        <w:rPr>
          <w:color w:val="000000"/>
          <w:sz w:val="28"/>
          <w:szCs w:val="28"/>
        </w:rPr>
        <w:t xml:space="preserve"> pēc Eiropas Savienības ekonomisko aktivitāšu klasifikācijas </w:t>
      </w:r>
      <w:r w:rsidRPr="00EC69F4">
        <w:rPr>
          <w:color w:val="000000"/>
          <w:sz w:val="28"/>
          <w:szCs w:val="28"/>
        </w:rPr>
        <w:lastRenderedPageBreak/>
        <w:t>(NACE) lietošana gan no komersantu, gan no valsts iestāžu puses, jo vienīgais regulējums, kas nosaka NACE klasifikācijas lietošanu ir 2006.gada 20.decembra Eiropas Parlamenta un Padomes regula (EK) Nr.1893/2006, ar kuru tiek izveidota NACE 2.red. saimnieciskās darbības statistiskā klasifikācija</w:t>
      </w:r>
      <w:r>
        <w:rPr>
          <w:color w:val="000000"/>
          <w:sz w:val="28"/>
          <w:szCs w:val="28"/>
        </w:rPr>
        <w:t>. Nepieciešams ievērot arī Centrālās statistikas pārvaldes mājas lapā publicētās NACE 2.red. pamatnostādnes, kuras ir izdevis Eiropas Kopienu statistikas birojs.</w:t>
      </w:r>
    </w:p>
    <w:p w:rsidR="00BA2B09" w:rsidRDefault="00BA2B09" w:rsidP="003E633C">
      <w:pPr>
        <w:pStyle w:val="ListParagraph"/>
        <w:numPr>
          <w:ilvl w:val="0"/>
          <w:numId w:val="32"/>
        </w:numPr>
        <w:shd w:val="clear" w:color="auto" w:fill="FFFFFF"/>
        <w:ind w:left="0" w:firstLine="709"/>
        <w:jc w:val="both"/>
        <w:rPr>
          <w:color w:val="000000"/>
        </w:rPr>
      </w:pPr>
      <w:r w:rsidRPr="00A83606">
        <w:rPr>
          <w:i/>
          <w:iCs/>
          <w:color w:val="000000"/>
        </w:rPr>
        <w:t xml:space="preserve">VID nodokļu auditā aprēķinu metodes izmantošanas efektivitātes paaugstināšana </w:t>
      </w:r>
      <w:r>
        <w:rPr>
          <w:i/>
          <w:iCs/>
          <w:color w:val="000000"/>
        </w:rPr>
        <w:t>aplokšņu</w:t>
      </w:r>
      <w:r w:rsidRPr="00A83606">
        <w:rPr>
          <w:i/>
          <w:iCs/>
          <w:color w:val="000000"/>
        </w:rPr>
        <w:t xml:space="preserve"> algu izmaksātājiem.</w:t>
      </w:r>
      <w:r w:rsidRPr="00A83606">
        <w:rPr>
          <w:color w:val="000000"/>
        </w:rPr>
        <w:t xml:space="preserve"> Lai VID efektīvāk varētu savā darbā izmantot normatīvajos aktos sni</w:t>
      </w:r>
      <w:r>
        <w:rPr>
          <w:color w:val="000000"/>
        </w:rPr>
        <w:t>egtās iespējas aplokšņu</w:t>
      </w:r>
      <w:r w:rsidRPr="00A83606">
        <w:rPr>
          <w:color w:val="000000"/>
        </w:rPr>
        <w:t xml:space="preserve"> algu izmaksātājiem uz aprēķina pamata noteikt „aploksnes biezumu”, nepieciešams radīt iespēju iegūt informāciju par dažādu profesiju darba samaksu stundā. Līdz ar to nepieciešams normatīvajos aktos iestrādā</w:t>
      </w:r>
      <w:r>
        <w:rPr>
          <w:color w:val="000000"/>
        </w:rPr>
        <w:t xml:space="preserve">t pienākumu darba devējam, VID </w:t>
      </w:r>
      <w:r w:rsidRPr="00A83606">
        <w:rPr>
          <w:color w:val="000000"/>
        </w:rPr>
        <w:t>iesniedzot pārskatu „Ziņas par darba ņēmējiem”, pieņem</w:t>
      </w:r>
      <w:r>
        <w:rPr>
          <w:color w:val="000000"/>
        </w:rPr>
        <w:t xml:space="preserve">ot darbā, norādīt darba ņēmēja </w:t>
      </w:r>
      <w:r w:rsidRPr="00A83606">
        <w:rPr>
          <w:color w:val="000000"/>
        </w:rPr>
        <w:t>profesiju atbilstoši Profesiju k</w:t>
      </w:r>
      <w:r>
        <w:rPr>
          <w:color w:val="000000"/>
        </w:rPr>
        <w:t xml:space="preserve">lasifikatoram, kuru jau šobrīd </w:t>
      </w:r>
      <w:r w:rsidRPr="00A83606">
        <w:rPr>
          <w:color w:val="000000"/>
        </w:rPr>
        <w:t>aktuālu uztur L</w:t>
      </w:r>
      <w:r>
        <w:rPr>
          <w:color w:val="000000"/>
        </w:rPr>
        <w:t>abklājības ministrija</w:t>
      </w:r>
      <w:r w:rsidRPr="00A83606">
        <w:rPr>
          <w:color w:val="000000"/>
        </w:rPr>
        <w:t xml:space="preserve"> un kas ir noteikts Darba likuma 40.pantā. Papildus nepieciešams „Ziņojumā par valsts sociālās apdrošināšanas obligātajām iemaksām no darba ņēmēju darba ienākumiem, iedzīvotāju ienākuma nodokli un uz</w:t>
      </w:r>
      <w:r>
        <w:rPr>
          <w:color w:val="000000"/>
        </w:rPr>
        <w:t>ņ</w:t>
      </w:r>
      <w:r w:rsidRPr="00A83606">
        <w:rPr>
          <w:color w:val="000000"/>
        </w:rPr>
        <w:t>ēmējdarbības riska valsts nodevu pārskata mēnesī” visiem darba ņēmējiem norādīt faktiski nostrādāto stundu skaitu katrā mēnesī. Šobrīd šāda prasība ir noteikta tikai par tiem darba ņēmējiem, kuriem darba samaksa ir zem valstī noteiktās minimālās darba samaksas. Tādējādi VID rīcībā būs precīza informācija par komersantu deklarēto vidējo darba samaksu stundā katrai profesijai, kā rezultātā VID nodokļu auditā nepieciešamības gadījumā varēs papildus noteikt darba samaksu no starpības starp vidējo rādītāju valstī un auditējamā komersanta deklarēto darb</w:t>
      </w:r>
      <w:r>
        <w:rPr>
          <w:color w:val="000000"/>
        </w:rPr>
        <w:t>a samaksas lielumu (starpība – aplokšņu alga</w:t>
      </w:r>
      <w:r w:rsidRPr="00A83606">
        <w:rPr>
          <w:color w:val="000000"/>
        </w:rPr>
        <w:t>).</w:t>
      </w:r>
    </w:p>
    <w:p w:rsidR="00BA2B09" w:rsidRPr="003E633C" w:rsidRDefault="00BA2B09" w:rsidP="003E633C">
      <w:pPr>
        <w:shd w:val="clear" w:color="auto" w:fill="FFFFFF"/>
        <w:spacing w:after="0"/>
        <w:ind w:firstLine="709"/>
        <w:jc w:val="both"/>
        <w:rPr>
          <w:color w:val="000000"/>
          <w:sz w:val="28"/>
          <w:szCs w:val="28"/>
        </w:rPr>
      </w:pPr>
      <w:r>
        <w:rPr>
          <w:color w:val="000000"/>
          <w:sz w:val="28"/>
          <w:szCs w:val="28"/>
        </w:rPr>
        <w:t>Minētās</w:t>
      </w:r>
      <w:r w:rsidRPr="003E633C">
        <w:rPr>
          <w:color w:val="000000"/>
          <w:sz w:val="28"/>
          <w:szCs w:val="28"/>
        </w:rPr>
        <w:t xml:space="preserve"> problēmas </w:t>
      </w:r>
      <w:r>
        <w:rPr>
          <w:color w:val="000000"/>
          <w:sz w:val="28"/>
          <w:szCs w:val="28"/>
        </w:rPr>
        <w:t>izklāsts</w:t>
      </w:r>
      <w:r w:rsidRPr="003E633C">
        <w:rPr>
          <w:color w:val="000000"/>
          <w:sz w:val="28"/>
          <w:szCs w:val="28"/>
        </w:rPr>
        <w:t xml:space="preserve"> tika iekļauts 2012.gada 4.septembrī </w:t>
      </w:r>
      <w:r>
        <w:rPr>
          <w:color w:val="000000"/>
          <w:sz w:val="28"/>
          <w:szCs w:val="28"/>
        </w:rPr>
        <w:t>Ministru kabineta</w:t>
      </w:r>
      <w:r w:rsidRPr="003E633C">
        <w:rPr>
          <w:color w:val="000000"/>
          <w:sz w:val="28"/>
          <w:szCs w:val="28"/>
        </w:rPr>
        <w:t xml:space="preserve"> sēdē izskatītajā informatīvajā ziņojumā „Par nodokļu ieņēmumu prognozes paaugstināšanu, īstenojot ēnu ekonomikas apkarošanas un citus pasākumus”. Atbilstoši protokollēmumam (M</w:t>
      </w:r>
      <w:r>
        <w:rPr>
          <w:color w:val="000000"/>
          <w:sz w:val="28"/>
          <w:szCs w:val="28"/>
        </w:rPr>
        <w:t>inistru kabineta</w:t>
      </w:r>
      <w:r w:rsidRPr="003E633C">
        <w:rPr>
          <w:color w:val="000000"/>
          <w:sz w:val="28"/>
          <w:szCs w:val="28"/>
        </w:rPr>
        <w:t xml:space="preserve"> sēdes protokola Nr.50, 44 §.), lai nodrošinātu informatīvā ziņojuma 2.sadaļā </w:t>
      </w:r>
      <w:r>
        <w:rPr>
          <w:color w:val="000000"/>
          <w:sz w:val="28"/>
          <w:szCs w:val="28"/>
        </w:rPr>
        <w:t>„</w:t>
      </w:r>
      <w:r w:rsidRPr="003E633C">
        <w:rPr>
          <w:color w:val="000000"/>
          <w:sz w:val="28"/>
          <w:szCs w:val="28"/>
        </w:rPr>
        <w:t xml:space="preserve">Ēnu ekonomikas apkarošanas un citi pasākumi” minētā 2.priekšlikuma īstenošanu, Labklājības ministrijai uzdots izstrādāt un noteiktā kārtībā līdz 2012.gada 1.decembrim iesniegt Ministru kabinetā nepieciešamos grozījumus Ministru kabineta 2010.gada 7.septembra noteikumos Nr.827 </w:t>
      </w:r>
      <w:r>
        <w:rPr>
          <w:color w:val="000000"/>
          <w:sz w:val="28"/>
          <w:szCs w:val="28"/>
        </w:rPr>
        <w:t>„</w:t>
      </w:r>
      <w:r w:rsidRPr="003E633C">
        <w:rPr>
          <w:color w:val="000000"/>
          <w:sz w:val="28"/>
          <w:szCs w:val="28"/>
        </w:rPr>
        <w:t>Noteikumi par valsts sociālās apdrošināšanas obligāto iemaksu veicēju reģistrāciju un ziņojumiem par valsts sociālās apdrošināšanas obligātajām iemaksām un iedzīvotāju ienākuma nodokli</w:t>
      </w:r>
      <w:r>
        <w:rPr>
          <w:color w:val="000000"/>
          <w:sz w:val="28"/>
          <w:szCs w:val="28"/>
        </w:rPr>
        <w:t>”</w:t>
      </w:r>
      <w:r w:rsidRPr="003E633C">
        <w:rPr>
          <w:color w:val="000000"/>
          <w:sz w:val="28"/>
          <w:szCs w:val="28"/>
        </w:rPr>
        <w:t>.</w:t>
      </w:r>
    </w:p>
    <w:p w:rsidR="00BA2B09" w:rsidRPr="00F9431B" w:rsidRDefault="00BA2B09" w:rsidP="003E633C">
      <w:pPr>
        <w:pStyle w:val="ListParagraph"/>
        <w:numPr>
          <w:ilvl w:val="0"/>
          <w:numId w:val="32"/>
        </w:numPr>
        <w:shd w:val="clear" w:color="auto" w:fill="FFFFFF"/>
        <w:ind w:left="0" w:firstLine="360"/>
        <w:jc w:val="both"/>
        <w:rPr>
          <w:color w:val="000000"/>
          <w:lang w:eastAsia="lv-LV"/>
        </w:rPr>
      </w:pPr>
      <w:r w:rsidRPr="00B3353A">
        <w:rPr>
          <w:i/>
          <w:iCs/>
          <w:color w:val="000000"/>
          <w:lang w:eastAsia="lv-LV"/>
        </w:rPr>
        <w:t>Publiskie resursi, tai skaitā ES un citas ārval</w:t>
      </w:r>
      <w:r>
        <w:rPr>
          <w:i/>
          <w:iCs/>
          <w:color w:val="000000"/>
          <w:lang w:eastAsia="lv-LV"/>
        </w:rPr>
        <w:t>stu finanšu palīdzības līdzekļi</w:t>
      </w:r>
      <w:r w:rsidRPr="00B3353A">
        <w:rPr>
          <w:i/>
          <w:iCs/>
          <w:color w:val="000000"/>
          <w:lang w:eastAsia="lv-LV"/>
        </w:rPr>
        <w:t>, tiek piešķirti un priekšrocības valsts un paš</w:t>
      </w:r>
      <w:r>
        <w:rPr>
          <w:i/>
          <w:iCs/>
          <w:color w:val="000000"/>
          <w:lang w:eastAsia="lv-LV"/>
        </w:rPr>
        <w:t>valdības publiskajos iepirkumos</w:t>
      </w:r>
      <w:r w:rsidRPr="00B3353A">
        <w:rPr>
          <w:i/>
          <w:iCs/>
          <w:color w:val="000000"/>
          <w:lang w:eastAsia="lv-LV"/>
        </w:rPr>
        <w:t xml:space="preserve"> </w:t>
      </w:r>
      <w:r>
        <w:rPr>
          <w:i/>
          <w:iCs/>
          <w:color w:val="000000"/>
          <w:lang w:eastAsia="lv-LV"/>
        </w:rPr>
        <w:t>sniegtas</w:t>
      </w:r>
      <w:r w:rsidRPr="00B3353A">
        <w:rPr>
          <w:i/>
          <w:iCs/>
          <w:color w:val="000000"/>
          <w:lang w:eastAsia="lv-LV"/>
        </w:rPr>
        <w:t xml:space="preserve"> godprātīgiem nodokļu maksātājiem</w:t>
      </w:r>
      <w:r>
        <w:rPr>
          <w:i/>
          <w:iCs/>
          <w:color w:val="000000"/>
          <w:lang w:eastAsia="lv-LV"/>
        </w:rPr>
        <w:t xml:space="preserve">. </w:t>
      </w:r>
    </w:p>
    <w:p w:rsidR="00BA2B09" w:rsidRPr="005952C0" w:rsidRDefault="00BA2B09" w:rsidP="00F9431B">
      <w:pPr>
        <w:pStyle w:val="ListParagraph"/>
        <w:shd w:val="clear" w:color="auto" w:fill="FFFFFF"/>
        <w:ind w:left="0" w:firstLine="709"/>
        <w:jc w:val="both"/>
        <w:rPr>
          <w:color w:val="000000"/>
          <w:lang w:eastAsia="lv-LV"/>
        </w:rPr>
      </w:pPr>
      <w:r>
        <w:rPr>
          <w:color w:val="000000"/>
          <w:lang w:eastAsia="lv-LV"/>
        </w:rPr>
        <w:lastRenderedPageBreak/>
        <w:t>Nav pieļaujama pašreizējā situācija, ka publiskie resursi, t.</w:t>
      </w:r>
      <w:r w:rsidRPr="00F83BDF">
        <w:rPr>
          <w:color w:val="000000"/>
          <w:lang w:eastAsia="lv-LV"/>
        </w:rPr>
        <w:t>sk</w:t>
      </w:r>
      <w:r>
        <w:rPr>
          <w:color w:val="000000"/>
          <w:lang w:eastAsia="lv-LV"/>
        </w:rPr>
        <w:t>.</w:t>
      </w:r>
      <w:r w:rsidRPr="00F83BDF">
        <w:rPr>
          <w:color w:val="000000"/>
          <w:lang w:eastAsia="lv-LV"/>
        </w:rPr>
        <w:t xml:space="preserve"> ES fondu līdzekļ</w:t>
      </w:r>
      <w:r>
        <w:rPr>
          <w:color w:val="000000"/>
          <w:lang w:eastAsia="lv-LV"/>
        </w:rPr>
        <w:t>i</w:t>
      </w:r>
      <w:r w:rsidRPr="00F83BDF">
        <w:rPr>
          <w:color w:val="000000"/>
          <w:lang w:eastAsia="lv-LV"/>
        </w:rPr>
        <w:t xml:space="preserve"> un valsts un pašvaldīb</w:t>
      </w:r>
      <w:r>
        <w:rPr>
          <w:color w:val="000000"/>
          <w:lang w:eastAsia="lv-LV"/>
        </w:rPr>
        <w:t>u</w:t>
      </w:r>
      <w:r w:rsidRPr="00F83BDF">
        <w:rPr>
          <w:color w:val="000000"/>
          <w:lang w:eastAsia="lv-LV"/>
        </w:rPr>
        <w:t xml:space="preserve"> publisk</w:t>
      </w:r>
      <w:r>
        <w:rPr>
          <w:color w:val="000000"/>
          <w:lang w:eastAsia="lv-LV"/>
        </w:rPr>
        <w:t>ie</w:t>
      </w:r>
      <w:r w:rsidRPr="00F83BDF">
        <w:rPr>
          <w:color w:val="000000"/>
          <w:lang w:eastAsia="lv-LV"/>
        </w:rPr>
        <w:t xml:space="preserve"> iepirkum</w:t>
      </w:r>
      <w:r>
        <w:rPr>
          <w:color w:val="000000"/>
          <w:lang w:eastAsia="lv-LV"/>
        </w:rPr>
        <w:t>i</w:t>
      </w:r>
      <w:r w:rsidRPr="00F83BDF">
        <w:rPr>
          <w:color w:val="000000"/>
          <w:lang w:eastAsia="lv-LV"/>
        </w:rPr>
        <w:t>, ir p</w:t>
      </w:r>
      <w:r>
        <w:rPr>
          <w:color w:val="000000"/>
          <w:lang w:eastAsia="lv-LV"/>
        </w:rPr>
        <w:t>ieejami praktiski visiem komersantiem, kuri izpilda šobrīd spēkā esošos kritērijus, neraugoties uz to, kādu darba samaksu un līdz ar to arī samaksātos nodokļus no tās, tie ir deklarējuši. Tā kā šie publiskie resursi ir valsts vai ES budžeta līdzekļi, to piešķirot vai ļaujot izmantot, valsts parāda sabiedrībai savu attieksmi, kāda veida komercdarbību tā atbalsta. Nevar uzskatīt par normālu situāciju, ka 43% nodokļu maksātāji no tiem, kas 2011.gada 9 mēnešos uzvarējuši valsts vai pašvaldību iepirkumu konkursos, 2011.gadā bija deklarējuši vidējo darba samaksu zem valstī noteiktās minimālās darba algas līmeņa.</w:t>
      </w:r>
    </w:p>
    <w:p w:rsidR="00BA2B09" w:rsidRDefault="00BA2B09" w:rsidP="005D626C">
      <w:pPr>
        <w:tabs>
          <w:tab w:val="left" w:pos="-8222"/>
        </w:tabs>
        <w:spacing w:after="0"/>
        <w:jc w:val="both"/>
        <w:rPr>
          <w:color w:val="000000"/>
          <w:sz w:val="28"/>
          <w:szCs w:val="28"/>
        </w:rPr>
      </w:pPr>
      <w:r>
        <w:rPr>
          <w:color w:val="000000"/>
          <w:sz w:val="28"/>
          <w:szCs w:val="28"/>
        </w:rPr>
        <w:tab/>
      </w:r>
      <w:r w:rsidRPr="00F9431B">
        <w:rPr>
          <w:color w:val="000000"/>
          <w:sz w:val="28"/>
          <w:szCs w:val="28"/>
        </w:rPr>
        <w:t>VID ir vairāku gadu pieredze sadarbībā ar nozaru asociācijām, kuras ir pierādījušas pilnvērtīgu izpratni par savas nozares specifiku, turklāt nozaru asociācijas ir veikušas dažādus pētījumus un noteikušas savu pakalpojumu minimālās iespējamās cenas (kurās darba samaksa ietverta vismaz minimālās algas robežās), piemēram Latvijas Drošības biznesa asociācija un Latvijas Profesionālās uzkopšanas un apsaimniekošanas asociācija.</w:t>
      </w:r>
      <w:r>
        <w:rPr>
          <w:color w:val="000000"/>
          <w:sz w:val="28"/>
          <w:szCs w:val="28"/>
        </w:rPr>
        <w:t xml:space="preserve"> </w:t>
      </w:r>
      <w:r w:rsidRPr="005D626C">
        <w:rPr>
          <w:color w:val="000000"/>
          <w:sz w:val="28"/>
          <w:szCs w:val="28"/>
        </w:rPr>
        <w:t xml:space="preserve">Tā kā Publisko iepirkumu likums paredz iespēju pieaicināt ekspertus dalībai iepirkumu komisijās, </w:t>
      </w:r>
      <w:r w:rsidRPr="00441E10">
        <w:rPr>
          <w:color w:val="000000"/>
          <w:sz w:val="28"/>
          <w:szCs w:val="28"/>
        </w:rPr>
        <w:t>ierosinām pie vērtēšanas kā ekspertus iesaistīt profesionālās nozaru asociācijas, kā arī iepirkumu procesā pastāvīgi ņemt vērā Iepirkumu uzraudzības biroja Konsultatīvās padomes izstrādātos metodiskos materiālus publisko iepirkumu organizēšanā dažādās nozarēs</w:t>
      </w:r>
      <w:r>
        <w:rPr>
          <w:color w:val="000000"/>
          <w:sz w:val="28"/>
          <w:szCs w:val="28"/>
        </w:rPr>
        <w:t>. Ņ</w:t>
      </w:r>
      <w:r w:rsidRPr="005D626C">
        <w:rPr>
          <w:color w:val="000000"/>
          <w:sz w:val="28"/>
          <w:szCs w:val="28"/>
        </w:rPr>
        <w:t xml:space="preserve">emot vērā to, ka šobrīd bieži galvenais kritērijs iepirkumu </w:t>
      </w:r>
      <w:r w:rsidRPr="00441E10">
        <w:rPr>
          <w:color w:val="000000"/>
          <w:sz w:val="28"/>
          <w:szCs w:val="28"/>
        </w:rPr>
        <w:t>vērtēšanā ir „piedāvājums ar zemāko cenu”, kas piegādātājus spiež visos iespējamos veidos optimizēt savas izmaksas, nereti ietaupot arī uz nodokļu nomaksas rēķina,  ierosinām Iepirkumu uzraudzības biroja Konsultatīvajai padomei sadarbībā ar nozaru asociācijām pastiprinātu uzmanību pievērts saimnieciski visizdevīgākā piedāvājuma vērtēšanas kritēriju izstrādei tajās nozarēs, kurās identificētas vislielākās problēmas ar nodokļu nomaksu.</w:t>
      </w:r>
      <w:r w:rsidRPr="005D626C">
        <w:rPr>
          <w:color w:val="000000"/>
          <w:sz w:val="28"/>
          <w:szCs w:val="28"/>
        </w:rPr>
        <w:t xml:space="preserve"> </w:t>
      </w:r>
    </w:p>
    <w:p w:rsidR="00BA2B09" w:rsidRDefault="00BA2B09" w:rsidP="00245BD6">
      <w:pPr>
        <w:spacing w:after="0"/>
        <w:ind w:firstLine="720"/>
        <w:jc w:val="both"/>
        <w:rPr>
          <w:color w:val="000000"/>
        </w:rPr>
      </w:pPr>
      <w:r w:rsidRPr="003867BA">
        <w:rPr>
          <w:i/>
          <w:iCs/>
          <w:color w:val="000000"/>
          <w:sz w:val="28"/>
          <w:szCs w:val="28"/>
        </w:rPr>
        <w:t>5)</w:t>
      </w:r>
      <w:r>
        <w:rPr>
          <w:i/>
          <w:iCs/>
          <w:color w:val="000000"/>
          <w:sz w:val="28"/>
          <w:szCs w:val="28"/>
        </w:rPr>
        <w:t xml:space="preserve"> Stimulēt darba devējus un darba ņēmējus uzrādīt patiesi nostrādāto darba laiku darba ņēmējiem, kas neobjektīvu apstākļu rezultātā ilgstoši strādā nepilnu darba laiku</w:t>
      </w:r>
      <w:r w:rsidRPr="003867BA">
        <w:rPr>
          <w:i/>
          <w:iCs/>
          <w:color w:val="000000"/>
          <w:sz w:val="28"/>
          <w:szCs w:val="28"/>
        </w:rPr>
        <w:t>.</w:t>
      </w:r>
      <w:r w:rsidRPr="003867BA">
        <w:rPr>
          <w:color w:val="000000"/>
          <w:sz w:val="28"/>
          <w:szCs w:val="28"/>
        </w:rPr>
        <w:t xml:space="preserve"> VID un VDI, veicot kontroles pasākumus, bieži konstatē gadījumus, kad darba devējs ar darbiniekiem noslēdzis darba līgumus, kuros norādīts, ka darbinieks tiek nodarbināts nepilnu darba laiku, bet, veicot pārbaudi, tiek secināts, ka darba devējs nevarēja nodrošināt faktiski veikto darbu apjomu ar darba laika uzskaites tabelēs norādīto darbinieku kopējo nostrādāto stundu skaitu. Šajā gadījumā VID ir pamats uzskatīt, ka darbinieki tiek nodarbināti ne tikai dažas stundas dienā, kā norādīts darba līgumā, bet gan visu darba dienu. Saskaņā ar Darba likuma 134.pantu nepilnu darba laiku nosaka, ja darba devējs un darbinieks par to vienojas, tomēr daudzos gadījumos darbiniekam „brīvprātīgi piespiedu kārtā” ir jāparaksta darba līgums, jo viņam nav citu iztikas avotu. </w:t>
      </w:r>
    </w:p>
    <w:p w:rsidR="00BA2B09" w:rsidRDefault="00BA2B09" w:rsidP="00FF7893">
      <w:pPr>
        <w:shd w:val="clear" w:color="auto" w:fill="FFFFFF"/>
        <w:spacing w:after="0"/>
        <w:ind w:firstLine="709"/>
        <w:jc w:val="both"/>
        <w:rPr>
          <w:sz w:val="28"/>
          <w:szCs w:val="28"/>
        </w:rPr>
      </w:pPr>
      <w:r w:rsidRPr="009A050A">
        <w:rPr>
          <w:i/>
          <w:iCs/>
          <w:sz w:val="28"/>
          <w:szCs w:val="28"/>
        </w:rPr>
        <w:t xml:space="preserve">6) Regulējuma būvniecības jomā pārskatīšana. </w:t>
      </w:r>
      <w:r w:rsidRPr="009A050A">
        <w:rPr>
          <w:sz w:val="28"/>
          <w:szCs w:val="28"/>
        </w:rPr>
        <w:t xml:space="preserve">Lai pilnvērtīgāk un veiksmīgāk varētu uzraudzīt nodarbinātību būvniecības </w:t>
      </w:r>
      <w:r>
        <w:rPr>
          <w:sz w:val="28"/>
          <w:szCs w:val="28"/>
        </w:rPr>
        <w:t>objektos</w:t>
      </w:r>
      <w:r w:rsidRPr="009A050A">
        <w:rPr>
          <w:sz w:val="28"/>
          <w:szCs w:val="28"/>
        </w:rPr>
        <w:t xml:space="preserve">, </w:t>
      </w:r>
      <w:r w:rsidRPr="009A050A">
        <w:rPr>
          <w:sz w:val="28"/>
          <w:szCs w:val="28"/>
        </w:rPr>
        <w:lastRenderedPageBreak/>
        <w:t xml:space="preserve">nepieciešams pārskatīt esošajos normatīvajos aktos noteiktās prasības </w:t>
      </w:r>
      <w:r>
        <w:rPr>
          <w:sz w:val="28"/>
          <w:szCs w:val="28"/>
        </w:rPr>
        <w:t>par</w:t>
      </w:r>
      <w:r w:rsidRPr="00D7662E">
        <w:rPr>
          <w:sz w:val="28"/>
          <w:szCs w:val="28"/>
        </w:rPr>
        <w:t xml:space="preserve"> darba devēju un ģenerāluzņēmēju pienākumiem attiecībā uz iesniedzamajiem dokumentiem par nodarbinātājiem un darbuzņēmējiem</w:t>
      </w:r>
      <w:r>
        <w:rPr>
          <w:sz w:val="28"/>
          <w:szCs w:val="28"/>
        </w:rPr>
        <w:t>.</w:t>
      </w:r>
    </w:p>
    <w:p w:rsidR="00BA2B09" w:rsidRPr="00445133" w:rsidRDefault="00BA2B09" w:rsidP="00445133">
      <w:pPr>
        <w:shd w:val="clear" w:color="auto" w:fill="FFFFFF"/>
        <w:tabs>
          <w:tab w:val="num" w:pos="-6663"/>
        </w:tabs>
        <w:spacing w:after="0"/>
        <w:ind w:firstLine="709"/>
        <w:jc w:val="both"/>
        <w:rPr>
          <w:i/>
          <w:iCs/>
          <w:color w:val="000000"/>
          <w:sz w:val="28"/>
          <w:szCs w:val="28"/>
          <w:lang w:eastAsia="lv-LV"/>
        </w:rPr>
      </w:pPr>
      <w:r>
        <w:rPr>
          <w:i/>
          <w:iCs/>
          <w:sz w:val="28"/>
          <w:szCs w:val="28"/>
        </w:rPr>
        <w:t>7</w:t>
      </w:r>
      <w:r w:rsidRPr="00445133">
        <w:rPr>
          <w:i/>
          <w:iCs/>
          <w:sz w:val="28"/>
          <w:szCs w:val="28"/>
        </w:rPr>
        <w:t xml:space="preserve">) </w:t>
      </w:r>
      <w:r>
        <w:rPr>
          <w:i/>
          <w:iCs/>
          <w:sz w:val="28"/>
          <w:szCs w:val="28"/>
        </w:rPr>
        <w:t>Piemērojamā soda lieluma</w:t>
      </w:r>
      <w:r w:rsidRPr="00445133">
        <w:rPr>
          <w:i/>
          <w:iCs/>
          <w:sz w:val="28"/>
          <w:szCs w:val="28"/>
        </w:rPr>
        <w:t xml:space="preserve"> pārskatīšana.</w:t>
      </w:r>
    </w:p>
    <w:p w:rsidR="00BA2B09" w:rsidRDefault="00BA2B09" w:rsidP="00445133">
      <w:pPr>
        <w:shd w:val="clear" w:color="auto" w:fill="FFFFFF"/>
        <w:spacing w:after="0"/>
        <w:ind w:firstLine="720"/>
        <w:jc w:val="both"/>
        <w:rPr>
          <w:sz w:val="28"/>
          <w:szCs w:val="28"/>
        </w:rPr>
      </w:pPr>
      <w:r w:rsidRPr="00B53EB1">
        <w:rPr>
          <w:sz w:val="28"/>
          <w:szCs w:val="28"/>
        </w:rPr>
        <w:t xml:space="preserve">Iepriekš, 2008.gadā, tika veikti grozījumi, lai paaugstinātu darba devēju atbildību par darba tiesiskās attiecības regulējošo normatīvo aktu pārkāpumiem, paredzot sodus par darba līgumu nenoslēgšanu rakstveida formā darba devējam </w:t>
      </w:r>
      <w:r>
        <w:rPr>
          <w:sz w:val="28"/>
          <w:szCs w:val="28"/>
        </w:rPr>
        <w:t xml:space="preserve">– </w:t>
      </w:r>
      <w:r w:rsidRPr="00B53EB1">
        <w:rPr>
          <w:sz w:val="28"/>
          <w:szCs w:val="28"/>
        </w:rPr>
        <w:t xml:space="preserve">fiziskajai personai vai amatpersonai no simt līdz trīssimt piecdesmit latiem, juridiskajai personai </w:t>
      </w:r>
      <w:r>
        <w:rPr>
          <w:sz w:val="28"/>
          <w:szCs w:val="28"/>
        </w:rPr>
        <w:t xml:space="preserve">– </w:t>
      </w:r>
      <w:r w:rsidRPr="00B53EB1">
        <w:rPr>
          <w:sz w:val="28"/>
          <w:szCs w:val="28"/>
        </w:rPr>
        <w:t xml:space="preserve">no septiņsimt piecdesmit līdz piectūkstoš latiem, bet par atkārtoti izdarīto pārkāpumu paredzot naudas sodu darba devējam </w:t>
      </w:r>
      <w:r>
        <w:rPr>
          <w:sz w:val="28"/>
          <w:szCs w:val="28"/>
        </w:rPr>
        <w:t xml:space="preserve">– </w:t>
      </w:r>
      <w:r w:rsidRPr="00B53EB1">
        <w:rPr>
          <w:sz w:val="28"/>
          <w:szCs w:val="28"/>
        </w:rPr>
        <w:t xml:space="preserve">fiziskajai personai vai amatpersonai no četrsimt līdz piecsimt latiem, juridiskajai personai </w:t>
      </w:r>
      <w:r>
        <w:rPr>
          <w:sz w:val="28"/>
          <w:szCs w:val="28"/>
        </w:rPr>
        <w:t xml:space="preserve">– </w:t>
      </w:r>
      <w:r w:rsidRPr="00B53EB1">
        <w:rPr>
          <w:sz w:val="28"/>
          <w:szCs w:val="28"/>
        </w:rPr>
        <w:t>no piectūkstoš līdz desmittūkstoš latiem. Tomēr praksē nākas konstatēt, ka atsevišķos gadījumos šāds sods ir pārlieku drastisks, līdz ar to būtu nepieciešams pārskatīt Latvijas Administratīvo pārkāpumu kodeksa regulējum</w:t>
      </w:r>
      <w:r>
        <w:rPr>
          <w:sz w:val="28"/>
          <w:szCs w:val="28"/>
        </w:rPr>
        <w:t>u</w:t>
      </w:r>
      <w:r w:rsidRPr="00B53EB1">
        <w:rPr>
          <w:sz w:val="28"/>
          <w:szCs w:val="28"/>
        </w:rPr>
        <w:t>s attiecībā uz administratīvo sodu apmēru diferencēšanu un mazināšanu atsevišķos gadījumos par nodarbināšanu bez rakstveida darba līguma.</w:t>
      </w:r>
    </w:p>
    <w:p w:rsidR="00BA2B09" w:rsidRDefault="00BA2B09" w:rsidP="00AD6CCE">
      <w:pPr>
        <w:shd w:val="clear" w:color="auto" w:fill="FFFFFF"/>
        <w:spacing w:after="0"/>
        <w:ind w:firstLine="720"/>
        <w:jc w:val="both"/>
        <w:rPr>
          <w:sz w:val="28"/>
          <w:szCs w:val="28"/>
        </w:rPr>
      </w:pPr>
      <w:r w:rsidRPr="00EC69F4">
        <w:rPr>
          <w:sz w:val="28"/>
          <w:szCs w:val="28"/>
        </w:rPr>
        <w:t>Papildus vērtējams ir jautājums par iespējām noteikt VDI tiesības piemērot administratīvo sodu par Latvijas Administratīvo pārkāpumu kodeksa 175.</w:t>
      </w:r>
      <w:r w:rsidRPr="00EC69F4">
        <w:rPr>
          <w:sz w:val="28"/>
          <w:szCs w:val="28"/>
          <w:vertAlign w:val="superscript"/>
        </w:rPr>
        <w:t>2</w:t>
      </w:r>
      <w:r w:rsidRPr="00EC69F4">
        <w:rPr>
          <w:sz w:val="28"/>
          <w:szCs w:val="28"/>
        </w:rPr>
        <w:t>panta (kontroles, uzraudzības vai izmeklēšanas funkcijas realizējošo valsts vai pašvaldības institūciju amatpersonu likumīgo prasību neizpildīšana) pārkāpumu, jo nereti gadās situācijas, kad VDI amatpersonām tiek liegts vai radīti šķēršļi apmeklēt un apsekot uzraudzībai un kontrolei pakļautās personas un objektus, personas izvairās ierasties saskaņā ar uzaicinājumu VDI sniegt paskaidrojumus un iesniegt nepieciešamos dokumentus, tiek traucēts apstrādāt pierādījumus (piemēram, neļaujot fotografēt, kopēt dokumentus u.c.)</w:t>
      </w:r>
      <w:r>
        <w:rPr>
          <w:sz w:val="28"/>
          <w:szCs w:val="28"/>
        </w:rPr>
        <w:t>.</w:t>
      </w:r>
    </w:p>
    <w:p w:rsidR="00BA2B09" w:rsidRDefault="00BA2B09" w:rsidP="00D0093C">
      <w:pPr>
        <w:spacing w:after="0"/>
        <w:jc w:val="both"/>
        <w:rPr>
          <w:sz w:val="28"/>
          <w:szCs w:val="28"/>
        </w:rPr>
      </w:pPr>
    </w:p>
    <w:p w:rsidR="00BA2B09" w:rsidRDefault="00BA2B09" w:rsidP="00D0093C">
      <w:pPr>
        <w:spacing w:after="0"/>
        <w:jc w:val="both"/>
        <w:rPr>
          <w:sz w:val="28"/>
          <w:szCs w:val="28"/>
        </w:rPr>
      </w:pPr>
    </w:p>
    <w:p w:rsidR="00BA2B09" w:rsidRDefault="00BA2B09" w:rsidP="00D0093C">
      <w:pPr>
        <w:spacing w:after="0"/>
        <w:jc w:val="both"/>
        <w:rPr>
          <w:sz w:val="28"/>
          <w:szCs w:val="28"/>
        </w:rPr>
      </w:pPr>
      <w:r>
        <w:rPr>
          <w:sz w:val="28"/>
          <w:szCs w:val="28"/>
        </w:rPr>
        <w:t>Finanšu</w:t>
      </w:r>
      <w:r w:rsidR="00F6150A">
        <w:rPr>
          <w:sz w:val="28"/>
          <w:szCs w:val="28"/>
        </w:rPr>
        <w:t xml:space="preserve"> ministrs</w:t>
      </w:r>
      <w:r w:rsidRPr="00D0093C">
        <w:rPr>
          <w:sz w:val="28"/>
          <w:szCs w:val="28"/>
        </w:rPr>
        <w:t xml:space="preserve"> </w:t>
      </w:r>
      <w:r w:rsidRPr="00D0093C">
        <w:rPr>
          <w:sz w:val="28"/>
          <w:szCs w:val="28"/>
        </w:rPr>
        <w:tab/>
      </w:r>
      <w:r w:rsidRPr="00D0093C">
        <w:rPr>
          <w:sz w:val="28"/>
          <w:szCs w:val="28"/>
        </w:rPr>
        <w:tab/>
      </w:r>
      <w:r w:rsidRPr="00D0093C">
        <w:rPr>
          <w:sz w:val="28"/>
          <w:szCs w:val="28"/>
        </w:rPr>
        <w:tab/>
      </w:r>
      <w:r w:rsidRPr="00D0093C">
        <w:rPr>
          <w:sz w:val="28"/>
          <w:szCs w:val="28"/>
        </w:rPr>
        <w:tab/>
      </w:r>
      <w:r w:rsidR="00F6150A">
        <w:rPr>
          <w:sz w:val="28"/>
          <w:szCs w:val="28"/>
        </w:rPr>
        <w:tab/>
      </w:r>
      <w:r w:rsidR="00F6150A">
        <w:rPr>
          <w:sz w:val="28"/>
          <w:szCs w:val="28"/>
        </w:rPr>
        <w:tab/>
      </w:r>
      <w:r w:rsidR="00F6150A">
        <w:rPr>
          <w:sz w:val="28"/>
          <w:szCs w:val="28"/>
        </w:rPr>
        <w:tab/>
      </w:r>
      <w:r w:rsidR="008E0173">
        <w:rPr>
          <w:sz w:val="28"/>
          <w:szCs w:val="28"/>
        </w:rPr>
        <w:tab/>
      </w:r>
      <w:r>
        <w:rPr>
          <w:sz w:val="28"/>
          <w:szCs w:val="28"/>
        </w:rPr>
        <w:t>A.</w:t>
      </w:r>
      <w:r w:rsidR="008E0173">
        <w:rPr>
          <w:sz w:val="28"/>
          <w:szCs w:val="28"/>
        </w:rPr>
        <w:t>Vilks</w:t>
      </w:r>
    </w:p>
    <w:p w:rsidR="00BA2B09" w:rsidRDefault="00BA2B09" w:rsidP="00D0093C">
      <w:pPr>
        <w:spacing w:after="0"/>
        <w:jc w:val="both"/>
        <w:rPr>
          <w:sz w:val="28"/>
          <w:szCs w:val="28"/>
        </w:rPr>
      </w:pPr>
    </w:p>
    <w:p w:rsidR="00BA2B09" w:rsidRDefault="00BA2B09" w:rsidP="00D0093C">
      <w:pPr>
        <w:spacing w:after="0"/>
        <w:jc w:val="both"/>
        <w:rPr>
          <w:sz w:val="28"/>
          <w:szCs w:val="28"/>
        </w:rPr>
      </w:pPr>
    </w:p>
    <w:p w:rsidR="00BA2B09" w:rsidRDefault="00BA2B09" w:rsidP="00D0093C">
      <w:pPr>
        <w:spacing w:after="0"/>
        <w:jc w:val="both"/>
        <w:rPr>
          <w:sz w:val="28"/>
          <w:szCs w:val="28"/>
        </w:rPr>
      </w:pPr>
    </w:p>
    <w:p w:rsidR="00BA2B09" w:rsidRDefault="00BA2B09" w:rsidP="00591C55">
      <w:pPr>
        <w:spacing w:after="0"/>
        <w:rPr>
          <w:sz w:val="20"/>
          <w:szCs w:val="20"/>
          <w:lang w:eastAsia="lv-LV"/>
        </w:rPr>
      </w:pPr>
      <w:r>
        <w:rPr>
          <w:sz w:val="20"/>
          <w:szCs w:val="20"/>
          <w:lang w:eastAsia="lv-LV"/>
        </w:rPr>
        <w:fldChar w:fldCharType="begin"/>
      </w:r>
      <w:r>
        <w:rPr>
          <w:sz w:val="20"/>
          <w:szCs w:val="20"/>
          <w:lang w:eastAsia="lv-LV"/>
        </w:rPr>
        <w:instrText xml:space="preserve"> DATE  \@ "dd.MM.yyyy H:mm"  \* MERGEFORMAT </w:instrText>
      </w:r>
      <w:r>
        <w:rPr>
          <w:sz w:val="20"/>
          <w:szCs w:val="20"/>
          <w:lang w:eastAsia="lv-LV"/>
        </w:rPr>
        <w:fldChar w:fldCharType="separate"/>
      </w:r>
      <w:r w:rsidR="008E0173">
        <w:rPr>
          <w:noProof/>
          <w:sz w:val="20"/>
          <w:szCs w:val="20"/>
          <w:lang w:eastAsia="lv-LV"/>
        </w:rPr>
        <w:t>14.09.2012 13:39</w:t>
      </w:r>
      <w:r>
        <w:rPr>
          <w:sz w:val="20"/>
          <w:szCs w:val="20"/>
          <w:lang w:eastAsia="lv-LV"/>
        </w:rPr>
        <w:fldChar w:fldCharType="end"/>
      </w:r>
    </w:p>
    <w:p w:rsidR="00BA2B09" w:rsidRDefault="00A56B40" w:rsidP="00591C55">
      <w:pPr>
        <w:spacing w:after="0"/>
        <w:rPr>
          <w:sz w:val="20"/>
          <w:szCs w:val="20"/>
          <w:lang w:eastAsia="lv-LV"/>
        </w:rPr>
      </w:pPr>
      <w:fldSimple w:instr=" NUMWORDS   \* MERGEFORMAT ">
        <w:r w:rsidR="008E0173" w:rsidRPr="008E0173">
          <w:rPr>
            <w:noProof/>
            <w:sz w:val="20"/>
            <w:szCs w:val="20"/>
            <w:lang w:eastAsia="lv-LV"/>
          </w:rPr>
          <w:t>6540</w:t>
        </w:r>
      </w:fldSimple>
    </w:p>
    <w:p w:rsidR="00BA2B09" w:rsidRPr="00591C55" w:rsidRDefault="00BA2B09" w:rsidP="00591C55">
      <w:pPr>
        <w:spacing w:after="0"/>
        <w:rPr>
          <w:sz w:val="20"/>
          <w:szCs w:val="20"/>
          <w:lang w:eastAsia="lv-LV"/>
        </w:rPr>
      </w:pPr>
      <w:r>
        <w:rPr>
          <w:sz w:val="20"/>
          <w:szCs w:val="20"/>
          <w:lang w:eastAsia="lv-LV"/>
        </w:rPr>
        <w:t>E.Kravčenko</w:t>
      </w:r>
    </w:p>
    <w:p w:rsidR="00BA2B09" w:rsidRPr="00D0093C" w:rsidRDefault="00BA2B09" w:rsidP="00591C55">
      <w:pPr>
        <w:spacing w:after="0"/>
        <w:rPr>
          <w:sz w:val="28"/>
          <w:szCs w:val="28"/>
        </w:rPr>
      </w:pPr>
      <w:r w:rsidRPr="00591C55">
        <w:rPr>
          <w:sz w:val="20"/>
          <w:szCs w:val="20"/>
          <w:lang w:eastAsia="lv-LV"/>
        </w:rPr>
        <w:t>670288</w:t>
      </w:r>
      <w:r>
        <w:rPr>
          <w:sz w:val="20"/>
          <w:szCs w:val="20"/>
          <w:lang w:eastAsia="lv-LV"/>
        </w:rPr>
        <w:t>42</w:t>
      </w:r>
      <w:r w:rsidRPr="00591C55">
        <w:rPr>
          <w:sz w:val="20"/>
          <w:szCs w:val="20"/>
          <w:lang w:eastAsia="lv-LV"/>
        </w:rPr>
        <w:t xml:space="preserve">, </w:t>
      </w:r>
      <w:r>
        <w:rPr>
          <w:sz w:val="20"/>
          <w:szCs w:val="20"/>
          <w:lang w:eastAsia="lv-LV"/>
        </w:rPr>
        <w:t>Egija.Kravcenko</w:t>
      </w:r>
      <w:r w:rsidRPr="00591C55">
        <w:rPr>
          <w:sz w:val="20"/>
          <w:szCs w:val="20"/>
          <w:lang w:eastAsia="lv-LV"/>
        </w:rPr>
        <w:t>@vid.gov.lv</w:t>
      </w:r>
      <w:bookmarkStart w:id="468" w:name="_GoBack"/>
      <w:bookmarkEnd w:id="468"/>
    </w:p>
    <w:sectPr w:rsidR="00BA2B09" w:rsidRPr="00D0093C" w:rsidSect="00C6320D">
      <w:headerReference w:type="default" r:id="rId18"/>
      <w:footerReference w:type="default" r:id="rId19"/>
      <w:footerReference w:type="first" r:id="rId20"/>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F5" w:rsidRDefault="001735F5" w:rsidP="004B1583">
      <w:pPr>
        <w:spacing w:after="0"/>
      </w:pPr>
      <w:r>
        <w:separator/>
      </w:r>
    </w:p>
  </w:endnote>
  <w:endnote w:type="continuationSeparator" w:id="0">
    <w:p w:rsidR="001735F5" w:rsidRDefault="001735F5" w:rsidP="004B1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F5" w:rsidRDefault="001735F5" w:rsidP="00086EC5">
    <w:pPr>
      <w:pStyle w:val="Footer"/>
      <w:jc w:val="both"/>
      <w:rPr>
        <w:sz w:val="20"/>
        <w:szCs w:val="20"/>
      </w:rPr>
    </w:pPr>
  </w:p>
  <w:p w:rsidR="001735F5" w:rsidRDefault="001735F5" w:rsidP="00086EC5">
    <w:pPr>
      <w:pStyle w:val="Footer"/>
      <w:jc w:val="both"/>
      <w:rPr>
        <w:sz w:val="20"/>
        <w:szCs w:val="20"/>
      </w:rPr>
    </w:pPr>
  </w:p>
  <w:p w:rsidR="001735F5" w:rsidRPr="00086EC5" w:rsidRDefault="001735F5" w:rsidP="00086EC5">
    <w:pPr>
      <w:pStyle w:val="Footer"/>
      <w:jc w:val="both"/>
      <w:rPr>
        <w:sz w:val="20"/>
        <w:szCs w:val="20"/>
      </w:rPr>
    </w:pPr>
    <w:r>
      <w:rPr>
        <w:sz w:val="20"/>
        <w:szCs w:val="20"/>
      </w:rPr>
      <w:t>FMZino_120912_neleg_nodarb</w:t>
    </w:r>
    <w:r w:rsidRPr="00086EC5">
      <w:rPr>
        <w:sz w:val="20"/>
        <w:szCs w:val="20"/>
      </w:rPr>
      <w:t xml:space="preserve">; </w:t>
    </w:r>
    <w:r w:rsidRPr="0082758D">
      <w:rPr>
        <w:sz w:val="20"/>
        <w:szCs w:val="20"/>
      </w:rPr>
      <w:t xml:space="preserve">Informatīvais ziņojums „Par Valsts ieņēmumu dienesta un Valsts darba inspekcijas paveikto ēnu ekonomikas un nelegālās nodarbinātības apkarošanā un priekšlikumi darbības </w:t>
    </w:r>
    <w:proofErr w:type="spellStart"/>
    <w:r w:rsidRPr="0082758D">
      <w:rPr>
        <w:sz w:val="20"/>
        <w:szCs w:val="20"/>
      </w:rPr>
      <w:t>efektivizēšanai</w:t>
    </w:r>
    <w:proofErr w:type="spellEnd"/>
    <w:r w:rsidRPr="0082758D">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F5" w:rsidRPr="00347CB0" w:rsidRDefault="001735F5" w:rsidP="00347CB0">
    <w:pPr>
      <w:pStyle w:val="Footer"/>
    </w:pPr>
    <w:r>
      <w:rPr>
        <w:sz w:val="20"/>
        <w:szCs w:val="20"/>
      </w:rPr>
      <w:t>FMZino_120912_neleg_nodarb</w:t>
    </w:r>
    <w:r w:rsidRPr="00347CB0">
      <w:rPr>
        <w:sz w:val="20"/>
        <w:szCs w:val="20"/>
      </w:rPr>
      <w:t xml:space="preserve">; </w:t>
    </w:r>
    <w:r w:rsidRPr="0082758D">
      <w:rPr>
        <w:sz w:val="20"/>
        <w:szCs w:val="20"/>
      </w:rPr>
      <w:t xml:space="preserve">Informatīvais ziņojums „Par Valsts ieņēmumu dienesta un Valsts darba inspekcijas paveikto ēnu ekonomikas un nelegālās nodarbinātības apkarošanā un priekšlikumi darbības </w:t>
    </w:r>
    <w:proofErr w:type="spellStart"/>
    <w:r w:rsidRPr="0082758D">
      <w:rPr>
        <w:sz w:val="20"/>
        <w:szCs w:val="20"/>
      </w:rPr>
      <w:t>efektivizēšanai</w:t>
    </w:r>
    <w:proofErr w:type="spellEnd"/>
    <w:r w:rsidRPr="0082758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F5" w:rsidRDefault="001735F5" w:rsidP="004B1583">
      <w:pPr>
        <w:spacing w:after="0"/>
      </w:pPr>
      <w:r>
        <w:separator/>
      </w:r>
    </w:p>
  </w:footnote>
  <w:footnote w:type="continuationSeparator" w:id="0">
    <w:p w:rsidR="001735F5" w:rsidRDefault="001735F5" w:rsidP="004B15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5F5" w:rsidRDefault="001735F5" w:rsidP="00D92F6C">
    <w:pPr>
      <w:pStyle w:val="Header"/>
      <w:jc w:val="center"/>
    </w:pPr>
    <w:r>
      <w:fldChar w:fldCharType="begin"/>
    </w:r>
    <w:r>
      <w:instrText xml:space="preserve"> PAGE   \* MERGEFORMAT </w:instrText>
    </w:r>
    <w:r>
      <w:fldChar w:fldCharType="separate"/>
    </w:r>
    <w:r w:rsidR="008E0173">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FE4"/>
    <w:multiLevelType w:val="hybridMultilevel"/>
    <w:tmpl w:val="D60621AA"/>
    <w:lvl w:ilvl="0" w:tplc="DED8A95C">
      <w:start w:val="1"/>
      <w:numFmt w:val="bullet"/>
      <w:lvlText w:val="•"/>
      <w:lvlJc w:val="left"/>
      <w:pPr>
        <w:tabs>
          <w:tab w:val="num" w:pos="720"/>
        </w:tabs>
        <w:ind w:left="720" w:hanging="360"/>
      </w:pPr>
      <w:rPr>
        <w:rFonts w:ascii="Arial" w:hAnsi="Arial" w:cs="Arial" w:hint="default"/>
      </w:rPr>
    </w:lvl>
    <w:lvl w:ilvl="1" w:tplc="9A6A65A2">
      <w:start w:val="2798"/>
      <w:numFmt w:val="bullet"/>
      <w:lvlText w:val="–"/>
      <w:lvlJc w:val="left"/>
      <w:pPr>
        <w:tabs>
          <w:tab w:val="num" w:pos="1440"/>
        </w:tabs>
        <w:ind w:left="1440" w:hanging="360"/>
      </w:pPr>
      <w:rPr>
        <w:rFonts w:ascii="Arial" w:hAnsi="Arial" w:cs="Arial" w:hint="default"/>
      </w:rPr>
    </w:lvl>
    <w:lvl w:ilvl="2" w:tplc="5FC8DB9A">
      <w:start w:val="1"/>
      <w:numFmt w:val="bullet"/>
      <w:lvlText w:val="•"/>
      <w:lvlJc w:val="left"/>
      <w:pPr>
        <w:tabs>
          <w:tab w:val="num" w:pos="2160"/>
        </w:tabs>
        <w:ind w:left="2160" w:hanging="360"/>
      </w:pPr>
      <w:rPr>
        <w:rFonts w:ascii="Arial" w:hAnsi="Arial" w:cs="Arial" w:hint="default"/>
      </w:rPr>
    </w:lvl>
    <w:lvl w:ilvl="3" w:tplc="278EE55A">
      <w:start w:val="1"/>
      <w:numFmt w:val="bullet"/>
      <w:lvlText w:val="•"/>
      <w:lvlJc w:val="left"/>
      <w:pPr>
        <w:tabs>
          <w:tab w:val="num" w:pos="2880"/>
        </w:tabs>
        <w:ind w:left="2880" w:hanging="360"/>
      </w:pPr>
      <w:rPr>
        <w:rFonts w:ascii="Arial" w:hAnsi="Arial" w:cs="Arial" w:hint="default"/>
      </w:rPr>
    </w:lvl>
    <w:lvl w:ilvl="4" w:tplc="418059EC">
      <w:start w:val="1"/>
      <w:numFmt w:val="bullet"/>
      <w:lvlText w:val="•"/>
      <w:lvlJc w:val="left"/>
      <w:pPr>
        <w:tabs>
          <w:tab w:val="num" w:pos="3600"/>
        </w:tabs>
        <w:ind w:left="3600" w:hanging="360"/>
      </w:pPr>
      <w:rPr>
        <w:rFonts w:ascii="Arial" w:hAnsi="Arial" w:cs="Arial" w:hint="default"/>
      </w:rPr>
    </w:lvl>
    <w:lvl w:ilvl="5" w:tplc="1BC244DC">
      <w:start w:val="1"/>
      <w:numFmt w:val="bullet"/>
      <w:lvlText w:val="•"/>
      <w:lvlJc w:val="left"/>
      <w:pPr>
        <w:tabs>
          <w:tab w:val="num" w:pos="4320"/>
        </w:tabs>
        <w:ind w:left="4320" w:hanging="360"/>
      </w:pPr>
      <w:rPr>
        <w:rFonts w:ascii="Arial" w:hAnsi="Arial" w:cs="Arial" w:hint="default"/>
      </w:rPr>
    </w:lvl>
    <w:lvl w:ilvl="6" w:tplc="1652BC9A">
      <w:start w:val="1"/>
      <w:numFmt w:val="bullet"/>
      <w:lvlText w:val="•"/>
      <w:lvlJc w:val="left"/>
      <w:pPr>
        <w:tabs>
          <w:tab w:val="num" w:pos="5040"/>
        </w:tabs>
        <w:ind w:left="5040" w:hanging="360"/>
      </w:pPr>
      <w:rPr>
        <w:rFonts w:ascii="Arial" w:hAnsi="Arial" w:cs="Arial" w:hint="default"/>
      </w:rPr>
    </w:lvl>
    <w:lvl w:ilvl="7" w:tplc="F70AFFEA">
      <w:start w:val="1"/>
      <w:numFmt w:val="bullet"/>
      <w:lvlText w:val="•"/>
      <w:lvlJc w:val="left"/>
      <w:pPr>
        <w:tabs>
          <w:tab w:val="num" w:pos="5760"/>
        </w:tabs>
        <w:ind w:left="5760" w:hanging="360"/>
      </w:pPr>
      <w:rPr>
        <w:rFonts w:ascii="Arial" w:hAnsi="Arial" w:cs="Arial" w:hint="default"/>
      </w:rPr>
    </w:lvl>
    <w:lvl w:ilvl="8" w:tplc="730C139A">
      <w:start w:val="1"/>
      <w:numFmt w:val="bullet"/>
      <w:lvlText w:val="•"/>
      <w:lvlJc w:val="left"/>
      <w:pPr>
        <w:tabs>
          <w:tab w:val="num" w:pos="6480"/>
        </w:tabs>
        <w:ind w:left="6480" w:hanging="360"/>
      </w:pPr>
      <w:rPr>
        <w:rFonts w:ascii="Arial" w:hAnsi="Arial" w:cs="Arial" w:hint="default"/>
      </w:rPr>
    </w:lvl>
  </w:abstractNum>
  <w:abstractNum w:abstractNumId="1">
    <w:nsid w:val="04393918"/>
    <w:multiLevelType w:val="hybridMultilevel"/>
    <w:tmpl w:val="1C10EE6A"/>
    <w:lvl w:ilvl="0" w:tplc="0409000F">
      <w:start w:val="1"/>
      <w:numFmt w:val="decimal"/>
      <w:lvlText w:val="%1."/>
      <w:lvlJc w:val="left"/>
      <w:pPr>
        <w:tabs>
          <w:tab w:val="num" w:pos="906"/>
        </w:tabs>
        <w:ind w:left="906" w:hanging="360"/>
      </w:pPr>
    </w:lvl>
    <w:lvl w:ilvl="1" w:tplc="04090019">
      <w:start w:val="1"/>
      <w:numFmt w:val="lowerLetter"/>
      <w:lvlText w:val="%2."/>
      <w:lvlJc w:val="left"/>
      <w:pPr>
        <w:tabs>
          <w:tab w:val="num" w:pos="1626"/>
        </w:tabs>
        <w:ind w:left="1626" w:hanging="360"/>
      </w:pPr>
    </w:lvl>
    <w:lvl w:ilvl="2" w:tplc="0409001B">
      <w:start w:val="1"/>
      <w:numFmt w:val="lowerRoman"/>
      <w:lvlText w:val="%3."/>
      <w:lvlJc w:val="right"/>
      <w:pPr>
        <w:tabs>
          <w:tab w:val="num" w:pos="2346"/>
        </w:tabs>
        <w:ind w:left="2346" w:hanging="180"/>
      </w:pPr>
    </w:lvl>
    <w:lvl w:ilvl="3" w:tplc="0409000F">
      <w:start w:val="1"/>
      <w:numFmt w:val="decimal"/>
      <w:lvlText w:val="%4."/>
      <w:lvlJc w:val="left"/>
      <w:pPr>
        <w:tabs>
          <w:tab w:val="num" w:pos="3066"/>
        </w:tabs>
        <w:ind w:left="3066" w:hanging="360"/>
      </w:pPr>
    </w:lvl>
    <w:lvl w:ilvl="4" w:tplc="04090019">
      <w:start w:val="1"/>
      <w:numFmt w:val="lowerLetter"/>
      <w:lvlText w:val="%5."/>
      <w:lvlJc w:val="left"/>
      <w:pPr>
        <w:tabs>
          <w:tab w:val="num" w:pos="3786"/>
        </w:tabs>
        <w:ind w:left="3786" w:hanging="360"/>
      </w:pPr>
    </w:lvl>
    <w:lvl w:ilvl="5" w:tplc="0409001B">
      <w:start w:val="1"/>
      <w:numFmt w:val="lowerRoman"/>
      <w:lvlText w:val="%6."/>
      <w:lvlJc w:val="right"/>
      <w:pPr>
        <w:tabs>
          <w:tab w:val="num" w:pos="4506"/>
        </w:tabs>
        <w:ind w:left="4506" w:hanging="180"/>
      </w:pPr>
    </w:lvl>
    <w:lvl w:ilvl="6" w:tplc="0409000F">
      <w:start w:val="1"/>
      <w:numFmt w:val="decimal"/>
      <w:lvlText w:val="%7."/>
      <w:lvlJc w:val="left"/>
      <w:pPr>
        <w:tabs>
          <w:tab w:val="num" w:pos="5226"/>
        </w:tabs>
        <w:ind w:left="5226" w:hanging="360"/>
      </w:pPr>
    </w:lvl>
    <w:lvl w:ilvl="7" w:tplc="04090019">
      <w:start w:val="1"/>
      <w:numFmt w:val="lowerLetter"/>
      <w:lvlText w:val="%8."/>
      <w:lvlJc w:val="left"/>
      <w:pPr>
        <w:tabs>
          <w:tab w:val="num" w:pos="5946"/>
        </w:tabs>
        <w:ind w:left="5946" w:hanging="360"/>
      </w:pPr>
    </w:lvl>
    <w:lvl w:ilvl="8" w:tplc="0409001B">
      <w:start w:val="1"/>
      <w:numFmt w:val="lowerRoman"/>
      <w:lvlText w:val="%9."/>
      <w:lvlJc w:val="right"/>
      <w:pPr>
        <w:tabs>
          <w:tab w:val="num" w:pos="6666"/>
        </w:tabs>
        <w:ind w:left="6666" w:hanging="180"/>
      </w:pPr>
    </w:lvl>
  </w:abstractNum>
  <w:abstractNum w:abstractNumId="2">
    <w:nsid w:val="0F63700B"/>
    <w:multiLevelType w:val="hybridMultilevel"/>
    <w:tmpl w:val="308E3B08"/>
    <w:lvl w:ilvl="0" w:tplc="04260001">
      <w:start w:val="1"/>
      <w:numFmt w:val="bullet"/>
      <w:lvlText w:val=""/>
      <w:lvlJc w:val="left"/>
      <w:pPr>
        <w:ind w:left="1429" w:hanging="360"/>
      </w:pPr>
      <w:rPr>
        <w:rFonts w:ascii="Symbol" w:hAnsi="Symbol" w:cs="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cs="Wingdings" w:hint="default"/>
      </w:rPr>
    </w:lvl>
    <w:lvl w:ilvl="3" w:tplc="04260001">
      <w:start w:val="1"/>
      <w:numFmt w:val="bullet"/>
      <w:lvlText w:val=""/>
      <w:lvlJc w:val="left"/>
      <w:pPr>
        <w:ind w:left="3589" w:hanging="360"/>
      </w:pPr>
      <w:rPr>
        <w:rFonts w:ascii="Symbol" w:hAnsi="Symbol" w:cs="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cs="Wingdings" w:hint="default"/>
      </w:rPr>
    </w:lvl>
    <w:lvl w:ilvl="6" w:tplc="04260001">
      <w:start w:val="1"/>
      <w:numFmt w:val="bullet"/>
      <w:lvlText w:val=""/>
      <w:lvlJc w:val="left"/>
      <w:pPr>
        <w:ind w:left="5749" w:hanging="360"/>
      </w:pPr>
      <w:rPr>
        <w:rFonts w:ascii="Symbol" w:hAnsi="Symbol" w:cs="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cs="Wingdings" w:hint="default"/>
      </w:rPr>
    </w:lvl>
  </w:abstractNum>
  <w:abstractNum w:abstractNumId="3">
    <w:nsid w:val="0F962A3C"/>
    <w:multiLevelType w:val="hybridMultilevel"/>
    <w:tmpl w:val="DEB45A42"/>
    <w:lvl w:ilvl="0" w:tplc="4030EF8E">
      <w:start w:val="1"/>
      <w:numFmt w:val="decimal"/>
      <w:lvlText w:val="%1."/>
      <w:lvlJc w:val="left"/>
      <w:pPr>
        <w:tabs>
          <w:tab w:val="num" w:pos="720"/>
        </w:tabs>
        <w:ind w:left="720" w:hanging="360"/>
      </w:pPr>
      <w:rPr>
        <w:rFonts w:hint="default"/>
        <w:b/>
        <w:bCs/>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0FE05C9"/>
    <w:multiLevelType w:val="hybridMultilevel"/>
    <w:tmpl w:val="9434093C"/>
    <w:lvl w:ilvl="0" w:tplc="D9A649E0">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39500BC"/>
    <w:multiLevelType w:val="hybridMultilevel"/>
    <w:tmpl w:val="D0B8C32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1396099F"/>
    <w:multiLevelType w:val="hybridMultilevel"/>
    <w:tmpl w:val="493AB228"/>
    <w:lvl w:ilvl="0" w:tplc="060E7FFA">
      <w:start w:val="1"/>
      <w:numFmt w:val="bullet"/>
      <w:lvlText w:val="•"/>
      <w:lvlJc w:val="left"/>
      <w:pPr>
        <w:tabs>
          <w:tab w:val="num" w:pos="1440"/>
        </w:tabs>
        <w:ind w:left="1440" w:hanging="360"/>
      </w:pPr>
      <w:rPr>
        <w:rFonts w:ascii="Arial" w:hAnsi="Arial" w:cs="Arial" w:hint="default"/>
      </w:rPr>
    </w:lvl>
    <w:lvl w:ilvl="1" w:tplc="3A30C978">
      <w:start w:val="1"/>
      <w:numFmt w:val="bullet"/>
      <w:lvlText w:val="•"/>
      <w:lvlJc w:val="left"/>
      <w:pPr>
        <w:tabs>
          <w:tab w:val="num" w:pos="2160"/>
        </w:tabs>
        <w:ind w:left="2160" w:hanging="360"/>
      </w:pPr>
      <w:rPr>
        <w:rFonts w:ascii="Arial" w:hAnsi="Arial" w:cs="Arial" w:hint="default"/>
      </w:rPr>
    </w:lvl>
    <w:lvl w:ilvl="2" w:tplc="ACEEDCAC">
      <w:start w:val="1"/>
      <w:numFmt w:val="bullet"/>
      <w:lvlText w:val="•"/>
      <w:lvlJc w:val="left"/>
      <w:pPr>
        <w:tabs>
          <w:tab w:val="num" w:pos="2880"/>
        </w:tabs>
        <w:ind w:left="2880" w:hanging="360"/>
      </w:pPr>
      <w:rPr>
        <w:rFonts w:ascii="Arial" w:hAnsi="Arial" w:cs="Arial" w:hint="default"/>
      </w:rPr>
    </w:lvl>
    <w:lvl w:ilvl="3" w:tplc="36AAA306">
      <w:start w:val="1"/>
      <w:numFmt w:val="bullet"/>
      <w:lvlText w:val="•"/>
      <w:lvlJc w:val="left"/>
      <w:pPr>
        <w:tabs>
          <w:tab w:val="num" w:pos="3600"/>
        </w:tabs>
        <w:ind w:left="3600" w:hanging="360"/>
      </w:pPr>
      <w:rPr>
        <w:rFonts w:ascii="Arial" w:hAnsi="Arial" w:cs="Arial" w:hint="default"/>
      </w:rPr>
    </w:lvl>
    <w:lvl w:ilvl="4" w:tplc="BADABCCA">
      <w:start w:val="1"/>
      <w:numFmt w:val="bullet"/>
      <w:lvlText w:val="•"/>
      <w:lvlJc w:val="left"/>
      <w:pPr>
        <w:tabs>
          <w:tab w:val="num" w:pos="4320"/>
        </w:tabs>
        <w:ind w:left="4320" w:hanging="360"/>
      </w:pPr>
      <w:rPr>
        <w:rFonts w:ascii="Arial" w:hAnsi="Arial" w:cs="Arial" w:hint="default"/>
      </w:rPr>
    </w:lvl>
    <w:lvl w:ilvl="5" w:tplc="05FCDF46">
      <w:start w:val="1"/>
      <w:numFmt w:val="bullet"/>
      <w:lvlText w:val="•"/>
      <w:lvlJc w:val="left"/>
      <w:pPr>
        <w:tabs>
          <w:tab w:val="num" w:pos="5040"/>
        </w:tabs>
        <w:ind w:left="5040" w:hanging="360"/>
      </w:pPr>
      <w:rPr>
        <w:rFonts w:ascii="Arial" w:hAnsi="Arial" w:cs="Arial" w:hint="default"/>
      </w:rPr>
    </w:lvl>
    <w:lvl w:ilvl="6" w:tplc="1B201B50">
      <w:start w:val="1"/>
      <w:numFmt w:val="bullet"/>
      <w:lvlText w:val="•"/>
      <w:lvlJc w:val="left"/>
      <w:pPr>
        <w:tabs>
          <w:tab w:val="num" w:pos="5760"/>
        </w:tabs>
        <w:ind w:left="5760" w:hanging="360"/>
      </w:pPr>
      <w:rPr>
        <w:rFonts w:ascii="Arial" w:hAnsi="Arial" w:cs="Arial" w:hint="default"/>
      </w:rPr>
    </w:lvl>
    <w:lvl w:ilvl="7" w:tplc="4DB0A8DC">
      <w:start w:val="1"/>
      <w:numFmt w:val="bullet"/>
      <w:lvlText w:val="•"/>
      <w:lvlJc w:val="left"/>
      <w:pPr>
        <w:tabs>
          <w:tab w:val="num" w:pos="6480"/>
        </w:tabs>
        <w:ind w:left="6480" w:hanging="360"/>
      </w:pPr>
      <w:rPr>
        <w:rFonts w:ascii="Arial" w:hAnsi="Arial" w:cs="Arial" w:hint="default"/>
      </w:rPr>
    </w:lvl>
    <w:lvl w:ilvl="8" w:tplc="7FB0F5BA">
      <w:start w:val="1"/>
      <w:numFmt w:val="bullet"/>
      <w:lvlText w:val="•"/>
      <w:lvlJc w:val="left"/>
      <w:pPr>
        <w:tabs>
          <w:tab w:val="num" w:pos="7200"/>
        </w:tabs>
        <w:ind w:left="7200" w:hanging="360"/>
      </w:pPr>
      <w:rPr>
        <w:rFonts w:ascii="Arial" w:hAnsi="Arial" w:cs="Arial" w:hint="default"/>
      </w:rPr>
    </w:lvl>
  </w:abstractNum>
  <w:abstractNum w:abstractNumId="7">
    <w:nsid w:val="148C7868"/>
    <w:multiLevelType w:val="hybridMultilevel"/>
    <w:tmpl w:val="EFBEED9A"/>
    <w:lvl w:ilvl="0" w:tplc="BA12F848">
      <w:start w:val="1"/>
      <w:numFmt w:val="bullet"/>
      <w:lvlText w:val="•"/>
      <w:lvlJc w:val="left"/>
      <w:pPr>
        <w:tabs>
          <w:tab w:val="num" w:pos="720"/>
        </w:tabs>
        <w:ind w:left="720" w:hanging="360"/>
      </w:pPr>
      <w:rPr>
        <w:rFonts w:ascii="Arial" w:hAnsi="Arial" w:cs="Arial" w:hint="default"/>
      </w:rPr>
    </w:lvl>
    <w:lvl w:ilvl="1" w:tplc="ABEC1934">
      <w:start w:val="2798"/>
      <w:numFmt w:val="bullet"/>
      <w:lvlText w:val="–"/>
      <w:lvlJc w:val="left"/>
      <w:pPr>
        <w:tabs>
          <w:tab w:val="num" w:pos="1440"/>
        </w:tabs>
        <w:ind w:left="1440" w:hanging="360"/>
      </w:pPr>
      <w:rPr>
        <w:rFonts w:ascii="Arial" w:hAnsi="Arial" w:cs="Arial" w:hint="default"/>
      </w:rPr>
    </w:lvl>
    <w:lvl w:ilvl="2" w:tplc="348AD844">
      <w:start w:val="1"/>
      <w:numFmt w:val="bullet"/>
      <w:lvlText w:val="•"/>
      <w:lvlJc w:val="left"/>
      <w:pPr>
        <w:tabs>
          <w:tab w:val="num" w:pos="2160"/>
        </w:tabs>
        <w:ind w:left="2160" w:hanging="360"/>
      </w:pPr>
      <w:rPr>
        <w:rFonts w:ascii="Arial" w:hAnsi="Arial" w:cs="Arial" w:hint="default"/>
      </w:rPr>
    </w:lvl>
    <w:lvl w:ilvl="3" w:tplc="3D96FF0C">
      <w:start w:val="1"/>
      <w:numFmt w:val="bullet"/>
      <w:lvlText w:val="•"/>
      <w:lvlJc w:val="left"/>
      <w:pPr>
        <w:tabs>
          <w:tab w:val="num" w:pos="2880"/>
        </w:tabs>
        <w:ind w:left="2880" w:hanging="360"/>
      </w:pPr>
      <w:rPr>
        <w:rFonts w:ascii="Arial" w:hAnsi="Arial" w:cs="Arial" w:hint="default"/>
      </w:rPr>
    </w:lvl>
    <w:lvl w:ilvl="4" w:tplc="0E924636">
      <w:start w:val="1"/>
      <w:numFmt w:val="bullet"/>
      <w:lvlText w:val="•"/>
      <w:lvlJc w:val="left"/>
      <w:pPr>
        <w:tabs>
          <w:tab w:val="num" w:pos="3600"/>
        </w:tabs>
        <w:ind w:left="3600" w:hanging="360"/>
      </w:pPr>
      <w:rPr>
        <w:rFonts w:ascii="Arial" w:hAnsi="Arial" w:cs="Arial" w:hint="default"/>
      </w:rPr>
    </w:lvl>
    <w:lvl w:ilvl="5" w:tplc="EC4E2C96">
      <w:start w:val="1"/>
      <w:numFmt w:val="bullet"/>
      <w:lvlText w:val="•"/>
      <w:lvlJc w:val="left"/>
      <w:pPr>
        <w:tabs>
          <w:tab w:val="num" w:pos="4320"/>
        </w:tabs>
        <w:ind w:left="4320" w:hanging="360"/>
      </w:pPr>
      <w:rPr>
        <w:rFonts w:ascii="Arial" w:hAnsi="Arial" w:cs="Arial" w:hint="default"/>
      </w:rPr>
    </w:lvl>
    <w:lvl w:ilvl="6" w:tplc="05FCF6EA">
      <w:start w:val="1"/>
      <w:numFmt w:val="bullet"/>
      <w:lvlText w:val="•"/>
      <w:lvlJc w:val="left"/>
      <w:pPr>
        <w:tabs>
          <w:tab w:val="num" w:pos="5040"/>
        </w:tabs>
        <w:ind w:left="5040" w:hanging="360"/>
      </w:pPr>
      <w:rPr>
        <w:rFonts w:ascii="Arial" w:hAnsi="Arial" w:cs="Arial" w:hint="default"/>
      </w:rPr>
    </w:lvl>
    <w:lvl w:ilvl="7" w:tplc="F404D166">
      <w:start w:val="1"/>
      <w:numFmt w:val="bullet"/>
      <w:lvlText w:val="•"/>
      <w:lvlJc w:val="left"/>
      <w:pPr>
        <w:tabs>
          <w:tab w:val="num" w:pos="5760"/>
        </w:tabs>
        <w:ind w:left="5760" w:hanging="360"/>
      </w:pPr>
      <w:rPr>
        <w:rFonts w:ascii="Arial" w:hAnsi="Arial" w:cs="Arial" w:hint="default"/>
      </w:rPr>
    </w:lvl>
    <w:lvl w:ilvl="8" w:tplc="BBDA3CD0">
      <w:start w:val="1"/>
      <w:numFmt w:val="bullet"/>
      <w:lvlText w:val="•"/>
      <w:lvlJc w:val="left"/>
      <w:pPr>
        <w:tabs>
          <w:tab w:val="num" w:pos="6480"/>
        </w:tabs>
        <w:ind w:left="6480" w:hanging="360"/>
      </w:pPr>
      <w:rPr>
        <w:rFonts w:ascii="Arial" w:hAnsi="Arial" w:cs="Arial" w:hint="default"/>
      </w:rPr>
    </w:lvl>
  </w:abstractNum>
  <w:abstractNum w:abstractNumId="8">
    <w:nsid w:val="153B1CA5"/>
    <w:multiLevelType w:val="hybridMultilevel"/>
    <w:tmpl w:val="1F7C3D58"/>
    <w:lvl w:ilvl="0" w:tplc="B10A4E5E">
      <w:start w:val="1"/>
      <w:numFmt w:val="bullet"/>
      <w:lvlText w:val="–"/>
      <w:lvlJc w:val="left"/>
      <w:pPr>
        <w:tabs>
          <w:tab w:val="num" w:pos="720"/>
        </w:tabs>
        <w:ind w:left="720" w:hanging="360"/>
      </w:pPr>
      <w:rPr>
        <w:rFonts w:ascii="Times New Roman" w:hAnsi="Times New Roman" w:cs="Times New Roman" w:hint="default"/>
      </w:rPr>
    </w:lvl>
    <w:lvl w:ilvl="1" w:tplc="04BC092A">
      <w:start w:val="1"/>
      <w:numFmt w:val="bullet"/>
      <w:lvlText w:val="–"/>
      <w:lvlJc w:val="left"/>
      <w:pPr>
        <w:tabs>
          <w:tab w:val="num" w:pos="1440"/>
        </w:tabs>
        <w:ind w:left="1440" w:hanging="360"/>
      </w:pPr>
      <w:rPr>
        <w:rFonts w:ascii="Times New Roman" w:hAnsi="Times New Roman" w:cs="Times New Roman" w:hint="default"/>
      </w:rPr>
    </w:lvl>
    <w:lvl w:ilvl="2" w:tplc="DF3449E8">
      <w:start w:val="1"/>
      <w:numFmt w:val="bullet"/>
      <w:lvlText w:val="–"/>
      <w:lvlJc w:val="left"/>
      <w:pPr>
        <w:tabs>
          <w:tab w:val="num" w:pos="2160"/>
        </w:tabs>
        <w:ind w:left="2160" w:hanging="360"/>
      </w:pPr>
      <w:rPr>
        <w:rFonts w:ascii="Times New Roman" w:hAnsi="Times New Roman" w:cs="Times New Roman" w:hint="default"/>
      </w:rPr>
    </w:lvl>
    <w:lvl w:ilvl="3" w:tplc="C964A356">
      <w:start w:val="1"/>
      <w:numFmt w:val="bullet"/>
      <w:lvlText w:val="–"/>
      <w:lvlJc w:val="left"/>
      <w:pPr>
        <w:tabs>
          <w:tab w:val="num" w:pos="2880"/>
        </w:tabs>
        <w:ind w:left="2880" w:hanging="360"/>
      </w:pPr>
      <w:rPr>
        <w:rFonts w:ascii="Times New Roman" w:hAnsi="Times New Roman" w:cs="Times New Roman" w:hint="default"/>
      </w:rPr>
    </w:lvl>
    <w:lvl w:ilvl="4" w:tplc="C9B0D93C">
      <w:start w:val="1"/>
      <w:numFmt w:val="bullet"/>
      <w:lvlText w:val="–"/>
      <w:lvlJc w:val="left"/>
      <w:pPr>
        <w:tabs>
          <w:tab w:val="num" w:pos="3600"/>
        </w:tabs>
        <w:ind w:left="3600" w:hanging="360"/>
      </w:pPr>
      <w:rPr>
        <w:rFonts w:ascii="Times New Roman" w:hAnsi="Times New Roman" w:cs="Times New Roman" w:hint="default"/>
      </w:rPr>
    </w:lvl>
    <w:lvl w:ilvl="5" w:tplc="80248718">
      <w:start w:val="1"/>
      <w:numFmt w:val="bullet"/>
      <w:lvlText w:val="–"/>
      <w:lvlJc w:val="left"/>
      <w:pPr>
        <w:tabs>
          <w:tab w:val="num" w:pos="4320"/>
        </w:tabs>
        <w:ind w:left="4320" w:hanging="360"/>
      </w:pPr>
      <w:rPr>
        <w:rFonts w:ascii="Times New Roman" w:hAnsi="Times New Roman" w:cs="Times New Roman" w:hint="default"/>
      </w:rPr>
    </w:lvl>
    <w:lvl w:ilvl="6" w:tplc="057A5F56">
      <w:start w:val="1"/>
      <w:numFmt w:val="bullet"/>
      <w:lvlText w:val="–"/>
      <w:lvlJc w:val="left"/>
      <w:pPr>
        <w:tabs>
          <w:tab w:val="num" w:pos="5040"/>
        </w:tabs>
        <w:ind w:left="5040" w:hanging="360"/>
      </w:pPr>
      <w:rPr>
        <w:rFonts w:ascii="Times New Roman" w:hAnsi="Times New Roman" w:cs="Times New Roman" w:hint="default"/>
      </w:rPr>
    </w:lvl>
    <w:lvl w:ilvl="7" w:tplc="D7427CCE">
      <w:start w:val="1"/>
      <w:numFmt w:val="bullet"/>
      <w:lvlText w:val="–"/>
      <w:lvlJc w:val="left"/>
      <w:pPr>
        <w:tabs>
          <w:tab w:val="num" w:pos="5760"/>
        </w:tabs>
        <w:ind w:left="5760" w:hanging="360"/>
      </w:pPr>
      <w:rPr>
        <w:rFonts w:ascii="Times New Roman" w:hAnsi="Times New Roman" w:cs="Times New Roman" w:hint="default"/>
      </w:rPr>
    </w:lvl>
    <w:lvl w:ilvl="8" w:tplc="92BCE472">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5870A58"/>
    <w:multiLevelType w:val="hybridMultilevel"/>
    <w:tmpl w:val="E2A2FDB6"/>
    <w:lvl w:ilvl="0" w:tplc="D4F0A128">
      <w:start w:val="1"/>
      <w:numFmt w:val="bullet"/>
      <w:lvlText w:val="•"/>
      <w:lvlJc w:val="left"/>
      <w:pPr>
        <w:tabs>
          <w:tab w:val="num" w:pos="720"/>
        </w:tabs>
        <w:ind w:left="720" w:hanging="360"/>
      </w:pPr>
      <w:rPr>
        <w:rFonts w:ascii="Arial" w:hAnsi="Arial" w:cs="Arial" w:hint="default"/>
      </w:rPr>
    </w:lvl>
    <w:lvl w:ilvl="1" w:tplc="F3E088E4">
      <w:start w:val="1"/>
      <w:numFmt w:val="bullet"/>
      <w:lvlText w:val="•"/>
      <w:lvlJc w:val="left"/>
      <w:pPr>
        <w:tabs>
          <w:tab w:val="num" w:pos="1440"/>
        </w:tabs>
        <w:ind w:left="1440" w:hanging="360"/>
      </w:pPr>
      <w:rPr>
        <w:rFonts w:ascii="Arial" w:hAnsi="Arial" w:cs="Arial" w:hint="default"/>
      </w:rPr>
    </w:lvl>
    <w:lvl w:ilvl="2" w:tplc="03FC306A">
      <w:start w:val="1"/>
      <w:numFmt w:val="bullet"/>
      <w:lvlText w:val="•"/>
      <w:lvlJc w:val="left"/>
      <w:pPr>
        <w:tabs>
          <w:tab w:val="num" w:pos="2160"/>
        </w:tabs>
        <w:ind w:left="2160" w:hanging="360"/>
      </w:pPr>
      <w:rPr>
        <w:rFonts w:ascii="Arial" w:hAnsi="Arial" w:cs="Arial" w:hint="default"/>
      </w:rPr>
    </w:lvl>
    <w:lvl w:ilvl="3" w:tplc="A36E34D2">
      <w:start w:val="1"/>
      <w:numFmt w:val="bullet"/>
      <w:lvlText w:val="•"/>
      <w:lvlJc w:val="left"/>
      <w:pPr>
        <w:tabs>
          <w:tab w:val="num" w:pos="2880"/>
        </w:tabs>
        <w:ind w:left="2880" w:hanging="360"/>
      </w:pPr>
      <w:rPr>
        <w:rFonts w:ascii="Arial" w:hAnsi="Arial" w:cs="Arial" w:hint="default"/>
      </w:rPr>
    </w:lvl>
    <w:lvl w:ilvl="4" w:tplc="C4C0B65A">
      <w:start w:val="1"/>
      <w:numFmt w:val="bullet"/>
      <w:lvlText w:val="•"/>
      <w:lvlJc w:val="left"/>
      <w:pPr>
        <w:tabs>
          <w:tab w:val="num" w:pos="3600"/>
        </w:tabs>
        <w:ind w:left="3600" w:hanging="360"/>
      </w:pPr>
      <w:rPr>
        <w:rFonts w:ascii="Arial" w:hAnsi="Arial" w:cs="Arial" w:hint="default"/>
      </w:rPr>
    </w:lvl>
    <w:lvl w:ilvl="5" w:tplc="52EEF370">
      <w:start w:val="1"/>
      <w:numFmt w:val="bullet"/>
      <w:lvlText w:val="•"/>
      <w:lvlJc w:val="left"/>
      <w:pPr>
        <w:tabs>
          <w:tab w:val="num" w:pos="4320"/>
        </w:tabs>
        <w:ind w:left="4320" w:hanging="360"/>
      </w:pPr>
      <w:rPr>
        <w:rFonts w:ascii="Arial" w:hAnsi="Arial" w:cs="Arial" w:hint="default"/>
      </w:rPr>
    </w:lvl>
    <w:lvl w:ilvl="6" w:tplc="C7C694EE">
      <w:start w:val="1"/>
      <w:numFmt w:val="bullet"/>
      <w:lvlText w:val="•"/>
      <w:lvlJc w:val="left"/>
      <w:pPr>
        <w:tabs>
          <w:tab w:val="num" w:pos="5040"/>
        </w:tabs>
        <w:ind w:left="5040" w:hanging="360"/>
      </w:pPr>
      <w:rPr>
        <w:rFonts w:ascii="Arial" w:hAnsi="Arial" w:cs="Arial" w:hint="default"/>
      </w:rPr>
    </w:lvl>
    <w:lvl w:ilvl="7" w:tplc="1ABE4314">
      <w:start w:val="1"/>
      <w:numFmt w:val="bullet"/>
      <w:lvlText w:val="•"/>
      <w:lvlJc w:val="left"/>
      <w:pPr>
        <w:tabs>
          <w:tab w:val="num" w:pos="5760"/>
        </w:tabs>
        <w:ind w:left="5760" w:hanging="360"/>
      </w:pPr>
      <w:rPr>
        <w:rFonts w:ascii="Arial" w:hAnsi="Arial" w:cs="Arial" w:hint="default"/>
      </w:rPr>
    </w:lvl>
    <w:lvl w:ilvl="8" w:tplc="CD06F3D8">
      <w:start w:val="1"/>
      <w:numFmt w:val="bullet"/>
      <w:lvlText w:val="•"/>
      <w:lvlJc w:val="left"/>
      <w:pPr>
        <w:tabs>
          <w:tab w:val="num" w:pos="6480"/>
        </w:tabs>
        <w:ind w:left="6480" w:hanging="360"/>
      </w:pPr>
      <w:rPr>
        <w:rFonts w:ascii="Arial" w:hAnsi="Arial" w:cs="Arial" w:hint="default"/>
      </w:rPr>
    </w:lvl>
  </w:abstractNum>
  <w:abstractNum w:abstractNumId="10">
    <w:nsid w:val="1999308F"/>
    <w:multiLevelType w:val="hybridMultilevel"/>
    <w:tmpl w:val="E0163C86"/>
    <w:lvl w:ilvl="0" w:tplc="683E7952">
      <w:start w:val="2"/>
      <w:numFmt w:val="decimal"/>
      <w:lvlText w:val="%1)"/>
      <w:lvlJc w:val="left"/>
      <w:pPr>
        <w:ind w:left="720" w:hanging="360"/>
      </w:pPr>
      <w:rPr>
        <w:rFonts w:hint="default"/>
        <w:i/>
        <w:i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84A5BF6"/>
    <w:multiLevelType w:val="hybridMultilevel"/>
    <w:tmpl w:val="96DCF176"/>
    <w:lvl w:ilvl="0" w:tplc="EDE4FAB6">
      <w:start w:val="1"/>
      <w:numFmt w:val="upperRoman"/>
      <w:lvlText w:val="%1."/>
      <w:lvlJc w:val="left"/>
      <w:pPr>
        <w:ind w:left="1440" w:hanging="720"/>
      </w:pPr>
      <w:rPr>
        <w:rFonts w:hint="default"/>
        <w:b/>
        <w:bCs/>
        <w:i w:val="0"/>
        <w:iCs w:val="0"/>
        <w:sz w:val="28"/>
        <w:szCs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3307620A"/>
    <w:multiLevelType w:val="hybridMultilevel"/>
    <w:tmpl w:val="DFFA1670"/>
    <w:lvl w:ilvl="0" w:tplc="2C6A3D5C">
      <w:start w:val="1"/>
      <w:numFmt w:val="bullet"/>
      <w:lvlText w:val="•"/>
      <w:lvlJc w:val="left"/>
      <w:pPr>
        <w:tabs>
          <w:tab w:val="num" w:pos="720"/>
        </w:tabs>
        <w:ind w:left="720" w:hanging="360"/>
      </w:pPr>
      <w:rPr>
        <w:rFonts w:ascii="Arial" w:hAnsi="Arial" w:cs="Arial" w:hint="default"/>
      </w:rPr>
    </w:lvl>
    <w:lvl w:ilvl="1" w:tplc="77706D44">
      <w:start w:val="2919"/>
      <w:numFmt w:val="bullet"/>
      <w:lvlText w:val="–"/>
      <w:lvlJc w:val="left"/>
      <w:pPr>
        <w:tabs>
          <w:tab w:val="num" w:pos="1440"/>
        </w:tabs>
        <w:ind w:left="1440" w:hanging="360"/>
      </w:pPr>
      <w:rPr>
        <w:rFonts w:ascii="Times New Roman" w:hAnsi="Times New Roman" w:cs="Times New Roman" w:hint="default"/>
      </w:rPr>
    </w:lvl>
    <w:lvl w:ilvl="2" w:tplc="46DA8D28">
      <w:start w:val="1"/>
      <w:numFmt w:val="bullet"/>
      <w:lvlText w:val="•"/>
      <w:lvlJc w:val="left"/>
      <w:pPr>
        <w:tabs>
          <w:tab w:val="num" w:pos="2160"/>
        </w:tabs>
        <w:ind w:left="2160" w:hanging="360"/>
      </w:pPr>
      <w:rPr>
        <w:rFonts w:ascii="Arial" w:hAnsi="Arial" w:cs="Arial" w:hint="default"/>
      </w:rPr>
    </w:lvl>
    <w:lvl w:ilvl="3" w:tplc="E23835A6">
      <w:start w:val="1"/>
      <w:numFmt w:val="bullet"/>
      <w:lvlText w:val="•"/>
      <w:lvlJc w:val="left"/>
      <w:pPr>
        <w:tabs>
          <w:tab w:val="num" w:pos="2880"/>
        </w:tabs>
        <w:ind w:left="2880" w:hanging="360"/>
      </w:pPr>
      <w:rPr>
        <w:rFonts w:ascii="Arial" w:hAnsi="Arial" w:cs="Arial" w:hint="default"/>
      </w:rPr>
    </w:lvl>
    <w:lvl w:ilvl="4" w:tplc="9E9C664C">
      <w:start w:val="1"/>
      <w:numFmt w:val="bullet"/>
      <w:lvlText w:val="•"/>
      <w:lvlJc w:val="left"/>
      <w:pPr>
        <w:tabs>
          <w:tab w:val="num" w:pos="3600"/>
        </w:tabs>
        <w:ind w:left="3600" w:hanging="360"/>
      </w:pPr>
      <w:rPr>
        <w:rFonts w:ascii="Arial" w:hAnsi="Arial" w:cs="Arial" w:hint="default"/>
      </w:rPr>
    </w:lvl>
    <w:lvl w:ilvl="5" w:tplc="CF6CFE08">
      <w:start w:val="1"/>
      <w:numFmt w:val="bullet"/>
      <w:lvlText w:val="•"/>
      <w:lvlJc w:val="left"/>
      <w:pPr>
        <w:tabs>
          <w:tab w:val="num" w:pos="4320"/>
        </w:tabs>
        <w:ind w:left="4320" w:hanging="360"/>
      </w:pPr>
      <w:rPr>
        <w:rFonts w:ascii="Arial" w:hAnsi="Arial" w:cs="Arial" w:hint="default"/>
      </w:rPr>
    </w:lvl>
    <w:lvl w:ilvl="6" w:tplc="3C3C288C">
      <w:start w:val="1"/>
      <w:numFmt w:val="bullet"/>
      <w:lvlText w:val="•"/>
      <w:lvlJc w:val="left"/>
      <w:pPr>
        <w:tabs>
          <w:tab w:val="num" w:pos="5040"/>
        </w:tabs>
        <w:ind w:left="5040" w:hanging="360"/>
      </w:pPr>
      <w:rPr>
        <w:rFonts w:ascii="Arial" w:hAnsi="Arial" w:cs="Arial" w:hint="default"/>
      </w:rPr>
    </w:lvl>
    <w:lvl w:ilvl="7" w:tplc="D636868C">
      <w:start w:val="1"/>
      <w:numFmt w:val="bullet"/>
      <w:lvlText w:val="•"/>
      <w:lvlJc w:val="left"/>
      <w:pPr>
        <w:tabs>
          <w:tab w:val="num" w:pos="5760"/>
        </w:tabs>
        <w:ind w:left="5760" w:hanging="360"/>
      </w:pPr>
      <w:rPr>
        <w:rFonts w:ascii="Arial" w:hAnsi="Arial" w:cs="Arial" w:hint="default"/>
      </w:rPr>
    </w:lvl>
    <w:lvl w:ilvl="8" w:tplc="4664E862">
      <w:start w:val="1"/>
      <w:numFmt w:val="bullet"/>
      <w:lvlText w:val="•"/>
      <w:lvlJc w:val="left"/>
      <w:pPr>
        <w:tabs>
          <w:tab w:val="num" w:pos="6480"/>
        </w:tabs>
        <w:ind w:left="6480" w:hanging="360"/>
      </w:pPr>
      <w:rPr>
        <w:rFonts w:ascii="Arial" w:hAnsi="Arial" w:cs="Arial" w:hint="default"/>
      </w:rPr>
    </w:lvl>
  </w:abstractNum>
  <w:abstractNum w:abstractNumId="13">
    <w:nsid w:val="3EF152EC"/>
    <w:multiLevelType w:val="hybridMultilevel"/>
    <w:tmpl w:val="A412E7B0"/>
    <w:lvl w:ilvl="0" w:tplc="3A541E60">
      <w:start w:val="1"/>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4">
    <w:nsid w:val="3EF87D83"/>
    <w:multiLevelType w:val="hybridMultilevel"/>
    <w:tmpl w:val="7366925A"/>
    <w:lvl w:ilvl="0" w:tplc="04260001">
      <w:start w:val="1"/>
      <w:numFmt w:val="bullet"/>
      <w:lvlText w:val=""/>
      <w:lvlJc w:val="left"/>
      <w:pPr>
        <w:ind w:left="5889" w:hanging="360"/>
      </w:pPr>
      <w:rPr>
        <w:rFonts w:ascii="Symbol" w:hAnsi="Symbol" w:cs="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cs="Wingdings" w:hint="default"/>
      </w:rPr>
    </w:lvl>
    <w:lvl w:ilvl="3" w:tplc="04260001">
      <w:start w:val="1"/>
      <w:numFmt w:val="bullet"/>
      <w:lvlText w:val=""/>
      <w:lvlJc w:val="left"/>
      <w:pPr>
        <w:ind w:left="3660" w:hanging="360"/>
      </w:pPr>
      <w:rPr>
        <w:rFonts w:ascii="Symbol" w:hAnsi="Symbol" w:cs="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cs="Wingdings" w:hint="default"/>
      </w:rPr>
    </w:lvl>
    <w:lvl w:ilvl="6" w:tplc="04260001">
      <w:start w:val="1"/>
      <w:numFmt w:val="bullet"/>
      <w:lvlText w:val=""/>
      <w:lvlJc w:val="left"/>
      <w:pPr>
        <w:ind w:left="5820" w:hanging="360"/>
      </w:pPr>
      <w:rPr>
        <w:rFonts w:ascii="Symbol" w:hAnsi="Symbol" w:cs="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cs="Wingdings" w:hint="default"/>
      </w:rPr>
    </w:lvl>
  </w:abstractNum>
  <w:abstractNum w:abstractNumId="15">
    <w:nsid w:val="41CD1FD4"/>
    <w:multiLevelType w:val="hybridMultilevel"/>
    <w:tmpl w:val="89701D96"/>
    <w:lvl w:ilvl="0" w:tplc="44943698">
      <w:start w:val="1"/>
      <w:numFmt w:val="bullet"/>
      <w:lvlText w:val="•"/>
      <w:lvlJc w:val="left"/>
      <w:pPr>
        <w:tabs>
          <w:tab w:val="num" w:pos="720"/>
        </w:tabs>
        <w:ind w:left="720" w:hanging="360"/>
      </w:pPr>
      <w:rPr>
        <w:rFonts w:ascii="Arial" w:hAnsi="Arial" w:cs="Arial" w:hint="default"/>
      </w:rPr>
    </w:lvl>
    <w:lvl w:ilvl="1" w:tplc="E21006FE">
      <w:start w:val="2778"/>
      <w:numFmt w:val="bullet"/>
      <w:lvlText w:val="–"/>
      <w:lvlJc w:val="left"/>
      <w:pPr>
        <w:tabs>
          <w:tab w:val="num" w:pos="1440"/>
        </w:tabs>
        <w:ind w:left="1440" w:hanging="360"/>
      </w:pPr>
      <w:rPr>
        <w:rFonts w:ascii="Times New Roman" w:hAnsi="Times New Roman" w:cs="Times New Roman" w:hint="default"/>
      </w:rPr>
    </w:lvl>
    <w:lvl w:ilvl="2" w:tplc="932A1B7C">
      <w:start w:val="1"/>
      <w:numFmt w:val="bullet"/>
      <w:lvlText w:val="•"/>
      <w:lvlJc w:val="left"/>
      <w:pPr>
        <w:tabs>
          <w:tab w:val="num" w:pos="2160"/>
        </w:tabs>
        <w:ind w:left="2160" w:hanging="360"/>
      </w:pPr>
      <w:rPr>
        <w:rFonts w:ascii="Arial" w:hAnsi="Arial" w:cs="Arial" w:hint="default"/>
      </w:rPr>
    </w:lvl>
    <w:lvl w:ilvl="3" w:tplc="B254B27E">
      <w:start w:val="1"/>
      <w:numFmt w:val="bullet"/>
      <w:lvlText w:val="•"/>
      <w:lvlJc w:val="left"/>
      <w:pPr>
        <w:tabs>
          <w:tab w:val="num" w:pos="2880"/>
        </w:tabs>
        <w:ind w:left="2880" w:hanging="360"/>
      </w:pPr>
      <w:rPr>
        <w:rFonts w:ascii="Arial" w:hAnsi="Arial" w:cs="Arial" w:hint="default"/>
      </w:rPr>
    </w:lvl>
    <w:lvl w:ilvl="4" w:tplc="133AD81E">
      <w:start w:val="1"/>
      <w:numFmt w:val="bullet"/>
      <w:lvlText w:val="•"/>
      <w:lvlJc w:val="left"/>
      <w:pPr>
        <w:tabs>
          <w:tab w:val="num" w:pos="3600"/>
        </w:tabs>
        <w:ind w:left="3600" w:hanging="360"/>
      </w:pPr>
      <w:rPr>
        <w:rFonts w:ascii="Arial" w:hAnsi="Arial" w:cs="Arial" w:hint="default"/>
      </w:rPr>
    </w:lvl>
    <w:lvl w:ilvl="5" w:tplc="8160A7AA">
      <w:start w:val="1"/>
      <w:numFmt w:val="bullet"/>
      <w:lvlText w:val="•"/>
      <w:lvlJc w:val="left"/>
      <w:pPr>
        <w:tabs>
          <w:tab w:val="num" w:pos="4320"/>
        </w:tabs>
        <w:ind w:left="4320" w:hanging="360"/>
      </w:pPr>
      <w:rPr>
        <w:rFonts w:ascii="Arial" w:hAnsi="Arial" w:cs="Arial" w:hint="default"/>
      </w:rPr>
    </w:lvl>
    <w:lvl w:ilvl="6" w:tplc="A74229E2">
      <w:start w:val="1"/>
      <w:numFmt w:val="bullet"/>
      <w:lvlText w:val="•"/>
      <w:lvlJc w:val="left"/>
      <w:pPr>
        <w:tabs>
          <w:tab w:val="num" w:pos="5040"/>
        </w:tabs>
        <w:ind w:left="5040" w:hanging="360"/>
      </w:pPr>
      <w:rPr>
        <w:rFonts w:ascii="Arial" w:hAnsi="Arial" w:cs="Arial" w:hint="default"/>
      </w:rPr>
    </w:lvl>
    <w:lvl w:ilvl="7" w:tplc="0978884A">
      <w:start w:val="1"/>
      <w:numFmt w:val="bullet"/>
      <w:lvlText w:val="•"/>
      <w:lvlJc w:val="left"/>
      <w:pPr>
        <w:tabs>
          <w:tab w:val="num" w:pos="5760"/>
        </w:tabs>
        <w:ind w:left="5760" w:hanging="360"/>
      </w:pPr>
      <w:rPr>
        <w:rFonts w:ascii="Arial" w:hAnsi="Arial" w:cs="Arial" w:hint="default"/>
      </w:rPr>
    </w:lvl>
    <w:lvl w:ilvl="8" w:tplc="F3DE3558">
      <w:start w:val="1"/>
      <w:numFmt w:val="bullet"/>
      <w:lvlText w:val="•"/>
      <w:lvlJc w:val="left"/>
      <w:pPr>
        <w:tabs>
          <w:tab w:val="num" w:pos="6480"/>
        </w:tabs>
        <w:ind w:left="6480" w:hanging="360"/>
      </w:pPr>
      <w:rPr>
        <w:rFonts w:ascii="Arial" w:hAnsi="Arial" w:cs="Arial" w:hint="default"/>
      </w:rPr>
    </w:lvl>
  </w:abstractNum>
  <w:abstractNum w:abstractNumId="16">
    <w:nsid w:val="4B8210F1"/>
    <w:multiLevelType w:val="hybridMultilevel"/>
    <w:tmpl w:val="1506FA8E"/>
    <w:lvl w:ilvl="0" w:tplc="1F00A840">
      <w:start w:val="92"/>
      <w:numFmt w:val="bullet"/>
      <w:lvlText w:val="-"/>
      <w:lvlJc w:val="left"/>
      <w:pPr>
        <w:ind w:left="3196" w:hanging="360"/>
      </w:pPr>
      <w:rPr>
        <w:rFonts w:ascii="Times New Roman" w:eastAsia="Times New Roman" w:hAnsi="Times New Roman" w:hint="default"/>
      </w:rPr>
    </w:lvl>
    <w:lvl w:ilvl="1" w:tplc="04260003">
      <w:start w:val="1"/>
      <w:numFmt w:val="bullet"/>
      <w:lvlText w:val="o"/>
      <w:lvlJc w:val="left"/>
      <w:pPr>
        <w:ind w:left="3916" w:hanging="360"/>
      </w:pPr>
      <w:rPr>
        <w:rFonts w:ascii="Courier New" w:hAnsi="Courier New" w:cs="Courier New" w:hint="default"/>
      </w:rPr>
    </w:lvl>
    <w:lvl w:ilvl="2" w:tplc="04260005">
      <w:start w:val="1"/>
      <w:numFmt w:val="bullet"/>
      <w:lvlText w:val=""/>
      <w:lvlJc w:val="left"/>
      <w:pPr>
        <w:ind w:left="4636" w:hanging="360"/>
      </w:pPr>
      <w:rPr>
        <w:rFonts w:ascii="Wingdings" w:hAnsi="Wingdings" w:cs="Wingdings" w:hint="default"/>
      </w:rPr>
    </w:lvl>
    <w:lvl w:ilvl="3" w:tplc="04260001">
      <w:start w:val="1"/>
      <w:numFmt w:val="bullet"/>
      <w:lvlText w:val=""/>
      <w:lvlJc w:val="left"/>
      <w:pPr>
        <w:ind w:left="5356" w:hanging="360"/>
      </w:pPr>
      <w:rPr>
        <w:rFonts w:ascii="Symbol" w:hAnsi="Symbol" w:cs="Symbol" w:hint="default"/>
      </w:rPr>
    </w:lvl>
    <w:lvl w:ilvl="4" w:tplc="04260003">
      <w:start w:val="1"/>
      <w:numFmt w:val="bullet"/>
      <w:lvlText w:val="o"/>
      <w:lvlJc w:val="left"/>
      <w:pPr>
        <w:ind w:left="6076" w:hanging="360"/>
      </w:pPr>
      <w:rPr>
        <w:rFonts w:ascii="Courier New" w:hAnsi="Courier New" w:cs="Courier New" w:hint="default"/>
      </w:rPr>
    </w:lvl>
    <w:lvl w:ilvl="5" w:tplc="04260005">
      <w:start w:val="1"/>
      <w:numFmt w:val="bullet"/>
      <w:lvlText w:val=""/>
      <w:lvlJc w:val="left"/>
      <w:pPr>
        <w:ind w:left="6796" w:hanging="360"/>
      </w:pPr>
      <w:rPr>
        <w:rFonts w:ascii="Wingdings" w:hAnsi="Wingdings" w:cs="Wingdings" w:hint="default"/>
      </w:rPr>
    </w:lvl>
    <w:lvl w:ilvl="6" w:tplc="04260001">
      <w:start w:val="1"/>
      <w:numFmt w:val="bullet"/>
      <w:lvlText w:val=""/>
      <w:lvlJc w:val="left"/>
      <w:pPr>
        <w:ind w:left="7516" w:hanging="360"/>
      </w:pPr>
      <w:rPr>
        <w:rFonts w:ascii="Symbol" w:hAnsi="Symbol" w:cs="Symbol" w:hint="default"/>
      </w:rPr>
    </w:lvl>
    <w:lvl w:ilvl="7" w:tplc="04260003">
      <w:start w:val="1"/>
      <w:numFmt w:val="bullet"/>
      <w:lvlText w:val="o"/>
      <w:lvlJc w:val="left"/>
      <w:pPr>
        <w:ind w:left="8236" w:hanging="360"/>
      </w:pPr>
      <w:rPr>
        <w:rFonts w:ascii="Courier New" w:hAnsi="Courier New" w:cs="Courier New" w:hint="default"/>
      </w:rPr>
    </w:lvl>
    <w:lvl w:ilvl="8" w:tplc="04260005">
      <w:start w:val="1"/>
      <w:numFmt w:val="bullet"/>
      <w:lvlText w:val=""/>
      <w:lvlJc w:val="left"/>
      <w:pPr>
        <w:ind w:left="8956" w:hanging="360"/>
      </w:pPr>
      <w:rPr>
        <w:rFonts w:ascii="Wingdings" w:hAnsi="Wingdings" w:cs="Wingdings" w:hint="default"/>
      </w:rPr>
    </w:lvl>
  </w:abstractNum>
  <w:abstractNum w:abstractNumId="17">
    <w:nsid w:val="4B8B5BAD"/>
    <w:multiLevelType w:val="hybridMultilevel"/>
    <w:tmpl w:val="7B4688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2A6722D"/>
    <w:multiLevelType w:val="hybridMultilevel"/>
    <w:tmpl w:val="141A7E44"/>
    <w:lvl w:ilvl="0" w:tplc="060E7FFA">
      <w:start w:val="1"/>
      <w:numFmt w:val="bullet"/>
      <w:lvlText w:val="•"/>
      <w:lvlJc w:val="left"/>
      <w:pPr>
        <w:ind w:left="1440" w:hanging="360"/>
      </w:pPr>
      <w:rPr>
        <w:rFonts w:ascii="Arial" w:hAnsi="Arial" w:cs="Aria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9">
    <w:nsid w:val="54FE5CA5"/>
    <w:multiLevelType w:val="hybridMultilevel"/>
    <w:tmpl w:val="A2589474"/>
    <w:lvl w:ilvl="0" w:tplc="38DEFE08">
      <w:start w:val="1"/>
      <w:numFmt w:val="decimal"/>
      <w:lvlText w:val="%1)"/>
      <w:lvlJc w:val="left"/>
      <w:pPr>
        <w:tabs>
          <w:tab w:val="num" w:pos="720"/>
        </w:tabs>
        <w:ind w:left="720" w:hanging="360"/>
      </w:pPr>
      <w:rPr>
        <w:rFonts w:ascii="Times New Roman" w:eastAsia="Times New Roman" w:hAnsi="Times New Roman"/>
      </w:rPr>
    </w:lvl>
    <w:lvl w:ilvl="1" w:tplc="C4F09D4C">
      <w:start w:val="3"/>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58BB3D1D"/>
    <w:multiLevelType w:val="multilevel"/>
    <w:tmpl w:val="68F63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DB4A30"/>
    <w:multiLevelType w:val="hybridMultilevel"/>
    <w:tmpl w:val="35F2D5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CF03E3A"/>
    <w:multiLevelType w:val="hybridMultilevel"/>
    <w:tmpl w:val="2168161A"/>
    <w:lvl w:ilvl="0" w:tplc="4030EF8E">
      <w:start w:val="1"/>
      <w:numFmt w:val="decimal"/>
      <w:lvlText w:val="%1."/>
      <w:lvlJc w:val="left"/>
      <w:pPr>
        <w:tabs>
          <w:tab w:val="num" w:pos="1429"/>
        </w:tabs>
        <w:ind w:left="1429" w:hanging="360"/>
      </w:pPr>
      <w:rPr>
        <w:rFonts w:hint="default"/>
        <w:b/>
        <w:bCs/>
        <w:i w:val="0"/>
        <w:iCs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3">
    <w:nsid w:val="5EBA5AAB"/>
    <w:multiLevelType w:val="hybridMultilevel"/>
    <w:tmpl w:val="A2589474"/>
    <w:lvl w:ilvl="0" w:tplc="38DEFE08">
      <w:start w:val="1"/>
      <w:numFmt w:val="decimal"/>
      <w:lvlText w:val="%1)"/>
      <w:lvlJc w:val="left"/>
      <w:pPr>
        <w:tabs>
          <w:tab w:val="num" w:pos="720"/>
        </w:tabs>
        <w:ind w:left="720" w:hanging="360"/>
      </w:pPr>
      <w:rPr>
        <w:rFonts w:ascii="Times New Roman" w:eastAsia="Times New Roman" w:hAnsi="Times New Roman"/>
      </w:rPr>
    </w:lvl>
    <w:lvl w:ilvl="1" w:tplc="C4F09D4C">
      <w:start w:val="3"/>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nsid w:val="639212B0"/>
    <w:multiLevelType w:val="hybridMultilevel"/>
    <w:tmpl w:val="A4BA1F18"/>
    <w:lvl w:ilvl="0" w:tplc="234C816E">
      <w:start w:val="1"/>
      <w:numFmt w:val="decimal"/>
      <w:lvlText w:val="%1."/>
      <w:lvlJc w:val="left"/>
      <w:pPr>
        <w:ind w:left="720" w:hanging="360"/>
      </w:pPr>
      <w:rPr>
        <w:rFonts w:hint="default"/>
        <w:color w:val="00000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446168A"/>
    <w:multiLevelType w:val="hybridMultilevel"/>
    <w:tmpl w:val="72C2FD2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71E43E2"/>
    <w:multiLevelType w:val="hybridMultilevel"/>
    <w:tmpl w:val="F67C8D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79D2F80"/>
    <w:multiLevelType w:val="hybridMultilevel"/>
    <w:tmpl w:val="517EB9E2"/>
    <w:lvl w:ilvl="0" w:tplc="DBB8E06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nsid w:val="6D4A1097"/>
    <w:multiLevelType w:val="hybridMultilevel"/>
    <w:tmpl w:val="C240B96E"/>
    <w:lvl w:ilvl="0" w:tplc="09C88398">
      <w:start w:val="1"/>
      <w:numFmt w:val="decimal"/>
      <w:lvlText w:val="%1."/>
      <w:lvlJc w:val="left"/>
      <w:pPr>
        <w:ind w:left="720" w:hanging="360"/>
      </w:pPr>
      <w:rPr>
        <w:rFonts w:hint="default"/>
        <w:color w:val="000000"/>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717733C"/>
    <w:multiLevelType w:val="hybridMultilevel"/>
    <w:tmpl w:val="4D228A18"/>
    <w:lvl w:ilvl="0" w:tplc="5FA8166C">
      <w:start w:val="1"/>
      <w:numFmt w:val="bullet"/>
      <w:lvlText w:val="•"/>
      <w:lvlJc w:val="left"/>
      <w:pPr>
        <w:tabs>
          <w:tab w:val="num" w:pos="720"/>
        </w:tabs>
        <w:ind w:left="720" w:hanging="360"/>
      </w:pPr>
      <w:rPr>
        <w:rFonts w:ascii="Arial" w:hAnsi="Arial" w:cs="Arial" w:hint="default"/>
      </w:rPr>
    </w:lvl>
    <w:lvl w:ilvl="1" w:tplc="997EFAEC">
      <w:start w:val="2778"/>
      <w:numFmt w:val="bullet"/>
      <w:lvlText w:val="–"/>
      <w:lvlJc w:val="left"/>
      <w:pPr>
        <w:tabs>
          <w:tab w:val="num" w:pos="1440"/>
        </w:tabs>
        <w:ind w:left="1440" w:hanging="360"/>
      </w:pPr>
      <w:rPr>
        <w:rFonts w:ascii="Arial" w:hAnsi="Arial" w:cs="Arial" w:hint="default"/>
      </w:rPr>
    </w:lvl>
    <w:lvl w:ilvl="2" w:tplc="F640985A">
      <w:start w:val="1"/>
      <w:numFmt w:val="bullet"/>
      <w:lvlText w:val="•"/>
      <w:lvlJc w:val="left"/>
      <w:pPr>
        <w:tabs>
          <w:tab w:val="num" w:pos="2160"/>
        </w:tabs>
        <w:ind w:left="2160" w:hanging="360"/>
      </w:pPr>
      <w:rPr>
        <w:rFonts w:ascii="Arial" w:hAnsi="Arial" w:cs="Arial" w:hint="default"/>
      </w:rPr>
    </w:lvl>
    <w:lvl w:ilvl="3" w:tplc="5ED2F456">
      <w:start w:val="1"/>
      <w:numFmt w:val="bullet"/>
      <w:lvlText w:val="•"/>
      <w:lvlJc w:val="left"/>
      <w:pPr>
        <w:tabs>
          <w:tab w:val="num" w:pos="2880"/>
        </w:tabs>
        <w:ind w:left="2880" w:hanging="360"/>
      </w:pPr>
      <w:rPr>
        <w:rFonts w:ascii="Arial" w:hAnsi="Arial" w:cs="Arial" w:hint="default"/>
      </w:rPr>
    </w:lvl>
    <w:lvl w:ilvl="4" w:tplc="14A0A85A">
      <w:start w:val="1"/>
      <w:numFmt w:val="bullet"/>
      <w:lvlText w:val="•"/>
      <w:lvlJc w:val="left"/>
      <w:pPr>
        <w:tabs>
          <w:tab w:val="num" w:pos="3600"/>
        </w:tabs>
        <w:ind w:left="3600" w:hanging="360"/>
      </w:pPr>
      <w:rPr>
        <w:rFonts w:ascii="Arial" w:hAnsi="Arial" w:cs="Arial" w:hint="default"/>
      </w:rPr>
    </w:lvl>
    <w:lvl w:ilvl="5" w:tplc="23F6FCD0">
      <w:start w:val="1"/>
      <w:numFmt w:val="bullet"/>
      <w:lvlText w:val="•"/>
      <w:lvlJc w:val="left"/>
      <w:pPr>
        <w:tabs>
          <w:tab w:val="num" w:pos="4320"/>
        </w:tabs>
        <w:ind w:left="4320" w:hanging="360"/>
      </w:pPr>
      <w:rPr>
        <w:rFonts w:ascii="Arial" w:hAnsi="Arial" w:cs="Arial" w:hint="default"/>
      </w:rPr>
    </w:lvl>
    <w:lvl w:ilvl="6" w:tplc="728E4C26">
      <w:start w:val="1"/>
      <w:numFmt w:val="bullet"/>
      <w:lvlText w:val="•"/>
      <w:lvlJc w:val="left"/>
      <w:pPr>
        <w:tabs>
          <w:tab w:val="num" w:pos="5040"/>
        </w:tabs>
        <w:ind w:left="5040" w:hanging="360"/>
      </w:pPr>
      <w:rPr>
        <w:rFonts w:ascii="Arial" w:hAnsi="Arial" w:cs="Arial" w:hint="default"/>
      </w:rPr>
    </w:lvl>
    <w:lvl w:ilvl="7" w:tplc="C122C492">
      <w:start w:val="1"/>
      <w:numFmt w:val="bullet"/>
      <w:lvlText w:val="•"/>
      <w:lvlJc w:val="left"/>
      <w:pPr>
        <w:tabs>
          <w:tab w:val="num" w:pos="5760"/>
        </w:tabs>
        <w:ind w:left="5760" w:hanging="360"/>
      </w:pPr>
      <w:rPr>
        <w:rFonts w:ascii="Arial" w:hAnsi="Arial" w:cs="Arial" w:hint="default"/>
      </w:rPr>
    </w:lvl>
    <w:lvl w:ilvl="8" w:tplc="A01E49CE">
      <w:start w:val="1"/>
      <w:numFmt w:val="bullet"/>
      <w:lvlText w:val="•"/>
      <w:lvlJc w:val="left"/>
      <w:pPr>
        <w:tabs>
          <w:tab w:val="num" w:pos="6480"/>
        </w:tabs>
        <w:ind w:left="6480" w:hanging="360"/>
      </w:pPr>
      <w:rPr>
        <w:rFonts w:ascii="Arial" w:hAnsi="Arial" w:cs="Arial" w:hint="default"/>
      </w:rPr>
    </w:lvl>
  </w:abstractNum>
  <w:abstractNum w:abstractNumId="30">
    <w:nsid w:val="78AC27C1"/>
    <w:multiLevelType w:val="hybridMultilevel"/>
    <w:tmpl w:val="B1EAFED4"/>
    <w:lvl w:ilvl="0" w:tplc="A8E25A26">
      <w:start w:val="1"/>
      <w:numFmt w:val="bullet"/>
      <w:lvlText w:val="•"/>
      <w:lvlJc w:val="left"/>
      <w:pPr>
        <w:tabs>
          <w:tab w:val="num" w:pos="720"/>
        </w:tabs>
        <w:ind w:left="720" w:hanging="360"/>
      </w:pPr>
      <w:rPr>
        <w:rFonts w:ascii="Arial" w:hAnsi="Arial" w:cs="Arial" w:hint="default"/>
      </w:rPr>
    </w:lvl>
    <w:lvl w:ilvl="1" w:tplc="FD9E28C8">
      <w:start w:val="1"/>
      <w:numFmt w:val="bullet"/>
      <w:lvlText w:val="•"/>
      <w:lvlJc w:val="left"/>
      <w:pPr>
        <w:tabs>
          <w:tab w:val="num" w:pos="1440"/>
        </w:tabs>
        <w:ind w:left="1440" w:hanging="360"/>
      </w:pPr>
      <w:rPr>
        <w:rFonts w:ascii="Arial" w:hAnsi="Arial" w:cs="Arial" w:hint="default"/>
      </w:rPr>
    </w:lvl>
    <w:lvl w:ilvl="2" w:tplc="DFB2448C">
      <w:start w:val="1"/>
      <w:numFmt w:val="bullet"/>
      <w:lvlText w:val="•"/>
      <w:lvlJc w:val="left"/>
      <w:pPr>
        <w:tabs>
          <w:tab w:val="num" w:pos="2160"/>
        </w:tabs>
        <w:ind w:left="2160" w:hanging="360"/>
      </w:pPr>
      <w:rPr>
        <w:rFonts w:ascii="Arial" w:hAnsi="Arial" w:cs="Arial" w:hint="default"/>
      </w:rPr>
    </w:lvl>
    <w:lvl w:ilvl="3" w:tplc="1FAA242A">
      <w:start w:val="1"/>
      <w:numFmt w:val="bullet"/>
      <w:lvlText w:val="•"/>
      <w:lvlJc w:val="left"/>
      <w:pPr>
        <w:tabs>
          <w:tab w:val="num" w:pos="2880"/>
        </w:tabs>
        <w:ind w:left="2880" w:hanging="360"/>
      </w:pPr>
      <w:rPr>
        <w:rFonts w:ascii="Arial" w:hAnsi="Arial" w:cs="Arial" w:hint="default"/>
      </w:rPr>
    </w:lvl>
    <w:lvl w:ilvl="4" w:tplc="B21E9F02">
      <w:start w:val="1"/>
      <w:numFmt w:val="bullet"/>
      <w:lvlText w:val="•"/>
      <w:lvlJc w:val="left"/>
      <w:pPr>
        <w:tabs>
          <w:tab w:val="num" w:pos="3600"/>
        </w:tabs>
        <w:ind w:left="3600" w:hanging="360"/>
      </w:pPr>
      <w:rPr>
        <w:rFonts w:ascii="Arial" w:hAnsi="Arial" w:cs="Arial" w:hint="default"/>
      </w:rPr>
    </w:lvl>
    <w:lvl w:ilvl="5" w:tplc="BB844DC6">
      <w:start w:val="1"/>
      <w:numFmt w:val="bullet"/>
      <w:lvlText w:val="•"/>
      <w:lvlJc w:val="left"/>
      <w:pPr>
        <w:tabs>
          <w:tab w:val="num" w:pos="4320"/>
        </w:tabs>
        <w:ind w:left="4320" w:hanging="360"/>
      </w:pPr>
      <w:rPr>
        <w:rFonts w:ascii="Arial" w:hAnsi="Arial" w:cs="Arial" w:hint="default"/>
      </w:rPr>
    </w:lvl>
    <w:lvl w:ilvl="6" w:tplc="04BC2166">
      <w:start w:val="1"/>
      <w:numFmt w:val="bullet"/>
      <w:lvlText w:val="•"/>
      <w:lvlJc w:val="left"/>
      <w:pPr>
        <w:tabs>
          <w:tab w:val="num" w:pos="5040"/>
        </w:tabs>
        <w:ind w:left="5040" w:hanging="360"/>
      </w:pPr>
      <w:rPr>
        <w:rFonts w:ascii="Arial" w:hAnsi="Arial" w:cs="Arial" w:hint="default"/>
      </w:rPr>
    </w:lvl>
    <w:lvl w:ilvl="7" w:tplc="BA7E1F4A">
      <w:start w:val="1"/>
      <w:numFmt w:val="bullet"/>
      <w:lvlText w:val="•"/>
      <w:lvlJc w:val="left"/>
      <w:pPr>
        <w:tabs>
          <w:tab w:val="num" w:pos="5760"/>
        </w:tabs>
        <w:ind w:left="5760" w:hanging="360"/>
      </w:pPr>
      <w:rPr>
        <w:rFonts w:ascii="Arial" w:hAnsi="Arial" w:cs="Arial" w:hint="default"/>
      </w:rPr>
    </w:lvl>
    <w:lvl w:ilvl="8" w:tplc="AA6ED694">
      <w:start w:val="1"/>
      <w:numFmt w:val="bullet"/>
      <w:lvlText w:val="•"/>
      <w:lvlJc w:val="left"/>
      <w:pPr>
        <w:tabs>
          <w:tab w:val="num" w:pos="6480"/>
        </w:tabs>
        <w:ind w:left="6480" w:hanging="360"/>
      </w:pPr>
      <w:rPr>
        <w:rFonts w:ascii="Arial" w:hAnsi="Arial" w:cs="Arial" w:hint="default"/>
      </w:rPr>
    </w:lvl>
  </w:abstractNum>
  <w:abstractNum w:abstractNumId="31">
    <w:nsid w:val="7F7F0B5D"/>
    <w:multiLevelType w:val="hybridMultilevel"/>
    <w:tmpl w:val="384C22AA"/>
    <w:lvl w:ilvl="0" w:tplc="04260001">
      <w:start w:val="1"/>
      <w:numFmt w:val="bullet"/>
      <w:lvlText w:val=""/>
      <w:lvlJc w:val="left"/>
      <w:pPr>
        <w:ind w:left="1854" w:hanging="360"/>
      </w:pPr>
      <w:rPr>
        <w:rFonts w:ascii="Symbol" w:hAnsi="Symbol" w:cs="Symbol" w:hint="default"/>
      </w:rPr>
    </w:lvl>
    <w:lvl w:ilvl="1" w:tplc="04260003">
      <w:start w:val="1"/>
      <w:numFmt w:val="bullet"/>
      <w:lvlText w:val="o"/>
      <w:lvlJc w:val="left"/>
      <w:pPr>
        <w:ind w:left="2574" w:hanging="360"/>
      </w:pPr>
      <w:rPr>
        <w:rFonts w:ascii="Courier New" w:hAnsi="Courier New" w:cs="Courier New" w:hint="default"/>
      </w:rPr>
    </w:lvl>
    <w:lvl w:ilvl="2" w:tplc="04260005">
      <w:start w:val="1"/>
      <w:numFmt w:val="bullet"/>
      <w:lvlText w:val=""/>
      <w:lvlJc w:val="left"/>
      <w:pPr>
        <w:ind w:left="3294" w:hanging="360"/>
      </w:pPr>
      <w:rPr>
        <w:rFonts w:ascii="Wingdings" w:hAnsi="Wingdings" w:cs="Wingdings" w:hint="default"/>
      </w:rPr>
    </w:lvl>
    <w:lvl w:ilvl="3" w:tplc="04260001">
      <w:start w:val="1"/>
      <w:numFmt w:val="bullet"/>
      <w:lvlText w:val=""/>
      <w:lvlJc w:val="left"/>
      <w:pPr>
        <w:ind w:left="4014" w:hanging="360"/>
      </w:pPr>
      <w:rPr>
        <w:rFonts w:ascii="Symbol" w:hAnsi="Symbol" w:cs="Symbol" w:hint="default"/>
      </w:rPr>
    </w:lvl>
    <w:lvl w:ilvl="4" w:tplc="04260003">
      <w:start w:val="1"/>
      <w:numFmt w:val="bullet"/>
      <w:lvlText w:val="o"/>
      <w:lvlJc w:val="left"/>
      <w:pPr>
        <w:ind w:left="4734" w:hanging="360"/>
      </w:pPr>
      <w:rPr>
        <w:rFonts w:ascii="Courier New" w:hAnsi="Courier New" w:cs="Courier New" w:hint="default"/>
      </w:rPr>
    </w:lvl>
    <w:lvl w:ilvl="5" w:tplc="04260005">
      <w:start w:val="1"/>
      <w:numFmt w:val="bullet"/>
      <w:lvlText w:val=""/>
      <w:lvlJc w:val="left"/>
      <w:pPr>
        <w:ind w:left="5454" w:hanging="360"/>
      </w:pPr>
      <w:rPr>
        <w:rFonts w:ascii="Wingdings" w:hAnsi="Wingdings" w:cs="Wingdings" w:hint="default"/>
      </w:rPr>
    </w:lvl>
    <w:lvl w:ilvl="6" w:tplc="04260001">
      <w:start w:val="1"/>
      <w:numFmt w:val="bullet"/>
      <w:lvlText w:val=""/>
      <w:lvlJc w:val="left"/>
      <w:pPr>
        <w:ind w:left="6174" w:hanging="360"/>
      </w:pPr>
      <w:rPr>
        <w:rFonts w:ascii="Symbol" w:hAnsi="Symbol" w:cs="Symbol" w:hint="default"/>
      </w:rPr>
    </w:lvl>
    <w:lvl w:ilvl="7" w:tplc="04260003">
      <w:start w:val="1"/>
      <w:numFmt w:val="bullet"/>
      <w:lvlText w:val="o"/>
      <w:lvlJc w:val="left"/>
      <w:pPr>
        <w:ind w:left="6894" w:hanging="360"/>
      </w:pPr>
      <w:rPr>
        <w:rFonts w:ascii="Courier New" w:hAnsi="Courier New" w:cs="Courier New" w:hint="default"/>
      </w:rPr>
    </w:lvl>
    <w:lvl w:ilvl="8" w:tplc="04260005">
      <w:start w:val="1"/>
      <w:numFmt w:val="bullet"/>
      <w:lvlText w:val=""/>
      <w:lvlJc w:val="left"/>
      <w:pPr>
        <w:ind w:left="7614" w:hanging="360"/>
      </w:pPr>
      <w:rPr>
        <w:rFonts w:ascii="Wingdings" w:hAnsi="Wingdings" w:cs="Wingdings" w:hint="default"/>
      </w:rPr>
    </w:lvl>
  </w:abstractNum>
  <w:num w:numId="1">
    <w:abstractNumId w:val="3"/>
  </w:num>
  <w:num w:numId="2">
    <w:abstractNumId w:val="22"/>
  </w:num>
  <w:num w:numId="3">
    <w:abstractNumId w:val="11"/>
  </w:num>
  <w:num w:numId="4">
    <w:abstractNumId w:val="15"/>
  </w:num>
  <w:num w:numId="5">
    <w:abstractNumId w:val="29"/>
  </w:num>
  <w:num w:numId="6">
    <w:abstractNumId w:val="0"/>
  </w:num>
  <w:num w:numId="7">
    <w:abstractNumId w:val="7"/>
  </w:num>
  <w:num w:numId="8">
    <w:abstractNumId w:val="9"/>
  </w:num>
  <w:num w:numId="9">
    <w:abstractNumId w:val="8"/>
  </w:num>
  <w:num w:numId="10">
    <w:abstractNumId w:val="30"/>
  </w:num>
  <w:num w:numId="11">
    <w:abstractNumId w:val="6"/>
  </w:num>
  <w:num w:numId="12">
    <w:abstractNumId w:val="26"/>
  </w:num>
  <w:num w:numId="13">
    <w:abstractNumId w:val="21"/>
  </w:num>
  <w:num w:numId="14">
    <w:abstractNumId w:val="17"/>
  </w:num>
  <w:num w:numId="15">
    <w:abstractNumId w:val="12"/>
  </w:num>
  <w:num w:numId="16">
    <w:abstractNumId w:val="28"/>
  </w:num>
  <w:num w:numId="17">
    <w:abstractNumId w:val="24"/>
  </w:num>
  <w:num w:numId="18">
    <w:abstractNumId w:val="13"/>
  </w:num>
  <w:num w:numId="19">
    <w:abstractNumId w:val="5"/>
  </w:num>
  <w:num w:numId="20">
    <w:abstractNumId w:val="2"/>
  </w:num>
  <w:num w:numId="21">
    <w:abstractNumId w:val="14"/>
  </w:num>
  <w:num w:numId="22">
    <w:abstractNumId w:val="27"/>
  </w:num>
  <w:num w:numId="23">
    <w:abstractNumId w:val="4"/>
  </w:num>
  <w:num w:numId="24">
    <w:abstractNumId w:val="25"/>
  </w:num>
  <w:num w:numId="25">
    <w:abstractNumId w:val="20"/>
  </w:num>
  <w:num w:numId="26">
    <w:abstractNumId w:val="23"/>
  </w:num>
  <w:num w:numId="27">
    <w:abstractNumId w:val="19"/>
  </w:num>
  <w:num w:numId="28">
    <w:abstractNumId w:val="1"/>
  </w:num>
  <w:num w:numId="29">
    <w:abstractNumId w:val="16"/>
  </w:num>
  <w:num w:numId="30">
    <w:abstractNumId w:val="18"/>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8D"/>
    <w:rsid w:val="00005527"/>
    <w:rsid w:val="000073C3"/>
    <w:rsid w:val="0001270C"/>
    <w:rsid w:val="0001412C"/>
    <w:rsid w:val="000226D3"/>
    <w:rsid w:val="00037C60"/>
    <w:rsid w:val="00047113"/>
    <w:rsid w:val="0005062C"/>
    <w:rsid w:val="000560F1"/>
    <w:rsid w:val="00056CB4"/>
    <w:rsid w:val="00057481"/>
    <w:rsid w:val="000619FF"/>
    <w:rsid w:val="00071DE0"/>
    <w:rsid w:val="00074BEB"/>
    <w:rsid w:val="0008100B"/>
    <w:rsid w:val="00086EC5"/>
    <w:rsid w:val="00090004"/>
    <w:rsid w:val="0009372A"/>
    <w:rsid w:val="000965D2"/>
    <w:rsid w:val="000A16B9"/>
    <w:rsid w:val="000A365A"/>
    <w:rsid w:val="000A59C7"/>
    <w:rsid w:val="000A6003"/>
    <w:rsid w:val="000A664E"/>
    <w:rsid w:val="000C1E7C"/>
    <w:rsid w:val="000C6FBC"/>
    <w:rsid w:val="000D076D"/>
    <w:rsid w:val="000D0984"/>
    <w:rsid w:val="000D6D04"/>
    <w:rsid w:val="000E19FB"/>
    <w:rsid w:val="000E5BBE"/>
    <w:rsid w:val="0011218A"/>
    <w:rsid w:val="00127874"/>
    <w:rsid w:val="00132AE0"/>
    <w:rsid w:val="00141A56"/>
    <w:rsid w:val="0014383F"/>
    <w:rsid w:val="001457A8"/>
    <w:rsid w:val="00153531"/>
    <w:rsid w:val="001551EB"/>
    <w:rsid w:val="001578B8"/>
    <w:rsid w:val="00164A7D"/>
    <w:rsid w:val="00170982"/>
    <w:rsid w:val="0017169F"/>
    <w:rsid w:val="001735F5"/>
    <w:rsid w:val="00176AB0"/>
    <w:rsid w:val="00176AFE"/>
    <w:rsid w:val="00180BCB"/>
    <w:rsid w:val="001852DB"/>
    <w:rsid w:val="00186D5D"/>
    <w:rsid w:val="0019796F"/>
    <w:rsid w:val="001A00B3"/>
    <w:rsid w:val="001B5C79"/>
    <w:rsid w:val="001B6301"/>
    <w:rsid w:val="001B66A5"/>
    <w:rsid w:val="001C745F"/>
    <w:rsid w:val="001D16C7"/>
    <w:rsid w:val="001D350B"/>
    <w:rsid w:val="001E7119"/>
    <w:rsid w:val="001E742A"/>
    <w:rsid w:val="001F29E8"/>
    <w:rsid w:val="001F32C1"/>
    <w:rsid w:val="001F5B91"/>
    <w:rsid w:val="00212837"/>
    <w:rsid w:val="00216A83"/>
    <w:rsid w:val="00221225"/>
    <w:rsid w:val="00221DE2"/>
    <w:rsid w:val="00222CD3"/>
    <w:rsid w:val="0022319C"/>
    <w:rsid w:val="00243F83"/>
    <w:rsid w:val="00245BD6"/>
    <w:rsid w:val="002468F3"/>
    <w:rsid w:val="00251CE4"/>
    <w:rsid w:val="00260B26"/>
    <w:rsid w:val="0026234C"/>
    <w:rsid w:val="002627E9"/>
    <w:rsid w:val="00262FEC"/>
    <w:rsid w:val="00276153"/>
    <w:rsid w:val="0028497C"/>
    <w:rsid w:val="002874BB"/>
    <w:rsid w:val="00290E38"/>
    <w:rsid w:val="00291A40"/>
    <w:rsid w:val="00293222"/>
    <w:rsid w:val="002973D8"/>
    <w:rsid w:val="002A1B13"/>
    <w:rsid w:val="002A5DC6"/>
    <w:rsid w:val="002C0AB9"/>
    <w:rsid w:val="002C2A3A"/>
    <w:rsid w:val="002C2ABA"/>
    <w:rsid w:val="002C2D4C"/>
    <w:rsid w:val="002C2EF2"/>
    <w:rsid w:val="002C5991"/>
    <w:rsid w:val="002C5A8B"/>
    <w:rsid w:val="002C7C9C"/>
    <w:rsid w:val="002D1C7D"/>
    <w:rsid w:val="002D224A"/>
    <w:rsid w:val="002D50E1"/>
    <w:rsid w:val="002D5BA0"/>
    <w:rsid w:val="002E7079"/>
    <w:rsid w:val="002E7163"/>
    <w:rsid w:val="002E7789"/>
    <w:rsid w:val="002F6CB3"/>
    <w:rsid w:val="0030075F"/>
    <w:rsid w:val="00306876"/>
    <w:rsid w:val="00307533"/>
    <w:rsid w:val="00310CCC"/>
    <w:rsid w:val="003160F0"/>
    <w:rsid w:val="00317E48"/>
    <w:rsid w:val="003231C4"/>
    <w:rsid w:val="003231FD"/>
    <w:rsid w:val="00326561"/>
    <w:rsid w:val="00326801"/>
    <w:rsid w:val="00333BE7"/>
    <w:rsid w:val="00334CBA"/>
    <w:rsid w:val="0034320A"/>
    <w:rsid w:val="0034719C"/>
    <w:rsid w:val="00347CB0"/>
    <w:rsid w:val="00360796"/>
    <w:rsid w:val="00360B56"/>
    <w:rsid w:val="00366D48"/>
    <w:rsid w:val="0037506B"/>
    <w:rsid w:val="00376A55"/>
    <w:rsid w:val="0038334E"/>
    <w:rsid w:val="003867BA"/>
    <w:rsid w:val="00391FE3"/>
    <w:rsid w:val="00393DB7"/>
    <w:rsid w:val="00396465"/>
    <w:rsid w:val="003A75D5"/>
    <w:rsid w:val="003B1B28"/>
    <w:rsid w:val="003B39A7"/>
    <w:rsid w:val="003B420A"/>
    <w:rsid w:val="003B44DB"/>
    <w:rsid w:val="003B47C3"/>
    <w:rsid w:val="003D47E8"/>
    <w:rsid w:val="003D52D0"/>
    <w:rsid w:val="003E5277"/>
    <w:rsid w:val="003E622E"/>
    <w:rsid w:val="003E633C"/>
    <w:rsid w:val="003E6D91"/>
    <w:rsid w:val="003F5350"/>
    <w:rsid w:val="003F601F"/>
    <w:rsid w:val="004003A4"/>
    <w:rsid w:val="00405E74"/>
    <w:rsid w:val="00410E86"/>
    <w:rsid w:val="00416DF6"/>
    <w:rsid w:val="004200B4"/>
    <w:rsid w:val="0042152A"/>
    <w:rsid w:val="00431193"/>
    <w:rsid w:val="00434C6D"/>
    <w:rsid w:val="00437BF6"/>
    <w:rsid w:val="00437E79"/>
    <w:rsid w:val="00441E10"/>
    <w:rsid w:val="00445133"/>
    <w:rsid w:val="0044586C"/>
    <w:rsid w:val="00450073"/>
    <w:rsid w:val="00472A05"/>
    <w:rsid w:val="00473099"/>
    <w:rsid w:val="00473EA9"/>
    <w:rsid w:val="00475381"/>
    <w:rsid w:val="00481557"/>
    <w:rsid w:val="0048229D"/>
    <w:rsid w:val="0049469C"/>
    <w:rsid w:val="004968CD"/>
    <w:rsid w:val="004972B5"/>
    <w:rsid w:val="00497304"/>
    <w:rsid w:val="004A5DDB"/>
    <w:rsid w:val="004A5DDE"/>
    <w:rsid w:val="004B06F3"/>
    <w:rsid w:val="004B1583"/>
    <w:rsid w:val="004B20BE"/>
    <w:rsid w:val="004B4588"/>
    <w:rsid w:val="004C4C05"/>
    <w:rsid w:val="004E1003"/>
    <w:rsid w:val="004E409B"/>
    <w:rsid w:val="004E6474"/>
    <w:rsid w:val="004E6493"/>
    <w:rsid w:val="004F1A36"/>
    <w:rsid w:val="004F3229"/>
    <w:rsid w:val="004F3AF8"/>
    <w:rsid w:val="004F54EB"/>
    <w:rsid w:val="004F797E"/>
    <w:rsid w:val="00501177"/>
    <w:rsid w:val="00507883"/>
    <w:rsid w:val="005168D4"/>
    <w:rsid w:val="0052698C"/>
    <w:rsid w:val="005334BA"/>
    <w:rsid w:val="00536A94"/>
    <w:rsid w:val="00546C49"/>
    <w:rsid w:val="00555586"/>
    <w:rsid w:val="005671D2"/>
    <w:rsid w:val="00575F5C"/>
    <w:rsid w:val="00576261"/>
    <w:rsid w:val="00591C55"/>
    <w:rsid w:val="00591D93"/>
    <w:rsid w:val="005952C0"/>
    <w:rsid w:val="005957EF"/>
    <w:rsid w:val="00595E18"/>
    <w:rsid w:val="00596160"/>
    <w:rsid w:val="005A07FB"/>
    <w:rsid w:val="005A2869"/>
    <w:rsid w:val="005B0FE6"/>
    <w:rsid w:val="005B24C3"/>
    <w:rsid w:val="005B51AA"/>
    <w:rsid w:val="005B784F"/>
    <w:rsid w:val="005C1F40"/>
    <w:rsid w:val="005C3D5B"/>
    <w:rsid w:val="005C5D1B"/>
    <w:rsid w:val="005D626C"/>
    <w:rsid w:val="005D758A"/>
    <w:rsid w:val="005F467C"/>
    <w:rsid w:val="006049CE"/>
    <w:rsid w:val="00614C18"/>
    <w:rsid w:val="00617F4E"/>
    <w:rsid w:val="00626338"/>
    <w:rsid w:val="00637895"/>
    <w:rsid w:val="00640D8F"/>
    <w:rsid w:val="00644D2E"/>
    <w:rsid w:val="00645010"/>
    <w:rsid w:val="00645D05"/>
    <w:rsid w:val="00646BC7"/>
    <w:rsid w:val="0065563F"/>
    <w:rsid w:val="0065629F"/>
    <w:rsid w:val="00661B4C"/>
    <w:rsid w:val="00662D5F"/>
    <w:rsid w:val="0068318B"/>
    <w:rsid w:val="00685CCD"/>
    <w:rsid w:val="0068760F"/>
    <w:rsid w:val="00693786"/>
    <w:rsid w:val="006A1E24"/>
    <w:rsid w:val="006A30D3"/>
    <w:rsid w:val="006B15F8"/>
    <w:rsid w:val="006C0238"/>
    <w:rsid w:val="006C43F3"/>
    <w:rsid w:val="006D4571"/>
    <w:rsid w:val="006D5070"/>
    <w:rsid w:val="006D55C3"/>
    <w:rsid w:val="006E0BD9"/>
    <w:rsid w:val="006F0CDF"/>
    <w:rsid w:val="006F0D51"/>
    <w:rsid w:val="006F1B84"/>
    <w:rsid w:val="00702741"/>
    <w:rsid w:val="007072DE"/>
    <w:rsid w:val="00716040"/>
    <w:rsid w:val="007223D6"/>
    <w:rsid w:val="00722DBE"/>
    <w:rsid w:val="00725D7C"/>
    <w:rsid w:val="00732E63"/>
    <w:rsid w:val="007341B2"/>
    <w:rsid w:val="00736732"/>
    <w:rsid w:val="00747362"/>
    <w:rsid w:val="00750179"/>
    <w:rsid w:val="00752687"/>
    <w:rsid w:val="00755B2F"/>
    <w:rsid w:val="007609E4"/>
    <w:rsid w:val="00763103"/>
    <w:rsid w:val="00763689"/>
    <w:rsid w:val="00763F85"/>
    <w:rsid w:val="00764FD9"/>
    <w:rsid w:val="00774CDE"/>
    <w:rsid w:val="00776F93"/>
    <w:rsid w:val="00784FDD"/>
    <w:rsid w:val="00790635"/>
    <w:rsid w:val="00792341"/>
    <w:rsid w:val="007A3B37"/>
    <w:rsid w:val="007B0AF9"/>
    <w:rsid w:val="007B72CC"/>
    <w:rsid w:val="007C38FC"/>
    <w:rsid w:val="007C7188"/>
    <w:rsid w:val="007D07AA"/>
    <w:rsid w:val="007E33FE"/>
    <w:rsid w:val="007E3A4D"/>
    <w:rsid w:val="007E5974"/>
    <w:rsid w:val="007F2EBA"/>
    <w:rsid w:val="007F3397"/>
    <w:rsid w:val="007F5091"/>
    <w:rsid w:val="0080534F"/>
    <w:rsid w:val="00810911"/>
    <w:rsid w:val="00814A1A"/>
    <w:rsid w:val="00814F05"/>
    <w:rsid w:val="008208C1"/>
    <w:rsid w:val="00821E9F"/>
    <w:rsid w:val="0082758D"/>
    <w:rsid w:val="008278AD"/>
    <w:rsid w:val="008306EF"/>
    <w:rsid w:val="00830EE3"/>
    <w:rsid w:val="008359A7"/>
    <w:rsid w:val="0084176D"/>
    <w:rsid w:val="0085215B"/>
    <w:rsid w:val="00853E99"/>
    <w:rsid w:val="008610E3"/>
    <w:rsid w:val="00865DDD"/>
    <w:rsid w:val="008704AA"/>
    <w:rsid w:val="0087197D"/>
    <w:rsid w:val="008721F3"/>
    <w:rsid w:val="00872DB7"/>
    <w:rsid w:val="008742D5"/>
    <w:rsid w:val="00877432"/>
    <w:rsid w:val="008826A4"/>
    <w:rsid w:val="008839D6"/>
    <w:rsid w:val="00883C19"/>
    <w:rsid w:val="00885D14"/>
    <w:rsid w:val="008A3E58"/>
    <w:rsid w:val="008A58B0"/>
    <w:rsid w:val="008B11E8"/>
    <w:rsid w:val="008B43D7"/>
    <w:rsid w:val="008B568D"/>
    <w:rsid w:val="008B70D6"/>
    <w:rsid w:val="008C0169"/>
    <w:rsid w:val="008C12DB"/>
    <w:rsid w:val="008C1F1A"/>
    <w:rsid w:val="008C5265"/>
    <w:rsid w:val="008D2A56"/>
    <w:rsid w:val="008D2FA8"/>
    <w:rsid w:val="008D5EA7"/>
    <w:rsid w:val="008D658D"/>
    <w:rsid w:val="008D73B5"/>
    <w:rsid w:val="008E0173"/>
    <w:rsid w:val="008E227E"/>
    <w:rsid w:val="008E3199"/>
    <w:rsid w:val="008E5040"/>
    <w:rsid w:val="008F24D2"/>
    <w:rsid w:val="008F2719"/>
    <w:rsid w:val="008F57DB"/>
    <w:rsid w:val="008F58E0"/>
    <w:rsid w:val="008F76B5"/>
    <w:rsid w:val="00922A06"/>
    <w:rsid w:val="00922F08"/>
    <w:rsid w:val="00924391"/>
    <w:rsid w:val="00924D3A"/>
    <w:rsid w:val="00926171"/>
    <w:rsid w:val="00932694"/>
    <w:rsid w:val="009353A0"/>
    <w:rsid w:val="009404FC"/>
    <w:rsid w:val="00945ED7"/>
    <w:rsid w:val="00950CB0"/>
    <w:rsid w:val="00961443"/>
    <w:rsid w:val="00961468"/>
    <w:rsid w:val="00965878"/>
    <w:rsid w:val="00980DF5"/>
    <w:rsid w:val="009826A6"/>
    <w:rsid w:val="0098385C"/>
    <w:rsid w:val="00987448"/>
    <w:rsid w:val="00994A14"/>
    <w:rsid w:val="009A050A"/>
    <w:rsid w:val="009A0D61"/>
    <w:rsid w:val="009A1473"/>
    <w:rsid w:val="009B0871"/>
    <w:rsid w:val="009B1144"/>
    <w:rsid w:val="009B1DA8"/>
    <w:rsid w:val="009B295C"/>
    <w:rsid w:val="009B2F75"/>
    <w:rsid w:val="009C08B6"/>
    <w:rsid w:val="009C403E"/>
    <w:rsid w:val="009D1849"/>
    <w:rsid w:val="009D4BCB"/>
    <w:rsid w:val="009E39A5"/>
    <w:rsid w:val="009E4518"/>
    <w:rsid w:val="009E54D3"/>
    <w:rsid w:val="009E7423"/>
    <w:rsid w:val="009F0145"/>
    <w:rsid w:val="009F0DE1"/>
    <w:rsid w:val="009F43B8"/>
    <w:rsid w:val="00A250C2"/>
    <w:rsid w:val="00A50BD6"/>
    <w:rsid w:val="00A51451"/>
    <w:rsid w:val="00A5675E"/>
    <w:rsid w:val="00A56B40"/>
    <w:rsid w:val="00A660A2"/>
    <w:rsid w:val="00A7327C"/>
    <w:rsid w:val="00A83606"/>
    <w:rsid w:val="00A9684F"/>
    <w:rsid w:val="00A97749"/>
    <w:rsid w:val="00AA150F"/>
    <w:rsid w:val="00AA6FED"/>
    <w:rsid w:val="00AA78A4"/>
    <w:rsid w:val="00AB063A"/>
    <w:rsid w:val="00AB3846"/>
    <w:rsid w:val="00AB5563"/>
    <w:rsid w:val="00AC382E"/>
    <w:rsid w:val="00AC597F"/>
    <w:rsid w:val="00AC7A83"/>
    <w:rsid w:val="00AD3556"/>
    <w:rsid w:val="00AD6CCE"/>
    <w:rsid w:val="00AD7FB1"/>
    <w:rsid w:val="00AE04C9"/>
    <w:rsid w:val="00AE2548"/>
    <w:rsid w:val="00AE71AD"/>
    <w:rsid w:val="00B06A24"/>
    <w:rsid w:val="00B10C73"/>
    <w:rsid w:val="00B3353A"/>
    <w:rsid w:val="00B34A1D"/>
    <w:rsid w:val="00B36389"/>
    <w:rsid w:val="00B3707F"/>
    <w:rsid w:val="00B454A5"/>
    <w:rsid w:val="00B51E54"/>
    <w:rsid w:val="00B53B77"/>
    <w:rsid w:val="00B53EB1"/>
    <w:rsid w:val="00B60AB9"/>
    <w:rsid w:val="00B7043F"/>
    <w:rsid w:val="00B704FD"/>
    <w:rsid w:val="00B74BDE"/>
    <w:rsid w:val="00B76AB1"/>
    <w:rsid w:val="00B80FD2"/>
    <w:rsid w:val="00B847A2"/>
    <w:rsid w:val="00B8581E"/>
    <w:rsid w:val="00B904AE"/>
    <w:rsid w:val="00BA2B09"/>
    <w:rsid w:val="00BA4046"/>
    <w:rsid w:val="00BC2062"/>
    <w:rsid w:val="00BC2341"/>
    <w:rsid w:val="00BC3A78"/>
    <w:rsid w:val="00BC55AB"/>
    <w:rsid w:val="00BD4859"/>
    <w:rsid w:val="00BE2160"/>
    <w:rsid w:val="00C032F0"/>
    <w:rsid w:val="00C07567"/>
    <w:rsid w:val="00C16142"/>
    <w:rsid w:val="00C16327"/>
    <w:rsid w:val="00C24F90"/>
    <w:rsid w:val="00C275AB"/>
    <w:rsid w:val="00C34B17"/>
    <w:rsid w:val="00C40E1B"/>
    <w:rsid w:val="00C4226B"/>
    <w:rsid w:val="00C422B5"/>
    <w:rsid w:val="00C430FC"/>
    <w:rsid w:val="00C52651"/>
    <w:rsid w:val="00C62488"/>
    <w:rsid w:val="00C6320D"/>
    <w:rsid w:val="00C63D35"/>
    <w:rsid w:val="00C64F8E"/>
    <w:rsid w:val="00C67743"/>
    <w:rsid w:val="00C84ED4"/>
    <w:rsid w:val="00C86806"/>
    <w:rsid w:val="00C87E71"/>
    <w:rsid w:val="00C913FA"/>
    <w:rsid w:val="00C94F38"/>
    <w:rsid w:val="00CB05CA"/>
    <w:rsid w:val="00CB3560"/>
    <w:rsid w:val="00CC1568"/>
    <w:rsid w:val="00CC29E0"/>
    <w:rsid w:val="00CD0E46"/>
    <w:rsid w:val="00CD7CF2"/>
    <w:rsid w:val="00CE1A50"/>
    <w:rsid w:val="00CE22C4"/>
    <w:rsid w:val="00CE6D51"/>
    <w:rsid w:val="00CF2D82"/>
    <w:rsid w:val="00CF771F"/>
    <w:rsid w:val="00D0093C"/>
    <w:rsid w:val="00D00DFC"/>
    <w:rsid w:val="00D035D3"/>
    <w:rsid w:val="00D11C0D"/>
    <w:rsid w:val="00D1505B"/>
    <w:rsid w:val="00D311E8"/>
    <w:rsid w:val="00D358C1"/>
    <w:rsid w:val="00D40487"/>
    <w:rsid w:val="00D439D7"/>
    <w:rsid w:val="00D52670"/>
    <w:rsid w:val="00D53F6F"/>
    <w:rsid w:val="00D55BEF"/>
    <w:rsid w:val="00D644C1"/>
    <w:rsid w:val="00D72355"/>
    <w:rsid w:val="00D7662E"/>
    <w:rsid w:val="00D80017"/>
    <w:rsid w:val="00D92F6C"/>
    <w:rsid w:val="00D95388"/>
    <w:rsid w:val="00DA225E"/>
    <w:rsid w:val="00DA2CD3"/>
    <w:rsid w:val="00DA5317"/>
    <w:rsid w:val="00DA74E9"/>
    <w:rsid w:val="00DB762D"/>
    <w:rsid w:val="00DC2C93"/>
    <w:rsid w:val="00DC5762"/>
    <w:rsid w:val="00DD3CDA"/>
    <w:rsid w:val="00DE074D"/>
    <w:rsid w:val="00DE2D78"/>
    <w:rsid w:val="00DE76D6"/>
    <w:rsid w:val="00E010F5"/>
    <w:rsid w:val="00E03BC3"/>
    <w:rsid w:val="00E12AE9"/>
    <w:rsid w:val="00E21689"/>
    <w:rsid w:val="00E27805"/>
    <w:rsid w:val="00E3022B"/>
    <w:rsid w:val="00E309B6"/>
    <w:rsid w:val="00E3408E"/>
    <w:rsid w:val="00E34DFE"/>
    <w:rsid w:val="00E35351"/>
    <w:rsid w:val="00E54273"/>
    <w:rsid w:val="00E60E74"/>
    <w:rsid w:val="00E62297"/>
    <w:rsid w:val="00E63907"/>
    <w:rsid w:val="00E7245D"/>
    <w:rsid w:val="00E8774B"/>
    <w:rsid w:val="00E94CB7"/>
    <w:rsid w:val="00EA0FD4"/>
    <w:rsid w:val="00EA5B3E"/>
    <w:rsid w:val="00EA7CCF"/>
    <w:rsid w:val="00EB00D7"/>
    <w:rsid w:val="00EC3A48"/>
    <w:rsid w:val="00EC4482"/>
    <w:rsid w:val="00EC69F4"/>
    <w:rsid w:val="00EC79E7"/>
    <w:rsid w:val="00ED1D93"/>
    <w:rsid w:val="00EE4878"/>
    <w:rsid w:val="00EF5AA7"/>
    <w:rsid w:val="00F043C5"/>
    <w:rsid w:val="00F0758E"/>
    <w:rsid w:val="00F13602"/>
    <w:rsid w:val="00F14C53"/>
    <w:rsid w:val="00F27DFD"/>
    <w:rsid w:val="00F27E51"/>
    <w:rsid w:val="00F36A25"/>
    <w:rsid w:val="00F37A3C"/>
    <w:rsid w:val="00F43255"/>
    <w:rsid w:val="00F57D32"/>
    <w:rsid w:val="00F6150A"/>
    <w:rsid w:val="00F66A4D"/>
    <w:rsid w:val="00F81258"/>
    <w:rsid w:val="00F83BDF"/>
    <w:rsid w:val="00F84BE4"/>
    <w:rsid w:val="00F9431B"/>
    <w:rsid w:val="00FA2CB8"/>
    <w:rsid w:val="00FA67E0"/>
    <w:rsid w:val="00FB0ADE"/>
    <w:rsid w:val="00FB0DAA"/>
    <w:rsid w:val="00FB3125"/>
    <w:rsid w:val="00FB64C0"/>
    <w:rsid w:val="00FC5130"/>
    <w:rsid w:val="00FC6704"/>
    <w:rsid w:val="00FC7F81"/>
    <w:rsid w:val="00FE1183"/>
    <w:rsid w:val="00FE1D7D"/>
    <w:rsid w:val="00FE2C3F"/>
    <w:rsid w:val="00FE3A33"/>
    <w:rsid w:val="00FE63E4"/>
    <w:rsid w:val="00FF2B58"/>
    <w:rsid w:val="00FF4319"/>
    <w:rsid w:val="00FF543C"/>
    <w:rsid w:val="00FF7893"/>
    <w:rsid w:val="00FF7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3"/>
    <w:pPr>
      <w:spacing w:after="20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C12DB"/>
    <w:pPr>
      <w:spacing w:after="0"/>
      <w:ind w:firstLine="720"/>
      <w:jc w:val="both"/>
    </w:pPr>
    <w:rPr>
      <w:rFonts w:eastAsia="Times New Roman"/>
      <w:sz w:val="28"/>
      <w:szCs w:val="28"/>
    </w:rPr>
  </w:style>
  <w:style w:type="character" w:customStyle="1" w:styleId="BodyTextIndentChar">
    <w:name w:val="Body Text Indent Char"/>
    <w:basedOn w:val="DefaultParagraphFont"/>
    <w:link w:val="BodyTextIndent"/>
    <w:uiPriority w:val="99"/>
    <w:locked/>
    <w:rsid w:val="008C12DB"/>
    <w:rPr>
      <w:rFonts w:ascii="Times New Roman" w:hAnsi="Times New Roman" w:cs="Times New Roman"/>
      <w:sz w:val="20"/>
      <w:szCs w:val="20"/>
    </w:rPr>
  </w:style>
  <w:style w:type="paragraph" w:styleId="ListParagraph">
    <w:name w:val="List Paragraph"/>
    <w:basedOn w:val="Normal"/>
    <w:uiPriority w:val="99"/>
    <w:qFormat/>
    <w:rsid w:val="008C12DB"/>
    <w:pPr>
      <w:spacing w:after="0"/>
      <w:ind w:left="720"/>
    </w:pPr>
    <w:rPr>
      <w:rFonts w:eastAsia="Times New Roman"/>
      <w:sz w:val="28"/>
      <w:szCs w:val="28"/>
    </w:rPr>
  </w:style>
  <w:style w:type="paragraph" w:styleId="BalloonText">
    <w:name w:val="Balloon Text"/>
    <w:basedOn w:val="Normal"/>
    <w:link w:val="BalloonTextChar"/>
    <w:uiPriority w:val="99"/>
    <w:semiHidden/>
    <w:rsid w:val="00221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DE2"/>
    <w:rPr>
      <w:rFonts w:ascii="Tahoma" w:hAnsi="Tahoma" w:cs="Tahoma"/>
      <w:sz w:val="16"/>
      <w:szCs w:val="16"/>
    </w:rPr>
  </w:style>
  <w:style w:type="paragraph" w:styleId="Header">
    <w:name w:val="header"/>
    <w:basedOn w:val="Normal"/>
    <w:link w:val="HeaderChar"/>
    <w:uiPriority w:val="99"/>
    <w:rsid w:val="004B1583"/>
    <w:pPr>
      <w:tabs>
        <w:tab w:val="center" w:pos="4153"/>
        <w:tab w:val="right" w:pos="8306"/>
      </w:tabs>
      <w:spacing w:after="0"/>
    </w:pPr>
  </w:style>
  <w:style w:type="character" w:customStyle="1" w:styleId="HeaderChar">
    <w:name w:val="Header Char"/>
    <w:basedOn w:val="DefaultParagraphFont"/>
    <w:link w:val="Header"/>
    <w:uiPriority w:val="99"/>
    <w:locked/>
    <w:rsid w:val="004B1583"/>
    <w:rPr>
      <w:rFonts w:ascii="Times New Roman" w:hAnsi="Times New Roman" w:cs="Times New Roman"/>
    </w:rPr>
  </w:style>
  <w:style w:type="paragraph" w:styleId="Footer">
    <w:name w:val="footer"/>
    <w:basedOn w:val="Normal"/>
    <w:link w:val="FooterChar"/>
    <w:uiPriority w:val="99"/>
    <w:rsid w:val="004B1583"/>
    <w:pPr>
      <w:tabs>
        <w:tab w:val="center" w:pos="4153"/>
        <w:tab w:val="right" w:pos="8306"/>
      </w:tabs>
      <w:spacing w:after="0"/>
    </w:pPr>
  </w:style>
  <w:style w:type="character" w:customStyle="1" w:styleId="FooterChar">
    <w:name w:val="Footer Char"/>
    <w:basedOn w:val="DefaultParagraphFont"/>
    <w:link w:val="Footer"/>
    <w:uiPriority w:val="99"/>
    <w:locked/>
    <w:rsid w:val="004B1583"/>
    <w:rPr>
      <w:rFonts w:ascii="Times New Roman" w:hAnsi="Times New Roman" w:cs="Times New Roman"/>
    </w:rPr>
  </w:style>
  <w:style w:type="table" w:styleId="TableGrid">
    <w:name w:val="Table Grid"/>
    <w:basedOn w:val="TableNormal"/>
    <w:uiPriority w:val="99"/>
    <w:rsid w:val="001D16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F36A25"/>
    <w:pPr>
      <w:spacing w:before="40" w:after="0"/>
    </w:pPr>
    <w:rPr>
      <w:rFonts w:eastAsia="Times New Roman"/>
      <w:sz w:val="24"/>
      <w:szCs w:val="24"/>
      <w:lang w:val="pl-PL" w:eastAsia="pl-PL"/>
    </w:rPr>
  </w:style>
  <w:style w:type="character" w:styleId="Hyperlink">
    <w:name w:val="Hyperlink"/>
    <w:basedOn w:val="DefaultParagraphFont"/>
    <w:uiPriority w:val="99"/>
    <w:rsid w:val="001F29E8"/>
    <w:rPr>
      <w:color w:val="0000FF"/>
      <w:u w:val="single"/>
    </w:rPr>
  </w:style>
  <w:style w:type="table" w:customStyle="1" w:styleId="TableGrid1">
    <w:name w:val="Table Grid1"/>
    <w:uiPriority w:val="99"/>
    <w:rsid w:val="007473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61B4C"/>
    <w:rPr>
      <w:sz w:val="16"/>
      <w:szCs w:val="16"/>
    </w:rPr>
  </w:style>
  <w:style w:type="paragraph" w:styleId="CommentText">
    <w:name w:val="annotation text"/>
    <w:basedOn w:val="Normal"/>
    <w:link w:val="CommentTextChar"/>
    <w:uiPriority w:val="99"/>
    <w:semiHidden/>
    <w:rsid w:val="00661B4C"/>
    <w:rPr>
      <w:sz w:val="20"/>
      <w:szCs w:val="20"/>
    </w:rPr>
  </w:style>
  <w:style w:type="character" w:customStyle="1" w:styleId="CommentTextChar">
    <w:name w:val="Comment Text Char"/>
    <w:basedOn w:val="DefaultParagraphFont"/>
    <w:link w:val="CommentText"/>
    <w:uiPriority w:val="99"/>
    <w:semiHidden/>
    <w:locked/>
    <w:rsid w:val="00661B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1B4C"/>
    <w:rPr>
      <w:b/>
      <w:bCs/>
    </w:rPr>
  </w:style>
  <w:style w:type="character" w:customStyle="1" w:styleId="CommentSubjectChar">
    <w:name w:val="Comment Subject Char"/>
    <w:basedOn w:val="CommentTextChar"/>
    <w:link w:val="CommentSubject"/>
    <w:uiPriority w:val="99"/>
    <w:semiHidden/>
    <w:locked/>
    <w:rsid w:val="00661B4C"/>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3"/>
    <w:pPr>
      <w:spacing w:after="20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C12DB"/>
    <w:pPr>
      <w:spacing w:after="0"/>
      <w:ind w:firstLine="720"/>
      <w:jc w:val="both"/>
    </w:pPr>
    <w:rPr>
      <w:rFonts w:eastAsia="Times New Roman"/>
      <w:sz w:val="28"/>
      <w:szCs w:val="28"/>
    </w:rPr>
  </w:style>
  <w:style w:type="character" w:customStyle="1" w:styleId="BodyTextIndentChar">
    <w:name w:val="Body Text Indent Char"/>
    <w:basedOn w:val="DefaultParagraphFont"/>
    <w:link w:val="BodyTextIndent"/>
    <w:uiPriority w:val="99"/>
    <w:locked/>
    <w:rsid w:val="008C12DB"/>
    <w:rPr>
      <w:rFonts w:ascii="Times New Roman" w:hAnsi="Times New Roman" w:cs="Times New Roman"/>
      <w:sz w:val="20"/>
      <w:szCs w:val="20"/>
    </w:rPr>
  </w:style>
  <w:style w:type="paragraph" w:styleId="ListParagraph">
    <w:name w:val="List Paragraph"/>
    <w:basedOn w:val="Normal"/>
    <w:uiPriority w:val="99"/>
    <w:qFormat/>
    <w:rsid w:val="008C12DB"/>
    <w:pPr>
      <w:spacing w:after="0"/>
      <w:ind w:left="720"/>
    </w:pPr>
    <w:rPr>
      <w:rFonts w:eastAsia="Times New Roman"/>
      <w:sz w:val="28"/>
      <w:szCs w:val="28"/>
    </w:rPr>
  </w:style>
  <w:style w:type="paragraph" w:styleId="BalloonText">
    <w:name w:val="Balloon Text"/>
    <w:basedOn w:val="Normal"/>
    <w:link w:val="BalloonTextChar"/>
    <w:uiPriority w:val="99"/>
    <w:semiHidden/>
    <w:rsid w:val="00221D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1DE2"/>
    <w:rPr>
      <w:rFonts w:ascii="Tahoma" w:hAnsi="Tahoma" w:cs="Tahoma"/>
      <w:sz w:val="16"/>
      <w:szCs w:val="16"/>
    </w:rPr>
  </w:style>
  <w:style w:type="paragraph" w:styleId="Header">
    <w:name w:val="header"/>
    <w:basedOn w:val="Normal"/>
    <w:link w:val="HeaderChar"/>
    <w:uiPriority w:val="99"/>
    <w:rsid w:val="004B1583"/>
    <w:pPr>
      <w:tabs>
        <w:tab w:val="center" w:pos="4153"/>
        <w:tab w:val="right" w:pos="8306"/>
      </w:tabs>
      <w:spacing w:after="0"/>
    </w:pPr>
  </w:style>
  <w:style w:type="character" w:customStyle="1" w:styleId="HeaderChar">
    <w:name w:val="Header Char"/>
    <w:basedOn w:val="DefaultParagraphFont"/>
    <w:link w:val="Header"/>
    <w:uiPriority w:val="99"/>
    <w:locked/>
    <w:rsid w:val="004B1583"/>
    <w:rPr>
      <w:rFonts w:ascii="Times New Roman" w:hAnsi="Times New Roman" w:cs="Times New Roman"/>
    </w:rPr>
  </w:style>
  <w:style w:type="paragraph" w:styleId="Footer">
    <w:name w:val="footer"/>
    <w:basedOn w:val="Normal"/>
    <w:link w:val="FooterChar"/>
    <w:uiPriority w:val="99"/>
    <w:rsid w:val="004B1583"/>
    <w:pPr>
      <w:tabs>
        <w:tab w:val="center" w:pos="4153"/>
        <w:tab w:val="right" w:pos="8306"/>
      </w:tabs>
      <w:spacing w:after="0"/>
    </w:pPr>
  </w:style>
  <w:style w:type="character" w:customStyle="1" w:styleId="FooterChar">
    <w:name w:val="Footer Char"/>
    <w:basedOn w:val="DefaultParagraphFont"/>
    <w:link w:val="Footer"/>
    <w:uiPriority w:val="99"/>
    <w:locked/>
    <w:rsid w:val="004B1583"/>
    <w:rPr>
      <w:rFonts w:ascii="Times New Roman" w:hAnsi="Times New Roman" w:cs="Times New Roman"/>
    </w:rPr>
  </w:style>
  <w:style w:type="table" w:styleId="TableGrid">
    <w:name w:val="Table Grid"/>
    <w:basedOn w:val="TableNormal"/>
    <w:uiPriority w:val="99"/>
    <w:rsid w:val="001D16C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uiPriority w:val="99"/>
    <w:rsid w:val="00F36A25"/>
    <w:pPr>
      <w:spacing w:before="40" w:after="0"/>
    </w:pPr>
    <w:rPr>
      <w:rFonts w:eastAsia="Times New Roman"/>
      <w:sz w:val="24"/>
      <w:szCs w:val="24"/>
      <w:lang w:val="pl-PL" w:eastAsia="pl-PL"/>
    </w:rPr>
  </w:style>
  <w:style w:type="character" w:styleId="Hyperlink">
    <w:name w:val="Hyperlink"/>
    <w:basedOn w:val="DefaultParagraphFont"/>
    <w:uiPriority w:val="99"/>
    <w:rsid w:val="001F29E8"/>
    <w:rPr>
      <w:color w:val="0000FF"/>
      <w:u w:val="single"/>
    </w:rPr>
  </w:style>
  <w:style w:type="table" w:customStyle="1" w:styleId="TableGrid1">
    <w:name w:val="Table Grid1"/>
    <w:uiPriority w:val="99"/>
    <w:rsid w:val="0074736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61B4C"/>
    <w:rPr>
      <w:sz w:val="16"/>
      <w:szCs w:val="16"/>
    </w:rPr>
  </w:style>
  <w:style w:type="paragraph" w:styleId="CommentText">
    <w:name w:val="annotation text"/>
    <w:basedOn w:val="Normal"/>
    <w:link w:val="CommentTextChar"/>
    <w:uiPriority w:val="99"/>
    <w:semiHidden/>
    <w:rsid w:val="00661B4C"/>
    <w:rPr>
      <w:sz w:val="20"/>
      <w:szCs w:val="20"/>
    </w:rPr>
  </w:style>
  <w:style w:type="character" w:customStyle="1" w:styleId="CommentTextChar">
    <w:name w:val="Comment Text Char"/>
    <w:basedOn w:val="DefaultParagraphFont"/>
    <w:link w:val="CommentText"/>
    <w:uiPriority w:val="99"/>
    <w:semiHidden/>
    <w:locked/>
    <w:rsid w:val="00661B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1B4C"/>
    <w:rPr>
      <w:b/>
      <w:bCs/>
    </w:rPr>
  </w:style>
  <w:style w:type="character" w:customStyle="1" w:styleId="CommentSubjectChar">
    <w:name w:val="Comment Subject Char"/>
    <w:basedOn w:val="CommentTextChar"/>
    <w:link w:val="CommentSubject"/>
    <w:uiPriority w:val="99"/>
    <w:semiHidden/>
    <w:locked/>
    <w:rsid w:val="00661B4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13551">
      <w:marLeft w:val="0"/>
      <w:marRight w:val="0"/>
      <w:marTop w:val="0"/>
      <w:marBottom w:val="0"/>
      <w:divBdr>
        <w:top w:val="none" w:sz="0" w:space="0" w:color="auto"/>
        <w:left w:val="none" w:sz="0" w:space="0" w:color="auto"/>
        <w:bottom w:val="none" w:sz="0" w:space="0" w:color="auto"/>
        <w:right w:val="none" w:sz="0" w:space="0" w:color="auto"/>
      </w:divBdr>
    </w:div>
    <w:div w:id="864513553">
      <w:marLeft w:val="0"/>
      <w:marRight w:val="0"/>
      <w:marTop w:val="0"/>
      <w:marBottom w:val="0"/>
      <w:divBdr>
        <w:top w:val="none" w:sz="0" w:space="0" w:color="auto"/>
        <w:left w:val="none" w:sz="0" w:space="0" w:color="auto"/>
        <w:bottom w:val="none" w:sz="0" w:space="0" w:color="auto"/>
        <w:right w:val="none" w:sz="0" w:space="0" w:color="auto"/>
      </w:divBdr>
      <w:divsChild>
        <w:div w:id="864513563">
          <w:marLeft w:val="1166"/>
          <w:marRight w:val="0"/>
          <w:marTop w:val="0"/>
          <w:marBottom w:val="0"/>
          <w:divBdr>
            <w:top w:val="none" w:sz="0" w:space="0" w:color="auto"/>
            <w:left w:val="none" w:sz="0" w:space="0" w:color="auto"/>
            <w:bottom w:val="none" w:sz="0" w:space="0" w:color="auto"/>
            <w:right w:val="none" w:sz="0" w:space="0" w:color="auto"/>
          </w:divBdr>
        </w:div>
        <w:div w:id="864513578">
          <w:marLeft w:val="446"/>
          <w:marRight w:val="0"/>
          <w:marTop w:val="0"/>
          <w:marBottom w:val="0"/>
          <w:divBdr>
            <w:top w:val="none" w:sz="0" w:space="0" w:color="auto"/>
            <w:left w:val="none" w:sz="0" w:space="0" w:color="auto"/>
            <w:bottom w:val="none" w:sz="0" w:space="0" w:color="auto"/>
            <w:right w:val="none" w:sz="0" w:space="0" w:color="auto"/>
          </w:divBdr>
        </w:div>
        <w:div w:id="864513580">
          <w:marLeft w:val="446"/>
          <w:marRight w:val="0"/>
          <w:marTop w:val="0"/>
          <w:marBottom w:val="0"/>
          <w:divBdr>
            <w:top w:val="none" w:sz="0" w:space="0" w:color="auto"/>
            <w:left w:val="none" w:sz="0" w:space="0" w:color="auto"/>
            <w:bottom w:val="none" w:sz="0" w:space="0" w:color="auto"/>
            <w:right w:val="none" w:sz="0" w:space="0" w:color="auto"/>
          </w:divBdr>
        </w:div>
        <w:div w:id="864513592">
          <w:marLeft w:val="1166"/>
          <w:marRight w:val="0"/>
          <w:marTop w:val="0"/>
          <w:marBottom w:val="0"/>
          <w:divBdr>
            <w:top w:val="none" w:sz="0" w:space="0" w:color="auto"/>
            <w:left w:val="none" w:sz="0" w:space="0" w:color="auto"/>
            <w:bottom w:val="none" w:sz="0" w:space="0" w:color="auto"/>
            <w:right w:val="none" w:sz="0" w:space="0" w:color="auto"/>
          </w:divBdr>
        </w:div>
        <w:div w:id="864513604">
          <w:marLeft w:val="1166"/>
          <w:marRight w:val="0"/>
          <w:marTop w:val="0"/>
          <w:marBottom w:val="0"/>
          <w:divBdr>
            <w:top w:val="none" w:sz="0" w:space="0" w:color="auto"/>
            <w:left w:val="none" w:sz="0" w:space="0" w:color="auto"/>
            <w:bottom w:val="none" w:sz="0" w:space="0" w:color="auto"/>
            <w:right w:val="none" w:sz="0" w:space="0" w:color="auto"/>
          </w:divBdr>
        </w:div>
        <w:div w:id="864513606">
          <w:marLeft w:val="1166"/>
          <w:marRight w:val="0"/>
          <w:marTop w:val="0"/>
          <w:marBottom w:val="0"/>
          <w:divBdr>
            <w:top w:val="none" w:sz="0" w:space="0" w:color="auto"/>
            <w:left w:val="none" w:sz="0" w:space="0" w:color="auto"/>
            <w:bottom w:val="none" w:sz="0" w:space="0" w:color="auto"/>
            <w:right w:val="none" w:sz="0" w:space="0" w:color="auto"/>
          </w:divBdr>
        </w:div>
      </w:divsChild>
    </w:div>
    <w:div w:id="864513560">
      <w:marLeft w:val="0"/>
      <w:marRight w:val="0"/>
      <w:marTop w:val="0"/>
      <w:marBottom w:val="0"/>
      <w:divBdr>
        <w:top w:val="none" w:sz="0" w:space="0" w:color="auto"/>
        <w:left w:val="none" w:sz="0" w:space="0" w:color="auto"/>
        <w:bottom w:val="none" w:sz="0" w:space="0" w:color="auto"/>
        <w:right w:val="none" w:sz="0" w:space="0" w:color="auto"/>
      </w:divBdr>
    </w:div>
    <w:div w:id="864513562">
      <w:marLeft w:val="0"/>
      <w:marRight w:val="0"/>
      <w:marTop w:val="0"/>
      <w:marBottom w:val="0"/>
      <w:divBdr>
        <w:top w:val="none" w:sz="0" w:space="0" w:color="auto"/>
        <w:left w:val="none" w:sz="0" w:space="0" w:color="auto"/>
        <w:bottom w:val="none" w:sz="0" w:space="0" w:color="auto"/>
        <w:right w:val="none" w:sz="0" w:space="0" w:color="auto"/>
      </w:divBdr>
    </w:div>
    <w:div w:id="864513564">
      <w:marLeft w:val="0"/>
      <w:marRight w:val="0"/>
      <w:marTop w:val="0"/>
      <w:marBottom w:val="0"/>
      <w:divBdr>
        <w:top w:val="none" w:sz="0" w:space="0" w:color="auto"/>
        <w:left w:val="none" w:sz="0" w:space="0" w:color="auto"/>
        <w:bottom w:val="none" w:sz="0" w:space="0" w:color="auto"/>
        <w:right w:val="none" w:sz="0" w:space="0" w:color="auto"/>
      </w:divBdr>
      <w:divsChild>
        <w:div w:id="864513552">
          <w:marLeft w:val="1166"/>
          <w:marRight w:val="0"/>
          <w:marTop w:val="96"/>
          <w:marBottom w:val="0"/>
          <w:divBdr>
            <w:top w:val="none" w:sz="0" w:space="0" w:color="auto"/>
            <w:left w:val="none" w:sz="0" w:space="0" w:color="auto"/>
            <w:bottom w:val="none" w:sz="0" w:space="0" w:color="auto"/>
            <w:right w:val="none" w:sz="0" w:space="0" w:color="auto"/>
          </w:divBdr>
        </w:div>
        <w:div w:id="864513554">
          <w:marLeft w:val="547"/>
          <w:marRight w:val="0"/>
          <w:marTop w:val="96"/>
          <w:marBottom w:val="0"/>
          <w:divBdr>
            <w:top w:val="none" w:sz="0" w:space="0" w:color="auto"/>
            <w:left w:val="none" w:sz="0" w:space="0" w:color="auto"/>
            <w:bottom w:val="none" w:sz="0" w:space="0" w:color="auto"/>
            <w:right w:val="none" w:sz="0" w:space="0" w:color="auto"/>
          </w:divBdr>
        </w:div>
        <w:div w:id="864513555">
          <w:marLeft w:val="547"/>
          <w:marRight w:val="0"/>
          <w:marTop w:val="96"/>
          <w:marBottom w:val="0"/>
          <w:divBdr>
            <w:top w:val="none" w:sz="0" w:space="0" w:color="auto"/>
            <w:left w:val="none" w:sz="0" w:space="0" w:color="auto"/>
            <w:bottom w:val="none" w:sz="0" w:space="0" w:color="auto"/>
            <w:right w:val="none" w:sz="0" w:space="0" w:color="auto"/>
          </w:divBdr>
        </w:div>
        <w:div w:id="864513569">
          <w:marLeft w:val="1166"/>
          <w:marRight w:val="0"/>
          <w:marTop w:val="96"/>
          <w:marBottom w:val="0"/>
          <w:divBdr>
            <w:top w:val="none" w:sz="0" w:space="0" w:color="auto"/>
            <w:left w:val="none" w:sz="0" w:space="0" w:color="auto"/>
            <w:bottom w:val="none" w:sz="0" w:space="0" w:color="auto"/>
            <w:right w:val="none" w:sz="0" w:space="0" w:color="auto"/>
          </w:divBdr>
        </w:div>
        <w:div w:id="864513575">
          <w:marLeft w:val="1166"/>
          <w:marRight w:val="0"/>
          <w:marTop w:val="96"/>
          <w:marBottom w:val="0"/>
          <w:divBdr>
            <w:top w:val="none" w:sz="0" w:space="0" w:color="auto"/>
            <w:left w:val="none" w:sz="0" w:space="0" w:color="auto"/>
            <w:bottom w:val="none" w:sz="0" w:space="0" w:color="auto"/>
            <w:right w:val="none" w:sz="0" w:space="0" w:color="auto"/>
          </w:divBdr>
        </w:div>
        <w:div w:id="864513590">
          <w:marLeft w:val="1166"/>
          <w:marRight w:val="0"/>
          <w:marTop w:val="96"/>
          <w:marBottom w:val="0"/>
          <w:divBdr>
            <w:top w:val="none" w:sz="0" w:space="0" w:color="auto"/>
            <w:left w:val="none" w:sz="0" w:space="0" w:color="auto"/>
            <w:bottom w:val="none" w:sz="0" w:space="0" w:color="auto"/>
            <w:right w:val="none" w:sz="0" w:space="0" w:color="auto"/>
          </w:divBdr>
        </w:div>
        <w:div w:id="864513600">
          <w:marLeft w:val="547"/>
          <w:marRight w:val="0"/>
          <w:marTop w:val="96"/>
          <w:marBottom w:val="0"/>
          <w:divBdr>
            <w:top w:val="none" w:sz="0" w:space="0" w:color="auto"/>
            <w:left w:val="none" w:sz="0" w:space="0" w:color="auto"/>
            <w:bottom w:val="none" w:sz="0" w:space="0" w:color="auto"/>
            <w:right w:val="none" w:sz="0" w:space="0" w:color="auto"/>
          </w:divBdr>
        </w:div>
      </w:divsChild>
    </w:div>
    <w:div w:id="864513570">
      <w:marLeft w:val="0"/>
      <w:marRight w:val="0"/>
      <w:marTop w:val="0"/>
      <w:marBottom w:val="0"/>
      <w:divBdr>
        <w:top w:val="none" w:sz="0" w:space="0" w:color="auto"/>
        <w:left w:val="none" w:sz="0" w:space="0" w:color="auto"/>
        <w:bottom w:val="none" w:sz="0" w:space="0" w:color="auto"/>
        <w:right w:val="none" w:sz="0" w:space="0" w:color="auto"/>
      </w:divBdr>
      <w:divsChild>
        <w:div w:id="864513576">
          <w:marLeft w:val="547"/>
          <w:marRight w:val="0"/>
          <w:marTop w:val="154"/>
          <w:marBottom w:val="0"/>
          <w:divBdr>
            <w:top w:val="none" w:sz="0" w:space="0" w:color="auto"/>
            <w:left w:val="none" w:sz="0" w:space="0" w:color="auto"/>
            <w:bottom w:val="none" w:sz="0" w:space="0" w:color="auto"/>
            <w:right w:val="none" w:sz="0" w:space="0" w:color="auto"/>
          </w:divBdr>
        </w:div>
        <w:div w:id="864513581">
          <w:marLeft w:val="547"/>
          <w:marRight w:val="0"/>
          <w:marTop w:val="154"/>
          <w:marBottom w:val="0"/>
          <w:divBdr>
            <w:top w:val="none" w:sz="0" w:space="0" w:color="auto"/>
            <w:left w:val="none" w:sz="0" w:space="0" w:color="auto"/>
            <w:bottom w:val="none" w:sz="0" w:space="0" w:color="auto"/>
            <w:right w:val="none" w:sz="0" w:space="0" w:color="auto"/>
          </w:divBdr>
        </w:div>
      </w:divsChild>
    </w:div>
    <w:div w:id="864513571">
      <w:marLeft w:val="0"/>
      <w:marRight w:val="0"/>
      <w:marTop w:val="0"/>
      <w:marBottom w:val="0"/>
      <w:divBdr>
        <w:top w:val="none" w:sz="0" w:space="0" w:color="auto"/>
        <w:left w:val="none" w:sz="0" w:space="0" w:color="auto"/>
        <w:bottom w:val="none" w:sz="0" w:space="0" w:color="auto"/>
        <w:right w:val="none" w:sz="0" w:space="0" w:color="auto"/>
      </w:divBdr>
      <w:divsChild>
        <w:div w:id="864513547">
          <w:marLeft w:val="446"/>
          <w:marRight w:val="0"/>
          <w:marTop w:val="0"/>
          <w:marBottom w:val="0"/>
          <w:divBdr>
            <w:top w:val="none" w:sz="0" w:space="0" w:color="auto"/>
            <w:left w:val="none" w:sz="0" w:space="0" w:color="auto"/>
            <w:bottom w:val="none" w:sz="0" w:space="0" w:color="auto"/>
            <w:right w:val="none" w:sz="0" w:space="0" w:color="auto"/>
          </w:divBdr>
        </w:div>
        <w:div w:id="864513557">
          <w:marLeft w:val="1166"/>
          <w:marRight w:val="0"/>
          <w:marTop w:val="0"/>
          <w:marBottom w:val="0"/>
          <w:divBdr>
            <w:top w:val="none" w:sz="0" w:space="0" w:color="auto"/>
            <w:left w:val="none" w:sz="0" w:space="0" w:color="auto"/>
            <w:bottom w:val="none" w:sz="0" w:space="0" w:color="auto"/>
            <w:right w:val="none" w:sz="0" w:space="0" w:color="auto"/>
          </w:divBdr>
        </w:div>
        <w:div w:id="864513559">
          <w:marLeft w:val="1166"/>
          <w:marRight w:val="0"/>
          <w:marTop w:val="0"/>
          <w:marBottom w:val="0"/>
          <w:divBdr>
            <w:top w:val="none" w:sz="0" w:space="0" w:color="auto"/>
            <w:left w:val="none" w:sz="0" w:space="0" w:color="auto"/>
            <w:bottom w:val="none" w:sz="0" w:space="0" w:color="auto"/>
            <w:right w:val="none" w:sz="0" w:space="0" w:color="auto"/>
          </w:divBdr>
        </w:div>
        <w:div w:id="864513567">
          <w:marLeft w:val="1166"/>
          <w:marRight w:val="0"/>
          <w:marTop w:val="0"/>
          <w:marBottom w:val="0"/>
          <w:divBdr>
            <w:top w:val="none" w:sz="0" w:space="0" w:color="auto"/>
            <w:left w:val="none" w:sz="0" w:space="0" w:color="auto"/>
            <w:bottom w:val="none" w:sz="0" w:space="0" w:color="auto"/>
            <w:right w:val="none" w:sz="0" w:space="0" w:color="auto"/>
          </w:divBdr>
        </w:div>
        <w:div w:id="864513568">
          <w:marLeft w:val="1166"/>
          <w:marRight w:val="0"/>
          <w:marTop w:val="0"/>
          <w:marBottom w:val="0"/>
          <w:divBdr>
            <w:top w:val="none" w:sz="0" w:space="0" w:color="auto"/>
            <w:left w:val="none" w:sz="0" w:space="0" w:color="auto"/>
            <w:bottom w:val="none" w:sz="0" w:space="0" w:color="auto"/>
            <w:right w:val="none" w:sz="0" w:space="0" w:color="auto"/>
          </w:divBdr>
        </w:div>
        <w:div w:id="864513579">
          <w:marLeft w:val="446"/>
          <w:marRight w:val="0"/>
          <w:marTop w:val="0"/>
          <w:marBottom w:val="0"/>
          <w:divBdr>
            <w:top w:val="none" w:sz="0" w:space="0" w:color="auto"/>
            <w:left w:val="none" w:sz="0" w:space="0" w:color="auto"/>
            <w:bottom w:val="none" w:sz="0" w:space="0" w:color="auto"/>
            <w:right w:val="none" w:sz="0" w:space="0" w:color="auto"/>
          </w:divBdr>
        </w:div>
      </w:divsChild>
    </w:div>
    <w:div w:id="864513572">
      <w:marLeft w:val="0"/>
      <w:marRight w:val="0"/>
      <w:marTop w:val="0"/>
      <w:marBottom w:val="0"/>
      <w:divBdr>
        <w:top w:val="none" w:sz="0" w:space="0" w:color="auto"/>
        <w:left w:val="none" w:sz="0" w:space="0" w:color="auto"/>
        <w:bottom w:val="none" w:sz="0" w:space="0" w:color="auto"/>
        <w:right w:val="none" w:sz="0" w:space="0" w:color="auto"/>
      </w:divBdr>
      <w:divsChild>
        <w:div w:id="864513546">
          <w:marLeft w:val="1267"/>
          <w:marRight w:val="0"/>
          <w:marTop w:val="96"/>
          <w:marBottom w:val="0"/>
          <w:divBdr>
            <w:top w:val="none" w:sz="0" w:space="0" w:color="auto"/>
            <w:left w:val="none" w:sz="0" w:space="0" w:color="auto"/>
            <w:bottom w:val="none" w:sz="0" w:space="0" w:color="auto"/>
            <w:right w:val="none" w:sz="0" w:space="0" w:color="auto"/>
          </w:divBdr>
        </w:div>
        <w:div w:id="864513548">
          <w:marLeft w:val="1267"/>
          <w:marRight w:val="0"/>
          <w:marTop w:val="96"/>
          <w:marBottom w:val="0"/>
          <w:divBdr>
            <w:top w:val="none" w:sz="0" w:space="0" w:color="auto"/>
            <w:left w:val="none" w:sz="0" w:space="0" w:color="auto"/>
            <w:bottom w:val="none" w:sz="0" w:space="0" w:color="auto"/>
            <w:right w:val="none" w:sz="0" w:space="0" w:color="auto"/>
          </w:divBdr>
        </w:div>
        <w:div w:id="864513550">
          <w:marLeft w:val="1267"/>
          <w:marRight w:val="0"/>
          <w:marTop w:val="96"/>
          <w:marBottom w:val="0"/>
          <w:divBdr>
            <w:top w:val="none" w:sz="0" w:space="0" w:color="auto"/>
            <w:left w:val="none" w:sz="0" w:space="0" w:color="auto"/>
            <w:bottom w:val="none" w:sz="0" w:space="0" w:color="auto"/>
            <w:right w:val="none" w:sz="0" w:space="0" w:color="auto"/>
          </w:divBdr>
        </w:div>
        <w:div w:id="864513556">
          <w:marLeft w:val="1267"/>
          <w:marRight w:val="0"/>
          <w:marTop w:val="96"/>
          <w:marBottom w:val="0"/>
          <w:divBdr>
            <w:top w:val="none" w:sz="0" w:space="0" w:color="auto"/>
            <w:left w:val="none" w:sz="0" w:space="0" w:color="auto"/>
            <w:bottom w:val="none" w:sz="0" w:space="0" w:color="auto"/>
            <w:right w:val="none" w:sz="0" w:space="0" w:color="auto"/>
          </w:divBdr>
        </w:div>
        <w:div w:id="864513565">
          <w:marLeft w:val="1267"/>
          <w:marRight w:val="0"/>
          <w:marTop w:val="96"/>
          <w:marBottom w:val="0"/>
          <w:divBdr>
            <w:top w:val="none" w:sz="0" w:space="0" w:color="auto"/>
            <w:left w:val="none" w:sz="0" w:space="0" w:color="auto"/>
            <w:bottom w:val="none" w:sz="0" w:space="0" w:color="auto"/>
            <w:right w:val="none" w:sz="0" w:space="0" w:color="auto"/>
          </w:divBdr>
        </w:div>
        <w:div w:id="864513598">
          <w:marLeft w:val="1267"/>
          <w:marRight w:val="0"/>
          <w:marTop w:val="96"/>
          <w:marBottom w:val="0"/>
          <w:divBdr>
            <w:top w:val="none" w:sz="0" w:space="0" w:color="auto"/>
            <w:left w:val="none" w:sz="0" w:space="0" w:color="auto"/>
            <w:bottom w:val="none" w:sz="0" w:space="0" w:color="auto"/>
            <w:right w:val="none" w:sz="0" w:space="0" w:color="auto"/>
          </w:divBdr>
        </w:div>
        <w:div w:id="864513603">
          <w:marLeft w:val="1267"/>
          <w:marRight w:val="0"/>
          <w:marTop w:val="96"/>
          <w:marBottom w:val="0"/>
          <w:divBdr>
            <w:top w:val="none" w:sz="0" w:space="0" w:color="auto"/>
            <w:left w:val="none" w:sz="0" w:space="0" w:color="auto"/>
            <w:bottom w:val="none" w:sz="0" w:space="0" w:color="auto"/>
            <w:right w:val="none" w:sz="0" w:space="0" w:color="auto"/>
          </w:divBdr>
        </w:div>
      </w:divsChild>
    </w:div>
    <w:div w:id="864513573">
      <w:marLeft w:val="0"/>
      <w:marRight w:val="0"/>
      <w:marTop w:val="0"/>
      <w:marBottom w:val="0"/>
      <w:divBdr>
        <w:top w:val="none" w:sz="0" w:space="0" w:color="auto"/>
        <w:left w:val="none" w:sz="0" w:space="0" w:color="auto"/>
        <w:bottom w:val="none" w:sz="0" w:space="0" w:color="auto"/>
        <w:right w:val="none" w:sz="0" w:space="0" w:color="auto"/>
      </w:divBdr>
    </w:div>
    <w:div w:id="864513574">
      <w:marLeft w:val="0"/>
      <w:marRight w:val="0"/>
      <w:marTop w:val="0"/>
      <w:marBottom w:val="0"/>
      <w:divBdr>
        <w:top w:val="none" w:sz="0" w:space="0" w:color="auto"/>
        <w:left w:val="none" w:sz="0" w:space="0" w:color="auto"/>
        <w:bottom w:val="none" w:sz="0" w:space="0" w:color="auto"/>
        <w:right w:val="none" w:sz="0" w:space="0" w:color="auto"/>
      </w:divBdr>
      <w:divsChild>
        <w:div w:id="864513585">
          <w:marLeft w:val="547"/>
          <w:marRight w:val="0"/>
          <w:marTop w:val="96"/>
          <w:marBottom w:val="0"/>
          <w:divBdr>
            <w:top w:val="none" w:sz="0" w:space="0" w:color="auto"/>
            <w:left w:val="none" w:sz="0" w:space="0" w:color="auto"/>
            <w:bottom w:val="none" w:sz="0" w:space="0" w:color="auto"/>
            <w:right w:val="none" w:sz="0" w:space="0" w:color="auto"/>
          </w:divBdr>
        </w:div>
        <w:div w:id="864513594">
          <w:marLeft w:val="547"/>
          <w:marRight w:val="0"/>
          <w:marTop w:val="96"/>
          <w:marBottom w:val="0"/>
          <w:divBdr>
            <w:top w:val="none" w:sz="0" w:space="0" w:color="auto"/>
            <w:left w:val="none" w:sz="0" w:space="0" w:color="auto"/>
            <w:bottom w:val="none" w:sz="0" w:space="0" w:color="auto"/>
            <w:right w:val="none" w:sz="0" w:space="0" w:color="auto"/>
          </w:divBdr>
        </w:div>
        <w:div w:id="864513605">
          <w:marLeft w:val="547"/>
          <w:marRight w:val="0"/>
          <w:marTop w:val="96"/>
          <w:marBottom w:val="0"/>
          <w:divBdr>
            <w:top w:val="none" w:sz="0" w:space="0" w:color="auto"/>
            <w:left w:val="none" w:sz="0" w:space="0" w:color="auto"/>
            <w:bottom w:val="none" w:sz="0" w:space="0" w:color="auto"/>
            <w:right w:val="none" w:sz="0" w:space="0" w:color="auto"/>
          </w:divBdr>
        </w:div>
      </w:divsChild>
    </w:div>
    <w:div w:id="864513582">
      <w:marLeft w:val="0"/>
      <w:marRight w:val="0"/>
      <w:marTop w:val="0"/>
      <w:marBottom w:val="0"/>
      <w:divBdr>
        <w:top w:val="none" w:sz="0" w:space="0" w:color="auto"/>
        <w:left w:val="none" w:sz="0" w:space="0" w:color="auto"/>
        <w:bottom w:val="none" w:sz="0" w:space="0" w:color="auto"/>
        <w:right w:val="none" w:sz="0" w:space="0" w:color="auto"/>
      </w:divBdr>
    </w:div>
    <w:div w:id="864513584">
      <w:marLeft w:val="0"/>
      <w:marRight w:val="0"/>
      <w:marTop w:val="0"/>
      <w:marBottom w:val="0"/>
      <w:divBdr>
        <w:top w:val="none" w:sz="0" w:space="0" w:color="auto"/>
        <w:left w:val="none" w:sz="0" w:space="0" w:color="auto"/>
        <w:bottom w:val="none" w:sz="0" w:space="0" w:color="auto"/>
        <w:right w:val="none" w:sz="0" w:space="0" w:color="auto"/>
      </w:divBdr>
      <w:divsChild>
        <w:div w:id="864513566">
          <w:marLeft w:val="1195"/>
          <w:marRight w:val="0"/>
          <w:marTop w:val="240"/>
          <w:marBottom w:val="0"/>
          <w:divBdr>
            <w:top w:val="none" w:sz="0" w:space="0" w:color="auto"/>
            <w:left w:val="none" w:sz="0" w:space="0" w:color="auto"/>
            <w:bottom w:val="none" w:sz="0" w:space="0" w:color="auto"/>
            <w:right w:val="none" w:sz="0" w:space="0" w:color="auto"/>
          </w:divBdr>
        </w:div>
        <w:div w:id="864513599">
          <w:marLeft w:val="547"/>
          <w:marRight w:val="0"/>
          <w:marTop w:val="0"/>
          <w:marBottom w:val="0"/>
          <w:divBdr>
            <w:top w:val="none" w:sz="0" w:space="0" w:color="auto"/>
            <w:left w:val="none" w:sz="0" w:space="0" w:color="auto"/>
            <w:bottom w:val="none" w:sz="0" w:space="0" w:color="auto"/>
            <w:right w:val="none" w:sz="0" w:space="0" w:color="auto"/>
          </w:divBdr>
        </w:div>
        <w:div w:id="864513601">
          <w:marLeft w:val="1195"/>
          <w:marRight w:val="0"/>
          <w:marTop w:val="240"/>
          <w:marBottom w:val="0"/>
          <w:divBdr>
            <w:top w:val="none" w:sz="0" w:space="0" w:color="auto"/>
            <w:left w:val="none" w:sz="0" w:space="0" w:color="auto"/>
            <w:bottom w:val="none" w:sz="0" w:space="0" w:color="auto"/>
            <w:right w:val="none" w:sz="0" w:space="0" w:color="auto"/>
          </w:divBdr>
        </w:div>
      </w:divsChild>
    </w:div>
    <w:div w:id="864513586">
      <w:marLeft w:val="0"/>
      <w:marRight w:val="0"/>
      <w:marTop w:val="0"/>
      <w:marBottom w:val="0"/>
      <w:divBdr>
        <w:top w:val="none" w:sz="0" w:space="0" w:color="auto"/>
        <w:left w:val="none" w:sz="0" w:space="0" w:color="auto"/>
        <w:bottom w:val="none" w:sz="0" w:space="0" w:color="auto"/>
        <w:right w:val="none" w:sz="0" w:space="0" w:color="auto"/>
      </w:divBdr>
      <w:divsChild>
        <w:div w:id="864513583">
          <w:marLeft w:val="547"/>
          <w:marRight w:val="0"/>
          <w:marTop w:val="96"/>
          <w:marBottom w:val="0"/>
          <w:divBdr>
            <w:top w:val="none" w:sz="0" w:space="0" w:color="auto"/>
            <w:left w:val="none" w:sz="0" w:space="0" w:color="auto"/>
            <w:bottom w:val="none" w:sz="0" w:space="0" w:color="auto"/>
            <w:right w:val="none" w:sz="0" w:space="0" w:color="auto"/>
          </w:divBdr>
        </w:div>
        <w:div w:id="864513588">
          <w:marLeft w:val="547"/>
          <w:marRight w:val="0"/>
          <w:marTop w:val="96"/>
          <w:marBottom w:val="0"/>
          <w:divBdr>
            <w:top w:val="none" w:sz="0" w:space="0" w:color="auto"/>
            <w:left w:val="none" w:sz="0" w:space="0" w:color="auto"/>
            <w:bottom w:val="none" w:sz="0" w:space="0" w:color="auto"/>
            <w:right w:val="none" w:sz="0" w:space="0" w:color="auto"/>
          </w:divBdr>
        </w:div>
        <w:div w:id="864513589">
          <w:marLeft w:val="547"/>
          <w:marRight w:val="0"/>
          <w:marTop w:val="96"/>
          <w:marBottom w:val="0"/>
          <w:divBdr>
            <w:top w:val="none" w:sz="0" w:space="0" w:color="auto"/>
            <w:left w:val="none" w:sz="0" w:space="0" w:color="auto"/>
            <w:bottom w:val="none" w:sz="0" w:space="0" w:color="auto"/>
            <w:right w:val="none" w:sz="0" w:space="0" w:color="auto"/>
          </w:divBdr>
        </w:div>
        <w:div w:id="864513591">
          <w:marLeft w:val="547"/>
          <w:marRight w:val="0"/>
          <w:marTop w:val="96"/>
          <w:marBottom w:val="0"/>
          <w:divBdr>
            <w:top w:val="none" w:sz="0" w:space="0" w:color="auto"/>
            <w:left w:val="none" w:sz="0" w:space="0" w:color="auto"/>
            <w:bottom w:val="none" w:sz="0" w:space="0" w:color="auto"/>
            <w:right w:val="none" w:sz="0" w:space="0" w:color="auto"/>
          </w:divBdr>
        </w:div>
        <w:div w:id="864513593">
          <w:marLeft w:val="547"/>
          <w:marRight w:val="0"/>
          <w:marTop w:val="96"/>
          <w:marBottom w:val="0"/>
          <w:divBdr>
            <w:top w:val="none" w:sz="0" w:space="0" w:color="auto"/>
            <w:left w:val="none" w:sz="0" w:space="0" w:color="auto"/>
            <w:bottom w:val="none" w:sz="0" w:space="0" w:color="auto"/>
            <w:right w:val="none" w:sz="0" w:space="0" w:color="auto"/>
          </w:divBdr>
        </w:div>
        <w:div w:id="864513596">
          <w:marLeft w:val="547"/>
          <w:marRight w:val="0"/>
          <w:marTop w:val="96"/>
          <w:marBottom w:val="0"/>
          <w:divBdr>
            <w:top w:val="none" w:sz="0" w:space="0" w:color="auto"/>
            <w:left w:val="none" w:sz="0" w:space="0" w:color="auto"/>
            <w:bottom w:val="none" w:sz="0" w:space="0" w:color="auto"/>
            <w:right w:val="none" w:sz="0" w:space="0" w:color="auto"/>
          </w:divBdr>
        </w:div>
      </w:divsChild>
    </w:div>
    <w:div w:id="864513597">
      <w:marLeft w:val="0"/>
      <w:marRight w:val="0"/>
      <w:marTop w:val="0"/>
      <w:marBottom w:val="0"/>
      <w:divBdr>
        <w:top w:val="none" w:sz="0" w:space="0" w:color="auto"/>
        <w:left w:val="none" w:sz="0" w:space="0" w:color="auto"/>
        <w:bottom w:val="none" w:sz="0" w:space="0" w:color="auto"/>
        <w:right w:val="none" w:sz="0" w:space="0" w:color="auto"/>
      </w:divBdr>
    </w:div>
    <w:div w:id="864513602">
      <w:marLeft w:val="0"/>
      <w:marRight w:val="0"/>
      <w:marTop w:val="0"/>
      <w:marBottom w:val="0"/>
      <w:divBdr>
        <w:top w:val="none" w:sz="0" w:space="0" w:color="auto"/>
        <w:left w:val="none" w:sz="0" w:space="0" w:color="auto"/>
        <w:bottom w:val="none" w:sz="0" w:space="0" w:color="auto"/>
        <w:right w:val="none" w:sz="0" w:space="0" w:color="auto"/>
      </w:divBdr>
      <w:divsChild>
        <w:div w:id="864513549">
          <w:marLeft w:val="907"/>
          <w:marRight w:val="0"/>
          <w:marTop w:val="0"/>
          <w:marBottom w:val="0"/>
          <w:divBdr>
            <w:top w:val="none" w:sz="0" w:space="0" w:color="auto"/>
            <w:left w:val="none" w:sz="0" w:space="0" w:color="auto"/>
            <w:bottom w:val="none" w:sz="0" w:space="0" w:color="auto"/>
            <w:right w:val="none" w:sz="0" w:space="0" w:color="auto"/>
          </w:divBdr>
        </w:div>
        <w:div w:id="864513558">
          <w:marLeft w:val="907"/>
          <w:marRight w:val="0"/>
          <w:marTop w:val="0"/>
          <w:marBottom w:val="0"/>
          <w:divBdr>
            <w:top w:val="none" w:sz="0" w:space="0" w:color="auto"/>
            <w:left w:val="none" w:sz="0" w:space="0" w:color="auto"/>
            <w:bottom w:val="none" w:sz="0" w:space="0" w:color="auto"/>
            <w:right w:val="none" w:sz="0" w:space="0" w:color="auto"/>
          </w:divBdr>
        </w:div>
        <w:div w:id="864513561">
          <w:marLeft w:val="907"/>
          <w:marRight w:val="0"/>
          <w:marTop w:val="0"/>
          <w:marBottom w:val="0"/>
          <w:divBdr>
            <w:top w:val="none" w:sz="0" w:space="0" w:color="auto"/>
            <w:left w:val="none" w:sz="0" w:space="0" w:color="auto"/>
            <w:bottom w:val="none" w:sz="0" w:space="0" w:color="auto"/>
            <w:right w:val="none" w:sz="0" w:space="0" w:color="auto"/>
          </w:divBdr>
        </w:div>
        <w:div w:id="864513577">
          <w:marLeft w:val="547"/>
          <w:marRight w:val="0"/>
          <w:marTop w:val="0"/>
          <w:marBottom w:val="0"/>
          <w:divBdr>
            <w:top w:val="none" w:sz="0" w:space="0" w:color="auto"/>
            <w:left w:val="none" w:sz="0" w:space="0" w:color="auto"/>
            <w:bottom w:val="none" w:sz="0" w:space="0" w:color="auto"/>
            <w:right w:val="none" w:sz="0" w:space="0" w:color="auto"/>
          </w:divBdr>
        </w:div>
        <w:div w:id="864513587">
          <w:marLeft w:val="547"/>
          <w:marRight w:val="0"/>
          <w:marTop w:val="0"/>
          <w:marBottom w:val="0"/>
          <w:divBdr>
            <w:top w:val="none" w:sz="0" w:space="0" w:color="auto"/>
            <w:left w:val="none" w:sz="0" w:space="0" w:color="auto"/>
            <w:bottom w:val="none" w:sz="0" w:space="0" w:color="auto"/>
            <w:right w:val="none" w:sz="0" w:space="0" w:color="auto"/>
          </w:divBdr>
        </w:div>
        <w:div w:id="864513595">
          <w:marLeft w:val="547"/>
          <w:marRight w:val="0"/>
          <w:marTop w:val="0"/>
          <w:marBottom w:val="0"/>
          <w:divBdr>
            <w:top w:val="none" w:sz="0" w:space="0" w:color="auto"/>
            <w:left w:val="none" w:sz="0" w:space="0" w:color="auto"/>
            <w:bottom w:val="none" w:sz="0" w:space="0" w:color="auto"/>
            <w:right w:val="none" w:sz="0" w:space="0" w:color="auto"/>
          </w:divBdr>
        </w:div>
      </w:divsChild>
    </w:div>
    <w:div w:id="86451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elegals@vdi.gov.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hyperlink" Target="http://www.prakse.lv" TargetMode="External"/><Relationship Id="rId2" Type="http://schemas.openxmlformats.org/officeDocument/2006/relationships/styles" Target="styles.xml"/><Relationship Id="rId16" Type="http://schemas.openxmlformats.org/officeDocument/2006/relationships/hyperlink" Target="http://www.jaunatneslieta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vdi.gov.lv"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vdi.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6540</Words>
  <Characters>44568</Characters>
  <Application>Microsoft Office Word</Application>
  <DocSecurity>0</DocSecurity>
  <Lines>1087</Lines>
  <Paragraphs>336</Paragraphs>
  <ScaleCrop>false</ScaleCrop>
  <HeadingPairs>
    <vt:vector size="2" baseType="variant">
      <vt:variant>
        <vt:lpstr>Title</vt:lpstr>
      </vt:variant>
      <vt:variant>
        <vt:i4>1</vt:i4>
      </vt:variant>
    </vt:vector>
  </HeadingPairs>
  <TitlesOfParts>
    <vt:vector size="1" baseType="lpstr">
      <vt:lpstr>Informatīvais ziņojums par Valsts ieņēmumu dienesta un Valsts darba inspekcijas paveikto ēnu ekonomikas un nelegālās nodarbinātības apkarošanā un priekšlikumi darbības efektivizēšanai</vt:lpstr>
    </vt:vector>
  </TitlesOfParts>
  <Company>Valsts ieņēmumu dienests</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ieņēmumu dienesta un Valsts darba inspekcijas paveikto ēnu ekonomikas un nelegālās nodarbinātības apkarošanā un priekšlikumi darbības efektivizēšanai</dc:title>
  <dc:subject>informatīvais ziņojums</dc:subject>
  <dc:creator>Egija Kravčenko</dc:creator>
  <cp:keywords/>
  <dc:description>67028842,Egija.Kravcenko@vid.gov.lv</dc:description>
  <cp:lastModifiedBy>NKP</cp:lastModifiedBy>
  <cp:revision>9</cp:revision>
  <cp:lastPrinted>2012-09-13T13:50:00Z</cp:lastPrinted>
  <dcterms:created xsi:type="dcterms:W3CDTF">2012-09-13T11:12:00Z</dcterms:created>
  <dcterms:modified xsi:type="dcterms:W3CDTF">2012-09-14T10:39:00Z</dcterms:modified>
  <cp:category>FM</cp:category>
</cp:coreProperties>
</file>