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57D" w:rsidRPr="00DB257D" w:rsidRDefault="00DB257D" w:rsidP="00DB257D">
      <w:pPr>
        <w:pStyle w:val="Galvene"/>
        <w:jc w:val="right"/>
        <w:rPr>
          <w:b/>
          <w:color w:val="808080" w:themeColor="background1" w:themeShade="80"/>
        </w:rPr>
      </w:pPr>
      <w:r w:rsidRPr="00DB257D">
        <w:rPr>
          <w:b/>
          <w:color w:val="808080" w:themeColor="background1" w:themeShade="80"/>
        </w:rPr>
        <w:t xml:space="preserve">PROJEKTS </w:t>
      </w:r>
    </w:p>
    <w:p w:rsidR="001B7C7E" w:rsidRPr="00DB257D" w:rsidRDefault="001B7C7E" w:rsidP="00DB257D">
      <w:pPr>
        <w:jc w:val="center"/>
        <w:rPr>
          <w:b/>
        </w:rPr>
      </w:pPr>
      <w:bookmarkStart w:id="0" w:name="_GoBack"/>
      <w:r w:rsidRPr="00DB257D">
        <w:rPr>
          <w:b/>
        </w:rPr>
        <w:t>Informatīvais ziņojums</w:t>
      </w:r>
      <w:r w:rsidR="00EF70AE">
        <w:rPr>
          <w:b/>
        </w:rPr>
        <w:t xml:space="preserve"> </w:t>
      </w:r>
      <w:r w:rsidR="00272477" w:rsidRPr="00DB257D">
        <w:rPr>
          <w:b/>
        </w:rPr>
        <w:t>„P</w:t>
      </w:r>
      <w:r w:rsidRPr="00DB257D">
        <w:rPr>
          <w:b/>
        </w:rPr>
        <w:t xml:space="preserve">ar </w:t>
      </w:r>
      <w:r w:rsidR="00326EC8" w:rsidRPr="00DB257D">
        <w:rPr>
          <w:b/>
          <w:lang w:eastAsia="lv-LV"/>
        </w:rPr>
        <w:t>Ministru kabineta 2011.gada 9.augusta sēdes protokollēmuma (prot. Nr.47 23.§) „Informatīvais ziņojums „Par turpmāko rīcību ar valsts akciju sabiedrības „Valsts nekustamie īpašumi” būvniecības projektiem”” 2.4.punktā dot</w:t>
      </w:r>
      <w:r w:rsidR="00C133EF">
        <w:rPr>
          <w:b/>
          <w:lang w:eastAsia="lv-LV"/>
        </w:rPr>
        <w:t>ā</w:t>
      </w:r>
      <w:r w:rsidR="00326EC8" w:rsidRPr="00DB257D">
        <w:rPr>
          <w:b/>
          <w:lang w:eastAsia="lv-LV"/>
        </w:rPr>
        <w:t xml:space="preserve"> uzdevum</w:t>
      </w:r>
      <w:r w:rsidR="00C133EF">
        <w:rPr>
          <w:b/>
          <w:lang w:eastAsia="lv-LV"/>
        </w:rPr>
        <w:t>a</w:t>
      </w:r>
      <w:r w:rsidR="00326EC8" w:rsidRPr="00DB257D">
        <w:rPr>
          <w:b/>
          <w:lang w:eastAsia="lv-LV"/>
        </w:rPr>
        <w:t xml:space="preserve"> izpild</w:t>
      </w:r>
      <w:r w:rsidR="00DB257D" w:rsidRPr="00DB257D">
        <w:rPr>
          <w:b/>
          <w:lang w:eastAsia="lv-LV"/>
        </w:rPr>
        <w:t>es gaitu</w:t>
      </w:r>
      <w:r w:rsidR="00272477" w:rsidRPr="00DB257D">
        <w:rPr>
          <w:b/>
          <w:lang w:eastAsia="lv-LV"/>
        </w:rPr>
        <w:t>”</w:t>
      </w:r>
    </w:p>
    <w:bookmarkEnd w:id="0"/>
    <w:p w:rsidR="007B4406" w:rsidRPr="00DB257D" w:rsidRDefault="007B4406" w:rsidP="00DB257D">
      <w:pPr>
        <w:spacing w:after="120"/>
        <w:jc w:val="center"/>
      </w:pPr>
    </w:p>
    <w:p w:rsidR="0021384E" w:rsidRPr="00202564" w:rsidRDefault="00C020D8" w:rsidP="00D7477B">
      <w:pPr>
        <w:spacing w:after="120"/>
        <w:ind w:firstLine="567"/>
        <w:jc w:val="both"/>
        <w:rPr>
          <w:lang w:eastAsia="lv-LV"/>
        </w:rPr>
      </w:pPr>
      <w:r w:rsidRPr="00202564">
        <w:t>Uz Finanšu ministrijas iniciatīvas pamata sagatavotais i</w:t>
      </w:r>
      <w:r w:rsidR="001B7C7E" w:rsidRPr="00202564">
        <w:t xml:space="preserve">nformatīvais ziņojums </w:t>
      </w:r>
      <w:r w:rsidRPr="00202564">
        <w:t xml:space="preserve">paredz </w:t>
      </w:r>
      <w:r w:rsidR="00FC6218" w:rsidRPr="00202564">
        <w:t xml:space="preserve">informēt Ministru kabinetu </w:t>
      </w:r>
      <w:r w:rsidR="0021384E" w:rsidRPr="00202564">
        <w:t xml:space="preserve">par </w:t>
      </w:r>
      <w:r w:rsidR="00290960" w:rsidRPr="00202564">
        <w:rPr>
          <w:lang w:eastAsia="lv-LV"/>
        </w:rPr>
        <w:t>Ministru kabineta 2011.gada 9.augu</w:t>
      </w:r>
      <w:r w:rsidR="00DB257D" w:rsidRPr="00202564">
        <w:rPr>
          <w:lang w:eastAsia="lv-LV"/>
        </w:rPr>
        <w:t>sta sēdes protokollēmuma (prot.</w:t>
      </w:r>
      <w:r w:rsidR="00290960" w:rsidRPr="00202564">
        <w:rPr>
          <w:lang w:eastAsia="lv-LV"/>
        </w:rPr>
        <w:t>Nr.47</w:t>
      </w:r>
      <w:r w:rsidR="00DB257D" w:rsidRPr="00202564">
        <w:rPr>
          <w:lang w:eastAsia="lv-LV"/>
        </w:rPr>
        <w:t> </w:t>
      </w:r>
      <w:r w:rsidR="00290960" w:rsidRPr="00202564">
        <w:rPr>
          <w:lang w:eastAsia="lv-LV"/>
        </w:rPr>
        <w:t xml:space="preserve">23.§) „Informatīvais ziņojums „Par turpmāko rīcību ar valsts akciju sabiedrības „Valsts nekustamie īpašumi” būvniecības projektiem”” </w:t>
      </w:r>
      <w:r w:rsidR="0021384E" w:rsidRPr="00202564">
        <w:rPr>
          <w:lang w:eastAsia="lv-LV"/>
        </w:rPr>
        <w:t xml:space="preserve">(turpmāk – </w:t>
      </w:r>
      <w:r w:rsidR="009D7A05" w:rsidRPr="00202564">
        <w:rPr>
          <w:lang w:eastAsia="lv-LV"/>
        </w:rPr>
        <w:t>MK</w:t>
      </w:r>
      <w:r w:rsidR="00DB257D" w:rsidRPr="00202564">
        <w:rPr>
          <w:lang w:eastAsia="lv-LV"/>
        </w:rPr>
        <w:t xml:space="preserve"> </w:t>
      </w:r>
      <w:r w:rsidR="0021384E" w:rsidRPr="00202564">
        <w:rPr>
          <w:lang w:eastAsia="lv-LV"/>
        </w:rPr>
        <w:t xml:space="preserve">protokollēmums Nr.47) </w:t>
      </w:r>
      <w:r w:rsidR="00290960" w:rsidRPr="00202564">
        <w:rPr>
          <w:lang w:eastAsia="lv-LV"/>
        </w:rPr>
        <w:t>2.4.</w:t>
      </w:r>
      <w:r w:rsidR="0021384E" w:rsidRPr="00202564">
        <w:rPr>
          <w:lang w:eastAsia="lv-LV"/>
        </w:rPr>
        <w:t>punktā dot</w:t>
      </w:r>
      <w:r w:rsidR="00C133EF" w:rsidRPr="00202564">
        <w:rPr>
          <w:lang w:eastAsia="lv-LV"/>
        </w:rPr>
        <w:t>ā</w:t>
      </w:r>
      <w:r w:rsidR="0021384E" w:rsidRPr="00202564">
        <w:rPr>
          <w:lang w:eastAsia="lv-LV"/>
        </w:rPr>
        <w:t xml:space="preserve"> uzdevum</w:t>
      </w:r>
      <w:r w:rsidR="00C133EF" w:rsidRPr="00202564">
        <w:rPr>
          <w:lang w:eastAsia="lv-LV"/>
        </w:rPr>
        <w:t>a</w:t>
      </w:r>
      <w:r w:rsidR="0021384E" w:rsidRPr="00202564">
        <w:rPr>
          <w:lang w:eastAsia="lv-LV"/>
        </w:rPr>
        <w:t xml:space="preserve"> izpildes gaitu un tā ietvaros </w:t>
      </w:r>
      <w:r w:rsidR="004F0895" w:rsidRPr="00202564">
        <w:rPr>
          <w:lang w:eastAsia="lv-LV"/>
        </w:rPr>
        <w:t xml:space="preserve">konstatētām </w:t>
      </w:r>
      <w:r w:rsidR="0021384E" w:rsidRPr="00202564">
        <w:rPr>
          <w:lang w:eastAsia="lv-LV"/>
        </w:rPr>
        <w:t>izmaiņām</w:t>
      </w:r>
      <w:r w:rsidR="00D7477B" w:rsidRPr="00202564">
        <w:t xml:space="preserve">, kā arī, lai </w:t>
      </w:r>
      <w:r w:rsidR="0021384E" w:rsidRPr="00202564">
        <w:t xml:space="preserve">pāratjaunotu </w:t>
      </w:r>
      <w:r w:rsidR="009D7A05" w:rsidRPr="00202564">
        <w:rPr>
          <w:lang w:eastAsia="lv-LV"/>
        </w:rPr>
        <w:t>MK</w:t>
      </w:r>
      <w:r w:rsidR="00DB257D" w:rsidRPr="00202564">
        <w:rPr>
          <w:lang w:eastAsia="lv-LV"/>
        </w:rPr>
        <w:t xml:space="preserve"> </w:t>
      </w:r>
      <w:r w:rsidR="0021384E" w:rsidRPr="00202564">
        <w:rPr>
          <w:lang w:eastAsia="lv-LV"/>
        </w:rPr>
        <w:t>protokollēmum</w:t>
      </w:r>
      <w:r w:rsidR="00DB257D" w:rsidRPr="00202564">
        <w:rPr>
          <w:lang w:eastAsia="lv-LV"/>
        </w:rPr>
        <w:t>a Nr.47</w:t>
      </w:r>
      <w:r w:rsidR="0021384E" w:rsidRPr="00202564">
        <w:rPr>
          <w:lang w:eastAsia="lv-LV"/>
        </w:rPr>
        <w:t xml:space="preserve"> 2.4.punktā </w:t>
      </w:r>
      <w:r w:rsidR="00C133EF" w:rsidRPr="00202564">
        <w:rPr>
          <w:lang w:eastAsia="lv-LV"/>
        </w:rPr>
        <w:t xml:space="preserve">un tā apakšpunktos </w:t>
      </w:r>
      <w:r w:rsidR="0021384E" w:rsidRPr="00202564">
        <w:rPr>
          <w:lang w:eastAsia="lv-LV"/>
        </w:rPr>
        <w:t>doto</w:t>
      </w:r>
      <w:r w:rsidR="006D6490" w:rsidRPr="00202564">
        <w:rPr>
          <w:lang w:eastAsia="lv-LV"/>
        </w:rPr>
        <w:t>s</w:t>
      </w:r>
      <w:r w:rsidR="0021384E" w:rsidRPr="00202564">
        <w:rPr>
          <w:lang w:eastAsia="lv-LV"/>
        </w:rPr>
        <w:t xml:space="preserve"> uzdevumu</w:t>
      </w:r>
      <w:r w:rsidR="006D6490" w:rsidRPr="00202564">
        <w:rPr>
          <w:lang w:eastAsia="lv-LV"/>
        </w:rPr>
        <w:t>s</w:t>
      </w:r>
      <w:r w:rsidR="0021384E" w:rsidRPr="00202564">
        <w:rPr>
          <w:lang w:eastAsia="lv-LV"/>
        </w:rPr>
        <w:t>.</w:t>
      </w:r>
    </w:p>
    <w:p w:rsidR="00470BCF" w:rsidRDefault="00470BCF" w:rsidP="00470BCF">
      <w:pPr>
        <w:pStyle w:val="Sarakstarindkopa"/>
        <w:spacing w:after="120"/>
        <w:ind w:left="567"/>
        <w:rPr>
          <w:b/>
        </w:rPr>
      </w:pPr>
    </w:p>
    <w:p w:rsidR="00470BCF" w:rsidRPr="00DB257D" w:rsidRDefault="00470BCF" w:rsidP="00007D67">
      <w:pPr>
        <w:pStyle w:val="Sarakstarindkopa"/>
        <w:numPr>
          <w:ilvl w:val="0"/>
          <w:numId w:val="4"/>
        </w:numPr>
        <w:spacing w:after="120"/>
        <w:ind w:left="567" w:hanging="283"/>
        <w:rPr>
          <w:b/>
        </w:rPr>
      </w:pPr>
      <w:r>
        <w:rPr>
          <w:b/>
        </w:rPr>
        <w:t>S</w:t>
      </w:r>
      <w:r w:rsidRPr="00DB257D">
        <w:rPr>
          <w:b/>
        </w:rPr>
        <w:t>ituācijas raksturojums</w:t>
      </w:r>
      <w:r>
        <w:rPr>
          <w:b/>
        </w:rPr>
        <w:t>:</w:t>
      </w:r>
    </w:p>
    <w:p w:rsidR="00217780" w:rsidRPr="00986226" w:rsidRDefault="00470BCF" w:rsidP="00470BCF">
      <w:pPr>
        <w:pStyle w:val="Sarakstarindkopa"/>
        <w:spacing w:after="120"/>
        <w:ind w:left="567"/>
        <w:rPr>
          <w:color w:val="7F7F7F" w:themeColor="text1" w:themeTint="80"/>
        </w:rPr>
      </w:pPr>
      <w:r w:rsidRPr="00986226">
        <w:rPr>
          <w:color w:val="7F7F7F" w:themeColor="text1" w:themeTint="80"/>
        </w:rPr>
        <w:t>[</w:t>
      </w:r>
      <w:r w:rsidR="00217780" w:rsidRPr="00986226">
        <w:rPr>
          <w:color w:val="7F7F7F" w:themeColor="text1" w:themeTint="80"/>
        </w:rPr>
        <w:t>Tiesiskais regulējums</w:t>
      </w:r>
      <w:r w:rsidRPr="00986226">
        <w:rPr>
          <w:color w:val="7F7F7F" w:themeColor="text1" w:themeTint="80"/>
        </w:rPr>
        <w:t>]</w:t>
      </w:r>
    </w:p>
    <w:p w:rsidR="00324A46" w:rsidRPr="009D7A05" w:rsidRDefault="009D7A05" w:rsidP="00470BCF">
      <w:pPr>
        <w:pStyle w:val="Sarakstarindkopa"/>
        <w:spacing w:after="120"/>
        <w:ind w:left="142" w:firstLine="425"/>
        <w:jc w:val="both"/>
        <w:rPr>
          <w:color w:val="2A2A2A"/>
          <w:lang w:eastAsia="lv-LV"/>
        </w:rPr>
      </w:pPr>
      <w:r>
        <w:t>Ministru kabinets ar MK</w:t>
      </w:r>
      <w:r w:rsidR="00D7477B">
        <w:t xml:space="preserve"> </w:t>
      </w:r>
      <w:r w:rsidR="00326EC8" w:rsidRPr="00DB257D">
        <w:t>protokollēmum</w:t>
      </w:r>
      <w:r>
        <w:t>a</w:t>
      </w:r>
      <w:r w:rsidR="00326EC8" w:rsidRPr="00DB257D">
        <w:t xml:space="preserve"> Nr.47</w:t>
      </w:r>
      <w:r w:rsidR="00D7477B">
        <w:t xml:space="preserve"> </w:t>
      </w:r>
      <w:r w:rsidR="006D6490">
        <w:t>2.4.</w:t>
      </w:r>
      <w:r w:rsidR="006D6490" w:rsidRPr="009D7A05">
        <w:rPr>
          <w:color w:val="2A2A2A"/>
          <w:lang w:eastAsia="lv-LV"/>
        </w:rPr>
        <w:t xml:space="preserve">punktā </w:t>
      </w:r>
      <w:r w:rsidR="00986226">
        <w:rPr>
          <w:color w:val="2A2A2A"/>
          <w:lang w:eastAsia="lv-LV"/>
        </w:rPr>
        <w:t xml:space="preserve">un tā apakšpunktos </w:t>
      </w:r>
      <w:r w:rsidRPr="009D7A05">
        <w:rPr>
          <w:color w:val="2A2A2A"/>
          <w:lang w:eastAsia="lv-LV"/>
        </w:rPr>
        <w:t xml:space="preserve">dotajiem uzdevumiem </w:t>
      </w:r>
      <w:r w:rsidR="00D7477B" w:rsidRPr="009D7A05">
        <w:rPr>
          <w:color w:val="2A2A2A"/>
          <w:lang w:eastAsia="lv-LV"/>
        </w:rPr>
        <w:t>not</w:t>
      </w:r>
      <w:r w:rsidRPr="009D7A05">
        <w:rPr>
          <w:color w:val="2A2A2A"/>
          <w:lang w:eastAsia="lv-LV"/>
        </w:rPr>
        <w:t>eica</w:t>
      </w:r>
      <w:r w:rsidR="00D7477B" w:rsidRPr="009D7A05">
        <w:rPr>
          <w:color w:val="2A2A2A"/>
          <w:lang w:eastAsia="lv-LV"/>
        </w:rPr>
        <w:t xml:space="preserve"> savstarpēji saistīt</w:t>
      </w:r>
      <w:r w:rsidRPr="009D7A05">
        <w:rPr>
          <w:color w:val="2A2A2A"/>
          <w:lang w:eastAsia="lv-LV"/>
        </w:rPr>
        <w:t xml:space="preserve">us </w:t>
      </w:r>
      <w:r w:rsidR="00D7477B" w:rsidRPr="009D7A05">
        <w:rPr>
          <w:color w:val="2A2A2A"/>
          <w:lang w:eastAsia="lv-LV"/>
        </w:rPr>
        <w:t>uzdevum</w:t>
      </w:r>
      <w:r w:rsidR="00E85A91">
        <w:rPr>
          <w:color w:val="2A2A2A"/>
          <w:lang w:eastAsia="lv-LV"/>
        </w:rPr>
        <w:t>us</w:t>
      </w:r>
      <w:r w:rsidRPr="009D7A05">
        <w:rPr>
          <w:color w:val="2A2A2A"/>
          <w:lang w:eastAsia="lv-LV"/>
        </w:rPr>
        <w:t xml:space="preserve"> </w:t>
      </w:r>
      <w:r>
        <w:rPr>
          <w:color w:val="2A2A2A"/>
          <w:lang w:eastAsia="lv-LV"/>
        </w:rPr>
        <w:t xml:space="preserve">Finanšu ministrijai </w:t>
      </w:r>
      <w:r w:rsidRPr="009D7A05">
        <w:rPr>
          <w:color w:val="2A2A2A"/>
          <w:lang w:eastAsia="lv-LV"/>
        </w:rPr>
        <w:t>(valsts akciju sabiedrībai „Valsts nekustamie īpašumi” (turpmāk – Sabiedrība))</w:t>
      </w:r>
      <w:r>
        <w:rPr>
          <w:color w:val="2A2A2A"/>
          <w:lang w:eastAsia="lv-LV"/>
        </w:rPr>
        <w:t xml:space="preserve"> un Kultūras ministrijai </w:t>
      </w:r>
      <w:r w:rsidR="00E85A91">
        <w:rPr>
          <w:color w:val="2A2A2A"/>
          <w:lang w:eastAsia="lv-LV"/>
        </w:rPr>
        <w:t>p</w:t>
      </w:r>
      <w:r>
        <w:rPr>
          <w:color w:val="2A2A2A"/>
          <w:lang w:eastAsia="lv-LV"/>
        </w:rPr>
        <w:t xml:space="preserve">ar </w:t>
      </w:r>
      <w:r w:rsidR="00324A46" w:rsidRPr="009D7A05">
        <w:rPr>
          <w:color w:val="2A2A2A"/>
          <w:lang w:eastAsia="lv-LV"/>
        </w:rPr>
        <w:t>konceptuāli atbalstītajiem būvniecības projektiem</w:t>
      </w:r>
      <w:r w:rsidR="00D7477B" w:rsidRPr="009D7A05">
        <w:rPr>
          <w:color w:val="2A2A2A"/>
          <w:lang w:eastAsia="lv-LV"/>
        </w:rPr>
        <w:t>, t.i.:</w:t>
      </w:r>
      <w:r w:rsidR="00324A46" w:rsidRPr="009D7A05">
        <w:rPr>
          <w:color w:val="2A2A2A"/>
          <w:lang w:eastAsia="lv-LV"/>
        </w:rPr>
        <w:t xml:space="preserve"> par </w:t>
      </w:r>
      <w:r w:rsidR="00324A46" w:rsidRPr="00324A46">
        <w:rPr>
          <w:color w:val="2A2A2A"/>
          <w:lang w:eastAsia="lv-LV"/>
        </w:rPr>
        <w:t>Jaunā Rīgas teātra ēkas rekonstrukcij</w:t>
      </w:r>
      <w:r w:rsidR="00324A46">
        <w:rPr>
          <w:color w:val="2A2A2A"/>
          <w:lang w:eastAsia="lv-LV"/>
        </w:rPr>
        <w:t>u</w:t>
      </w:r>
      <w:r w:rsidR="00324A46" w:rsidRPr="00324A46">
        <w:rPr>
          <w:color w:val="2A2A2A"/>
          <w:lang w:eastAsia="lv-LV"/>
        </w:rPr>
        <w:t xml:space="preserve"> Lāčplēša ielā 25, Rīgā un Raiņa un Aspazijas mājas re</w:t>
      </w:r>
      <w:r w:rsidR="00324A46">
        <w:rPr>
          <w:color w:val="2A2A2A"/>
          <w:lang w:eastAsia="lv-LV"/>
        </w:rPr>
        <w:t>novāciju Baznīcas ielā 30, Rīgā, nosakot</w:t>
      </w:r>
      <w:r w:rsidR="00324A46" w:rsidRPr="00324A46">
        <w:rPr>
          <w:color w:val="2A2A2A"/>
          <w:lang w:eastAsia="lv-LV"/>
        </w:rPr>
        <w:t>:</w:t>
      </w:r>
    </w:p>
    <w:p w:rsidR="006D6490" w:rsidRDefault="006D6490" w:rsidP="00007D67">
      <w:pPr>
        <w:pStyle w:val="Sarakstarindkopa"/>
        <w:numPr>
          <w:ilvl w:val="0"/>
          <w:numId w:val="3"/>
        </w:numPr>
        <w:tabs>
          <w:tab w:val="left" w:pos="851"/>
        </w:tabs>
        <w:spacing w:after="120"/>
        <w:ind w:left="851" w:hanging="284"/>
        <w:jc w:val="both"/>
        <w:rPr>
          <w:i/>
        </w:rPr>
      </w:pPr>
      <w:r w:rsidRPr="004F0895">
        <w:rPr>
          <w:i/>
          <w:u w:val="single"/>
        </w:rPr>
        <w:t>2.4.1.apakšpunktā</w:t>
      </w:r>
      <w:r w:rsidRPr="004F0895">
        <w:rPr>
          <w:i/>
        </w:rPr>
        <w:t xml:space="preserve"> – </w:t>
      </w:r>
      <w:r w:rsidRPr="006D6490">
        <w:rPr>
          <w:i/>
        </w:rPr>
        <w:t>Finanšu ministrijai (</w:t>
      </w:r>
      <w:r w:rsidRPr="004F0895">
        <w:rPr>
          <w:i/>
        </w:rPr>
        <w:t>Sabiedrība</w:t>
      </w:r>
      <w:r w:rsidR="009D7A05">
        <w:rPr>
          <w:i/>
        </w:rPr>
        <w:t>i</w:t>
      </w:r>
      <w:r w:rsidRPr="006D6490">
        <w:rPr>
          <w:i/>
        </w:rPr>
        <w:t xml:space="preserve">) divu mēnešu laikā, bet ne vēlāk kā līdz 2012.gada 2.janvārim, izvērtējot optimālāko būvniecības darbu finansēšanas modeli, iesniegt Kultūras ministrijai informāciju par </w:t>
      </w:r>
      <w:r w:rsidR="009D7A05" w:rsidRPr="009D7A05">
        <w:rPr>
          <w:i/>
        </w:rPr>
        <w:t xml:space="preserve">MK protokollēmuma Nr.47 </w:t>
      </w:r>
      <w:r w:rsidRPr="006D6490">
        <w:rPr>
          <w:i/>
        </w:rPr>
        <w:t>2.4.punktā minēto objektu provizorisko nomas maksas apmēru un plānotajiem būvniecības pabeigšanas un nomas līgumsaistību sākuma termiņiem;</w:t>
      </w:r>
    </w:p>
    <w:p w:rsidR="009D7A05" w:rsidRDefault="006D6490" w:rsidP="00007D67">
      <w:pPr>
        <w:pStyle w:val="Sarakstarindkopa"/>
        <w:numPr>
          <w:ilvl w:val="0"/>
          <w:numId w:val="3"/>
        </w:numPr>
        <w:tabs>
          <w:tab w:val="left" w:pos="851"/>
        </w:tabs>
        <w:spacing w:after="120"/>
        <w:ind w:left="851" w:hanging="284"/>
        <w:jc w:val="both"/>
        <w:rPr>
          <w:i/>
        </w:rPr>
      </w:pPr>
      <w:r w:rsidRPr="009D7A05">
        <w:rPr>
          <w:i/>
          <w:u w:val="single"/>
        </w:rPr>
        <w:t>2.4.2.</w:t>
      </w:r>
      <w:r w:rsidR="009D7A05" w:rsidRPr="009D7A05">
        <w:rPr>
          <w:i/>
          <w:u w:val="single"/>
        </w:rPr>
        <w:t>apakšpunktā</w:t>
      </w:r>
      <w:r w:rsidR="009D7A05" w:rsidRPr="004F0895">
        <w:rPr>
          <w:i/>
        </w:rPr>
        <w:t xml:space="preserve"> – </w:t>
      </w:r>
      <w:r w:rsidRPr="006D6490">
        <w:rPr>
          <w:i/>
        </w:rPr>
        <w:t xml:space="preserve">Kultūras ministrijai pēc </w:t>
      </w:r>
      <w:r w:rsidR="009D7A05">
        <w:rPr>
          <w:i/>
        </w:rPr>
        <w:t xml:space="preserve">MK </w:t>
      </w:r>
      <w:r w:rsidRPr="006D6490">
        <w:rPr>
          <w:i/>
        </w:rPr>
        <w:t xml:space="preserve">protokollēmuma </w:t>
      </w:r>
      <w:r w:rsidR="009D7A05">
        <w:rPr>
          <w:i/>
        </w:rPr>
        <w:t xml:space="preserve">Nr.47 </w:t>
      </w:r>
      <w:r w:rsidRPr="006D6490">
        <w:rPr>
          <w:i/>
        </w:rPr>
        <w:t xml:space="preserve">2.4.1.apakšpunktā dotā uzdevuma izpildes līdz 2012.gada 15.martam, normatīvajos aktos noteiktā kārtībā iesniegt Ministru kabinetā rīkojuma projektu par </w:t>
      </w:r>
      <w:r w:rsidR="009D7A05">
        <w:rPr>
          <w:i/>
        </w:rPr>
        <w:t xml:space="preserve">MK </w:t>
      </w:r>
      <w:r w:rsidRPr="006D6490">
        <w:rPr>
          <w:i/>
        </w:rPr>
        <w:t>protokollēmuma</w:t>
      </w:r>
      <w:r w:rsidR="009D7A05">
        <w:rPr>
          <w:i/>
        </w:rPr>
        <w:t xml:space="preserve"> Nr.47 </w:t>
      </w:r>
      <w:r w:rsidRPr="006D6490">
        <w:rPr>
          <w:i/>
        </w:rPr>
        <w:t xml:space="preserve">2.4.punktā minētā objekta telpu provizoriskās nomas maksas, kas Kultūras ministrijai būs jāmaksā </w:t>
      </w:r>
      <w:r w:rsidR="009D7A05">
        <w:rPr>
          <w:i/>
        </w:rPr>
        <w:t>S</w:t>
      </w:r>
      <w:r w:rsidRPr="006D6490">
        <w:rPr>
          <w:i/>
        </w:rPr>
        <w:t>abiedrībai, pārcelšanās un aprīkojumu iegādes izdevumu iekļaušanu likumprojekta „Par valsts budžetu 2013.gadam” ilgtermiņa saistībās, norādot būvniecības plānotos pabeigšanas un nomas līgumsaistību sākuma termiņus;</w:t>
      </w:r>
    </w:p>
    <w:p w:rsidR="006D6490" w:rsidRPr="006D6490" w:rsidRDefault="009D7A05" w:rsidP="00007D67">
      <w:pPr>
        <w:pStyle w:val="Sarakstarindkopa"/>
        <w:numPr>
          <w:ilvl w:val="0"/>
          <w:numId w:val="3"/>
        </w:numPr>
        <w:tabs>
          <w:tab w:val="left" w:pos="851"/>
        </w:tabs>
        <w:spacing w:after="120"/>
        <w:ind w:left="851" w:hanging="284"/>
        <w:jc w:val="both"/>
        <w:rPr>
          <w:i/>
        </w:rPr>
      </w:pPr>
      <w:r w:rsidRPr="009D7A05">
        <w:rPr>
          <w:i/>
          <w:u w:val="single"/>
        </w:rPr>
        <w:t>2.4.3.apakšpunktā</w:t>
      </w:r>
      <w:r w:rsidRPr="004F0895">
        <w:rPr>
          <w:i/>
        </w:rPr>
        <w:t xml:space="preserve"> – </w:t>
      </w:r>
      <w:r w:rsidR="006D6490" w:rsidRPr="006D6490">
        <w:rPr>
          <w:i/>
        </w:rPr>
        <w:t>Finanšu ministrijai (</w:t>
      </w:r>
      <w:r>
        <w:rPr>
          <w:i/>
        </w:rPr>
        <w:t>S</w:t>
      </w:r>
      <w:r w:rsidR="006D6490" w:rsidRPr="006D6490">
        <w:rPr>
          <w:i/>
        </w:rPr>
        <w:t xml:space="preserve">abiedrībai) pēc </w:t>
      </w:r>
      <w:r>
        <w:rPr>
          <w:i/>
        </w:rPr>
        <w:t>MK</w:t>
      </w:r>
      <w:r w:rsidR="006D6490" w:rsidRPr="006D6490">
        <w:rPr>
          <w:i/>
        </w:rPr>
        <w:t xml:space="preserve"> protokollēmuma</w:t>
      </w:r>
      <w:r>
        <w:rPr>
          <w:i/>
        </w:rPr>
        <w:t xml:space="preserve"> Nr.47 </w:t>
      </w:r>
      <w:r w:rsidR="006D6490" w:rsidRPr="006D6490">
        <w:rPr>
          <w:i/>
        </w:rPr>
        <w:t>2.4.2.apakšpunktā minētā Ministru kabineta rīkojuma pieņemšanas normatīvajos aktos noteiktā kārtībā veikt Jaunā Rīgas teātra ēkas rekonstrukcijas Lāčplēša ielā 25, Rīgā un Raiņa un Aspazijas mājas renovācijas Baznīcas ielā 30, Rīgā tehniskā projekta izstrādes un abu minēto objektu būvniecības darbus.</w:t>
      </w:r>
    </w:p>
    <w:p w:rsidR="00E85A91" w:rsidRDefault="00E85A91" w:rsidP="00470BCF">
      <w:pPr>
        <w:pStyle w:val="Sarakstarindkopa"/>
        <w:spacing w:after="120"/>
        <w:ind w:left="567"/>
      </w:pPr>
    </w:p>
    <w:p w:rsidR="00E870B2" w:rsidRPr="00986226" w:rsidRDefault="00470BCF" w:rsidP="00470BCF">
      <w:pPr>
        <w:pStyle w:val="Sarakstarindkopa"/>
        <w:spacing w:after="120"/>
        <w:ind w:left="567"/>
        <w:rPr>
          <w:color w:val="7F7F7F" w:themeColor="text1" w:themeTint="80"/>
        </w:rPr>
      </w:pPr>
      <w:r w:rsidRPr="00986226">
        <w:rPr>
          <w:color w:val="7F7F7F" w:themeColor="text1" w:themeTint="80"/>
        </w:rPr>
        <w:t>[Izpildes gaita]</w:t>
      </w:r>
    </w:p>
    <w:p w:rsidR="00324A46" w:rsidRDefault="00324A46" w:rsidP="00324A46">
      <w:pPr>
        <w:pStyle w:val="Sarakstarindkopa"/>
        <w:tabs>
          <w:tab w:val="left" w:pos="851"/>
          <w:tab w:val="left" w:pos="1080"/>
        </w:tabs>
        <w:spacing w:after="120"/>
        <w:ind w:left="0" w:firstLine="567"/>
        <w:jc w:val="both"/>
        <w:rPr>
          <w:lang w:eastAsia="lv-LV"/>
        </w:rPr>
      </w:pPr>
      <w:r>
        <w:t xml:space="preserve">Veicot darbu pie augstāk </w:t>
      </w:r>
      <w:r w:rsidRPr="00470C2E">
        <w:t xml:space="preserve">minētā </w:t>
      </w:r>
      <w:r w:rsidR="00470BCF" w:rsidRPr="00470C2E">
        <w:rPr>
          <w:lang w:eastAsia="lv-LV"/>
        </w:rPr>
        <w:t>MK</w:t>
      </w:r>
      <w:r w:rsidRPr="00470C2E">
        <w:rPr>
          <w:lang w:eastAsia="lv-LV"/>
        </w:rPr>
        <w:t xml:space="preserve"> protokollēmum</w:t>
      </w:r>
      <w:r w:rsidR="001E1433" w:rsidRPr="00470C2E">
        <w:rPr>
          <w:lang w:eastAsia="lv-LV"/>
        </w:rPr>
        <w:t>a</w:t>
      </w:r>
      <w:r w:rsidRPr="00470C2E">
        <w:rPr>
          <w:lang w:eastAsia="lv-LV"/>
        </w:rPr>
        <w:t xml:space="preserve"> Nr.47 </w:t>
      </w:r>
      <w:r w:rsidR="00404887">
        <w:rPr>
          <w:lang w:eastAsia="lv-LV"/>
        </w:rPr>
        <w:t xml:space="preserve">2.4.punktā un </w:t>
      </w:r>
      <w:r w:rsidRPr="00470C2E">
        <w:rPr>
          <w:lang w:eastAsia="lv-LV"/>
        </w:rPr>
        <w:t>2.4</w:t>
      </w:r>
      <w:r w:rsidRPr="00DB257D">
        <w:rPr>
          <w:lang w:eastAsia="lv-LV"/>
        </w:rPr>
        <w:t>.1.apakšpunktā dotā uzdevuma</w:t>
      </w:r>
      <w:r w:rsidR="00DF7162">
        <w:rPr>
          <w:lang w:eastAsia="lv-LV"/>
        </w:rPr>
        <w:t>,</w:t>
      </w:r>
      <w:r w:rsidRPr="00DB257D">
        <w:rPr>
          <w:lang w:eastAsia="lv-LV"/>
        </w:rPr>
        <w:t xml:space="preserve"> </w:t>
      </w:r>
      <w:r w:rsidR="001E1433">
        <w:rPr>
          <w:lang w:eastAsia="lv-LV"/>
        </w:rPr>
        <w:t>tika k</w:t>
      </w:r>
      <w:r w:rsidR="00E85A91">
        <w:rPr>
          <w:lang w:eastAsia="lv-LV"/>
        </w:rPr>
        <w:t xml:space="preserve">onstatētas šādas divas novirzes </w:t>
      </w:r>
      <w:r w:rsidR="001E1433">
        <w:rPr>
          <w:lang w:eastAsia="lv-LV"/>
        </w:rPr>
        <w:t>saistībā ar</w:t>
      </w:r>
      <w:r>
        <w:rPr>
          <w:lang w:eastAsia="lv-LV"/>
        </w:rPr>
        <w:t>:</w:t>
      </w:r>
    </w:p>
    <w:p w:rsidR="00EF70AE" w:rsidRPr="00A24EB5" w:rsidRDefault="00EF70AE" w:rsidP="00007D67">
      <w:pPr>
        <w:pStyle w:val="Sarakstarindkopa"/>
        <w:numPr>
          <w:ilvl w:val="0"/>
          <w:numId w:val="5"/>
        </w:numPr>
        <w:tabs>
          <w:tab w:val="left" w:pos="567"/>
        </w:tabs>
        <w:spacing w:after="120"/>
        <w:ind w:left="567" w:hanging="567"/>
        <w:jc w:val="both"/>
        <w:rPr>
          <w:b/>
          <w:color w:val="460000"/>
        </w:rPr>
      </w:pPr>
      <w:r w:rsidRPr="00A24EB5">
        <w:rPr>
          <w:b/>
          <w:color w:val="460000"/>
        </w:rPr>
        <w:t>būtisk</w:t>
      </w:r>
      <w:r w:rsidR="001E1433" w:rsidRPr="00A24EB5">
        <w:rPr>
          <w:b/>
          <w:color w:val="460000"/>
        </w:rPr>
        <w:t>ām</w:t>
      </w:r>
      <w:r w:rsidRPr="00A24EB5">
        <w:rPr>
          <w:b/>
          <w:color w:val="460000"/>
        </w:rPr>
        <w:t xml:space="preserve"> izmaiņ</w:t>
      </w:r>
      <w:r w:rsidR="001E1433" w:rsidRPr="00A24EB5">
        <w:rPr>
          <w:b/>
          <w:color w:val="460000"/>
        </w:rPr>
        <w:t>ām</w:t>
      </w:r>
      <w:r w:rsidRPr="00A24EB5">
        <w:rPr>
          <w:b/>
          <w:color w:val="460000"/>
        </w:rPr>
        <w:t xml:space="preserve"> būvniecības projekta „Jaunā Rīgas teātra ēku rekonstrukcija Lāčplēša ielā 25, Rīgā” ietvaros aprēķināt</w:t>
      </w:r>
      <w:r w:rsidR="001E1433" w:rsidRPr="00A24EB5">
        <w:rPr>
          <w:b/>
          <w:color w:val="460000"/>
        </w:rPr>
        <w:t>ajiem</w:t>
      </w:r>
      <w:r w:rsidRPr="00A24EB5">
        <w:rPr>
          <w:b/>
          <w:color w:val="460000"/>
        </w:rPr>
        <w:t xml:space="preserve"> (provizoriskaj</w:t>
      </w:r>
      <w:r w:rsidR="001E1433" w:rsidRPr="00A24EB5">
        <w:rPr>
          <w:b/>
          <w:color w:val="460000"/>
        </w:rPr>
        <w:t>iem</w:t>
      </w:r>
      <w:r w:rsidRPr="00A24EB5">
        <w:rPr>
          <w:b/>
          <w:color w:val="460000"/>
        </w:rPr>
        <w:t>) kapitālieguldījum</w:t>
      </w:r>
      <w:r w:rsidR="001E1433" w:rsidRPr="00A24EB5">
        <w:rPr>
          <w:b/>
          <w:color w:val="460000"/>
        </w:rPr>
        <w:t>iem</w:t>
      </w:r>
      <w:r w:rsidRPr="00A24EB5">
        <w:rPr>
          <w:b/>
          <w:color w:val="460000"/>
        </w:rPr>
        <w:t xml:space="preserve"> būvniecības darbu veikšanai</w:t>
      </w:r>
      <w:r w:rsidR="001E1433" w:rsidRPr="00A24EB5">
        <w:rPr>
          <w:b/>
          <w:color w:val="460000"/>
        </w:rPr>
        <w:t>;</w:t>
      </w:r>
    </w:p>
    <w:p w:rsidR="001E1433" w:rsidRDefault="001E1433" w:rsidP="001E1433">
      <w:pPr>
        <w:pStyle w:val="Sarakstarindkopa"/>
        <w:spacing w:after="120"/>
        <w:ind w:left="567"/>
        <w:jc w:val="both"/>
      </w:pPr>
      <w:r w:rsidRPr="00770D7E">
        <w:lastRenderedPageBreak/>
        <w:t xml:space="preserve">Ņemot vērā </w:t>
      </w:r>
      <w:r w:rsidR="00470BCF">
        <w:t>MK</w:t>
      </w:r>
      <w:r w:rsidR="00860EF8">
        <w:t xml:space="preserve"> p</w:t>
      </w:r>
      <w:r w:rsidRPr="00770D7E">
        <w:t xml:space="preserve">rotokollēmuma Nr.47 2.4.1.apakšpunktā doto uzdevumu un no tā </w:t>
      </w:r>
      <w:r w:rsidR="00986226">
        <w:t>secīgi</w:t>
      </w:r>
      <w:r w:rsidRPr="00770D7E">
        <w:t xml:space="preserve"> izrietoš</w:t>
      </w:r>
      <w:r w:rsidR="00DF7162">
        <w:t>o</w:t>
      </w:r>
      <w:r w:rsidRPr="00770D7E">
        <w:t xml:space="preserve"> </w:t>
      </w:r>
      <w:r w:rsidR="00470BCF">
        <w:t>MK</w:t>
      </w:r>
      <w:r w:rsidRPr="00770D7E">
        <w:t xml:space="preserve"> protokollēmuma Nr.47 2.4.2.apakšpunktā doto uzdevumu Kultūras ministrijai </w:t>
      </w:r>
      <w:r w:rsidR="00E85A91">
        <w:t>p</w:t>
      </w:r>
      <w:r w:rsidRPr="00770D7E">
        <w:t>ar valsts budžetā paredzam</w:t>
      </w:r>
      <w:r w:rsidR="00E85A91">
        <w:t xml:space="preserve">iem finanšu resursiem, t.sk., </w:t>
      </w:r>
      <w:r w:rsidRPr="00770D7E">
        <w:t>Sabiedrības kapitālieguldījumu un ar to finansēšanu saistīto izdevumu</w:t>
      </w:r>
      <w:r w:rsidR="00E85A91">
        <w:t xml:space="preserve"> apmaksai</w:t>
      </w:r>
      <w:r w:rsidRPr="00770D7E">
        <w:t xml:space="preserve">, </w:t>
      </w:r>
      <w:r w:rsidR="00860EF8">
        <w:t xml:space="preserve">Finanšu ministrija (Sabiedrība) </w:t>
      </w:r>
      <w:r w:rsidRPr="00770D7E">
        <w:t>pastiprināti pievērs</w:t>
      </w:r>
      <w:r w:rsidR="00860EF8">
        <w:t>a</w:t>
      </w:r>
      <w:r w:rsidRPr="00770D7E">
        <w:t xml:space="preserve"> uzmanība </w:t>
      </w:r>
      <w:r w:rsidR="00860EF8">
        <w:t xml:space="preserve">būvniecības </w:t>
      </w:r>
      <w:r w:rsidRPr="00770D7E">
        <w:t xml:space="preserve">projekta </w:t>
      </w:r>
      <w:r w:rsidR="00860EF8" w:rsidRPr="00860EF8">
        <w:t xml:space="preserve">„Jaunā Rīgas teātra ēku rekonstrukcija Lāčplēša ielā 25, Rīgā” </w:t>
      </w:r>
      <w:r w:rsidRPr="00770D7E">
        <w:t xml:space="preserve">provizoriskajām būvniecības izmaksām, jo tās vislielākā mērā </w:t>
      </w:r>
      <w:r w:rsidR="00470C2E">
        <w:t xml:space="preserve">veidos </w:t>
      </w:r>
      <w:r w:rsidR="00E85A91">
        <w:t>papildus ietekmi uz valsts budžetu</w:t>
      </w:r>
      <w:r w:rsidR="00986226" w:rsidRPr="00986226">
        <w:t xml:space="preserve"> </w:t>
      </w:r>
      <w:r w:rsidR="00986226">
        <w:t>turpmākajos gados</w:t>
      </w:r>
      <w:r w:rsidR="00E85A91">
        <w:t xml:space="preserve">, kas kā </w:t>
      </w:r>
      <w:r w:rsidR="00E85A91" w:rsidRPr="00770D7E">
        <w:t>ilgtermiņa saistīb</w:t>
      </w:r>
      <w:r w:rsidR="00E85A91">
        <w:t>as</w:t>
      </w:r>
      <w:r w:rsidR="00E85A91" w:rsidRPr="00770D7E">
        <w:t xml:space="preserve"> paredzam</w:t>
      </w:r>
      <w:r w:rsidR="00E85A91">
        <w:t>as l</w:t>
      </w:r>
      <w:r w:rsidRPr="00770D7E">
        <w:t>ikumprojektā „Par valsts budžetu 2013.gadam”</w:t>
      </w:r>
      <w:r w:rsidR="00860EF8">
        <w:t>.</w:t>
      </w:r>
    </w:p>
    <w:p w:rsidR="00391719" w:rsidRDefault="00391719" w:rsidP="00391719">
      <w:pPr>
        <w:pStyle w:val="Sarakstarindkopa"/>
        <w:tabs>
          <w:tab w:val="left" w:pos="567"/>
        </w:tabs>
        <w:spacing w:after="120"/>
        <w:ind w:left="567"/>
        <w:jc w:val="both"/>
      </w:pPr>
      <w:r w:rsidRPr="00DB257D">
        <w:t xml:space="preserve">Izpildot minēto uzdevumu, Sabiedrība sagatavoja informāciju par </w:t>
      </w:r>
      <w:r>
        <w:t xml:space="preserve">būvniecības projekta </w:t>
      </w:r>
      <w:r w:rsidRPr="00860EF8">
        <w:t>„Jaunā Rīgas teātra ēku rekonstrukcija Lāčplēša ielā 25, Rīgā”</w:t>
      </w:r>
      <w:r>
        <w:t xml:space="preserve"> </w:t>
      </w:r>
      <w:r w:rsidRPr="00DB257D">
        <w:t>provizoriskajiem nomas maksas apmēriem (to variantiem) un to ietekmi uz valsts budžetu, kā arī informāciju par plānotiem būvniecības darbu pabeigšanas un nomas līgumsaistību sākuma termiņiem. Lai veiktu provizorisko nomas maksas apmēra aprēķinu objektam Jaunais Rīgas teātris Lāčplēša ielā 25, Rīgā</w:t>
      </w:r>
      <w:r w:rsidR="00DF7162">
        <w:t>,</w:t>
      </w:r>
      <w:r w:rsidRPr="00DB257D">
        <w:t xml:space="preserve"> tika precizētas būvniecības kopējās izmaksas, pārskatot būvniecības tehnisko uzdevumu un kopējo būvniecības darba apjomu. Līdz ar to minētā būvniecības projekta kopējās būvniecības izmaksas šobrīd tiek plānotas – 6 099 885 lat</w:t>
      </w:r>
      <w:r w:rsidR="00C16B6B">
        <w:t>u</w:t>
      </w:r>
      <w:r w:rsidRPr="00DB257D">
        <w:t xml:space="preserve"> (ar PVN) </w:t>
      </w:r>
      <w:r w:rsidR="00470C2E">
        <w:t>apmērā</w:t>
      </w:r>
      <w:r w:rsidR="00DF7162">
        <w:t>.</w:t>
      </w:r>
      <w:r w:rsidR="00470C2E">
        <w:t xml:space="preserve"> </w:t>
      </w:r>
      <w:r w:rsidR="00DF7162">
        <w:t>V</w:t>
      </w:r>
      <w:r w:rsidRPr="00DB257D">
        <w:t xml:space="preserve">ienlaikus </w:t>
      </w:r>
      <w:r w:rsidR="00DF7162">
        <w:t xml:space="preserve">tika precizēta </w:t>
      </w:r>
      <w:r w:rsidRPr="00DB257D">
        <w:t>būvniecības projekta provizorisk</w:t>
      </w:r>
      <w:r w:rsidR="00DF7162">
        <w:t>ā</w:t>
      </w:r>
      <w:r w:rsidRPr="00DB257D">
        <w:t xml:space="preserve"> ietekm</w:t>
      </w:r>
      <w:r w:rsidR="00DF7162">
        <w:t>e</w:t>
      </w:r>
      <w:r w:rsidRPr="00DB257D">
        <w:t xml:space="preserve"> uz valsts budžetu </w:t>
      </w:r>
      <w:r w:rsidR="00470C2E">
        <w:t xml:space="preserve">(detalizēta informācija skat. </w:t>
      </w:r>
      <w:r w:rsidR="00F64A96">
        <w:t>1.</w:t>
      </w:r>
      <w:r w:rsidR="00470C2E">
        <w:t xml:space="preserve">pielikumā vai </w:t>
      </w:r>
      <w:r w:rsidR="00470C2E" w:rsidRPr="00770D7E">
        <w:t xml:space="preserve">precizētās </w:t>
      </w:r>
      <w:r w:rsidR="00470C2E">
        <w:t xml:space="preserve">būvniecības projekta </w:t>
      </w:r>
      <w:r w:rsidR="00986226">
        <w:t>provizoriskās</w:t>
      </w:r>
      <w:r w:rsidR="00986226" w:rsidRPr="00770D7E">
        <w:t xml:space="preserve"> </w:t>
      </w:r>
      <w:r w:rsidR="00470C2E" w:rsidRPr="00770D7E">
        <w:t>izmaksas skat. 1.tabulu)</w:t>
      </w:r>
      <w:r w:rsidRPr="00DB257D">
        <w:t>.</w:t>
      </w:r>
    </w:p>
    <w:p w:rsidR="004B1DC5" w:rsidRPr="00770D7E" w:rsidRDefault="004B1DC5" w:rsidP="00CD06F5">
      <w:pPr>
        <w:ind w:right="-286"/>
        <w:jc w:val="right"/>
        <w:rPr>
          <w:sz w:val="16"/>
          <w:szCs w:val="16"/>
        </w:rPr>
      </w:pPr>
      <w:r w:rsidRPr="00770D7E">
        <w:rPr>
          <w:sz w:val="16"/>
          <w:szCs w:val="16"/>
        </w:rPr>
        <w:t>1.tabula</w:t>
      </w:r>
    </w:p>
    <w:tbl>
      <w:tblPr>
        <w:tblW w:w="8789" w:type="dxa"/>
        <w:tblInd w:w="675" w:type="dxa"/>
        <w:tblLayout w:type="fixed"/>
        <w:tblLook w:val="04A0"/>
      </w:tblPr>
      <w:tblGrid>
        <w:gridCol w:w="283"/>
        <w:gridCol w:w="1418"/>
        <w:gridCol w:w="709"/>
        <w:gridCol w:w="847"/>
        <w:gridCol w:w="425"/>
        <w:gridCol w:w="567"/>
        <w:gridCol w:w="426"/>
        <w:gridCol w:w="425"/>
        <w:gridCol w:w="425"/>
        <w:gridCol w:w="711"/>
        <w:gridCol w:w="850"/>
        <w:gridCol w:w="851"/>
        <w:gridCol w:w="852"/>
      </w:tblGrid>
      <w:tr w:rsidR="004B1DC5" w:rsidRPr="00CD06F5" w:rsidTr="00CD06F5">
        <w:trPr>
          <w:trHeight w:val="315"/>
        </w:trPr>
        <w:tc>
          <w:tcPr>
            <w:tcW w:w="283" w:type="dxa"/>
            <w:vMerge w:val="restart"/>
            <w:tcBorders>
              <w:top w:val="dotted" w:sz="4" w:space="0" w:color="auto"/>
              <w:left w:val="dotted" w:sz="4" w:space="0" w:color="auto"/>
              <w:bottom w:val="dotted" w:sz="4" w:space="0" w:color="auto"/>
              <w:right w:val="dotted" w:sz="4" w:space="0" w:color="auto"/>
            </w:tcBorders>
            <w:shd w:val="clear" w:color="000000" w:fill="D8D8D8"/>
            <w:vAlign w:val="center"/>
            <w:hideMark/>
          </w:tcPr>
          <w:p w:rsidR="004B1DC5" w:rsidRPr="00CD06F5" w:rsidRDefault="004B1DC5" w:rsidP="00386C4A">
            <w:pPr>
              <w:ind w:left="-103" w:right="-120"/>
              <w:jc w:val="center"/>
              <w:rPr>
                <w:b/>
                <w:bCs/>
                <w:sz w:val="14"/>
                <w:szCs w:val="14"/>
                <w:lang w:eastAsia="lv-LV"/>
              </w:rPr>
            </w:pPr>
            <w:r w:rsidRPr="00CD06F5">
              <w:rPr>
                <w:b/>
                <w:bCs/>
                <w:sz w:val="14"/>
                <w:szCs w:val="14"/>
                <w:lang w:eastAsia="lv-LV"/>
              </w:rPr>
              <w:t>Nr.</w:t>
            </w:r>
            <w:r w:rsidRPr="00CD06F5">
              <w:rPr>
                <w:b/>
                <w:bCs/>
                <w:sz w:val="14"/>
                <w:szCs w:val="14"/>
                <w:lang w:eastAsia="lv-LV"/>
              </w:rPr>
              <w:br/>
              <w:t>p.k.</w:t>
            </w:r>
          </w:p>
        </w:tc>
        <w:tc>
          <w:tcPr>
            <w:tcW w:w="1418" w:type="dxa"/>
            <w:vMerge w:val="restart"/>
            <w:tcBorders>
              <w:top w:val="dotted" w:sz="4" w:space="0" w:color="auto"/>
              <w:left w:val="dotted" w:sz="4" w:space="0" w:color="auto"/>
              <w:bottom w:val="dotted" w:sz="4" w:space="0" w:color="auto"/>
              <w:right w:val="double" w:sz="4" w:space="0" w:color="auto"/>
            </w:tcBorders>
            <w:shd w:val="clear" w:color="000000" w:fill="D8D8D8"/>
            <w:vAlign w:val="center"/>
            <w:hideMark/>
          </w:tcPr>
          <w:p w:rsidR="004B1DC5" w:rsidRPr="00CD06F5" w:rsidRDefault="004B1DC5" w:rsidP="004B1DC5">
            <w:pPr>
              <w:jc w:val="center"/>
              <w:rPr>
                <w:b/>
                <w:bCs/>
                <w:sz w:val="14"/>
                <w:szCs w:val="14"/>
                <w:lang w:eastAsia="lv-LV"/>
              </w:rPr>
            </w:pPr>
            <w:r w:rsidRPr="00CD06F5">
              <w:rPr>
                <w:b/>
                <w:bCs/>
                <w:sz w:val="14"/>
                <w:szCs w:val="14"/>
                <w:lang w:eastAsia="lv-LV"/>
              </w:rPr>
              <w:t xml:space="preserve">Investīciju projekta izdevumu pozīcijas </w:t>
            </w:r>
          </w:p>
        </w:tc>
        <w:tc>
          <w:tcPr>
            <w:tcW w:w="709" w:type="dxa"/>
            <w:vMerge w:val="restart"/>
            <w:tcBorders>
              <w:top w:val="double" w:sz="4" w:space="0" w:color="auto"/>
              <w:left w:val="double" w:sz="4" w:space="0" w:color="auto"/>
              <w:right w:val="double" w:sz="4" w:space="0" w:color="auto"/>
            </w:tcBorders>
            <w:shd w:val="clear" w:color="000000" w:fill="D8D8D8"/>
            <w:vAlign w:val="center"/>
          </w:tcPr>
          <w:p w:rsidR="004B1DC5" w:rsidRPr="00CD06F5" w:rsidRDefault="004B1DC5" w:rsidP="004B1DC5">
            <w:pPr>
              <w:jc w:val="center"/>
              <w:rPr>
                <w:b/>
                <w:bCs/>
                <w:sz w:val="14"/>
                <w:szCs w:val="14"/>
                <w:lang w:eastAsia="lv-LV"/>
              </w:rPr>
            </w:pPr>
            <w:r w:rsidRPr="00CD06F5">
              <w:rPr>
                <w:b/>
                <w:bCs/>
                <w:sz w:val="14"/>
                <w:szCs w:val="14"/>
                <w:lang w:eastAsia="lv-LV"/>
              </w:rPr>
              <w:t>KOPĀ</w:t>
            </w:r>
            <w:r w:rsidRPr="00CD06F5">
              <w:rPr>
                <w:b/>
                <w:bCs/>
                <w:sz w:val="14"/>
                <w:szCs w:val="14"/>
                <w:lang w:eastAsia="lv-LV"/>
              </w:rPr>
              <w:br/>
              <w:t>(ar PVN)*</w:t>
            </w:r>
          </w:p>
        </w:tc>
        <w:tc>
          <w:tcPr>
            <w:tcW w:w="847" w:type="dxa"/>
            <w:vMerge w:val="restart"/>
            <w:tcBorders>
              <w:top w:val="double" w:sz="4" w:space="0" w:color="auto"/>
              <w:left w:val="double" w:sz="4" w:space="0" w:color="auto"/>
              <w:bottom w:val="dotted" w:sz="4" w:space="0" w:color="auto"/>
              <w:right w:val="double" w:sz="4" w:space="0" w:color="auto"/>
            </w:tcBorders>
            <w:shd w:val="clear" w:color="000000" w:fill="D8D8D8"/>
            <w:vAlign w:val="center"/>
            <w:hideMark/>
          </w:tcPr>
          <w:p w:rsidR="004B1DC5" w:rsidRPr="00CD06F5" w:rsidRDefault="004B1DC5" w:rsidP="004B1DC5">
            <w:pPr>
              <w:ind w:left="-79" w:right="-59"/>
              <w:jc w:val="center"/>
              <w:rPr>
                <w:b/>
                <w:bCs/>
                <w:sz w:val="14"/>
                <w:szCs w:val="14"/>
                <w:lang w:eastAsia="lv-LV"/>
              </w:rPr>
            </w:pPr>
            <w:r w:rsidRPr="00CD06F5">
              <w:rPr>
                <w:b/>
                <w:bCs/>
                <w:sz w:val="14"/>
                <w:szCs w:val="14"/>
                <w:lang w:eastAsia="lv-LV"/>
              </w:rPr>
              <w:t>Aprēķinā izmantotais</w:t>
            </w:r>
          </w:p>
          <w:p w:rsidR="004B1DC5" w:rsidRPr="00CD06F5" w:rsidRDefault="004B1DC5" w:rsidP="004B1DC5">
            <w:pPr>
              <w:ind w:left="-79" w:right="-59"/>
              <w:jc w:val="center"/>
              <w:rPr>
                <w:b/>
                <w:bCs/>
                <w:sz w:val="14"/>
                <w:szCs w:val="14"/>
                <w:lang w:eastAsia="lv-LV"/>
              </w:rPr>
            </w:pPr>
            <w:r w:rsidRPr="00CD06F5">
              <w:rPr>
                <w:b/>
                <w:bCs/>
                <w:sz w:val="14"/>
                <w:szCs w:val="14"/>
                <w:lang w:eastAsia="lv-LV"/>
              </w:rPr>
              <w:t>avots vai % īpatsvars no būvniecības darbu kopējām izmaksām</w:t>
            </w:r>
          </w:p>
        </w:tc>
        <w:tc>
          <w:tcPr>
            <w:tcW w:w="5532" w:type="dxa"/>
            <w:gridSpan w:val="9"/>
            <w:tcBorders>
              <w:top w:val="dotted" w:sz="4" w:space="0" w:color="auto"/>
              <w:left w:val="double" w:sz="4" w:space="0" w:color="auto"/>
              <w:bottom w:val="dotted" w:sz="4" w:space="0" w:color="auto"/>
              <w:right w:val="dotted" w:sz="4" w:space="0" w:color="auto"/>
            </w:tcBorders>
            <w:shd w:val="clear" w:color="000000" w:fill="D8D8D8"/>
            <w:vAlign w:val="center"/>
          </w:tcPr>
          <w:p w:rsidR="004B1DC5" w:rsidRPr="00CD06F5" w:rsidRDefault="004B1DC5" w:rsidP="004B1DC5">
            <w:pPr>
              <w:jc w:val="center"/>
              <w:rPr>
                <w:b/>
                <w:bCs/>
                <w:sz w:val="14"/>
                <w:szCs w:val="14"/>
                <w:lang w:eastAsia="lv-LV"/>
              </w:rPr>
            </w:pPr>
            <w:r w:rsidRPr="00CD06F5">
              <w:rPr>
                <w:b/>
                <w:bCs/>
                <w:sz w:val="14"/>
                <w:szCs w:val="14"/>
                <w:lang w:eastAsia="lv-LV"/>
              </w:rPr>
              <w:t>Būvniecības darbos veicamo kapitālieguldījumu (naudas plūsmas) sadalījums pa gadiem:</w:t>
            </w:r>
          </w:p>
        </w:tc>
      </w:tr>
      <w:tr w:rsidR="00CD06F5" w:rsidRPr="00CD06F5" w:rsidTr="00CD06F5">
        <w:trPr>
          <w:trHeight w:val="70"/>
        </w:trPr>
        <w:tc>
          <w:tcPr>
            <w:tcW w:w="283" w:type="dxa"/>
            <w:vMerge/>
            <w:tcBorders>
              <w:top w:val="dotted" w:sz="4" w:space="0" w:color="auto"/>
              <w:left w:val="dotted" w:sz="4" w:space="0" w:color="auto"/>
              <w:bottom w:val="dotted" w:sz="4" w:space="0" w:color="auto"/>
              <w:right w:val="dotted" w:sz="4" w:space="0" w:color="auto"/>
            </w:tcBorders>
            <w:vAlign w:val="center"/>
            <w:hideMark/>
          </w:tcPr>
          <w:p w:rsidR="004B1DC5" w:rsidRPr="00CD06F5" w:rsidRDefault="004B1DC5" w:rsidP="00386C4A">
            <w:pPr>
              <w:ind w:left="-103" w:right="-120"/>
              <w:rPr>
                <w:b/>
                <w:bCs/>
                <w:sz w:val="14"/>
                <w:szCs w:val="14"/>
                <w:lang w:eastAsia="lv-LV"/>
              </w:rPr>
            </w:pPr>
          </w:p>
        </w:tc>
        <w:tc>
          <w:tcPr>
            <w:tcW w:w="1418" w:type="dxa"/>
            <w:vMerge/>
            <w:tcBorders>
              <w:top w:val="dotted" w:sz="4" w:space="0" w:color="auto"/>
              <w:left w:val="dotted" w:sz="4" w:space="0" w:color="auto"/>
              <w:bottom w:val="dotted" w:sz="4" w:space="0" w:color="auto"/>
              <w:right w:val="double" w:sz="4" w:space="0" w:color="auto"/>
            </w:tcBorders>
            <w:vAlign w:val="center"/>
            <w:hideMark/>
          </w:tcPr>
          <w:p w:rsidR="004B1DC5" w:rsidRPr="00CD06F5" w:rsidRDefault="004B1DC5" w:rsidP="004B1DC5">
            <w:pPr>
              <w:rPr>
                <w:b/>
                <w:bCs/>
                <w:sz w:val="14"/>
                <w:szCs w:val="14"/>
                <w:lang w:eastAsia="lv-LV"/>
              </w:rPr>
            </w:pPr>
          </w:p>
        </w:tc>
        <w:tc>
          <w:tcPr>
            <w:tcW w:w="709" w:type="dxa"/>
            <w:vMerge/>
            <w:tcBorders>
              <w:left w:val="double" w:sz="4" w:space="0" w:color="auto"/>
              <w:bottom w:val="dotted" w:sz="4" w:space="0" w:color="auto"/>
              <w:right w:val="double" w:sz="4" w:space="0" w:color="auto"/>
            </w:tcBorders>
          </w:tcPr>
          <w:p w:rsidR="004B1DC5" w:rsidRPr="00CD06F5" w:rsidRDefault="004B1DC5" w:rsidP="004B1DC5">
            <w:pPr>
              <w:rPr>
                <w:b/>
                <w:bCs/>
                <w:sz w:val="14"/>
                <w:szCs w:val="14"/>
                <w:lang w:eastAsia="lv-LV"/>
              </w:rPr>
            </w:pPr>
          </w:p>
        </w:tc>
        <w:tc>
          <w:tcPr>
            <w:tcW w:w="847" w:type="dxa"/>
            <w:vMerge/>
            <w:tcBorders>
              <w:top w:val="dotted" w:sz="4" w:space="0" w:color="auto"/>
              <w:left w:val="double" w:sz="4" w:space="0" w:color="auto"/>
              <w:bottom w:val="dotted" w:sz="4" w:space="0" w:color="auto"/>
              <w:right w:val="double" w:sz="4" w:space="0" w:color="auto"/>
            </w:tcBorders>
            <w:vAlign w:val="center"/>
            <w:hideMark/>
          </w:tcPr>
          <w:p w:rsidR="004B1DC5" w:rsidRPr="00CD06F5" w:rsidRDefault="004B1DC5" w:rsidP="004B1DC5">
            <w:pPr>
              <w:ind w:left="-108" w:right="-104"/>
              <w:rPr>
                <w:b/>
                <w:bCs/>
                <w:sz w:val="14"/>
                <w:szCs w:val="14"/>
                <w:lang w:eastAsia="lv-LV"/>
              </w:rPr>
            </w:pPr>
          </w:p>
        </w:tc>
        <w:tc>
          <w:tcPr>
            <w:tcW w:w="425" w:type="dxa"/>
            <w:tcBorders>
              <w:top w:val="dotted" w:sz="4" w:space="0" w:color="auto"/>
              <w:left w:val="double" w:sz="4" w:space="0" w:color="auto"/>
              <w:bottom w:val="dotted" w:sz="4" w:space="0" w:color="auto"/>
              <w:right w:val="dotted" w:sz="4" w:space="0" w:color="auto"/>
            </w:tcBorders>
            <w:shd w:val="clear" w:color="000000" w:fill="D8D8D8"/>
            <w:vAlign w:val="center"/>
          </w:tcPr>
          <w:p w:rsidR="004B1DC5" w:rsidRPr="00CD06F5" w:rsidRDefault="004B1DC5" w:rsidP="004B1DC5">
            <w:pPr>
              <w:ind w:left="-108" w:right="-108"/>
              <w:jc w:val="center"/>
              <w:rPr>
                <w:b/>
                <w:bCs/>
                <w:sz w:val="14"/>
                <w:szCs w:val="14"/>
                <w:lang w:eastAsia="lv-LV"/>
              </w:rPr>
            </w:pPr>
            <w:r w:rsidRPr="00CD06F5">
              <w:rPr>
                <w:b/>
                <w:bCs/>
                <w:sz w:val="14"/>
                <w:szCs w:val="14"/>
                <w:lang w:eastAsia="lv-LV"/>
              </w:rPr>
              <w:t>2007</w:t>
            </w:r>
          </w:p>
        </w:tc>
        <w:tc>
          <w:tcPr>
            <w:tcW w:w="567"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4B1DC5" w:rsidRPr="00CD06F5" w:rsidRDefault="004B1DC5" w:rsidP="004B1DC5">
            <w:pPr>
              <w:ind w:left="-108" w:right="-108"/>
              <w:jc w:val="center"/>
              <w:rPr>
                <w:b/>
                <w:bCs/>
                <w:sz w:val="14"/>
                <w:szCs w:val="14"/>
                <w:lang w:eastAsia="lv-LV"/>
              </w:rPr>
            </w:pPr>
            <w:r w:rsidRPr="00CD06F5">
              <w:rPr>
                <w:b/>
                <w:bCs/>
                <w:sz w:val="14"/>
                <w:szCs w:val="14"/>
                <w:lang w:eastAsia="lv-LV"/>
              </w:rPr>
              <w:t>2008</w:t>
            </w:r>
          </w:p>
        </w:tc>
        <w:tc>
          <w:tcPr>
            <w:tcW w:w="426" w:type="dxa"/>
            <w:tcBorders>
              <w:top w:val="dotted" w:sz="4" w:space="0" w:color="auto"/>
              <w:left w:val="dotted" w:sz="4" w:space="0" w:color="auto"/>
              <w:bottom w:val="dotted" w:sz="4" w:space="0" w:color="auto"/>
              <w:right w:val="dotted" w:sz="4" w:space="0" w:color="auto"/>
            </w:tcBorders>
            <w:shd w:val="clear" w:color="000000" w:fill="D8D8D8"/>
            <w:vAlign w:val="center"/>
          </w:tcPr>
          <w:p w:rsidR="004B1DC5" w:rsidRPr="00CD06F5" w:rsidRDefault="004B1DC5" w:rsidP="004B1DC5">
            <w:pPr>
              <w:ind w:left="-108" w:right="-108"/>
              <w:jc w:val="center"/>
              <w:rPr>
                <w:b/>
                <w:bCs/>
                <w:sz w:val="14"/>
                <w:szCs w:val="14"/>
                <w:lang w:eastAsia="lv-LV"/>
              </w:rPr>
            </w:pPr>
            <w:r w:rsidRPr="00CD06F5">
              <w:rPr>
                <w:b/>
                <w:bCs/>
                <w:sz w:val="14"/>
                <w:szCs w:val="14"/>
                <w:lang w:eastAsia="lv-LV"/>
              </w:rPr>
              <w:t>2009</w:t>
            </w:r>
          </w:p>
        </w:tc>
        <w:tc>
          <w:tcPr>
            <w:tcW w:w="425"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4B1DC5" w:rsidRPr="00CD06F5" w:rsidRDefault="004B1DC5" w:rsidP="004B1DC5">
            <w:pPr>
              <w:ind w:left="-108" w:right="-108"/>
              <w:jc w:val="center"/>
              <w:rPr>
                <w:b/>
                <w:bCs/>
                <w:sz w:val="14"/>
                <w:szCs w:val="14"/>
                <w:lang w:eastAsia="lv-LV"/>
              </w:rPr>
            </w:pPr>
            <w:r w:rsidRPr="00CD06F5">
              <w:rPr>
                <w:b/>
                <w:bCs/>
                <w:sz w:val="14"/>
                <w:szCs w:val="14"/>
                <w:lang w:eastAsia="lv-LV"/>
              </w:rPr>
              <w:t>2010</w:t>
            </w:r>
          </w:p>
        </w:tc>
        <w:tc>
          <w:tcPr>
            <w:tcW w:w="425"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4B1DC5" w:rsidRPr="00CD06F5" w:rsidRDefault="004B1DC5" w:rsidP="004B1DC5">
            <w:pPr>
              <w:ind w:left="-108" w:right="-108"/>
              <w:jc w:val="center"/>
              <w:rPr>
                <w:b/>
                <w:bCs/>
                <w:sz w:val="14"/>
                <w:szCs w:val="14"/>
                <w:lang w:eastAsia="lv-LV"/>
              </w:rPr>
            </w:pPr>
            <w:r w:rsidRPr="00CD06F5">
              <w:rPr>
                <w:b/>
                <w:bCs/>
                <w:sz w:val="14"/>
                <w:szCs w:val="14"/>
                <w:lang w:eastAsia="lv-LV"/>
              </w:rPr>
              <w:t>2011</w:t>
            </w:r>
          </w:p>
        </w:tc>
        <w:tc>
          <w:tcPr>
            <w:tcW w:w="711"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4B1DC5" w:rsidRPr="00CD06F5" w:rsidRDefault="004B1DC5" w:rsidP="004B1DC5">
            <w:pPr>
              <w:ind w:left="-108" w:right="-108"/>
              <w:jc w:val="center"/>
              <w:rPr>
                <w:b/>
                <w:bCs/>
                <w:sz w:val="14"/>
                <w:szCs w:val="14"/>
                <w:lang w:eastAsia="lv-LV"/>
              </w:rPr>
            </w:pPr>
            <w:r w:rsidRPr="00CD06F5">
              <w:rPr>
                <w:b/>
                <w:bCs/>
                <w:sz w:val="14"/>
                <w:szCs w:val="14"/>
                <w:lang w:eastAsia="lv-LV"/>
              </w:rPr>
              <w:t>2012</w:t>
            </w:r>
          </w:p>
        </w:tc>
        <w:tc>
          <w:tcPr>
            <w:tcW w:w="850"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4B1DC5" w:rsidRPr="00CD06F5" w:rsidRDefault="004B1DC5" w:rsidP="004B1DC5">
            <w:pPr>
              <w:ind w:left="-108" w:right="-108"/>
              <w:jc w:val="center"/>
              <w:rPr>
                <w:b/>
                <w:bCs/>
                <w:sz w:val="14"/>
                <w:szCs w:val="14"/>
                <w:lang w:eastAsia="lv-LV"/>
              </w:rPr>
            </w:pPr>
            <w:r w:rsidRPr="00CD06F5">
              <w:rPr>
                <w:b/>
                <w:bCs/>
                <w:sz w:val="14"/>
                <w:szCs w:val="14"/>
                <w:lang w:eastAsia="lv-LV"/>
              </w:rPr>
              <w:t>2013</w:t>
            </w:r>
          </w:p>
        </w:tc>
        <w:tc>
          <w:tcPr>
            <w:tcW w:w="851"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4B1DC5" w:rsidRPr="00CD06F5" w:rsidRDefault="004B1DC5" w:rsidP="004B1DC5">
            <w:pPr>
              <w:ind w:left="-108" w:right="-108"/>
              <w:jc w:val="center"/>
              <w:rPr>
                <w:b/>
                <w:bCs/>
                <w:sz w:val="14"/>
                <w:szCs w:val="14"/>
                <w:lang w:eastAsia="lv-LV"/>
              </w:rPr>
            </w:pPr>
            <w:r w:rsidRPr="00CD06F5">
              <w:rPr>
                <w:b/>
                <w:bCs/>
                <w:sz w:val="14"/>
                <w:szCs w:val="14"/>
                <w:lang w:eastAsia="lv-LV"/>
              </w:rPr>
              <w:t>2014</w:t>
            </w:r>
          </w:p>
        </w:tc>
        <w:tc>
          <w:tcPr>
            <w:tcW w:w="852"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4B1DC5" w:rsidRPr="00CD06F5" w:rsidRDefault="004B1DC5" w:rsidP="004B1DC5">
            <w:pPr>
              <w:ind w:left="-108" w:right="-108"/>
              <w:jc w:val="center"/>
              <w:rPr>
                <w:b/>
                <w:bCs/>
                <w:sz w:val="14"/>
                <w:szCs w:val="14"/>
                <w:lang w:eastAsia="lv-LV"/>
              </w:rPr>
            </w:pPr>
            <w:r w:rsidRPr="00CD06F5">
              <w:rPr>
                <w:b/>
                <w:bCs/>
                <w:sz w:val="14"/>
                <w:szCs w:val="14"/>
                <w:lang w:eastAsia="lv-LV"/>
              </w:rPr>
              <w:t>2015</w:t>
            </w:r>
          </w:p>
        </w:tc>
      </w:tr>
      <w:tr w:rsidR="0086601B" w:rsidRPr="00CD06F5" w:rsidTr="00CD06F5">
        <w:trPr>
          <w:trHeight w:val="70"/>
        </w:trPr>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86601B" w:rsidRPr="00CD06F5" w:rsidRDefault="0086601B" w:rsidP="00386C4A">
            <w:pPr>
              <w:ind w:left="-103" w:right="-120"/>
              <w:jc w:val="center"/>
              <w:outlineLvl w:val="0"/>
              <w:rPr>
                <w:sz w:val="14"/>
                <w:szCs w:val="14"/>
                <w:lang w:eastAsia="lv-LV"/>
              </w:rPr>
            </w:pPr>
            <w:r w:rsidRPr="00CD06F5">
              <w:rPr>
                <w:sz w:val="14"/>
                <w:szCs w:val="14"/>
                <w:lang w:eastAsia="lv-LV"/>
              </w:rPr>
              <w:t>1)</w:t>
            </w:r>
          </w:p>
        </w:tc>
        <w:tc>
          <w:tcPr>
            <w:tcW w:w="1418" w:type="dxa"/>
            <w:tcBorders>
              <w:top w:val="dotted" w:sz="4" w:space="0" w:color="auto"/>
              <w:left w:val="dotted" w:sz="4" w:space="0" w:color="auto"/>
              <w:bottom w:val="dotted" w:sz="4" w:space="0" w:color="auto"/>
              <w:right w:val="double" w:sz="4" w:space="0" w:color="auto"/>
            </w:tcBorders>
            <w:shd w:val="clear" w:color="000000" w:fill="FFFFFF"/>
            <w:vAlign w:val="center"/>
            <w:hideMark/>
          </w:tcPr>
          <w:p w:rsidR="0086601B" w:rsidRPr="00CD06F5" w:rsidRDefault="0086601B" w:rsidP="004B1DC5">
            <w:pPr>
              <w:outlineLvl w:val="0"/>
              <w:rPr>
                <w:color w:val="000000"/>
                <w:sz w:val="14"/>
                <w:szCs w:val="14"/>
                <w:lang w:eastAsia="lv-LV"/>
              </w:rPr>
            </w:pPr>
            <w:r w:rsidRPr="00CD06F5">
              <w:rPr>
                <w:color w:val="000000"/>
                <w:sz w:val="14"/>
                <w:szCs w:val="14"/>
                <w:lang w:eastAsia="lv-LV"/>
              </w:rPr>
              <w:t>Pirms projekta izpēte;</w:t>
            </w:r>
          </w:p>
        </w:tc>
        <w:tc>
          <w:tcPr>
            <w:tcW w:w="709" w:type="dxa"/>
            <w:tcBorders>
              <w:top w:val="dotted" w:sz="4" w:space="0" w:color="auto"/>
              <w:left w:val="double" w:sz="4" w:space="0" w:color="auto"/>
              <w:bottom w:val="dotted" w:sz="4" w:space="0" w:color="auto"/>
              <w:right w:val="double" w:sz="4" w:space="0" w:color="auto"/>
            </w:tcBorders>
            <w:shd w:val="clear" w:color="000000" w:fill="F2F2F2"/>
            <w:vAlign w:val="center"/>
          </w:tcPr>
          <w:p w:rsidR="0086601B" w:rsidRPr="00CD06F5" w:rsidRDefault="0086601B" w:rsidP="004B1DC5">
            <w:pPr>
              <w:ind w:left="-108" w:right="-108"/>
              <w:jc w:val="center"/>
              <w:outlineLvl w:val="0"/>
              <w:rPr>
                <w:b/>
                <w:bCs/>
                <w:sz w:val="14"/>
                <w:szCs w:val="14"/>
                <w:lang w:eastAsia="lv-LV"/>
              </w:rPr>
            </w:pPr>
            <w:r w:rsidRPr="00CD06F5">
              <w:rPr>
                <w:b/>
                <w:bCs/>
                <w:sz w:val="14"/>
                <w:szCs w:val="14"/>
                <w:lang w:eastAsia="lv-LV"/>
              </w:rPr>
              <w:t>46 657</w:t>
            </w:r>
          </w:p>
        </w:tc>
        <w:tc>
          <w:tcPr>
            <w:tcW w:w="847" w:type="dxa"/>
            <w:tcBorders>
              <w:top w:val="dotted" w:sz="4" w:space="0" w:color="auto"/>
              <w:left w:val="double" w:sz="4" w:space="0" w:color="auto"/>
              <w:bottom w:val="dotted" w:sz="4" w:space="0" w:color="auto"/>
              <w:right w:val="double" w:sz="4" w:space="0" w:color="auto"/>
            </w:tcBorders>
            <w:shd w:val="clear" w:color="000000" w:fill="F2F2F2"/>
            <w:vAlign w:val="center"/>
            <w:hideMark/>
          </w:tcPr>
          <w:p w:rsidR="0086601B" w:rsidRPr="00CD06F5" w:rsidRDefault="0086601B" w:rsidP="004B1DC5">
            <w:pPr>
              <w:ind w:left="-108" w:right="-108"/>
              <w:jc w:val="center"/>
              <w:rPr>
                <w:sz w:val="14"/>
                <w:szCs w:val="14"/>
                <w:lang w:eastAsia="lv-LV"/>
              </w:rPr>
            </w:pPr>
            <w:r w:rsidRPr="00CD06F5">
              <w:rPr>
                <w:sz w:val="14"/>
                <w:szCs w:val="14"/>
                <w:lang w:eastAsia="lv-LV"/>
              </w:rPr>
              <w:t>Fakts</w:t>
            </w:r>
          </w:p>
        </w:tc>
        <w:tc>
          <w:tcPr>
            <w:tcW w:w="425" w:type="dxa"/>
            <w:tcBorders>
              <w:top w:val="dotted" w:sz="4" w:space="0" w:color="auto"/>
              <w:left w:val="double" w:sz="4" w:space="0" w:color="auto"/>
              <w:bottom w:val="dotted" w:sz="4" w:space="0" w:color="auto"/>
              <w:right w:val="dotted" w:sz="4" w:space="0" w:color="auto"/>
            </w:tcBorders>
            <w:vAlign w:val="center"/>
          </w:tcPr>
          <w:p w:rsidR="0086601B" w:rsidRPr="00CD06F5" w:rsidRDefault="0086601B" w:rsidP="004B1DC5">
            <w:pPr>
              <w:ind w:left="-108" w:right="-108"/>
              <w:jc w:val="center"/>
              <w:outlineLvl w:val="0"/>
              <w:rPr>
                <w:sz w:val="14"/>
                <w:szCs w:val="14"/>
                <w:lang w:eastAsia="lv-LV"/>
              </w:rPr>
            </w:pPr>
            <w:r w:rsidRPr="00CD06F5">
              <w:rPr>
                <w:sz w:val="14"/>
                <w:szCs w:val="14"/>
                <w:lang w:eastAsia="lv-LV"/>
              </w:rPr>
              <w:t>6 042</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6601B" w:rsidRPr="00CD06F5" w:rsidRDefault="0086601B" w:rsidP="004B1DC5">
            <w:pPr>
              <w:ind w:left="-108" w:right="-108"/>
              <w:jc w:val="center"/>
              <w:outlineLvl w:val="0"/>
              <w:rPr>
                <w:sz w:val="14"/>
                <w:szCs w:val="14"/>
                <w:lang w:eastAsia="lv-LV"/>
              </w:rPr>
            </w:pPr>
            <w:r w:rsidRPr="00CD06F5">
              <w:rPr>
                <w:sz w:val="14"/>
                <w:szCs w:val="14"/>
                <w:lang w:eastAsia="lv-LV"/>
              </w:rPr>
              <w:t>40 616</w:t>
            </w:r>
          </w:p>
        </w:tc>
        <w:tc>
          <w:tcPr>
            <w:tcW w:w="426" w:type="dxa"/>
            <w:tcBorders>
              <w:top w:val="dotted" w:sz="4" w:space="0" w:color="auto"/>
              <w:left w:val="dotted" w:sz="4" w:space="0" w:color="auto"/>
              <w:bottom w:val="dotted" w:sz="4" w:space="0" w:color="auto"/>
              <w:right w:val="dotted" w:sz="4" w:space="0" w:color="auto"/>
            </w:tcBorders>
            <w:vAlign w:val="center"/>
          </w:tcPr>
          <w:p w:rsidR="0086601B" w:rsidRPr="00CD06F5" w:rsidRDefault="0086601B" w:rsidP="004B1DC5">
            <w:pPr>
              <w:ind w:left="-108" w:right="-108"/>
              <w:jc w:val="center"/>
              <w:outlineLvl w:val="0"/>
              <w:rPr>
                <w:sz w:val="14"/>
                <w:szCs w:val="14"/>
                <w:lang w:eastAsia="lv-LV"/>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6601B" w:rsidRPr="00CD06F5" w:rsidRDefault="0086601B" w:rsidP="004B1DC5">
            <w:pPr>
              <w:ind w:left="-108" w:right="-108"/>
              <w:jc w:val="center"/>
              <w:outlineLvl w:val="0"/>
              <w:rPr>
                <w:sz w:val="14"/>
                <w:szCs w:val="14"/>
                <w:lang w:eastAsia="lv-LV"/>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6601B" w:rsidRPr="00CD06F5" w:rsidRDefault="0086601B" w:rsidP="004B1DC5">
            <w:pPr>
              <w:ind w:left="-108" w:right="-108"/>
              <w:jc w:val="center"/>
              <w:outlineLvl w:val="0"/>
              <w:rPr>
                <w:sz w:val="14"/>
                <w:szCs w:val="14"/>
                <w:lang w:eastAsia="lv-LV"/>
              </w:rPr>
            </w:pPr>
          </w:p>
        </w:tc>
        <w:tc>
          <w:tcPr>
            <w:tcW w:w="71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6601B" w:rsidRPr="002416D4" w:rsidRDefault="0086601B" w:rsidP="0086601B">
            <w:pPr>
              <w:jc w:val="center"/>
              <w:rPr>
                <w:sz w:val="16"/>
                <w:szCs w:val="16"/>
              </w:rPr>
            </w:pPr>
            <w:r w:rsidRPr="002416D4">
              <w:rPr>
                <w:sz w:val="16"/>
                <w:szCs w:val="16"/>
              </w:rPr>
              <w:t> </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6601B" w:rsidRPr="002416D4" w:rsidRDefault="0086601B" w:rsidP="0086601B">
            <w:pPr>
              <w:jc w:val="center"/>
              <w:rPr>
                <w:sz w:val="16"/>
                <w:szCs w:val="16"/>
              </w:rPr>
            </w:pPr>
            <w:r w:rsidRPr="002416D4">
              <w:rPr>
                <w:sz w:val="16"/>
                <w:szCs w:val="16"/>
              </w:rPr>
              <w:t> </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6601B" w:rsidRPr="002416D4" w:rsidRDefault="0086601B" w:rsidP="0086601B">
            <w:pPr>
              <w:jc w:val="center"/>
              <w:rPr>
                <w:sz w:val="16"/>
                <w:szCs w:val="16"/>
              </w:rPr>
            </w:pPr>
            <w:r w:rsidRPr="002416D4">
              <w:rPr>
                <w:sz w:val="16"/>
                <w:szCs w:val="16"/>
              </w:rPr>
              <w:t> </w:t>
            </w:r>
          </w:p>
        </w:tc>
        <w:tc>
          <w:tcPr>
            <w:tcW w:w="85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6601B" w:rsidRPr="002416D4" w:rsidRDefault="0086601B" w:rsidP="0086601B">
            <w:pPr>
              <w:jc w:val="center"/>
              <w:rPr>
                <w:sz w:val="16"/>
                <w:szCs w:val="16"/>
              </w:rPr>
            </w:pPr>
            <w:r w:rsidRPr="002416D4">
              <w:rPr>
                <w:sz w:val="16"/>
                <w:szCs w:val="16"/>
              </w:rPr>
              <w:t> </w:t>
            </w:r>
          </w:p>
        </w:tc>
      </w:tr>
      <w:tr w:rsidR="0086601B" w:rsidRPr="00CD06F5" w:rsidTr="00CD06F5">
        <w:trPr>
          <w:trHeight w:val="70"/>
        </w:trPr>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86601B" w:rsidRPr="00CD06F5" w:rsidRDefault="0086601B" w:rsidP="00386C4A">
            <w:pPr>
              <w:ind w:left="-103" w:right="-120"/>
              <w:jc w:val="center"/>
              <w:outlineLvl w:val="0"/>
              <w:rPr>
                <w:sz w:val="14"/>
                <w:szCs w:val="14"/>
                <w:lang w:eastAsia="lv-LV"/>
              </w:rPr>
            </w:pPr>
            <w:r w:rsidRPr="00CD06F5">
              <w:rPr>
                <w:sz w:val="14"/>
                <w:szCs w:val="14"/>
                <w:lang w:eastAsia="lv-LV"/>
              </w:rPr>
              <w:t>2)</w:t>
            </w:r>
          </w:p>
        </w:tc>
        <w:tc>
          <w:tcPr>
            <w:tcW w:w="1418" w:type="dxa"/>
            <w:tcBorders>
              <w:top w:val="dotted" w:sz="4" w:space="0" w:color="auto"/>
              <w:left w:val="dotted" w:sz="4" w:space="0" w:color="auto"/>
              <w:bottom w:val="dotted" w:sz="4" w:space="0" w:color="auto"/>
              <w:right w:val="double" w:sz="4" w:space="0" w:color="auto"/>
            </w:tcBorders>
            <w:shd w:val="clear" w:color="000000" w:fill="FFFFFF"/>
            <w:vAlign w:val="center"/>
            <w:hideMark/>
          </w:tcPr>
          <w:p w:rsidR="0086601B" w:rsidRPr="00CD06F5" w:rsidRDefault="0086601B" w:rsidP="004B1DC5">
            <w:pPr>
              <w:outlineLvl w:val="0"/>
              <w:rPr>
                <w:color w:val="000000"/>
                <w:sz w:val="14"/>
                <w:szCs w:val="14"/>
                <w:lang w:eastAsia="lv-LV"/>
              </w:rPr>
            </w:pPr>
            <w:r w:rsidRPr="00CD06F5">
              <w:rPr>
                <w:color w:val="000000"/>
                <w:sz w:val="14"/>
                <w:szCs w:val="14"/>
                <w:lang w:eastAsia="lv-LV"/>
              </w:rPr>
              <w:t>Tehniskā projekta izstrāde;</w:t>
            </w:r>
          </w:p>
        </w:tc>
        <w:tc>
          <w:tcPr>
            <w:tcW w:w="709" w:type="dxa"/>
            <w:tcBorders>
              <w:top w:val="dotted" w:sz="4" w:space="0" w:color="auto"/>
              <w:left w:val="double" w:sz="4" w:space="0" w:color="auto"/>
              <w:bottom w:val="dotted" w:sz="4" w:space="0" w:color="auto"/>
              <w:right w:val="double" w:sz="4" w:space="0" w:color="auto"/>
            </w:tcBorders>
            <w:shd w:val="clear" w:color="000000" w:fill="F2F2F2"/>
            <w:vAlign w:val="center"/>
          </w:tcPr>
          <w:p w:rsidR="0086601B" w:rsidRPr="00CD06F5" w:rsidRDefault="0086601B" w:rsidP="004B1DC5">
            <w:pPr>
              <w:ind w:left="-108" w:right="-108"/>
              <w:jc w:val="center"/>
              <w:outlineLvl w:val="0"/>
              <w:rPr>
                <w:b/>
                <w:bCs/>
                <w:sz w:val="14"/>
                <w:szCs w:val="14"/>
                <w:lang w:eastAsia="lv-LV"/>
              </w:rPr>
            </w:pPr>
            <w:r w:rsidRPr="00CD06F5">
              <w:rPr>
                <w:b/>
                <w:bCs/>
                <w:sz w:val="14"/>
                <w:szCs w:val="14"/>
                <w:lang w:eastAsia="lv-LV"/>
              </w:rPr>
              <w:t>275 192</w:t>
            </w:r>
          </w:p>
        </w:tc>
        <w:tc>
          <w:tcPr>
            <w:tcW w:w="847" w:type="dxa"/>
            <w:tcBorders>
              <w:top w:val="dotted" w:sz="4" w:space="0" w:color="auto"/>
              <w:left w:val="double" w:sz="4" w:space="0" w:color="auto"/>
              <w:bottom w:val="dotted" w:sz="4" w:space="0" w:color="auto"/>
              <w:right w:val="double" w:sz="4" w:space="0" w:color="auto"/>
            </w:tcBorders>
            <w:shd w:val="clear" w:color="000000" w:fill="F2F2F2"/>
            <w:vAlign w:val="center"/>
            <w:hideMark/>
          </w:tcPr>
          <w:p w:rsidR="0086601B" w:rsidRPr="00CD06F5" w:rsidRDefault="0086601B" w:rsidP="004B1DC5">
            <w:pPr>
              <w:ind w:left="-108" w:right="-108"/>
              <w:jc w:val="center"/>
              <w:rPr>
                <w:sz w:val="14"/>
                <w:szCs w:val="14"/>
                <w:lang w:eastAsia="lv-LV"/>
              </w:rPr>
            </w:pPr>
            <w:r w:rsidRPr="00CD06F5">
              <w:rPr>
                <w:sz w:val="14"/>
                <w:szCs w:val="14"/>
                <w:lang w:eastAsia="lv-LV"/>
              </w:rPr>
              <w:t>Fakts un</w:t>
            </w:r>
          </w:p>
          <w:p w:rsidR="0086601B" w:rsidRPr="00CD06F5" w:rsidRDefault="0086601B" w:rsidP="004B1DC5">
            <w:pPr>
              <w:ind w:left="-108" w:right="-108"/>
              <w:jc w:val="center"/>
              <w:rPr>
                <w:sz w:val="14"/>
                <w:szCs w:val="14"/>
                <w:lang w:eastAsia="lv-LV"/>
              </w:rPr>
            </w:pPr>
            <w:r w:rsidRPr="00CD06F5">
              <w:rPr>
                <w:sz w:val="14"/>
                <w:szCs w:val="14"/>
                <w:lang w:eastAsia="lv-LV"/>
              </w:rPr>
              <w:t>5,0%</w:t>
            </w:r>
          </w:p>
        </w:tc>
        <w:tc>
          <w:tcPr>
            <w:tcW w:w="425" w:type="dxa"/>
            <w:tcBorders>
              <w:top w:val="dotted" w:sz="4" w:space="0" w:color="auto"/>
              <w:left w:val="double" w:sz="4" w:space="0" w:color="auto"/>
              <w:bottom w:val="dotted" w:sz="4" w:space="0" w:color="auto"/>
              <w:right w:val="dotted" w:sz="4" w:space="0" w:color="auto"/>
            </w:tcBorders>
            <w:vAlign w:val="center"/>
          </w:tcPr>
          <w:p w:rsidR="0086601B" w:rsidRPr="00CD06F5" w:rsidRDefault="0086601B" w:rsidP="004B1DC5">
            <w:pPr>
              <w:ind w:left="-108" w:right="-108"/>
              <w:jc w:val="center"/>
              <w:outlineLvl w:val="0"/>
              <w:rPr>
                <w:sz w:val="14"/>
                <w:szCs w:val="14"/>
                <w:lang w:eastAsia="lv-LV"/>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6601B" w:rsidRPr="00CD06F5" w:rsidRDefault="0086601B" w:rsidP="004B1DC5">
            <w:pPr>
              <w:ind w:left="-108" w:right="-108"/>
              <w:jc w:val="center"/>
              <w:outlineLvl w:val="0"/>
              <w:rPr>
                <w:sz w:val="14"/>
                <w:szCs w:val="14"/>
                <w:lang w:eastAsia="lv-LV"/>
              </w:rPr>
            </w:pPr>
          </w:p>
        </w:tc>
        <w:tc>
          <w:tcPr>
            <w:tcW w:w="426" w:type="dxa"/>
            <w:tcBorders>
              <w:top w:val="dotted" w:sz="4" w:space="0" w:color="auto"/>
              <w:left w:val="dotted" w:sz="4" w:space="0" w:color="auto"/>
              <w:bottom w:val="dotted" w:sz="4" w:space="0" w:color="auto"/>
              <w:right w:val="dotted" w:sz="4" w:space="0" w:color="auto"/>
            </w:tcBorders>
            <w:vAlign w:val="center"/>
          </w:tcPr>
          <w:p w:rsidR="0086601B" w:rsidRPr="00CD06F5" w:rsidRDefault="0086601B" w:rsidP="004B1DC5">
            <w:pPr>
              <w:ind w:left="-108" w:right="-108"/>
              <w:jc w:val="center"/>
              <w:outlineLvl w:val="0"/>
              <w:rPr>
                <w:sz w:val="14"/>
                <w:szCs w:val="14"/>
                <w:lang w:eastAsia="lv-LV"/>
              </w:rPr>
            </w:pPr>
            <w:r w:rsidRPr="00CD06F5">
              <w:rPr>
                <w:sz w:val="14"/>
                <w:szCs w:val="14"/>
                <w:lang w:eastAsia="lv-LV"/>
              </w:rPr>
              <w:t>68</w:t>
            </w: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6601B" w:rsidRPr="00CD06F5" w:rsidRDefault="0086601B" w:rsidP="004B1DC5">
            <w:pPr>
              <w:ind w:left="-108" w:right="-108"/>
              <w:jc w:val="center"/>
              <w:outlineLvl w:val="0"/>
              <w:rPr>
                <w:sz w:val="14"/>
                <w:szCs w:val="14"/>
                <w:lang w:eastAsia="lv-LV"/>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6601B" w:rsidRPr="00CD06F5" w:rsidRDefault="0086601B" w:rsidP="004B1DC5">
            <w:pPr>
              <w:ind w:left="-108" w:right="-108"/>
              <w:jc w:val="center"/>
              <w:outlineLvl w:val="0"/>
              <w:rPr>
                <w:sz w:val="14"/>
                <w:szCs w:val="14"/>
                <w:lang w:eastAsia="lv-LV"/>
              </w:rPr>
            </w:pPr>
          </w:p>
        </w:tc>
        <w:tc>
          <w:tcPr>
            <w:tcW w:w="71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6601B" w:rsidRPr="00E24DE5" w:rsidRDefault="0086601B" w:rsidP="0086601B">
            <w:pPr>
              <w:jc w:val="center"/>
              <w:rPr>
                <w:sz w:val="14"/>
                <w:szCs w:val="14"/>
              </w:rPr>
            </w:pPr>
            <w:r w:rsidRPr="00E24DE5">
              <w:rPr>
                <w:sz w:val="14"/>
                <w:szCs w:val="14"/>
              </w:rPr>
              <w:t>36 244</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6601B" w:rsidRPr="00E24DE5" w:rsidRDefault="0086601B" w:rsidP="0086601B">
            <w:pPr>
              <w:jc w:val="center"/>
              <w:rPr>
                <w:sz w:val="14"/>
                <w:szCs w:val="14"/>
              </w:rPr>
            </w:pPr>
            <w:r w:rsidRPr="00E24DE5">
              <w:rPr>
                <w:sz w:val="14"/>
                <w:szCs w:val="14"/>
              </w:rPr>
              <w:t>238 880</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6601B" w:rsidRPr="00E24DE5" w:rsidRDefault="0086601B" w:rsidP="0086601B">
            <w:pPr>
              <w:jc w:val="center"/>
              <w:rPr>
                <w:sz w:val="14"/>
                <w:szCs w:val="14"/>
              </w:rPr>
            </w:pPr>
            <w:r w:rsidRPr="00E24DE5">
              <w:rPr>
                <w:sz w:val="14"/>
                <w:szCs w:val="14"/>
              </w:rPr>
              <w:t> </w:t>
            </w:r>
          </w:p>
        </w:tc>
        <w:tc>
          <w:tcPr>
            <w:tcW w:w="85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6601B" w:rsidRPr="00E24DE5" w:rsidRDefault="0086601B" w:rsidP="0086601B">
            <w:pPr>
              <w:jc w:val="center"/>
              <w:rPr>
                <w:sz w:val="14"/>
                <w:szCs w:val="14"/>
              </w:rPr>
            </w:pPr>
            <w:r w:rsidRPr="00E24DE5">
              <w:rPr>
                <w:sz w:val="14"/>
                <w:szCs w:val="14"/>
              </w:rPr>
              <w:t> </w:t>
            </w:r>
          </w:p>
        </w:tc>
      </w:tr>
      <w:tr w:rsidR="0086601B" w:rsidRPr="00CD06F5" w:rsidTr="00CD06F5">
        <w:trPr>
          <w:trHeight w:val="70"/>
        </w:trPr>
        <w:tc>
          <w:tcPr>
            <w:tcW w:w="283" w:type="dxa"/>
            <w:tcBorders>
              <w:top w:val="dotted" w:sz="4" w:space="0" w:color="auto"/>
              <w:left w:val="dotted" w:sz="4" w:space="0" w:color="auto"/>
              <w:bottom w:val="single" w:sz="4" w:space="0" w:color="auto"/>
              <w:right w:val="dotted" w:sz="4" w:space="0" w:color="auto"/>
            </w:tcBorders>
            <w:shd w:val="clear" w:color="000000" w:fill="FFFFFF"/>
            <w:vAlign w:val="center"/>
            <w:hideMark/>
          </w:tcPr>
          <w:p w:rsidR="0086601B" w:rsidRPr="00CD06F5" w:rsidRDefault="0086601B" w:rsidP="00386C4A">
            <w:pPr>
              <w:ind w:left="-103" w:right="-120"/>
              <w:jc w:val="center"/>
              <w:outlineLvl w:val="0"/>
              <w:rPr>
                <w:sz w:val="14"/>
                <w:szCs w:val="14"/>
                <w:lang w:eastAsia="lv-LV"/>
              </w:rPr>
            </w:pPr>
            <w:r w:rsidRPr="00CD06F5">
              <w:rPr>
                <w:sz w:val="14"/>
                <w:szCs w:val="14"/>
                <w:lang w:eastAsia="lv-LV"/>
              </w:rPr>
              <w:t>3)</w:t>
            </w:r>
          </w:p>
        </w:tc>
        <w:tc>
          <w:tcPr>
            <w:tcW w:w="1418" w:type="dxa"/>
            <w:tcBorders>
              <w:top w:val="dotted" w:sz="4" w:space="0" w:color="auto"/>
              <w:left w:val="dotted" w:sz="4" w:space="0" w:color="auto"/>
              <w:bottom w:val="single" w:sz="4" w:space="0" w:color="auto"/>
              <w:right w:val="double" w:sz="4" w:space="0" w:color="auto"/>
            </w:tcBorders>
            <w:shd w:val="clear" w:color="000000" w:fill="FFFFFF"/>
            <w:vAlign w:val="center"/>
            <w:hideMark/>
          </w:tcPr>
          <w:p w:rsidR="0086601B" w:rsidRPr="00CD06F5" w:rsidRDefault="0086601B" w:rsidP="004B1DC5">
            <w:pPr>
              <w:outlineLvl w:val="0"/>
              <w:rPr>
                <w:color w:val="000000"/>
                <w:sz w:val="14"/>
                <w:szCs w:val="14"/>
                <w:lang w:eastAsia="lv-LV"/>
              </w:rPr>
            </w:pPr>
            <w:r w:rsidRPr="00CD06F5">
              <w:rPr>
                <w:color w:val="000000"/>
                <w:sz w:val="14"/>
                <w:szCs w:val="14"/>
                <w:lang w:eastAsia="lv-LV"/>
              </w:rPr>
              <w:t>Tehniskā projekta ekspertīze;</w:t>
            </w:r>
          </w:p>
        </w:tc>
        <w:tc>
          <w:tcPr>
            <w:tcW w:w="709" w:type="dxa"/>
            <w:tcBorders>
              <w:top w:val="dotted" w:sz="4" w:space="0" w:color="auto"/>
              <w:left w:val="double" w:sz="4" w:space="0" w:color="auto"/>
              <w:bottom w:val="single" w:sz="4" w:space="0" w:color="auto"/>
              <w:right w:val="double" w:sz="4" w:space="0" w:color="auto"/>
            </w:tcBorders>
            <w:shd w:val="clear" w:color="000000" w:fill="F2F2F2"/>
            <w:vAlign w:val="center"/>
          </w:tcPr>
          <w:p w:rsidR="0086601B" w:rsidRPr="00CD06F5" w:rsidRDefault="0086601B" w:rsidP="004B1DC5">
            <w:pPr>
              <w:ind w:left="-108" w:right="-108"/>
              <w:jc w:val="center"/>
              <w:outlineLvl w:val="0"/>
              <w:rPr>
                <w:b/>
                <w:bCs/>
                <w:sz w:val="14"/>
                <w:szCs w:val="14"/>
                <w:lang w:eastAsia="lv-LV"/>
              </w:rPr>
            </w:pPr>
            <w:r w:rsidRPr="00CD06F5">
              <w:rPr>
                <w:b/>
                <w:bCs/>
                <w:sz w:val="14"/>
                <w:szCs w:val="14"/>
                <w:lang w:eastAsia="lv-LV"/>
              </w:rPr>
              <w:t>55 025</w:t>
            </w:r>
          </w:p>
        </w:tc>
        <w:tc>
          <w:tcPr>
            <w:tcW w:w="847" w:type="dxa"/>
            <w:tcBorders>
              <w:top w:val="dotted" w:sz="4" w:space="0" w:color="auto"/>
              <w:left w:val="double" w:sz="4" w:space="0" w:color="auto"/>
              <w:bottom w:val="single" w:sz="4" w:space="0" w:color="auto"/>
              <w:right w:val="double" w:sz="4" w:space="0" w:color="auto"/>
            </w:tcBorders>
            <w:shd w:val="clear" w:color="000000" w:fill="F2F2F2"/>
            <w:vAlign w:val="center"/>
            <w:hideMark/>
          </w:tcPr>
          <w:p w:rsidR="0086601B" w:rsidRPr="00CD06F5" w:rsidRDefault="0086601B" w:rsidP="004B1DC5">
            <w:pPr>
              <w:ind w:left="-108" w:right="-108"/>
              <w:jc w:val="center"/>
              <w:rPr>
                <w:sz w:val="14"/>
                <w:szCs w:val="14"/>
                <w:lang w:eastAsia="lv-LV"/>
              </w:rPr>
            </w:pPr>
            <w:r w:rsidRPr="00CD06F5">
              <w:rPr>
                <w:sz w:val="14"/>
                <w:szCs w:val="14"/>
                <w:lang w:eastAsia="lv-LV"/>
              </w:rPr>
              <w:t>1,0%</w:t>
            </w:r>
          </w:p>
        </w:tc>
        <w:tc>
          <w:tcPr>
            <w:tcW w:w="425" w:type="dxa"/>
            <w:tcBorders>
              <w:top w:val="dotted" w:sz="4" w:space="0" w:color="auto"/>
              <w:left w:val="double" w:sz="4" w:space="0" w:color="auto"/>
              <w:bottom w:val="single" w:sz="4" w:space="0" w:color="auto"/>
              <w:right w:val="dotted" w:sz="4" w:space="0" w:color="auto"/>
            </w:tcBorders>
            <w:vAlign w:val="center"/>
          </w:tcPr>
          <w:p w:rsidR="0086601B" w:rsidRPr="00CD06F5" w:rsidRDefault="0086601B" w:rsidP="004B1DC5">
            <w:pPr>
              <w:ind w:left="-108" w:right="-108"/>
              <w:jc w:val="center"/>
              <w:outlineLvl w:val="0"/>
              <w:rPr>
                <w:sz w:val="14"/>
                <w:szCs w:val="14"/>
                <w:lang w:eastAsia="lv-LV"/>
              </w:rPr>
            </w:pPr>
          </w:p>
        </w:tc>
        <w:tc>
          <w:tcPr>
            <w:tcW w:w="567" w:type="dxa"/>
            <w:tcBorders>
              <w:top w:val="dotted" w:sz="4" w:space="0" w:color="auto"/>
              <w:left w:val="dotted" w:sz="4" w:space="0" w:color="auto"/>
              <w:bottom w:val="single" w:sz="4" w:space="0" w:color="auto"/>
              <w:right w:val="dotted" w:sz="4" w:space="0" w:color="auto"/>
            </w:tcBorders>
            <w:shd w:val="clear" w:color="auto" w:fill="auto"/>
            <w:vAlign w:val="center"/>
            <w:hideMark/>
          </w:tcPr>
          <w:p w:rsidR="0086601B" w:rsidRPr="00CD06F5" w:rsidRDefault="0086601B" w:rsidP="004B1DC5">
            <w:pPr>
              <w:ind w:left="-108" w:right="-108"/>
              <w:jc w:val="center"/>
              <w:outlineLvl w:val="0"/>
              <w:rPr>
                <w:sz w:val="14"/>
                <w:szCs w:val="14"/>
                <w:lang w:eastAsia="lv-LV"/>
              </w:rPr>
            </w:pPr>
          </w:p>
        </w:tc>
        <w:tc>
          <w:tcPr>
            <w:tcW w:w="426" w:type="dxa"/>
            <w:tcBorders>
              <w:top w:val="dotted" w:sz="4" w:space="0" w:color="auto"/>
              <w:left w:val="dotted" w:sz="4" w:space="0" w:color="auto"/>
              <w:bottom w:val="single" w:sz="4" w:space="0" w:color="auto"/>
              <w:right w:val="dotted" w:sz="4" w:space="0" w:color="auto"/>
            </w:tcBorders>
            <w:vAlign w:val="center"/>
          </w:tcPr>
          <w:p w:rsidR="0086601B" w:rsidRPr="00CD06F5" w:rsidRDefault="0086601B" w:rsidP="004B1DC5">
            <w:pPr>
              <w:ind w:left="-108" w:right="-108"/>
              <w:jc w:val="center"/>
              <w:outlineLvl w:val="0"/>
              <w:rPr>
                <w:sz w:val="14"/>
                <w:szCs w:val="14"/>
                <w:lang w:eastAsia="lv-LV"/>
              </w:rPr>
            </w:pPr>
          </w:p>
        </w:tc>
        <w:tc>
          <w:tcPr>
            <w:tcW w:w="425" w:type="dxa"/>
            <w:tcBorders>
              <w:top w:val="dotted" w:sz="4" w:space="0" w:color="auto"/>
              <w:left w:val="dotted" w:sz="4" w:space="0" w:color="auto"/>
              <w:bottom w:val="single" w:sz="4" w:space="0" w:color="auto"/>
              <w:right w:val="dotted" w:sz="4" w:space="0" w:color="auto"/>
            </w:tcBorders>
            <w:shd w:val="clear" w:color="auto" w:fill="auto"/>
            <w:vAlign w:val="center"/>
            <w:hideMark/>
          </w:tcPr>
          <w:p w:rsidR="0086601B" w:rsidRPr="00CD06F5" w:rsidRDefault="0086601B" w:rsidP="004B1DC5">
            <w:pPr>
              <w:ind w:left="-108" w:right="-108"/>
              <w:jc w:val="center"/>
              <w:outlineLvl w:val="0"/>
              <w:rPr>
                <w:sz w:val="14"/>
                <w:szCs w:val="14"/>
                <w:lang w:eastAsia="lv-LV"/>
              </w:rPr>
            </w:pPr>
          </w:p>
        </w:tc>
        <w:tc>
          <w:tcPr>
            <w:tcW w:w="425" w:type="dxa"/>
            <w:tcBorders>
              <w:top w:val="dotted" w:sz="4" w:space="0" w:color="auto"/>
              <w:left w:val="dotted" w:sz="4" w:space="0" w:color="auto"/>
              <w:bottom w:val="single" w:sz="4" w:space="0" w:color="auto"/>
              <w:right w:val="dotted" w:sz="4" w:space="0" w:color="auto"/>
            </w:tcBorders>
            <w:shd w:val="clear" w:color="auto" w:fill="auto"/>
            <w:vAlign w:val="center"/>
            <w:hideMark/>
          </w:tcPr>
          <w:p w:rsidR="0086601B" w:rsidRPr="00CD06F5" w:rsidRDefault="0086601B" w:rsidP="004B1DC5">
            <w:pPr>
              <w:ind w:left="-108" w:right="-108"/>
              <w:jc w:val="center"/>
              <w:outlineLvl w:val="0"/>
              <w:rPr>
                <w:sz w:val="14"/>
                <w:szCs w:val="14"/>
                <w:lang w:eastAsia="lv-LV"/>
              </w:rPr>
            </w:pPr>
          </w:p>
        </w:tc>
        <w:tc>
          <w:tcPr>
            <w:tcW w:w="711" w:type="dxa"/>
            <w:tcBorders>
              <w:top w:val="dotted" w:sz="4" w:space="0" w:color="auto"/>
              <w:left w:val="dotted" w:sz="4" w:space="0" w:color="auto"/>
              <w:bottom w:val="single" w:sz="4" w:space="0" w:color="auto"/>
              <w:right w:val="dotted" w:sz="4" w:space="0" w:color="auto"/>
            </w:tcBorders>
            <w:shd w:val="clear" w:color="auto" w:fill="auto"/>
            <w:vAlign w:val="center"/>
            <w:hideMark/>
          </w:tcPr>
          <w:p w:rsidR="0086601B" w:rsidRPr="00E24DE5" w:rsidRDefault="0086601B" w:rsidP="0086601B">
            <w:pPr>
              <w:jc w:val="center"/>
              <w:rPr>
                <w:sz w:val="14"/>
                <w:szCs w:val="14"/>
              </w:rPr>
            </w:pPr>
            <w:r w:rsidRPr="00E24DE5">
              <w:rPr>
                <w:sz w:val="14"/>
                <w:szCs w:val="14"/>
              </w:rPr>
              <w:t> </w:t>
            </w:r>
          </w:p>
        </w:tc>
        <w:tc>
          <w:tcPr>
            <w:tcW w:w="850" w:type="dxa"/>
            <w:tcBorders>
              <w:top w:val="dotted" w:sz="4" w:space="0" w:color="auto"/>
              <w:left w:val="dotted" w:sz="4" w:space="0" w:color="auto"/>
              <w:bottom w:val="single" w:sz="4" w:space="0" w:color="auto"/>
              <w:right w:val="dotted" w:sz="4" w:space="0" w:color="auto"/>
            </w:tcBorders>
            <w:shd w:val="clear" w:color="auto" w:fill="auto"/>
            <w:vAlign w:val="center"/>
            <w:hideMark/>
          </w:tcPr>
          <w:p w:rsidR="0086601B" w:rsidRPr="00E24DE5" w:rsidRDefault="0086601B" w:rsidP="0086601B">
            <w:pPr>
              <w:jc w:val="center"/>
              <w:rPr>
                <w:sz w:val="14"/>
                <w:szCs w:val="14"/>
              </w:rPr>
            </w:pPr>
            <w:r w:rsidRPr="00E24DE5">
              <w:rPr>
                <w:sz w:val="14"/>
                <w:szCs w:val="14"/>
              </w:rPr>
              <w:t>55 025</w:t>
            </w:r>
          </w:p>
        </w:tc>
        <w:tc>
          <w:tcPr>
            <w:tcW w:w="851" w:type="dxa"/>
            <w:tcBorders>
              <w:top w:val="dotted" w:sz="4" w:space="0" w:color="auto"/>
              <w:left w:val="dotted" w:sz="4" w:space="0" w:color="auto"/>
              <w:bottom w:val="single" w:sz="4" w:space="0" w:color="auto"/>
              <w:right w:val="dotted" w:sz="4" w:space="0" w:color="auto"/>
            </w:tcBorders>
            <w:shd w:val="clear" w:color="auto" w:fill="auto"/>
            <w:vAlign w:val="center"/>
            <w:hideMark/>
          </w:tcPr>
          <w:p w:rsidR="0086601B" w:rsidRPr="00E24DE5" w:rsidRDefault="0086601B" w:rsidP="0086601B">
            <w:pPr>
              <w:jc w:val="center"/>
              <w:rPr>
                <w:sz w:val="14"/>
                <w:szCs w:val="14"/>
              </w:rPr>
            </w:pPr>
            <w:r w:rsidRPr="00E24DE5">
              <w:rPr>
                <w:sz w:val="14"/>
                <w:szCs w:val="14"/>
              </w:rPr>
              <w:t> </w:t>
            </w:r>
          </w:p>
        </w:tc>
        <w:tc>
          <w:tcPr>
            <w:tcW w:w="852" w:type="dxa"/>
            <w:tcBorders>
              <w:top w:val="dotted" w:sz="4" w:space="0" w:color="auto"/>
              <w:left w:val="dotted" w:sz="4" w:space="0" w:color="auto"/>
              <w:bottom w:val="single" w:sz="4" w:space="0" w:color="auto"/>
              <w:right w:val="dotted" w:sz="4" w:space="0" w:color="auto"/>
            </w:tcBorders>
            <w:shd w:val="clear" w:color="auto" w:fill="auto"/>
            <w:vAlign w:val="center"/>
            <w:hideMark/>
          </w:tcPr>
          <w:p w:rsidR="0086601B" w:rsidRPr="00E24DE5" w:rsidRDefault="0086601B" w:rsidP="0086601B">
            <w:pPr>
              <w:jc w:val="center"/>
              <w:rPr>
                <w:sz w:val="14"/>
                <w:szCs w:val="14"/>
              </w:rPr>
            </w:pPr>
            <w:r w:rsidRPr="00E24DE5">
              <w:rPr>
                <w:sz w:val="14"/>
                <w:szCs w:val="14"/>
              </w:rPr>
              <w:t> </w:t>
            </w:r>
          </w:p>
        </w:tc>
      </w:tr>
      <w:tr w:rsidR="0086601B" w:rsidRPr="00CD06F5" w:rsidTr="00CD06F5">
        <w:trPr>
          <w:trHeight w:val="70"/>
        </w:trPr>
        <w:tc>
          <w:tcPr>
            <w:tcW w:w="283" w:type="dxa"/>
            <w:tcBorders>
              <w:top w:val="single" w:sz="4" w:space="0" w:color="auto"/>
              <w:left w:val="dotted" w:sz="4" w:space="0" w:color="auto"/>
              <w:bottom w:val="single" w:sz="4" w:space="0" w:color="auto"/>
              <w:right w:val="dotted" w:sz="4" w:space="0" w:color="auto"/>
            </w:tcBorders>
            <w:shd w:val="clear" w:color="000000" w:fill="FFFFFF"/>
            <w:vAlign w:val="center"/>
            <w:hideMark/>
          </w:tcPr>
          <w:p w:rsidR="0086601B" w:rsidRPr="00CD06F5" w:rsidRDefault="0086601B" w:rsidP="00386C4A">
            <w:pPr>
              <w:ind w:left="-103" w:right="-120"/>
              <w:jc w:val="center"/>
              <w:outlineLvl w:val="0"/>
              <w:rPr>
                <w:b/>
                <w:color w:val="320000"/>
                <w:sz w:val="14"/>
                <w:szCs w:val="14"/>
                <w:lang w:eastAsia="lv-LV"/>
              </w:rPr>
            </w:pPr>
            <w:r w:rsidRPr="00CD06F5">
              <w:rPr>
                <w:b/>
                <w:color w:val="320000"/>
                <w:sz w:val="14"/>
                <w:szCs w:val="14"/>
                <w:lang w:eastAsia="lv-LV"/>
              </w:rPr>
              <w:t>4)</w:t>
            </w:r>
          </w:p>
        </w:tc>
        <w:tc>
          <w:tcPr>
            <w:tcW w:w="1418" w:type="dxa"/>
            <w:tcBorders>
              <w:top w:val="single" w:sz="4" w:space="0" w:color="auto"/>
              <w:left w:val="dotted" w:sz="4" w:space="0" w:color="auto"/>
              <w:bottom w:val="single" w:sz="4" w:space="0" w:color="auto"/>
              <w:right w:val="double" w:sz="4" w:space="0" w:color="auto"/>
            </w:tcBorders>
            <w:shd w:val="clear" w:color="000000" w:fill="FFFFFF"/>
            <w:vAlign w:val="center"/>
            <w:hideMark/>
          </w:tcPr>
          <w:p w:rsidR="0086601B" w:rsidRPr="00CD06F5" w:rsidRDefault="0086601B" w:rsidP="004B1DC5">
            <w:pPr>
              <w:outlineLvl w:val="0"/>
              <w:rPr>
                <w:b/>
                <w:color w:val="320000"/>
                <w:sz w:val="14"/>
                <w:szCs w:val="14"/>
                <w:lang w:eastAsia="lv-LV"/>
              </w:rPr>
            </w:pPr>
            <w:r w:rsidRPr="00CD06F5">
              <w:rPr>
                <w:b/>
                <w:color w:val="320000"/>
                <w:sz w:val="14"/>
                <w:szCs w:val="14"/>
                <w:lang w:eastAsia="lv-LV"/>
              </w:rPr>
              <w:t>Būvniecības darbi;</w:t>
            </w:r>
          </w:p>
        </w:tc>
        <w:tc>
          <w:tcPr>
            <w:tcW w:w="709" w:type="dxa"/>
            <w:tcBorders>
              <w:top w:val="single" w:sz="4" w:space="0" w:color="auto"/>
              <w:left w:val="double" w:sz="4" w:space="0" w:color="auto"/>
              <w:bottom w:val="single" w:sz="4" w:space="0" w:color="auto"/>
              <w:right w:val="double" w:sz="4" w:space="0" w:color="auto"/>
            </w:tcBorders>
            <w:shd w:val="clear" w:color="000000" w:fill="F2F2F2"/>
            <w:vAlign w:val="center"/>
          </w:tcPr>
          <w:p w:rsidR="0086601B" w:rsidRPr="00CD06F5" w:rsidRDefault="0086601B" w:rsidP="004B1DC5">
            <w:pPr>
              <w:ind w:left="-108" w:right="-108"/>
              <w:jc w:val="center"/>
              <w:outlineLvl w:val="0"/>
              <w:rPr>
                <w:b/>
                <w:bCs/>
                <w:color w:val="320000"/>
                <w:sz w:val="14"/>
                <w:szCs w:val="14"/>
                <w:lang w:eastAsia="lv-LV"/>
              </w:rPr>
            </w:pPr>
            <w:r w:rsidRPr="00CD06F5">
              <w:rPr>
                <w:b/>
                <w:bCs/>
                <w:color w:val="320000"/>
                <w:sz w:val="14"/>
                <w:szCs w:val="14"/>
                <w:lang w:eastAsia="lv-LV"/>
              </w:rPr>
              <w:t>5 502 464</w:t>
            </w:r>
          </w:p>
        </w:tc>
        <w:tc>
          <w:tcPr>
            <w:tcW w:w="847" w:type="dxa"/>
            <w:tcBorders>
              <w:top w:val="single" w:sz="4" w:space="0" w:color="auto"/>
              <w:left w:val="double" w:sz="4" w:space="0" w:color="auto"/>
              <w:bottom w:val="single" w:sz="4" w:space="0" w:color="auto"/>
              <w:right w:val="double" w:sz="4" w:space="0" w:color="auto"/>
            </w:tcBorders>
            <w:shd w:val="clear" w:color="000000" w:fill="F2F2F2"/>
            <w:vAlign w:val="center"/>
            <w:hideMark/>
          </w:tcPr>
          <w:p w:rsidR="0086601B" w:rsidRPr="00CD06F5" w:rsidRDefault="0086601B" w:rsidP="004B1DC5">
            <w:pPr>
              <w:ind w:left="-108" w:right="-108"/>
              <w:jc w:val="center"/>
              <w:rPr>
                <w:b/>
                <w:color w:val="320000"/>
                <w:sz w:val="14"/>
                <w:szCs w:val="14"/>
                <w:lang w:eastAsia="lv-LV"/>
              </w:rPr>
            </w:pPr>
            <w:r w:rsidRPr="00CD06F5">
              <w:rPr>
                <w:b/>
                <w:color w:val="320000"/>
                <w:sz w:val="14"/>
                <w:szCs w:val="14"/>
                <w:lang w:eastAsia="lv-LV"/>
              </w:rPr>
              <w:t>704 lati/m</w:t>
            </w:r>
            <w:r w:rsidRPr="00CD06F5">
              <w:rPr>
                <w:b/>
                <w:color w:val="320000"/>
                <w:sz w:val="14"/>
                <w:szCs w:val="14"/>
                <w:vertAlign w:val="superscript"/>
                <w:lang w:eastAsia="lv-LV"/>
              </w:rPr>
              <w:t xml:space="preserve">2 </w:t>
            </w:r>
            <w:r w:rsidRPr="00CD06F5">
              <w:rPr>
                <w:b/>
                <w:color w:val="320000"/>
                <w:sz w:val="14"/>
                <w:szCs w:val="14"/>
                <w:lang w:eastAsia="lv-LV"/>
              </w:rPr>
              <w:t>x</w:t>
            </w:r>
          </w:p>
          <w:p w:rsidR="0086601B" w:rsidRPr="00CD06F5" w:rsidRDefault="0086601B" w:rsidP="004B1DC5">
            <w:pPr>
              <w:ind w:left="-108" w:right="-108"/>
              <w:jc w:val="center"/>
              <w:rPr>
                <w:b/>
                <w:color w:val="320000"/>
                <w:sz w:val="14"/>
                <w:szCs w:val="14"/>
                <w:lang w:eastAsia="lv-LV"/>
              </w:rPr>
            </w:pPr>
            <w:r w:rsidRPr="00CD06F5">
              <w:rPr>
                <w:b/>
                <w:color w:val="320000"/>
                <w:sz w:val="14"/>
                <w:szCs w:val="14"/>
                <w:lang w:eastAsia="lv-LV"/>
              </w:rPr>
              <w:t>7 816 m</w:t>
            </w:r>
            <w:r w:rsidRPr="00CD06F5">
              <w:rPr>
                <w:b/>
                <w:color w:val="320000"/>
                <w:sz w:val="14"/>
                <w:szCs w:val="14"/>
                <w:vertAlign w:val="superscript"/>
                <w:lang w:eastAsia="lv-LV"/>
              </w:rPr>
              <w:t>2</w:t>
            </w:r>
          </w:p>
        </w:tc>
        <w:tc>
          <w:tcPr>
            <w:tcW w:w="425" w:type="dxa"/>
            <w:tcBorders>
              <w:top w:val="single" w:sz="4" w:space="0" w:color="auto"/>
              <w:left w:val="double" w:sz="4" w:space="0" w:color="auto"/>
              <w:bottom w:val="single" w:sz="4" w:space="0" w:color="auto"/>
              <w:right w:val="dotted" w:sz="4" w:space="0" w:color="auto"/>
            </w:tcBorders>
            <w:vAlign w:val="center"/>
          </w:tcPr>
          <w:p w:rsidR="0086601B" w:rsidRPr="00CD06F5" w:rsidRDefault="0086601B" w:rsidP="004B1DC5">
            <w:pPr>
              <w:ind w:left="-108" w:right="-108"/>
              <w:jc w:val="center"/>
              <w:outlineLvl w:val="0"/>
              <w:rPr>
                <w:b/>
                <w:color w:val="320000"/>
                <w:sz w:val="14"/>
                <w:szCs w:val="14"/>
                <w:lang w:eastAsia="lv-LV"/>
              </w:rPr>
            </w:pPr>
          </w:p>
        </w:tc>
        <w:tc>
          <w:tcPr>
            <w:tcW w:w="567"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86601B" w:rsidRPr="00CD06F5" w:rsidRDefault="0086601B" w:rsidP="004B1DC5">
            <w:pPr>
              <w:ind w:left="-108" w:right="-108"/>
              <w:jc w:val="center"/>
              <w:outlineLvl w:val="0"/>
              <w:rPr>
                <w:b/>
                <w:color w:val="320000"/>
                <w:sz w:val="14"/>
                <w:szCs w:val="14"/>
                <w:lang w:eastAsia="lv-LV"/>
              </w:rPr>
            </w:pPr>
          </w:p>
        </w:tc>
        <w:tc>
          <w:tcPr>
            <w:tcW w:w="426" w:type="dxa"/>
            <w:tcBorders>
              <w:top w:val="single" w:sz="4" w:space="0" w:color="auto"/>
              <w:left w:val="dotted" w:sz="4" w:space="0" w:color="auto"/>
              <w:bottom w:val="single" w:sz="4" w:space="0" w:color="auto"/>
              <w:right w:val="dotted" w:sz="4" w:space="0" w:color="auto"/>
            </w:tcBorders>
            <w:vAlign w:val="center"/>
          </w:tcPr>
          <w:p w:rsidR="0086601B" w:rsidRPr="00CD06F5" w:rsidRDefault="0086601B" w:rsidP="004B1DC5">
            <w:pPr>
              <w:ind w:left="-108" w:right="-108"/>
              <w:jc w:val="center"/>
              <w:outlineLvl w:val="0"/>
              <w:rPr>
                <w:b/>
                <w:color w:val="320000"/>
                <w:sz w:val="14"/>
                <w:szCs w:val="14"/>
                <w:lang w:eastAsia="lv-LV"/>
              </w:rPr>
            </w:pPr>
          </w:p>
        </w:tc>
        <w:tc>
          <w:tcPr>
            <w:tcW w:w="425"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86601B" w:rsidRPr="00CD06F5" w:rsidRDefault="0086601B" w:rsidP="004B1DC5">
            <w:pPr>
              <w:ind w:left="-108" w:right="-108"/>
              <w:jc w:val="center"/>
              <w:outlineLvl w:val="0"/>
              <w:rPr>
                <w:b/>
                <w:color w:val="320000"/>
                <w:sz w:val="14"/>
                <w:szCs w:val="14"/>
                <w:lang w:eastAsia="lv-LV"/>
              </w:rPr>
            </w:pPr>
          </w:p>
        </w:tc>
        <w:tc>
          <w:tcPr>
            <w:tcW w:w="425"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86601B" w:rsidRPr="00CD06F5" w:rsidRDefault="0086601B" w:rsidP="004B1DC5">
            <w:pPr>
              <w:ind w:left="-108" w:right="-108"/>
              <w:jc w:val="center"/>
              <w:outlineLvl w:val="0"/>
              <w:rPr>
                <w:b/>
                <w:color w:val="320000"/>
                <w:sz w:val="14"/>
                <w:szCs w:val="14"/>
                <w:lang w:eastAsia="lv-LV"/>
              </w:rPr>
            </w:pPr>
          </w:p>
        </w:tc>
        <w:tc>
          <w:tcPr>
            <w:tcW w:w="711"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86601B" w:rsidRPr="00E24DE5" w:rsidRDefault="0086601B" w:rsidP="0086601B">
            <w:pPr>
              <w:jc w:val="center"/>
              <w:rPr>
                <w:b/>
                <w:bCs/>
                <w:color w:val="500000"/>
                <w:sz w:val="14"/>
                <w:szCs w:val="14"/>
              </w:rPr>
            </w:pPr>
            <w:r w:rsidRPr="00E24DE5">
              <w:rPr>
                <w:b/>
                <w:bCs/>
                <w:color w:val="500000"/>
                <w:sz w:val="14"/>
                <w:szCs w:val="14"/>
              </w:rPr>
              <w:t> </w:t>
            </w:r>
          </w:p>
        </w:tc>
        <w:tc>
          <w:tcPr>
            <w:tcW w:w="850"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86601B" w:rsidRPr="00E24DE5" w:rsidRDefault="0086601B" w:rsidP="0086601B">
            <w:pPr>
              <w:jc w:val="center"/>
              <w:rPr>
                <w:b/>
                <w:bCs/>
                <w:color w:val="500000"/>
                <w:sz w:val="14"/>
                <w:szCs w:val="14"/>
              </w:rPr>
            </w:pPr>
            <w:r w:rsidRPr="00E24DE5">
              <w:rPr>
                <w:b/>
                <w:bCs/>
                <w:color w:val="500000"/>
                <w:sz w:val="14"/>
                <w:szCs w:val="14"/>
              </w:rPr>
              <w:t>423 266</w:t>
            </w:r>
          </w:p>
        </w:tc>
        <w:tc>
          <w:tcPr>
            <w:tcW w:w="851"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86601B" w:rsidRPr="00E24DE5" w:rsidRDefault="0086601B" w:rsidP="0086601B">
            <w:pPr>
              <w:jc w:val="center"/>
              <w:rPr>
                <w:b/>
                <w:bCs/>
                <w:color w:val="500000"/>
                <w:sz w:val="14"/>
                <w:szCs w:val="14"/>
              </w:rPr>
            </w:pPr>
            <w:r w:rsidRPr="00E24DE5">
              <w:rPr>
                <w:b/>
                <w:bCs/>
                <w:color w:val="500000"/>
                <w:sz w:val="14"/>
                <w:szCs w:val="14"/>
              </w:rPr>
              <w:t>2 539 599</w:t>
            </w:r>
          </w:p>
        </w:tc>
        <w:tc>
          <w:tcPr>
            <w:tcW w:w="852"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86601B" w:rsidRPr="00E24DE5" w:rsidRDefault="0086601B" w:rsidP="0086601B">
            <w:pPr>
              <w:jc w:val="center"/>
              <w:rPr>
                <w:b/>
                <w:bCs/>
                <w:color w:val="500000"/>
                <w:sz w:val="14"/>
                <w:szCs w:val="14"/>
              </w:rPr>
            </w:pPr>
            <w:r w:rsidRPr="00E24DE5">
              <w:rPr>
                <w:b/>
                <w:bCs/>
                <w:color w:val="500000"/>
                <w:sz w:val="14"/>
                <w:szCs w:val="14"/>
              </w:rPr>
              <w:t>2 539 599</w:t>
            </w:r>
          </w:p>
        </w:tc>
      </w:tr>
      <w:tr w:rsidR="0086601B" w:rsidRPr="00CD06F5" w:rsidTr="00CD06F5">
        <w:trPr>
          <w:trHeight w:val="70"/>
        </w:trPr>
        <w:tc>
          <w:tcPr>
            <w:tcW w:w="283" w:type="dxa"/>
            <w:tcBorders>
              <w:top w:val="single" w:sz="4" w:space="0" w:color="auto"/>
              <w:left w:val="dotted" w:sz="4" w:space="0" w:color="auto"/>
              <w:bottom w:val="dotted" w:sz="4" w:space="0" w:color="auto"/>
              <w:right w:val="dotted" w:sz="4" w:space="0" w:color="auto"/>
            </w:tcBorders>
            <w:shd w:val="clear" w:color="000000" w:fill="FFFFFF"/>
            <w:vAlign w:val="center"/>
            <w:hideMark/>
          </w:tcPr>
          <w:p w:rsidR="0086601B" w:rsidRPr="00CD06F5" w:rsidRDefault="0086601B" w:rsidP="00386C4A">
            <w:pPr>
              <w:ind w:left="-103" w:right="-120"/>
              <w:jc w:val="center"/>
              <w:outlineLvl w:val="0"/>
              <w:rPr>
                <w:sz w:val="14"/>
                <w:szCs w:val="14"/>
                <w:lang w:eastAsia="lv-LV"/>
              </w:rPr>
            </w:pPr>
            <w:r w:rsidRPr="00CD06F5">
              <w:rPr>
                <w:sz w:val="14"/>
                <w:szCs w:val="14"/>
                <w:lang w:eastAsia="lv-LV"/>
              </w:rPr>
              <w:t>5)</w:t>
            </w:r>
          </w:p>
        </w:tc>
        <w:tc>
          <w:tcPr>
            <w:tcW w:w="1418" w:type="dxa"/>
            <w:tcBorders>
              <w:top w:val="single" w:sz="4" w:space="0" w:color="auto"/>
              <w:left w:val="dotted" w:sz="4" w:space="0" w:color="auto"/>
              <w:bottom w:val="dotted" w:sz="4" w:space="0" w:color="auto"/>
              <w:right w:val="double" w:sz="4" w:space="0" w:color="auto"/>
            </w:tcBorders>
            <w:shd w:val="clear" w:color="000000" w:fill="FFFFFF"/>
            <w:vAlign w:val="center"/>
            <w:hideMark/>
          </w:tcPr>
          <w:p w:rsidR="0086601B" w:rsidRPr="00CD06F5" w:rsidRDefault="0086601B" w:rsidP="004B1DC5">
            <w:pPr>
              <w:outlineLvl w:val="0"/>
              <w:rPr>
                <w:color w:val="000000"/>
                <w:sz w:val="14"/>
                <w:szCs w:val="14"/>
                <w:lang w:eastAsia="lv-LV"/>
              </w:rPr>
            </w:pPr>
            <w:r w:rsidRPr="00CD06F5">
              <w:rPr>
                <w:color w:val="000000"/>
                <w:sz w:val="14"/>
                <w:szCs w:val="14"/>
                <w:lang w:eastAsia="lv-LV"/>
              </w:rPr>
              <w:t>Būvniecības tehniskā uzraudzība;</w:t>
            </w:r>
          </w:p>
        </w:tc>
        <w:tc>
          <w:tcPr>
            <w:tcW w:w="709" w:type="dxa"/>
            <w:tcBorders>
              <w:top w:val="single" w:sz="4" w:space="0" w:color="auto"/>
              <w:left w:val="double" w:sz="4" w:space="0" w:color="auto"/>
              <w:bottom w:val="dotted" w:sz="4" w:space="0" w:color="auto"/>
              <w:right w:val="double" w:sz="4" w:space="0" w:color="auto"/>
            </w:tcBorders>
            <w:shd w:val="clear" w:color="000000" w:fill="F2F2F2"/>
            <w:vAlign w:val="center"/>
          </w:tcPr>
          <w:p w:rsidR="0086601B" w:rsidRPr="00CD06F5" w:rsidRDefault="0086601B" w:rsidP="004B1DC5">
            <w:pPr>
              <w:ind w:left="-108" w:right="-108"/>
              <w:jc w:val="center"/>
              <w:outlineLvl w:val="0"/>
              <w:rPr>
                <w:b/>
                <w:bCs/>
                <w:sz w:val="14"/>
                <w:szCs w:val="14"/>
                <w:lang w:eastAsia="lv-LV"/>
              </w:rPr>
            </w:pPr>
            <w:r w:rsidRPr="00CD06F5">
              <w:rPr>
                <w:b/>
                <w:bCs/>
                <w:sz w:val="14"/>
                <w:szCs w:val="14"/>
                <w:lang w:eastAsia="lv-LV"/>
              </w:rPr>
              <w:t>110 049</w:t>
            </w:r>
          </w:p>
        </w:tc>
        <w:tc>
          <w:tcPr>
            <w:tcW w:w="847" w:type="dxa"/>
            <w:tcBorders>
              <w:top w:val="single" w:sz="4" w:space="0" w:color="auto"/>
              <w:left w:val="double" w:sz="4" w:space="0" w:color="auto"/>
              <w:bottom w:val="dotted" w:sz="4" w:space="0" w:color="auto"/>
              <w:right w:val="double" w:sz="4" w:space="0" w:color="auto"/>
            </w:tcBorders>
            <w:shd w:val="clear" w:color="000000" w:fill="F2F2F2"/>
            <w:vAlign w:val="center"/>
            <w:hideMark/>
          </w:tcPr>
          <w:p w:rsidR="0086601B" w:rsidRPr="00CD06F5" w:rsidRDefault="0086601B" w:rsidP="004B1DC5">
            <w:pPr>
              <w:ind w:left="-108" w:right="-108"/>
              <w:jc w:val="center"/>
              <w:rPr>
                <w:sz w:val="14"/>
                <w:szCs w:val="14"/>
                <w:lang w:eastAsia="lv-LV"/>
              </w:rPr>
            </w:pPr>
            <w:r w:rsidRPr="00CD06F5">
              <w:rPr>
                <w:sz w:val="14"/>
                <w:szCs w:val="14"/>
                <w:lang w:eastAsia="lv-LV"/>
              </w:rPr>
              <w:t>2,0%</w:t>
            </w:r>
          </w:p>
        </w:tc>
        <w:tc>
          <w:tcPr>
            <w:tcW w:w="425" w:type="dxa"/>
            <w:tcBorders>
              <w:top w:val="single" w:sz="4" w:space="0" w:color="auto"/>
              <w:left w:val="double" w:sz="4" w:space="0" w:color="auto"/>
              <w:bottom w:val="dotted" w:sz="4" w:space="0" w:color="auto"/>
              <w:right w:val="dotted" w:sz="4" w:space="0" w:color="auto"/>
            </w:tcBorders>
            <w:vAlign w:val="center"/>
          </w:tcPr>
          <w:p w:rsidR="0086601B" w:rsidRPr="00CD06F5" w:rsidRDefault="0086601B" w:rsidP="004B1DC5">
            <w:pPr>
              <w:ind w:left="-108" w:right="-108"/>
              <w:jc w:val="center"/>
              <w:outlineLvl w:val="0"/>
              <w:rPr>
                <w:sz w:val="14"/>
                <w:szCs w:val="14"/>
                <w:lang w:eastAsia="lv-LV"/>
              </w:rPr>
            </w:pPr>
          </w:p>
        </w:tc>
        <w:tc>
          <w:tcPr>
            <w:tcW w:w="567" w:type="dxa"/>
            <w:tcBorders>
              <w:top w:val="single" w:sz="4" w:space="0" w:color="auto"/>
              <w:left w:val="dotted" w:sz="4" w:space="0" w:color="auto"/>
              <w:bottom w:val="dotted" w:sz="4" w:space="0" w:color="auto"/>
              <w:right w:val="dotted" w:sz="4" w:space="0" w:color="auto"/>
            </w:tcBorders>
            <w:shd w:val="clear" w:color="auto" w:fill="auto"/>
            <w:vAlign w:val="center"/>
            <w:hideMark/>
          </w:tcPr>
          <w:p w:rsidR="0086601B" w:rsidRPr="00CD06F5" w:rsidRDefault="0086601B" w:rsidP="004B1DC5">
            <w:pPr>
              <w:ind w:left="-108" w:right="-108"/>
              <w:jc w:val="center"/>
              <w:outlineLvl w:val="0"/>
              <w:rPr>
                <w:sz w:val="14"/>
                <w:szCs w:val="14"/>
                <w:lang w:eastAsia="lv-LV"/>
              </w:rPr>
            </w:pPr>
          </w:p>
        </w:tc>
        <w:tc>
          <w:tcPr>
            <w:tcW w:w="426" w:type="dxa"/>
            <w:tcBorders>
              <w:top w:val="single" w:sz="4" w:space="0" w:color="auto"/>
              <w:left w:val="dotted" w:sz="4" w:space="0" w:color="auto"/>
              <w:bottom w:val="dotted" w:sz="4" w:space="0" w:color="auto"/>
              <w:right w:val="dotted" w:sz="4" w:space="0" w:color="auto"/>
            </w:tcBorders>
            <w:vAlign w:val="center"/>
          </w:tcPr>
          <w:p w:rsidR="0086601B" w:rsidRPr="00CD06F5" w:rsidRDefault="0086601B" w:rsidP="004B1DC5">
            <w:pPr>
              <w:ind w:left="-108" w:right="-108"/>
              <w:jc w:val="center"/>
              <w:outlineLvl w:val="0"/>
              <w:rPr>
                <w:sz w:val="14"/>
                <w:szCs w:val="14"/>
                <w:lang w:eastAsia="lv-LV"/>
              </w:rPr>
            </w:pPr>
          </w:p>
        </w:tc>
        <w:tc>
          <w:tcPr>
            <w:tcW w:w="425" w:type="dxa"/>
            <w:tcBorders>
              <w:top w:val="single" w:sz="4" w:space="0" w:color="auto"/>
              <w:left w:val="dotted" w:sz="4" w:space="0" w:color="auto"/>
              <w:bottom w:val="dotted" w:sz="4" w:space="0" w:color="auto"/>
              <w:right w:val="dotted" w:sz="4" w:space="0" w:color="auto"/>
            </w:tcBorders>
            <w:shd w:val="clear" w:color="auto" w:fill="auto"/>
            <w:vAlign w:val="center"/>
            <w:hideMark/>
          </w:tcPr>
          <w:p w:rsidR="0086601B" w:rsidRPr="00CD06F5" w:rsidRDefault="0086601B" w:rsidP="004B1DC5">
            <w:pPr>
              <w:ind w:left="-108" w:right="-108"/>
              <w:jc w:val="center"/>
              <w:outlineLvl w:val="0"/>
              <w:rPr>
                <w:sz w:val="14"/>
                <w:szCs w:val="14"/>
                <w:lang w:eastAsia="lv-LV"/>
              </w:rPr>
            </w:pPr>
          </w:p>
        </w:tc>
        <w:tc>
          <w:tcPr>
            <w:tcW w:w="425" w:type="dxa"/>
            <w:tcBorders>
              <w:top w:val="single" w:sz="4" w:space="0" w:color="auto"/>
              <w:left w:val="dotted" w:sz="4" w:space="0" w:color="auto"/>
              <w:bottom w:val="dotted" w:sz="4" w:space="0" w:color="auto"/>
              <w:right w:val="dotted" w:sz="4" w:space="0" w:color="auto"/>
            </w:tcBorders>
            <w:shd w:val="clear" w:color="auto" w:fill="auto"/>
            <w:vAlign w:val="center"/>
            <w:hideMark/>
          </w:tcPr>
          <w:p w:rsidR="0086601B" w:rsidRPr="00CD06F5" w:rsidRDefault="0086601B" w:rsidP="004B1DC5">
            <w:pPr>
              <w:ind w:left="-108" w:right="-108"/>
              <w:jc w:val="center"/>
              <w:outlineLvl w:val="0"/>
              <w:rPr>
                <w:sz w:val="14"/>
                <w:szCs w:val="14"/>
                <w:lang w:eastAsia="lv-LV"/>
              </w:rPr>
            </w:pPr>
          </w:p>
        </w:tc>
        <w:tc>
          <w:tcPr>
            <w:tcW w:w="711" w:type="dxa"/>
            <w:tcBorders>
              <w:top w:val="single" w:sz="4" w:space="0" w:color="auto"/>
              <w:left w:val="dotted" w:sz="4" w:space="0" w:color="auto"/>
              <w:bottom w:val="dotted" w:sz="4" w:space="0" w:color="auto"/>
              <w:right w:val="dotted" w:sz="4" w:space="0" w:color="auto"/>
            </w:tcBorders>
            <w:shd w:val="clear" w:color="auto" w:fill="auto"/>
            <w:vAlign w:val="center"/>
            <w:hideMark/>
          </w:tcPr>
          <w:p w:rsidR="0086601B" w:rsidRPr="00E24DE5" w:rsidRDefault="0086601B" w:rsidP="0086601B">
            <w:pPr>
              <w:jc w:val="center"/>
              <w:rPr>
                <w:sz w:val="14"/>
                <w:szCs w:val="14"/>
              </w:rPr>
            </w:pPr>
            <w:r w:rsidRPr="00E24DE5">
              <w:rPr>
                <w:sz w:val="14"/>
                <w:szCs w:val="14"/>
              </w:rPr>
              <w:t> </w:t>
            </w:r>
          </w:p>
        </w:tc>
        <w:tc>
          <w:tcPr>
            <w:tcW w:w="850" w:type="dxa"/>
            <w:tcBorders>
              <w:top w:val="single" w:sz="4" w:space="0" w:color="auto"/>
              <w:left w:val="dotted" w:sz="4" w:space="0" w:color="auto"/>
              <w:bottom w:val="dotted" w:sz="4" w:space="0" w:color="auto"/>
              <w:right w:val="dotted" w:sz="4" w:space="0" w:color="auto"/>
            </w:tcBorders>
            <w:shd w:val="clear" w:color="auto" w:fill="auto"/>
            <w:vAlign w:val="center"/>
            <w:hideMark/>
          </w:tcPr>
          <w:p w:rsidR="0086601B" w:rsidRPr="00E24DE5" w:rsidRDefault="0086601B" w:rsidP="0086601B">
            <w:pPr>
              <w:jc w:val="center"/>
              <w:rPr>
                <w:sz w:val="14"/>
                <w:szCs w:val="14"/>
              </w:rPr>
            </w:pPr>
            <w:r w:rsidRPr="00E24DE5">
              <w:rPr>
                <w:sz w:val="14"/>
                <w:szCs w:val="14"/>
              </w:rPr>
              <w:t>8 465</w:t>
            </w:r>
          </w:p>
        </w:tc>
        <w:tc>
          <w:tcPr>
            <w:tcW w:w="851" w:type="dxa"/>
            <w:tcBorders>
              <w:top w:val="single" w:sz="4" w:space="0" w:color="auto"/>
              <w:left w:val="dotted" w:sz="4" w:space="0" w:color="auto"/>
              <w:bottom w:val="dotted" w:sz="4" w:space="0" w:color="auto"/>
              <w:right w:val="dotted" w:sz="4" w:space="0" w:color="auto"/>
            </w:tcBorders>
            <w:shd w:val="clear" w:color="auto" w:fill="auto"/>
            <w:vAlign w:val="center"/>
            <w:hideMark/>
          </w:tcPr>
          <w:p w:rsidR="0086601B" w:rsidRPr="00E24DE5" w:rsidRDefault="0086601B" w:rsidP="0086601B">
            <w:pPr>
              <w:jc w:val="center"/>
              <w:rPr>
                <w:sz w:val="14"/>
                <w:szCs w:val="14"/>
              </w:rPr>
            </w:pPr>
            <w:r w:rsidRPr="00E24DE5">
              <w:rPr>
                <w:sz w:val="14"/>
                <w:szCs w:val="14"/>
              </w:rPr>
              <w:t>50 792</w:t>
            </w:r>
          </w:p>
        </w:tc>
        <w:tc>
          <w:tcPr>
            <w:tcW w:w="852" w:type="dxa"/>
            <w:tcBorders>
              <w:top w:val="single" w:sz="4" w:space="0" w:color="auto"/>
              <w:left w:val="dotted" w:sz="4" w:space="0" w:color="auto"/>
              <w:bottom w:val="dotted" w:sz="4" w:space="0" w:color="auto"/>
              <w:right w:val="dotted" w:sz="4" w:space="0" w:color="auto"/>
            </w:tcBorders>
            <w:shd w:val="clear" w:color="auto" w:fill="auto"/>
            <w:vAlign w:val="center"/>
            <w:hideMark/>
          </w:tcPr>
          <w:p w:rsidR="0086601B" w:rsidRPr="00E24DE5" w:rsidRDefault="0086601B" w:rsidP="0086601B">
            <w:pPr>
              <w:jc w:val="center"/>
              <w:rPr>
                <w:sz w:val="14"/>
                <w:szCs w:val="14"/>
              </w:rPr>
            </w:pPr>
            <w:r w:rsidRPr="00E24DE5">
              <w:rPr>
                <w:sz w:val="14"/>
                <w:szCs w:val="14"/>
              </w:rPr>
              <w:t>50 792</w:t>
            </w:r>
          </w:p>
        </w:tc>
      </w:tr>
      <w:tr w:rsidR="0086601B" w:rsidRPr="00CD06F5" w:rsidTr="00CD06F5">
        <w:trPr>
          <w:trHeight w:val="70"/>
        </w:trPr>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86601B" w:rsidRPr="00CD06F5" w:rsidRDefault="0086601B" w:rsidP="00386C4A">
            <w:pPr>
              <w:ind w:left="-103" w:right="-120"/>
              <w:jc w:val="center"/>
              <w:outlineLvl w:val="0"/>
              <w:rPr>
                <w:sz w:val="14"/>
                <w:szCs w:val="14"/>
                <w:lang w:eastAsia="lv-LV"/>
              </w:rPr>
            </w:pPr>
            <w:r w:rsidRPr="00CD06F5">
              <w:rPr>
                <w:sz w:val="14"/>
                <w:szCs w:val="14"/>
                <w:lang w:eastAsia="lv-LV"/>
              </w:rPr>
              <w:t>6)</w:t>
            </w:r>
          </w:p>
        </w:tc>
        <w:tc>
          <w:tcPr>
            <w:tcW w:w="1418" w:type="dxa"/>
            <w:tcBorders>
              <w:top w:val="dotted" w:sz="4" w:space="0" w:color="auto"/>
              <w:left w:val="dotted" w:sz="4" w:space="0" w:color="auto"/>
              <w:bottom w:val="dotted" w:sz="4" w:space="0" w:color="auto"/>
              <w:right w:val="double" w:sz="4" w:space="0" w:color="auto"/>
            </w:tcBorders>
            <w:shd w:val="clear" w:color="000000" w:fill="FFFFFF"/>
            <w:vAlign w:val="center"/>
            <w:hideMark/>
          </w:tcPr>
          <w:p w:rsidR="0086601B" w:rsidRPr="00CD06F5" w:rsidRDefault="0086601B" w:rsidP="004B1DC5">
            <w:pPr>
              <w:outlineLvl w:val="0"/>
              <w:rPr>
                <w:color w:val="000000"/>
                <w:sz w:val="14"/>
                <w:szCs w:val="14"/>
                <w:lang w:eastAsia="lv-LV"/>
              </w:rPr>
            </w:pPr>
            <w:r w:rsidRPr="00CD06F5">
              <w:rPr>
                <w:color w:val="000000"/>
                <w:sz w:val="14"/>
                <w:szCs w:val="14"/>
                <w:lang w:eastAsia="lv-LV"/>
              </w:rPr>
              <w:t>Būvniecības autoruzraudzība;</w:t>
            </w:r>
          </w:p>
        </w:tc>
        <w:tc>
          <w:tcPr>
            <w:tcW w:w="709" w:type="dxa"/>
            <w:tcBorders>
              <w:top w:val="dotted" w:sz="4" w:space="0" w:color="auto"/>
              <w:left w:val="double" w:sz="4" w:space="0" w:color="auto"/>
              <w:bottom w:val="dotted" w:sz="4" w:space="0" w:color="auto"/>
              <w:right w:val="double" w:sz="4" w:space="0" w:color="auto"/>
            </w:tcBorders>
            <w:shd w:val="clear" w:color="000000" w:fill="F2F2F2"/>
            <w:vAlign w:val="center"/>
          </w:tcPr>
          <w:p w:rsidR="0086601B" w:rsidRPr="00CD06F5" w:rsidRDefault="0086601B" w:rsidP="004B1DC5">
            <w:pPr>
              <w:ind w:left="-108" w:right="-108"/>
              <w:jc w:val="center"/>
              <w:outlineLvl w:val="0"/>
              <w:rPr>
                <w:b/>
                <w:bCs/>
                <w:sz w:val="14"/>
                <w:szCs w:val="14"/>
                <w:lang w:eastAsia="lv-LV"/>
              </w:rPr>
            </w:pPr>
            <w:r w:rsidRPr="00CD06F5">
              <w:rPr>
                <w:b/>
                <w:bCs/>
                <w:sz w:val="14"/>
                <w:szCs w:val="14"/>
                <w:lang w:eastAsia="lv-LV"/>
              </w:rPr>
              <w:t>55 025</w:t>
            </w:r>
          </w:p>
        </w:tc>
        <w:tc>
          <w:tcPr>
            <w:tcW w:w="847" w:type="dxa"/>
            <w:tcBorders>
              <w:top w:val="dotted" w:sz="4" w:space="0" w:color="auto"/>
              <w:left w:val="double" w:sz="4" w:space="0" w:color="auto"/>
              <w:bottom w:val="dotted" w:sz="4" w:space="0" w:color="auto"/>
              <w:right w:val="double" w:sz="4" w:space="0" w:color="auto"/>
            </w:tcBorders>
            <w:shd w:val="clear" w:color="000000" w:fill="F2F2F2"/>
            <w:vAlign w:val="center"/>
            <w:hideMark/>
          </w:tcPr>
          <w:p w:rsidR="0086601B" w:rsidRPr="00CD06F5" w:rsidRDefault="0086601B" w:rsidP="004B1DC5">
            <w:pPr>
              <w:ind w:left="-108" w:right="-108"/>
              <w:jc w:val="center"/>
              <w:rPr>
                <w:sz w:val="14"/>
                <w:szCs w:val="14"/>
                <w:lang w:eastAsia="lv-LV"/>
              </w:rPr>
            </w:pPr>
            <w:r w:rsidRPr="00CD06F5">
              <w:rPr>
                <w:sz w:val="14"/>
                <w:szCs w:val="14"/>
                <w:lang w:eastAsia="lv-LV"/>
              </w:rPr>
              <w:t>1,0%</w:t>
            </w:r>
          </w:p>
        </w:tc>
        <w:tc>
          <w:tcPr>
            <w:tcW w:w="425" w:type="dxa"/>
            <w:tcBorders>
              <w:top w:val="dotted" w:sz="4" w:space="0" w:color="auto"/>
              <w:left w:val="double" w:sz="4" w:space="0" w:color="auto"/>
              <w:bottom w:val="dotted" w:sz="4" w:space="0" w:color="auto"/>
              <w:right w:val="dotted" w:sz="4" w:space="0" w:color="auto"/>
            </w:tcBorders>
            <w:vAlign w:val="center"/>
          </w:tcPr>
          <w:p w:rsidR="0086601B" w:rsidRPr="00CD06F5" w:rsidRDefault="0086601B" w:rsidP="004B1DC5">
            <w:pPr>
              <w:ind w:left="-108" w:right="-108"/>
              <w:jc w:val="center"/>
              <w:outlineLvl w:val="0"/>
              <w:rPr>
                <w:sz w:val="14"/>
                <w:szCs w:val="14"/>
                <w:lang w:eastAsia="lv-LV"/>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6601B" w:rsidRPr="00CD06F5" w:rsidRDefault="0086601B" w:rsidP="004B1DC5">
            <w:pPr>
              <w:ind w:left="-108" w:right="-108"/>
              <w:jc w:val="center"/>
              <w:outlineLvl w:val="0"/>
              <w:rPr>
                <w:sz w:val="14"/>
                <w:szCs w:val="14"/>
                <w:lang w:eastAsia="lv-LV"/>
              </w:rPr>
            </w:pPr>
          </w:p>
        </w:tc>
        <w:tc>
          <w:tcPr>
            <w:tcW w:w="426" w:type="dxa"/>
            <w:tcBorders>
              <w:top w:val="dotted" w:sz="4" w:space="0" w:color="auto"/>
              <w:left w:val="dotted" w:sz="4" w:space="0" w:color="auto"/>
              <w:bottom w:val="dotted" w:sz="4" w:space="0" w:color="auto"/>
              <w:right w:val="dotted" w:sz="4" w:space="0" w:color="auto"/>
            </w:tcBorders>
            <w:vAlign w:val="center"/>
          </w:tcPr>
          <w:p w:rsidR="0086601B" w:rsidRPr="00CD06F5" w:rsidRDefault="0086601B" w:rsidP="004B1DC5">
            <w:pPr>
              <w:ind w:left="-108" w:right="-108"/>
              <w:jc w:val="center"/>
              <w:outlineLvl w:val="0"/>
              <w:rPr>
                <w:sz w:val="14"/>
                <w:szCs w:val="14"/>
                <w:lang w:eastAsia="lv-LV"/>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6601B" w:rsidRPr="00CD06F5" w:rsidRDefault="0086601B" w:rsidP="004B1DC5">
            <w:pPr>
              <w:ind w:left="-108" w:right="-108"/>
              <w:jc w:val="center"/>
              <w:outlineLvl w:val="0"/>
              <w:rPr>
                <w:sz w:val="14"/>
                <w:szCs w:val="14"/>
                <w:lang w:eastAsia="lv-LV"/>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6601B" w:rsidRPr="00CD06F5" w:rsidRDefault="0086601B" w:rsidP="004B1DC5">
            <w:pPr>
              <w:ind w:left="-108" w:right="-108"/>
              <w:jc w:val="center"/>
              <w:outlineLvl w:val="0"/>
              <w:rPr>
                <w:sz w:val="14"/>
                <w:szCs w:val="14"/>
                <w:lang w:eastAsia="lv-LV"/>
              </w:rPr>
            </w:pPr>
          </w:p>
        </w:tc>
        <w:tc>
          <w:tcPr>
            <w:tcW w:w="71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6601B" w:rsidRPr="00E24DE5" w:rsidRDefault="0086601B" w:rsidP="0086601B">
            <w:pPr>
              <w:jc w:val="center"/>
              <w:rPr>
                <w:sz w:val="14"/>
                <w:szCs w:val="14"/>
              </w:rPr>
            </w:pPr>
            <w:r w:rsidRPr="00E24DE5">
              <w:rPr>
                <w:sz w:val="14"/>
                <w:szCs w:val="14"/>
              </w:rPr>
              <w:t> </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6601B" w:rsidRPr="00E24DE5" w:rsidRDefault="0086601B" w:rsidP="0086601B">
            <w:pPr>
              <w:jc w:val="center"/>
              <w:rPr>
                <w:sz w:val="14"/>
                <w:szCs w:val="14"/>
              </w:rPr>
            </w:pPr>
            <w:r w:rsidRPr="00E24DE5">
              <w:rPr>
                <w:sz w:val="14"/>
                <w:szCs w:val="14"/>
              </w:rPr>
              <w:t>4 233</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6601B" w:rsidRPr="00E24DE5" w:rsidRDefault="0086601B" w:rsidP="0086601B">
            <w:pPr>
              <w:jc w:val="center"/>
              <w:rPr>
                <w:sz w:val="14"/>
                <w:szCs w:val="14"/>
              </w:rPr>
            </w:pPr>
            <w:r w:rsidRPr="00E24DE5">
              <w:rPr>
                <w:sz w:val="14"/>
                <w:szCs w:val="14"/>
              </w:rPr>
              <w:t>25 396</w:t>
            </w:r>
          </w:p>
        </w:tc>
        <w:tc>
          <w:tcPr>
            <w:tcW w:w="85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6601B" w:rsidRPr="00E24DE5" w:rsidRDefault="0086601B" w:rsidP="0086601B">
            <w:pPr>
              <w:jc w:val="center"/>
              <w:rPr>
                <w:sz w:val="14"/>
                <w:szCs w:val="14"/>
              </w:rPr>
            </w:pPr>
            <w:r w:rsidRPr="00E24DE5">
              <w:rPr>
                <w:sz w:val="14"/>
                <w:szCs w:val="14"/>
              </w:rPr>
              <w:t>25 396</w:t>
            </w:r>
          </w:p>
        </w:tc>
      </w:tr>
      <w:tr w:rsidR="0086601B" w:rsidRPr="00CD06F5" w:rsidTr="00CD06F5">
        <w:trPr>
          <w:trHeight w:val="70"/>
        </w:trPr>
        <w:tc>
          <w:tcPr>
            <w:tcW w:w="28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86601B" w:rsidRPr="00CD06F5" w:rsidRDefault="0086601B" w:rsidP="00386C4A">
            <w:pPr>
              <w:ind w:left="-103" w:right="-120"/>
              <w:jc w:val="center"/>
              <w:outlineLvl w:val="0"/>
              <w:rPr>
                <w:sz w:val="14"/>
                <w:szCs w:val="14"/>
                <w:lang w:eastAsia="lv-LV"/>
              </w:rPr>
            </w:pPr>
            <w:r w:rsidRPr="00CD06F5">
              <w:rPr>
                <w:sz w:val="14"/>
                <w:szCs w:val="14"/>
                <w:lang w:eastAsia="lv-LV"/>
              </w:rPr>
              <w:t>7)</w:t>
            </w:r>
          </w:p>
        </w:tc>
        <w:tc>
          <w:tcPr>
            <w:tcW w:w="1418" w:type="dxa"/>
            <w:tcBorders>
              <w:top w:val="dotted" w:sz="4" w:space="0" w:color="auto"/>
              <w:left w:val="dotted" w:sz="4" w:space="0" w:color="auto"/>
              <w:bottom w:val="dotted" w:sz="4" w:space="0" w:color="auto"/>
              <w:right w:val="double" w:sz="4" w:space="0" w:color="auto"/>
            </w:tcBorders>
            <w:shd w:val="clear" w:color="000000" w:fill="FFFFFF"/>
            <w:vAlign w:val="center"/>
            <w:hideMark/>
          </w:tcPr>
          <w:p w:rsidR="0086601B" w:rsidRPr="00CD06F5" w:rsidRDefault="0086601B" w:rsidP="004B1DC5">
            <w:pPr>
              <w:outlineLvl w:val="0"/>
              <w:rPr>
                <w:color w:val="000000"/>
                <w:sz w:val="14"/>
                <w:szCs w:val="14"/>
                <w:lang w:eastAsia="lv-LV"/>
              </w:rPr>
            </w:pPr>
            <w:r w:rsidRPr="00CD06F5">
              <w:rPr>
                <w:color w:val="000000"/>
                <w:sz w:val="14"/>
                <w:szCs w:val="14"/>
                <w:lang w:eastAsia="lv-LV"/>
              </w:rPr>
              <w:t>Citas ar būvniecību saistītās izmaksas.</w:t>
            </w:r>
          </w:p>
        </w:tc>
        <w:tc>
          <w:tcPr>
            <w:tcW w:w="709" w:type="dxa"/>
            <w:tcBorders>
              <w:top w:val="dotted" w:sz="4" w:space="0" w:color="auto"/>
              <w:left w:val="double" w:sz="4" w:space="0" w:color="auto"/>
              <w:bottom w:val="dotted" w:sz="4" w:space="0" w:color="auto"/>
              <w:right w:val="double" w:sz="4" w:space="0" w:color="auto"/>
            </w:tcBorders>
            <w:shd w:val="clear" w:color="000000" w:fill="F2F2F2"/>
            <w:vAlign w:val="center"/>
          </w:tcPr>
          <w:p w:rsidR="0086601B" w:rsidRPr="00CD06F5" w:rsidRDefault="0086601B" w:rsidP="004B1DC5">
            <w:pPr>
              <w:ind w:left="-108" w:right="-108"/>
              <w:jc w:val="center"/>
              <w:outlineLvl w:val="0"/>
              <w:rPr>
                <w:b/>
                <w:bCs/>
                <w:sz w:val="14"/>
                <w:szCs w:val="14"/>
                <w:lang w:eastAsia="lv-LV"/>
              </w:rPr>
            </w:pPr>
            <w:r w:rsidRPr="00CD06F5">
              <w:rPr>
                <w:b/>
                <w:bCs/>
                <w:sz w:val="14"/>
                <w:szCs w:val="14"/>
                <w:lang w:eastAsia="lv-LV"/>
              </w:rPr>
              <w:t>55 472</w:t>
            </w:r>
          </w:p>
        </w:tc>
        <w:tc>
          <w:tcPr>
            <w:tcW w:w="847" w:type="dxa"/>
            <w:tcBorders>
              <w:top w:val="dotted" w:sz="4" w:space="0" w:color="auto"/>
              <w:left w:val="double" w:sz="4" w:space="0" w:color="auto"/>
              <w:bottom w:val="dotted" w:sz="4" w:space="0" w:color="auto"/>
              <w:right w:val="double" w:sz="4" w:space="0" w:color="auto"/>
            </w:tcBorders>
            <w:shd w:val="clear" w:color="000000" w:fill="F2F2F2"/>
            <w:vAlign w:val="center"/>
            <w:hideMark/>
          </w:tcPr>
          <w:p w:rsidR="0086601B" w:rsidRPr="00CD06F5" w:rsidRDefault="0086601B" w:rsidP="004B1DC5">
            <w:pPr>
              <w:ind w:left="-108" w:right="-108"/>
              <w:jc w:val="center"/>
              <w:rPr>
                <w:sz w:val="14"/>
                <w:szCs w:val="14"/>
                <w:lang w:eastAsia="lv-LV"/>
              </w:rPr>
            </w:pPr>
            <w:r w:rsidRPr="00CD06F5">
              <w:rPr>
                <w:sz w:val="14"/>
                <w:szCs w:val="14"/>
                <w:lang w:eastAsia="lv-LV"/>
              </w:rPr>
              <w:t>1,0%</w:t>
            </w:r>
          </w:p>
        </w:tc>
        <w:tc>
          <w:tcPr>
            <w:tcW w:w="425" w:type="dxa"/>
            <w:tcBorders>
              <w:top w:val="dotted" w:sz="4" w:space="0" w:color="auto"/>
              <w:left w:val="double" w:sz="4" w:space="0" w:color="auto"/>
              <w:bottom w:val="dotted" w:sz="4" w:space="0" w:color="auto"/>
              <w:right w:val="dotted" w:sz="4" w:space="0" w:color="auto"/>
            </w:tcBorders>
            <w:vAlign w:val="center"/>
          </w:tcPr>
          <w:p w:rsidR="0086601B" w:rsidRPr="00CD06F5" w:rsidRDefault="0086601B" w:rsidP="004B1DC5">
            <w:pPr>
              <w:ind w:left="-108" w:right="-108"/>
              <w:jc w:val="center"/>
              <w:outlineLvl w:val="0"/>
              <w:rPr>
                <w:sz w:val="14"/>
                <w:szCs w:val="14"/>
                <w:lang w:eastAsia="lv-LV"/>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6601B" w:rsidRPr="00CD06F5" w:rsidRDefault="0086601B" w:rsidP="004B1DC5">
            <w:pPr>
              <w:ind w:left="-108" w:right="-108"/>
              <w:jc w:val="center"/>
              <w:outlineLvl w:val="0"/>
              <w:rPr>
                <w:sz w:val="14"/>
                <w:szCs w:val="14"/>
                <w:lang w:eastAsia="lv-LV"/>
              </w:rPr>
            </w:pPr>
          </w:p>
        </w:tc>
        <w:tc>
          <w:tcPr>
            <w:tcW w:w="426" w:type="dxa"/>
            <w:tcBorders>
              <w:top w:val="dotted" w:sz="4" w:space="0" w:color="auto"/>
              <w:left w:val="dotted" w:sz="4" w:space="0" w:color="auto"/>
              <w:bottom w:val="dotted" w:sz="4" w:space="0" w:color="auto"/>
              <w:right w:val="dotted" w:sz="4" w:space="0" w:color="auto"/>
            </w:tcBorders>
            <w:vAlign w:val="center"/>
          </w:tcPr>
          <w:p w:rsidR="0086601B" w:rsidRPr="00CD06F5" w:rsidRDefault="0086601B" w:rsidP="004B1DC5">
            <w:pPr>
              <w:ind w:left="-108" w:right="-108"/>
              <w:jc w:val="center"/>
              <w:outlineLvl w:val="0"/>
              <w:rPr>
                <w:sz w:val="14"/>
                <w:szCs w:val="14"/>
                <w:lang w:eastAsia="lv-LV"/>
              </w:rPr>
            </w:pPr>
            <w:r w:rsidRPr="00CD06F5">
              <w:rPr>
                <w:sz w:val="14"/>
                <w:szCs w:val="14"/>
                <w:lang w:eastAsia="lv-LV"/>
              </w:rPr>
              <w:t>448</w:t>
            </w: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6601B" w:rsidRPr="00CD06F5" w:rsidRDefault="0086601B" w:rsidP="004B1DC5">
            <w:pPr>
              <w:ind w:left="-108" w:right="-108"/>
              <w:jc w:val="center"/>
              <w:outlineLvl w:val="0"/>
              <w:rPr>
                <w:sz w:val="14"/>
                <w:szCs w:val="14"/>
                <w:lang w:eastAsia="lv-LV"/>
              </w:rPr>
            </w:pP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6601B" w:rsidRPr="00CD06F5" w:rsidRDefault="0086601B" w:rsidP="004B1DC5">
            <w:pPr>
              <w:ind w:left="-108" w:right="-108"/>
              <w:jc w:val="center"/>
              <w:outlineLvl w:val="0"/>
              <w:rPr>
                <w:sz w:val="14"/>
                <w:szCs w:val="14"/>
                <w:lang w:eastAsia="lv-LV"/>
              </w:rPr>
            </w:pPr>
          </w:p>
        </w:tc>
        <w:tc>
          <w:tcPr>
            <w:tcW w:w="71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6601B" w:rsidRPr="00E24DE5" w:rsidRDefault="0086601B" w:rsidP="0086601B">
            <w:pPr>
              <w:jc w:val="center"/>
              <w:rPr>
                <w:sz w:val="14"/>
                <w:szCs w:val="14"/>
              </w:rPr>
            </w:pPr>
            <w:r w:rsidRPr="00E24DE5">
              <w:rPr>
                <w:sz w:val="14"/>
                <w:szCs w:val="14"/>
              </w:rPr>
              <w:t>13 756</w:t>
            </w: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6601B" w:rsidRPr="00E24DE5" w:rsidRDefault="0086601B" w:rsidP="0086601B">
            <w:pPr>
              <w:jc w:val="center"/>
              <w:rPr>
                <w:sz w:val="14"/>
                <w:szCs w:val="14"/>
              </w:rPr>
            </w:pPr>
            <w:r w:rsidRPr="00E24DE5">
              <w:rPr>
                <w:sz w:val="14"/>
                <w:szCs w:val="14"/>
              </w:rPr>
              <w:t>13 756</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6601B" w:rsidRPr="00E24DE5" w:rsidRDefault="0086601B" w:rsidP="0086601B">
            <w:pPr>
              <w:jc w:val="center"/>
              <w:rPr>
                <w:sz w:val="14"/>
                <w:szCs w:val="14"/>
              </w:rPr>
            </w:pPr>
            <w:r w:rsidRPr="00E24DE5">
              <w:rPr>
                <w:sz w:val="14"/>
                <w:szCs w:val="14"/>
              </w:rPr>
              <w:t>13 756</w:t>
            </w:r>
          </w:p>
        </w:tc>
        <w:tc>
          <w:tcPr>
            <w:tcW w:w="85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6601B" w:rsidRPr="00E24DE5" w:rsidRDefault="0086601B" w:rsidP="0086601B">
            <w:pPr>
              <w:jc w:val="center"/>
              <w:rPr>
                <w:sz w:val="14"/>
                <w:szCs w:val="14"/>
              </w:rPr>
            </w:pPr>
            <w:r w:rsidRPr="00E24DE5">
              <w:rPr>
                <w:sz w:val="14"/>
                <w:szCs w:val="14"/>
              </w:rPr>
              <w:t>13 756</w:t>
            </w:r>
          </w:p>
        </w:tc>
      </w:tr>
      <w:tr w:rsidR="0086601B" w:rsidRPr="00CD06F5" w:rsidTr="00CD06F5">
        <w:trPr>
          <w:trHeight w:val="70"/>
        </w:trPr>
        <w:tc>
          <w:tcPr>
            <w:tcW w:w="1701" w:type="dxa"/>
            <w:gridSpan w:val="2"/>
            <w:tcBorders>
              <w:top w:val="dotted" w:sz="4" w:space="0" w:color="auto"/>
              <w:left w:val="dotted" w:sz="4" w:space="0" w:color="auto"/>
              <w:bottom w:val="dotted" w:sz="4" w:space="0" w:color="auto"/>
              <w:right w:val="double" w:sz="4" w:space="0" w:color="auto"/>
            </w:tcBorders>
            <w:shd w:val="clear" w:color="000000" w:fill="D8D8D8"/>
            <w:vAlign w:val="center"/>
            <w:hideMark/>
          </w:tcPr>
          <w:p w:rsidR="0086601B" w:rsidRPr="00CD06F5" w:rsidRDefault="0086601B" w:rsidP="004B1DC5">
            <w:pPr>
              <w:jc w:val="right"/>
              <w:rPr>
                <w:b/>
                <w:bCs/>
                <w:sz w:val="14"/>
                <w:szCs w:val="14"/>
                <w:lang w:eastAsia="lv-LV"/>
              </w:rPr>
            </w:pPr>
            <w:r w:rsidRPr="00CD06F5">
              <w:rPr>
                <w:b/>
                <w:bCs/>
                <w:sz w:val="14"/>
                <w:szCs w:val="14"/>
                <w:lang w:eastAsia="lv-LV"/>
              </w:rPr>
              <w:t>Pavisam kopā</w:t>
            </w:r>
          </w:p>
          <w:p w:rsidR="0086601B" w:rsidRPr="00CD06F5" w:rsidRDefault="0086601B" w:rsidP="004B1DC5">
            <w:pPr>
              <w:jc w:val="right"/>
              <w:rPr>
                <w:b/>
                <w:bCs/>
                <w:sz w:val="14"/>
                <w:szCs w:val="14"/>
                <w:lang w:eastAsia="lv-LV"/>
              </w:rPr>
            </w:pPr>
            <w:r w:rsidRPr="00CD06F5">
              <w:rPr>
                <w:b/>
                <w:bCs/>
                <w:sz w:val="14"/>
                <w:szCs w:val="14"/>
                <w:lang w:eastAsia="lv-LV"/>
              </w:rPr>
              <w:t>(ar PVN):</w:t>
            </w:r>
          </w:p>
        </w:tc>
        <w:tc>
          <w:tcPr>
            <w:tcW w:w="709" w:type="dxa"/>
            <w:tcBorders>
              <w:top w:val="dotted" w:sz="4" w:space="0" w:color="auto"/>
              <w:left w:val="double" w:sz="4" w:space="0" w:color="auto"/>
              <w:bottom w:val="double" w:sz="4" w:space="0" w:color="auto"/>
              <w:right w:val="double" w:sz="4" w:space="0" w:color="auto"/>
            </w:tcBorders>
            <w:shd w:val="clear" w:color="000000" w:fill="000000" w:themeFill="text1"/>
            <w:vAlign w:val="center"/>
          </w:tcPr>
          <w:p w:rsidR="0086601B" w:rsidRPr="00CD06F5" w:rsidRDefault="0086601B" w:rsidP="004B1DC5">
            <w:pPr>
              <w:ind w:left="-108" w:right="-108"/>
              <w:jc w:val="center"/>
              <w:outlineLvl w:val="0"/>
              <w:rPr>
                <w:b/>
                <w:bCs/>
                <w:sz w:val="14"/>
                <w:szCs w:val="14"/>
                <w:lang w:eastAsia="lv-LV"/>
              </w:rPr>
            </w:pPr>
            <w:r w:rsidRPr="00CD06F5">
              <w:rPr>
                <w:b/>
                <w:bCs/>
                <w:sz w:val="14"/>
                <w:szCs w:val="14"/>
                <w:lang w:eastAsia="lv-LV"/>
              </w:rPr>
              <w:t>6 099 885</w:t>
            </w:r>
          </w:p>
        </w:tc>
        <w:tc>
          <w:tcPr>
            <w:tcW w:w="847" w:type="dxa"/>
            <w:tcBorders>
              <w:top w:val="dotted" w:sz="4" w:space="0" w:color="auto"/>
              <w:left w:val="double" w:sz="4" w:space="0" w:color="auto"/>
              <w:bottom w:val="double" w:sz="4" w:space="0" w:color="auto"/>
              <w:right w:val="double" w:sz="4" w:space="0" w:color="auto"/>
            </w:tcBorders>
            <w:shd w:val="clear" w:color="000000" w:fill="D8D8D8"/>
            <w:vAlign w:val="center"/>
            <w:hideMark/>
          </w:tcPr>
          <w:p w:rsidR="0086601B" w:rsidRPr="00CD06F5" w:rsidRDefault="0086601B" w:rsidP="004B1DC5">
            <w:pPr>
              <w:ind w:left="-108" w:right="-108"/>
              <w:jc w:val="center"/>
              <w:rPr>
                <w:b/>
                <w:bCs/>
                <w:sz w:val="14"/>
                <w:szCs w:val="14"/>
                <w:lang w:eastAsia="lv-LV"/>
              </w:rPr>
            </w:pPr>
          </w:p>
        </w:tc>
        <w:tc>
          <w:tcPr>
            <w:tcW w:w="425" w:type="dxa"/>
            <w:tcBorders>
              <w:top w:val="dotted" w:sz="4" w:space="0" w:color="auto"/>
              <w:left w:val="double" w:sz="4" w:space="0" w:color="auto"/>
              <w:bottom w:val="dotted" w:sz="4" w:space="0" w:color="auto"/>
              <w:right w:val="dotted" w:sz="4" w:space="0" w:color="auto"/>
            </w:tcBorders>
            <w:shd w:val="clear" w:color="000000" w:fill="D8D8D8"/>
            <w:vAlign w:val="center"/>
          </w:tcPr>
          <w:p w:rsidR="0086601B" w:rsidRPr="00CD06F5" w:rsidRDefault="0086601B" w:rsidP="004B1DC5">
            <w:pPr>
              <w:ind w:left="-108" w:right="-108"/>
              <w:jc w:val="center"/>
              <w:rPr>
                <w:b/>
                <w:bCs/>
                <w:sz w:val="14"/>
                <w:szCs w:val="14"/>
                <w:lang w:eastAsia="lv-LV"/>
              </w:rPr>
            </w:pPr>
            <w:r w:rsidRPr="00CD06F5">
              <w:rPr>
                <w:b/>
                <w:bCs/>
                <w:sz w:val="14"/>
                <w:szCs w:val="14"/>
                <w:lang w:eastAsia="lv-LV"/>
              </w:rPr>
              <w:t>6 042</w:t>
            </w:r>
          </w:p>
        </w:tc>
        <w:tc>
          <w:tcPr>
            <w:tcW w:w="567"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86601B" w:rsidRPr="00CD06F5" w:rsidRDefault="0086601B" w:rsidP="004B1DC5">
            <w:pPr>
              <w:ind w:left="-108" w:right="-108"/>
              <w:jc w:val="center"/>
              <w:rPr>
                <w:b/>
                <w:bCs/>
                <w:sz w:val="14"/>
                <w:szCs w:val="14"/>
                <w:lang w:eastAsia="lv-LV"/>
              </w:rPr>
            </w:pPr>
            <w:r w:rsidRPr="00CD06F5">
              <w:rPr>
                <w:b/>
                <w:bCs/>
                <w:sz w:val="14"/>
                <w:szCs w:val="14"/>
                <w:lang w:eastAsia="lv-LV"/>
              </w:rPr>
              <w:t>40 616</w:t>
            </w:r>
          </w:p>
        </w:tc>
        <w:tc>
          <w:tcPr>
            <w:tcW w:w="426" w:type="dxa"/>
            <w:tcBorders>
              <w:top w:val="dotted" w:sz="4" w:space="0" w:color="auto"/>
              <w:left w:val="dotted" w:sz="4" w:space="0" w:color="auto"/>
              <w:bottom w:val="dotted" w:sz="4" w:space="0" w:color="auto"/>
              <w:right w:val="dotted" w:sz="4" w:space="0" w:color="auto"/>
            </w:tcBorders>
            <w:shd w:val="clear" w:color="000000" w:fill="D8D8D8"/>
            <w:vAlign w:val="center"/>
          </w:tcPr>
          <w:p w:rsidR="0086601B" w:rsidRPr="00CD06F5" w:rsidRDefault="0086601B" w:rsidP="004B1DC5">
            <w:pPr>
              <w:ind w:left="-108" w:right="-108"/>
              <w:jc w:val="center"/>
              <w:rPr>
                <w:b/>
                <w:bCs/>
                <w:sz w:val="14"/>
                <w:szCs w:val="14"/>
                <w:lang w:eastAsia="lv-LV"/>
              </w:rPr>
            </w:pPr>
            <w:r w:rsidRPr="00CD06F5">
              <w:rPr>
                <w:b/>
                <w:bCs/>
                <w:sz w:val="14"/>
                <w:szCs w:val="14"/>
                <w:lang w:eastAsia="lv-LV"/>
              </w:rPr>
              <w:t>516</w:t>
            </w:r>
          </w:p>
        </w:tc>
        <w:tc>
          <w:tcPr>
            <w:tcW w:w="425"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86601B" w:rsidRPr="00CD06F5" w:rsidRDefault="0086601B" w:rsidP="004B1DC5">
            <w:pPr>
              <w:ind w:left="-108" w:right="-108"/>
              <w:jc w:val="center"/>
              <w:rPr>
                <w:b/>
                <w:bCs/>
                <w:sz w:val="14"/>
                <w:szCs w:val="14"/>
                <w:lang w:eastAsia="lv-LV"/>
              </w:rPr>
            </w:pPr>
            <w:r w:rsidRPr="00CD06F5">
              <w:rPr>
                <w:b/>
                <w:bCs/>
                <w:sz w:val="14"/>
                <w:szCs w:val="14"/>
                <w:lang w:eastAsia="lv-LV"/>
              </w:rPr>
              <w:t>0</w:t>
            </w:r>
          </w:p>
        </w:tc>
        <w:tc>
          <w:tcPr>
            <w:tcW w:w="425"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86601B" w:rsidRPr="00CD06F5" w:rsidRDefault="0086601B" w:rsidP="004B1DC5">
            <w:pPr>
              <w:ind w:left="-108" w:right="-108"/>
              <w:jc w:val="center"/>
              <w:rPr>
                <w:b/>
                <w:bCs/>
                <w:sz w:val="14"/>
                <w:szCs w:val="14"/>
                <w:lang w:eastAsia="lv-LV"/>
              </w:rPr>
            </w:pPr>
            <w:r w:rsidRPr="00CD06F5">
              <w:rPr>
                <w:b/>
                <w:bCs/>
                <w:sz w:val="14"/>
                <w:szCs w:val="14"/>
                <w:lang w:eastAsia="lv-LV"/>
              </w:rPr>
              <w:t>0</w:t>
            </w:r>
          </w:p>
        </w:tc>
        <w:tc>
          <w:tcPr>
            <w:tcW w:w="711"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86601B" w:rsidRPr="00E24DE5" w:rsidRDefault="0086601B" w:rsidP="0086601B">
            <w:pPr>
              <w:jc w:val="center"/>
              <w:rPr>
                <w:b/>
                <w:bCs/>
                <w:sz w:val="14"/>
                <w:szCs w:val="14"/>
              </w:rPr>
            </w:pPr>
            <w:r w:rsidRPr="00E24DE5">
              <w:rPr>
                <w:b/>
                <w:bCs/>
                <w:sz w:val="14"/>
                <w:szCs w:val="14"/>
              </w:rPr>
              <w:t>50 000</w:t>
            </w:r>
          </w:p>
        </w:tc>
        <w:tc>
          <w:tcPr>
            <w:tcW w:w="850"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86601B" w:rsidRPr="00E24DE5" w:rsidRDefault="0086601B" w:rsidP="0086601B">
            <w:pPr>
              <w:jc w:val="center"/>
              <w:rPr>
                <w:b/>
                <w:bCs/>
                <w:sz w:val="14"/>
                <w:szCs w:val="14"/>
              </w:rPr>
            </w:pPr>
            <w:r w:rsidRPr="00E24DE5">
              <w:rPr>
                <w:b/>
                <w:bCs/>
                <w:sz w:val="14"/>
                <w:szCs w:val="14"/>
              </w:rPr>
              <w:t>743 625</w:t>
            </w:r>
          </w:p>
        </w:tc>
        <w:tc>
          <w:tcPr>
            <w:tcW w:w="851"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86601B" w:rsidRPr="00E24DE5" w:rsidRDefault="0086601B" w:rsidP="0086601B">
            <w:pPr>
              <w:jc w:val="center"/>
              <w:rPr>
                <w:b/>
                <w:bCs/>
                <w:sz w:val="14"/>
                <w:szCs w:val="14"/>
              </w:rPr>
            </w:pPr>
            <w:r w:rsidRPr="00E24DE5">
              <w:rPr>
                <w:b/>
                <w:bCs/>
                <w:sz w:val="14"/>
                <w:szCs w:val="14"/>
              </w:rPr>
              <w:t>2 629 543</w:t>
            </w:r>
          </w:p>
        </w:tc>
        <w:tc>
          <w:tcPr>
            <w:tcW w:w="852"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86601B" w:rsidRPr="00E24DE5" w:rsidRDefault="0086601B" w:rsidP="0086601B">
            <w:pPr>
              <w:jc w:val="center"/>
              <w:rPr>
                <w:b/>
                <w:bCs/>
                <w:sz w:val="14"/>
                <w:szCs w:val="14"/>
              </w:rPr>
            </w:pPr>
            <w:r w:rsidRPr="00E24DE5">
              <w:rPr>
                <w:b/>
                <w:bCs/>
                <w:sz w:val="14"/>
                <w:szCs w:val="14"/>
              </w:rPr>
              <w:t>2 629 543</w:t>
            </w:r>
          </w:p>
        </w:tc>
      </w:tr>
    </w:tbl>
    <w:p w:rsidR="004B1DC5" w:rsidRPr="00770D7E" w:rsidRDefault="004B1DC5" w:rsidP="004B1DC5">
      <w:pPr>
        <w:pStyle w:val="Sarakstarindkopa"/>
        <w:ind w:left="709" w:right="-31" w:hanging="142"/>
        <w:jc w:val="both"/>
        <w:rPr>
          <w:sz w:val="16"/>
          <w:szCs w:val="16"/>
        </w:rPr>
      </w:pPr>
      <w:r w:rsidRPr="00770D7E">
        <w:rPr>
          <w:sz w:val="16"/>
          <w:szCs w:val="16"/>
        </w:rPr>
        <w:t>* Projektu provizoriskie kapitālieguldījumi ir precizējami pēc būvniecības tehnisko projektu izstrādes, pēc būvniecības līguma noslēgšanas un pēc objekta nodošanas ekspluatācijā.</w:t>
      </w:r>
    </w:p>
    <w:p w:rsidR="00FE4FAC" w:rsidRDefault="004B1DC5" w:rsidP="006D55C8">
      <w:pPr>
        <w:pStyle w:val="Sarakstarindkopa"/>
        <w:tabs>
          <w:tab w:val="left" w:pos="567"/>
        </w:tabs>
        <w:spacing w:before="120" w:after="120"/>
        <w:ind w:left="567"/>
        <w:jc w:val="both"/>
        <w:rPr>
          <w:lang w:eastAsia="lv-LV"/>
        </w:rPr>
      </w:pPr>
      <w:r>
        <w:t xml:space="preserve">Svarīgi ir minēt, ka augstāk norādītās precizētās būvniecības projekta </w:t>
      </w:r>
      <w:r w:rsidR="00827782" w:rsidRPr="00860EF8">
        <w:t xml:space="preserve">„Jaunā Rīgas teātra ēku rekonstrukcija Lāčplēša ielā 25, Rīgā” </w:t>
      </w:r>
      <w:r w:rsidR="00FE4FAC">
        <w:t>kopēj</w:t>
      </w:r>
      <w:r>
        <w:t>ās</w:t>
      </w:r>
      <w:r w:rsidR="004F0895">
        <w:t xml:space="preserve"> provizoriskās</w:t>
      </w:r>
      <w:r w:rsidR="00FE4FAC">
        <w:t xml:space="preserve"> </w:t>
      </w:r>
      <w:r w:rsidR="00827782" w:rsidRPr="00770D7E">
        <w:t>izmaks</w:t>
      </w:r>
      <w:r>
        <w:t>as</w:t>
      </w:r>
      <w:r w:rsidR="00FE4FAC">
        <w:t xml:space="preserve"> </w:t>
      </w:r>
      <w:r>
        <w:t xml:space="preserve">ir </w:t>
      </w:r>
      <w:r w:rsidR="00FE4FAC" w:rsidRPr="00770D7E">
        <w:t>būtisk</w:t>
      </w:r>
      <w:r w:rsidR="00986226">
        <w:t>i</w:t>
      </w:r>
      <w:r w:rsidR="00FE4FAC" w:rsidRPr="00770D7E">
        <w:t xml:space="preserve"> </w:t>
      </w:r>
      <w:r>
        <w:t>lie</w:t>
      </w:r>
      <w:r w:rsidR="00986226">
        <w:t>lā</w:t>
      </w:r>
      <w:r>
        <w:t>kas par</w:t>
      </w:r>
      <w:r w:rsidR="00FE4FAC" w:rsidRPr="00770D7E">
        <w:t xml:space="preserve"> izmaksām, kas sākotnēji tika norādītas </w:t>
      </w:r>
      <w:r w:rsidR="00CF2B84">
        <w:t>MK</w:t>
      </w:r>
      <w:r w:rsidR="00FE4FAC" w:rsidRPr="00770D7E">
        <w:t xml:space="preserve"> protokollēmuma Nr.47 1.punktā zināšanai pieņemtajā </w:t>
      </w:r>
      <w:r w:rsidR="00FE4FAC">
        <w:rPr>
          <w:lang w:eastAsia="lv-LV"/>
        </w:rPr>
        <w:t>i</w:t>
      </w:r>
      <w:r w:rsidR="00FE4FAC" w:rsidRPr="00DB257D">
        <w:rPr>
          <w:lang w:eastAsia="lv-LV"/>
        </w:rPr>
        <w:t>nformatīv</w:t>
      </w:r>
      <w:r w:rsidR="00FE4FAC">
        <w:rPr>
          <w:lang w:eastAsia="lv-LV"/>
        </w:rPr>
        <w:t>ā</w:t>
      </w:r>
      <w:r w:rsidR="00FE4FAC" w:rsidRPr="00DB257D">
        <w:rPr>
          <w:lang w:eastAsia="lv-LV"/>
        </w:rPr>
        <w:t xml:space="preserve"> ziņojum</w:t>
      </w:r>
      <w:r w:rsidR="00FE4FAC">
        <w:rPr>
          <w:lang w:eastAsia="lv-LV"/>
        </w:rPr>
        <w:t>a</w:t>
      </w:r>
      <w:r w:rsidR="00FE4FAC" w:rsidRPr="00DB257D">
        <w:rPr>
          <w:lang w:eastAsia="lv-LV"/>
        </w:rPr>
        <w:t xml:space="preserve"> „Par turpmāko rīcību ar valsts akciju sabiedrības „Valsts nekustamie īpašumi” būvniecības </w:t>
      </w:r>
      <w:r w:rsidR="00FE4FAC" w:rsidRPr="00470C2E">
        <w:rPr>
          <w:lang w:eastAsia="lv-LV"/>
        </w:rPr>
        <w:t>projektiem”” (turpmāk – Informatīvais ziņojums)</w:t>
      </w:r>
      <w:r w:rsidR="00FE4FAC" w:rsidRPr="00470C2E">
        <w:t xml:space="preserve"> 20.punktā</w:t>
      </w:r>
      <w:r w:rsidR="00DF7162">
        <w:t xml:space="preserve">, </w:t>
      </w:r>
      <w:r w:rsidR="00FE4FAC" w:rsidRPr="00470C2E">
        <w:t xml:space="preserve">1.pielikuma 1.tabulas 20.punktā un 2.pielikuma 2.tabulas 20.punktā, </w:t>
      </w:r>
      <w:r w:rsidR="00470C2E" w:rsidRPr="00470C2E">
        <w:t>kā</w:t>
      </w:r>
      <w:r w:rsidR="00470C2E">
        <w:t xml:space="preserve"> arī </w:t>
      </w:r>
      <w:r w:rsidR="00FE4FAC" w:rsidRPr="00770D7E">
        <w:t xml:space="preserve">rada būtiski lielāku ietekmi uz valsts budžeta </w:t>
      </w:r>
      <w:r w:rsidR="00386C4A">
        <w:t>(</w:t>
      </w:r>
      <w:r w:rsidR="00FE4FAC" w:rsidRPr="00770D7E">
        <w:t>turpmākiem gadiem</w:t>
      </w:r>
      <w:r w:rsidR="00386C4A">
        <w:t>)</w:t>
      </w:r>
      <w:r w:rsidR="00FE4FAC" w:rsidRPr="00770D7E">
        <w:t xml:space="preserve"> nekā sākotnēji plānots (skat. </w:t>
      </w:r>
      <w:r w:rsidR="00D419D2">
        <w:t>2</w:t>
      </w:r>
      <w:r w:rsidR="00FE4FAC" w:rsidRPr="00770D7E">
        <w:t>.tabulu – izvilkums no Informatīvā ziņojuma 1.pielikuma 20.pun</w:t>
      </w:r>
      <w:r w:rsidR="00470C2E">
        <w:t>k</w:t>
      </w:r>
      <w:r w:rsidR="00FE4FAC" w:rsidRPr="00770D7E">
        <w:t>t</w:t>
      </w:r>
      <w:r w:rsidR="00FE4FAC">
        <w:t>a).</w:t>
      </w:r>
      <w:r w:rsidR="00FE4FAC">
        <w:rPr>
          <w:lang w:eastAsia="lv-LV"/>
        </w:rPr>
        <w:t xml:space="preserve"> </w:t>
      </w:r>
    </w:p>
    <w:p w:rsidR="006D55C8" w:rsidRDefault="006D55C8">
      <w:pPr>
        <w:suppressAutoHyphens w:val="0"/>
        <w:rPr>
          <w:sz w:val="16"/>
          <w:szCs w:val="16"/>
        </w:rPr>
      </w:pPr>
      <w:r>
        <w:rPr>
          <w:sz w:val="16"/>
          <w:szCs w:val="16"/>
        </w:rPr>
        <w:br w:type="page"/>
      </w:r>
    </w:p>
    <w:p w:rsidR="00EF70AE" w:rsidRPr="00770D7E" w:rsidRDefault="00FE4FAC" w:rsidP="00FE4FAC">
      <w:pPr>
        <w:ind w:right="-2"/>
        <w:jc w:val="right"/>
        <w:rPr>
          <w:sz w:val="16"/>
          <w:szCs w:val="16"/>
        </w:rPr>
      </w:pPr>
      <w:r>
        <w:rPr>
          <w:sz w:val="16"/>
          <w:szCs w:val="16"/>
        </w:rPr>
        <w:lastRenderedPageBreak/>
        <w:t>2</w:t>
      </w:r>
      <w:r w:rsidR="00EF70AE" w:rsidRPr="00770D7E">
        <w:rPr>
          <w:sz w:val="16"/>
          <w:szCs w:val="16"/>
        </w:rPr>
        <w:t>.tabula</w:t>
      </w:r>
    </w:p>
    <w:tbl>
      <w:tblPr>
        <w:tblW w:w="8515"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96"/>
        <w:gridCol w:w="2256"/>
        <w:gridCol w:w="992"/>
        <w:gridCol w:w="851"/>
        <w:gridCol w:w="850"/>
        <w:gridCol w:w="850"/>
        <w:gridCol w:w="851"/>
        <w:gridCol w:w="850"/>
        <w:gridCol w:w="719"/>
      </w:tblGrid>
      <w:tr w:rsidR="00FE4FAC" w:rsidRPr="0086601B" w:rsidTr="00B80F41">
        <w:trPr>
          <w:trHeight w:val="382"/>
        </w:trPr>
        <w:tc>
          <w:tcPr>
            <w:tcW w:w="296" w:type="dxa"/>
            <w:tcBorders>
              <w:bottom w:val="dotted" w:sz="4" w:space="0" w:color="auto"/>
            </w:tcBorders>
            <w:shd w:val="clear" w:color="000000" w:fill="D9D9D9" w:themeFill="background1" w:themeFillShade="D9"/>
            <w:vAlign w:val="center"/>
            <w:hideMark/>
          </w:tcPr>
          <w:p w:rsidR="00FE4FAC" w:rsidRPr="0086601B" w:rsidRDefault="00FE4FAC" w:rsidP="00386C4A">
            <w:pPr>
              <w:ind w:left="-103" w:right="-120"/>
              <w:jc w:val="center"/>
              <w:rPr>
                <w:b/>
                <w:bCs/>
                <w:sz w:val="14"/>
                <w:szCs w:val="14"/>
                <w:lang w:eastAsia="lv-LV"/>
              </w:rPr>
            </w:pPr>
            <w:r w:rsidRPr="0086601B">
              <w:rPr>
                <w:b/>
                <w:bCs/>
                <w:sz w:val="14"/>
                <w:szCs w:val="14"/>
                <w:lang w:eastAsia="lv-LV"/>
              </w:rPr>
              <w:t>Nr.</w:t>
            </w:r>
            <w:r w:rsidRPr="0086601B">
              <w:rPr>
                <w:b/>
                <w:bCs/>
                <w:sz w:val="14"/>
                <w:szCs w:val="14"/>
                <w:lang w:eastAsia="lv-LV"/>
              </w:rPr>
              <w:br/>
              <w:t>p.k.</w:t>
            </w:r>
          </w:p>
        </w:tc>
        <w:tc>
          <w:tcPr>
            <w:tcW w:w="2256" w:type="dxa"/>
            <w:tcBorders>
              <w:bottom w:val="dotted" w:sz="4" w:space="0" w:color="auto"/>
              <w:right w:val="double" w:sz="4" w:space="0" w:color="auto"/>
            </w:tcBorders>
            <w:shd w:val="clear" w:color="000000" w:fill="D9D9D9" w:themeFill="background1" w:themeFillShade="D9"/>
            <w:vAlign w:val="center"/>
            <w:hideMark/>
          </w:tcPr>
          <w:p w:rsidR="00FE4FAC" w:rsidRPr="0086601B" w:rsidRDefault="00FE4FAC" w:rsidP="00EF70AE">
            <w:pPr>
              <w:jc w:val="center"/>
              <w:rPr>
                <w:b/>
                <w:bCs/>
                <w:sz w:val="14"/>
                <w:szCs w:val="14"/>
                <w:lang w:eastAsia="lv-LV"/>
              </w:rPr>
            </w:pPr>
            <w:r w:rsidRPr="0086601B">
              <w:rPr>
                <w:b/>
                <w:bCs/>
                <w:sz w:val="14"/>
                <w:szCs w:val="14"/>
                <w:lang w:eastAsia="lv-LV"/>
              </w:rPr>
              <w:t>Investīciju projekta izdevumu pozīcijas</w:t>
            </w:r>
          </w:p>
        </w:tc>
        <w:tc>
          <w:tcPr>
            <w:tcW w:w="992" w:type="dxa"/>
            <w:tcBorders>
              <w:top w:val="double" w:sz="4" w:space="0" w:color="auto"/>
              <w:left w:val="double" w:sz="4" w:space="0" w:color="auto"/>
              <w:bottom w:val="dotted" w:sz="4" w:space="0" w:color="auto"/>
              <w:right w:val="double" w:sz="4" w:space="0" w:color="auto"/>
            </w:tcBorders>
            <w:shd w:val="clear" w:color="000000" w:fill="D9D9D9" w:themeFill="background1" w:themeFillShade="D9"/>
            <w:vAlign w:val="center"/>
            <w:hideMark/>
          </w:tcPr>
          <w:p w:rsidR="00FE4FAC" w:rsidRPr="0086601B" w:rsidRDefault="00FE4FAC" w:rsidP="00EF70AE">
            <w:pPr>
              <w:ind w:left="-109" w:right="-105"/>
              <w:jc w:val="center"/>
              <w:rPr>
                <w:b/>
                <w:bCs/>
                <w:sz w:val="14"/>
                <w:szCs w:val="14"/>
                <w:lang w:eastAsia="lv-LV"/>
              </w:rPr>
            </w:pPr>
            <w:r w:rsidRPr="0086601B">
              <w:rPr>
                <w:b/>
                <w:bCs/>
                <w:sz w:val="14"/>
                <w:szCs w:val="14"/>
                <w:lang w:eastAsia="lv-LV"/>
              </w:rPr>
              <w:t>Projektu</w:t>
            </w:r>
            <w:r w:rsidRPr="0086601B">
              <w:rPr>
                <w:b/>
                <w:bCs/>
                <w:sz w:val="14"/>
                <w:szCs w:val="14"/>
                <w:lang w:eastAsia="lv-LV"/>
              </w:rPr>
              <w:br/>
              <w:t>kopējās</w:t>
            </w:r>
            <w:r w:rsidRPr="0086601B">
              <w:rPr>
                <w:b/>
                <w:bCs/>
                <w:sz w:val="14"/>
                <w:szCs w:val="14"/>
                <w:lang w:eastAsia="lv-LV"/>
              </w:rPr>
              <w:br/>
              <w:t>summas*</w:t>
            </w:r>
          </w:p>
        </w:tc>
        <w:tc>
          <w:tcPr>
            <w:tcW w:w="851" w:type="dxa"/>
            <w:tcBorders>
              <w:left w:val="double" w:sz="4" w:space="0" w:color="auto"/>
              <w:bottom w:val="dotted" w:sz="4" w:space="0" w:color="auto"/>
            </w:tcBorders>
            <w:shd w:val="clear" w:color="000000" w:fill="D9D9D9" w:themeFill="background1" w:themeFillShade="D9"/>
            <w:hideMark/>
          </w:tcPr>
          <w:p w:rsidR="00FE4FAC" w:rsidRPr="0086601B" w:rsidRDefault="00FE4FAC" w:rsidP="00B80F41">
            <w:pPr>
              <w:ind w:left="-109" w:right="-105"/>
              <w:jc w:val="center"/>
              <w:rPr>
                <w:b/>
                <w:bCs/>
                <w:sz w:val="14"/>
                <w:szCs w:val="14"/>
                <w:lang w:eastAsia="lv-LV"/>
              </w:rPr>
            </w:pPr>
            <w:r w:rsidRPr="0086601B">
              <w:rPr>
                <w:b/>
                <w:bCs/>
                <w:sz w:val="14"/>
                <w:szCs w:val="14"/>
                <w:lang w:eastAsia="lv-LV"/>
              </w:rPr>
              <w:t>Projektu</w:t>
            </w:r>
            <w:r w:rsidRPr="0086601B">
              <w:rPr>
                <w:b/>
                <w:bCs/>
                <w:sz w:val="14"/>
                <w:szCs w:val="14"/>
                <w:lang w:eastAsia="lv-LV"/>
              </w:rPr>
              <w:br/>
              <w:t>faktiskās</w:t>
            </w:r>
            <w:r w:rsidRPr="0086601B">
              <w:rPr>
                <w:b/>
                <w:bCs/>
                <w:sz w:val="14"/>
                <w:szCs w:val="14"/>
                <w:lang w:eastAsia="lv-LV"/>
              </w:rPr>
              <w:br/>
              <w:t>izmaksas</w:t>
            </w:r>
            <w:r w:rsidRPr="0086601B">
              <w:rPr>
                <w:b/>
                <w:bCs/>
                <w:sz w:val="14"/>
                <w:szCs w:val="14"/>
                <w:lang w:eastAsia="lv-LV"/>
              </w:rPr>
              <w:br/>
              <w:t>līdz</w:t>
            </w:r>
            <w:r w:rsidRPr="0086601B">
              <w:rPr>
                <w:b/>
                <w:bCs/>
                <w:sz w:val="14"/>
                <w:szCs w:val="14"/>
                <w:lang w:eastAsia="lv-LV"/>
              </w:rPr>
              <w:br/>
              <w:t>31.03.2011.</w:t>
            </w:r>
          </w:p>
        </w:tc>
        <w:tc>
          <w:tcPr>
            <w:tcW w:w="850" w:type="dxa"/>
            <w:tcBorders>
              <w:bottom w:val="dotted" w:sz="4" w:space="0" w:color="auto"/>
            </w:tcBorders>
            <w:shd w:val="clear" w:color="000000" w:fill="D9D9D9" w:themeFill="background1" w:themeFillShade="D9"/>
            <w:hideMark/>
          </w:tcPr>
          <w:p w:rsidR="00FE4FAC" w:rsidRPr="0086601B" w:rsidRDefault="00FE4FAC" w:rsidP="00B80F41">
            <w:pPr>
              <w:ind w:left="-109" w:right="-105"/>
              <w:jc w:val="center"/>
              <w:rPr>
                <w:b/>
                <w:bCs/>
                <w:sz w:val="14"/>
                <w:szCs w:val="14"/>
                <w:lang w:eastAsia="lv-LV"/>
              </w:rPr>
            </w:pPr>
            <w:r w:rsidRPr="0086601B">
              <w:rPr>
                <w:b/>
                <w:bCs/>
                <w:sz w:val="14"/>
                <w:szCs w:val="14"/>
                <w:lang w:eastAsia="lv-LV"/>
              </w:rPr>
              <w:t>Projektu</w:t>
            </w:r>
            <w:r w:rsidRPr="0086601B">
              <w:rPr>
                <w:b/>
                <w:bCs/>
                <w:sz w:val="14"/>
                <w:szCs w:val="14"/>
                <w:lang w:eastAsia="lv-LV"/>
              </w:rPr>
              <w:br/>
              <w:t>realizācijas</w:t>
            </w:r>
            <w:r w:rsidRPr="0086601B">
              <w:rPr>
                <w:b/>
                <w:bCs/>
                <w:sz w:val="14"/>
                <w:szCs w:val="14"/>
                <w:lang w:eastAsia="lv-LV"/>
              </w:rPr>
              <w:br/>
              <w:t>izmaksas</w:t>
            </w:r>
            <w:r w:rsidRPr="0086601B">
              <w:rPr>
                <w:b/>
                <w:bCs/>
                <w:sz w:val="14"/>
                <w:szCs w:val="14"/>
                <w:lang w:eastAsia="lv-LV"/>
              </w:rPr>
              <w:br/>
              <w:t>2011.</w:t>
            </w:r>
            <w:r w:rsidRPr="0086601B">
              <w:rPr>
                <w:b/>
                <w:bCs/>
                <w:sz w:val="14"/>
                <w:szCs w:val="14"/>
                <w:lang w:eastAsia="lv-LV"/>
              </w:rPr>
              <w:br/>
              <w:t>gada</w:t>
            </w:r>
            <w:r w:rsidRPr="0086601B">
              <w:rPr>
                <w:b/>
                <w:bCs/>
                <w:sz w:val="14"/>
                <w:szCs w:val="14"/>
                <w:lang w:eastAsia="lv-LV"/>
              </w:rPr>
              <w:br/>
              <w:t>2.; 3.; 4.cet.</w:t>
            </w:r>
          </w:p>
        </w:tc>
        <w:tc>
          <w:tcPr>
            <w:tcW w:w="850" w:type="dxa"/>
            <w:tcBorders>
              <w:bottom w:val="dotted" w:sz="4" w:space="0" w:color="auto"/>
            </w:tcBorders>
            <w:shd w:val="clear" w:color="000000" w:fill="D9D9D9" w:themeFill="background1" w:themeFillShade="D9"/>
            <w:hideMark/>
          </w:tcPr>
          <w:p w:rsidR="00FE4FAC" w:rsidRPr="0086601B" w:rsidRDefault="00FE4FAC" w:rsidP="00B80F41">
            <w:pPr>
              <w:ind w:left="-109" w:right="-105"/>
              <w:jc w:val="center"/>
              <w:rPr>
                <w:b/>
                <w:bCs/>
                <w:sz w:val="14"/>
                <w:szCs w:val="14"/>
                <w:lang w:eastAsia="lv-LV"/>
              </w:rPr>
            </w:pPr>
            <w:r w:rsidRPr="0086601B">
              <w:rPr>
                <w:b/>
                <w:bCs/>
                <w:sz w:val="14"/>
                <w:szCs w:val="14"/>
                <w:lang w:eastAsia="lv-LV"/>
              </w:rPr>
              <w:t>Projektu</w:t>
            </w:r>
            <w:r w:rsidRPr="0086601B">
              <w:rPr>
                <w:b/>
                <w:bCs/>
                <w:sz w:val="14"/>
                <w:szCs w:val="14"/>
                <w:lang w:eastAsia="lv-LV"/>
              </w:rPr>
              <w:br/>
              <w:t>realizācijas</w:t>
            </w:r>
            <w:r w:rsidRPr="0086601B">
              <w:rPr>
                <w:b/>
                <w:bCs/>
                <w:sz w:val="14"/>
                <w:szCs w:val="14"/>
                <w:lang w:eastAsia="lv-LV"/>
              </w:rPr>
              <w:br/>
              <w:t>izmaksas</w:t>
            </w:r>
            <w:r w:rsidRPr="0086601B">
              <w:rPr>
                <w:b/>
                <w:bCs/>
                <w:sz w:val="14"/>
                <w:szCs w:val="14"/>
                <w:lang w:eastAsia="lv-LV"/>
              </w:rPr>
              <w:br/>
              <w:t>2012.</w:t>
            </w:r>
            <w:r w:rsidRPr="0086601B">
              <w:rPr>
                <w:b/>
                <w:bCs/>
                <w:sz w:val="14"/>
                <w:szCs w:val="14"/>
                <w:lang w:eastAsia="lv-LV"/>
              </w:rPr>
              <w:br/>
              <w:t>gādā</w:t>
            </w:r>
          </w:p>
        </w:tc>
        <w:tc>
          <w:tcPr>
            <w:tcW w:w="851" w:type="dxa"/>
            <w:tcBorders>
              <w:bottom w:val="dotted" w:sz="4" w:space="0" w:color="auto"/>
            </w:tcBorders>
            <w:shd w:val="clear" w:color="000000" w:fill="D9D9D9" w:themeFill="background1" w:themeFillShade="D9"/>
            <w:hideMark/>
          </w:tcPr>
          <w:p w:rsidR="00FE4FAC" w:rsidRPr="0086601B" w:rsidRDefault="00FE4FAC" w:rsidP="00B80F41">
            <w:pPr>
              <w:ind w:left="-109" w:right="-105"/>
              <w:jc w:val="center"/>
              <w:rPr>
                <w:b/>
                <w:bCs/>
                <w:sz w:val="14"/>
                <w:szCs w:val="14"/>
                <w:lang w:eastAsia="lv-LV"/>
              </w:rPr>
            </w:pPr>
            <w:r w:rsidRPr="0086601B">
              <w:rPr>
                <w:b/>
                <w:bCs/>
                <w:sz w:val="14"/>
                <w:szCs w:val="14"/>
                <w:lang w:eastAsia="lv-LV"/>
              </w:rPr>
              <w:t>Projektu</w:t>
            </w:r>
            <w:r w:rsidRPr="0086601B">
              <w:rPr>
                <w:b/>
                <w:bCs/>
                <w:sz w:val="14"/>
                <w:szCs w:val="14"/>
                <w:lang w:eastAsia="lv-LV"/>
              </w:rPr>
              <w:br/>
              <w:t>realizācijas</w:t>
            </w:r>
            <w:r w:rsidRPr="0086601B">
              <w:rPr>
                <w:b/>
                <w:bCs/>
                <w:sz w:val="14"/>
                <w:szCs w:val="14"/>
                <w:lang w:eastAsia="lv-LV"/>
              </w:rPr>
              <w:br/>
              <w:t>izmaksas</w:t>
            </w:r>
            <w:r w:rsidRPr="0086601B">
              <w:rPr>
                <w:b/>
                <w:bCs/>
                <w:sz w:val="14"/>
                <w:szCs w:val="14"/>
                <w:lang w:eastAsia="lv-LV"/>
              </w:rPr>
              <w:br/>
              <w:t>2013.</w:t>
            </w:r>
            <w:r w:rsidRPr="0086601B">
              <w:rPr>
                <w:b/>
                <w:bCs/>
                <w:sz w:val="14"/>
                <w:szCs w:val="14"/>
                <w:lang w:eastAsia="lv-LV"/>
              </w:rPr>
              <w:br/>
              <w:t>gādā</w:t>
            </w:r>
          </w:p>
        </w:tc>
        <w:tc>
          <w:tcPr>
            <w:tcW w:w="850" w:type="dxa"/>
            <w:tcBorders>
              <w:bottom w:val="dotted" w:sz="4" w:space="0" w:color="auto"/>
            </w:tcBorders>
            <w:shd w:val="clear" w:color="000000" w:fill="D9D9D9" w:themeFill="background1" w:themeFillShade="D9"/>
            <w:hideMark/>
          </w:tcPr>
          <w:p w:rsidR="00FE4FAC" w:rsidRPr="0086601B" w:rsidRDefault="00FE4FAC" w:rsidP="00B80F41">
            <w:pPr>
              <w:ind w:left="-109" w:right="-105"/>
              <w:jc w:val="center"/>
              <w:rPr>
                <w:b/>
                <w:bCs/>
                <w:sz w:val="14"/>
                <w:szCs w:val="14"/>
                <w:lang w:eastAsia="lv-LV"/>
              </w:rPr>
            </w:pPr>
            <w:r w:rsidRPr="0086601B">
              <w:rPr>
                <w:b/>
                <w:bCs/>
                <w:sz w:val="14"/>
                <w:szCs w:val="14"/>
                <w:lang w:eastAsia="lv-LV"/>
              </w:rPr>
              <w:t>Projektu</w:t>
            </w:r>
            <w:r w:rsidRPr="0086601B">
              <w:rPr>
                <w:b/>
                <w:bCs/>
                <w:sz w:val="14"/>
                <w:szCs w:val="14"/>
                <w:lang w:eastAsia="lv-LV"/>
              </w:rPr>
              <w:br/>
              <w:t>realizācijas</w:t>
            </w:r>
            <w:r w:rsidRPr="0086601B">
              <w:rPr>
                <w:b/>
                <w:bCs/>
                <w:sz w:val="14"/>
                <w:szCs w:val="14"/>
                <w:lang w:eastAsia="lv-LV"/>
              </w:rPr>
              <w:br/>
              <w:t>izmaksas</w:t>
            </w:r>
            <w:r w:rsidRPr="0086601B">
              <w:rPr>
                <w:b/>
                <w:bCs/>
                <w:sz w:val="14"/>
                <w:szCs w:val="14"/>
                <w:lang w:eastAsia="lv-LV"/>
              </w:rPr>
              <w:br/>
              <w:t>2014.</w:t>
            </w:r>
            <w:r w:rsidRPr="0086601B">
              <w:rPr>
                <w:b/>
                <w:bCs/>
                <w:sz w:val="14"/>
                <w:szCs w:val="14"/>
                <w:lang w:eastAsia="lv-LV"/>
              </w:rPr>
              <w:br/>
              <w:t>gādā</w:t>
            </w:r>
          </w:p>
        </w:tc>
        <w:tc>
          <w:tcPr>
            <w:tcW w:w="719" w:type="dxa"/>
            <w:tcBorders>
              <w:bottom w:val="dotted" w:sz="4" w:space="0" w:color="auto"/>
            </w:tcBorders>
            <w:shd w:val="clear" w:color="000000" w:fill="D9D9D9" w:themeFill="background1" w:themeFillShade="D9"/>
            <w:hideMark/>
          </w:tcPr>
          <w:p w:rsidR="00FE4FAC" w:rsidRPr="0086601B" w:rsidRDefault="00FE4FAC" w:rsidP="00B80F41">
            <w:pPr>
              <w:ind w:left="-109" w:right="-105"/>
              <w:jc w:val="center"/>
              <w:rPr>
                <w:b/>
                <w:bCs/>
                <w:sz w:val="14"/>
                <w:szCs w:val="14"/>
                <w:lang w:eastAsia="lv-LV"/>
              </w:rPr>
            </w:pPr>
            <w:r w:rsidRPr="0086601B">
              <w:rPr>
                <w:b/>
                <w:bCs/>
                <w:sz w:val="14"/>
                <w:szCs w:val="14"/>
                <w:lang w:eastAsia="lv-LV"/>
              </w:rPr>
              <w:t>Projektu</w:t>
            </w:r>
            <w:r w:rsidRPr="0086601B">
              <w:rPr>
                <w:b/>
                <w:bCs/>
                <w:sz w:val="14"/>
                <w:szCs w:val="14"/>
                <w:lang w:eastAsia="lv-LV"/>
              </w:rPr>
              <w:br/>
              <w:t>tālākās</w:t>
            </w:r>
            <w:r w:rsidRPr="0086601B">
              <w:rPr>
                <w:b/>
                <w:bCs/>
                <w:sz w:val="14"/>
                <w:szCs w:val="14"/>
                <w:lang w:eastAsia="lv-LV"/>
              </w:rPr>
              <w:br/>
              <w:t>realizāciju</w:t>
            </w:r>
            <w:r w:rsidRPr="0086601B">
              <w:rPr>
                <w:b/>
                <w:bCs/>
                <w:sz w:val="14"/>
                <w:szCs w:val="14"/>
                <w:lang w:eastAsia="lv-LV"/>
              </w:rPr>
              <w:br/>
              <w:t>izmaksas</w:t>
            </w:r>
          </w:p>
        </w:tc>
      </w:tr>
      <w:tr w:rsidR="00386C4A" w:rsidRPr="0086601B" w:rsidTr="00FE4FAC">
        <w:trPr>
          <w:trHeight w:val="96"/>
        </w:trPr>
        <w:tc>
          <w:tcPr>
            <w:tcW w:w="296" w:type="dxa"/>
            <w:shd w:val="clear" w:color="000000" w:fill="FFFFFF"/>
            <w:vAlign w:val="center"/>
            <w:hideMark/>
          </w:tcPr>
          <w:p w:rsidR="00386C4A" w:rsidRPr="0086601B" w:rsidRDefault="00386C4A" w:rsidP="00386C4A">
            <w:pPr>
              <w:ind w:left="-103" w:right="-120"/>
              <w:jc w:val="center"/>
              <w:outlineLvl w:val="0"/>
              <w:rPr>
                <w:sz w:val="14"/>
                <w:szCs w:val="14"/>
                <w:lang w:eastAsia="lv-LV"/>
              </w:rPr>
            </w:pPr>
            <w:r w:rsidRPr="0086601B">
              <w:rPr>
                <w:sz w:val="14"/>
                <w:szCs w:val="14"/>
                <w:lang w:eastAsia="lv-LV"/>
              </w:rPr>
              <w:t>1)</w:t>
            </w:r>
          </w:p>
        </w:tc>
        <w:tc>
          <w:tcPr>
            <w:tcW w:w="2256" w:type="dxa"/>
            <w:tcBorders>
              <w:right w:val="double" w:sz="4" w:space="0" w:color="auto"/>
            </w:tcBorders>
            <w:shd w:val="clear" w:color="000000" w:fill="FFFFFF"/>
            <w:vAlign w:val="center"/>
            <w:hideMark/>
          </w:tcPr>
          <w:p w:rsidR="00386C4A" w:rsidRPr="0086601B" w:rsidRDefault="00386C4A" w:rsidP="00EF70AE">
            <w:pPr>
              <w:outlineLvl w:val="0"/>
              <w:rPr>
                <w:sz w:val="14"/>
                <w:szCs w:val="14"/>
                <w:lang w:eastAsia="lv-LV"/>
              </w:rPr>
            </w:pPr>
            <w:r w:rsidRPr="0086601B">
              <w:rPr>
                <w:sz w:val="14"/>
                <w:szCs w:val="14"/>
                <w:lang w:eastAsia="lv-LV"/>
              </w:rPr>
              <w:t>Pirms projekta izpēte;</w:t>
            </w:r>
          </w:p>
        </w:tc>
        <w:tc>
          <w:tcPr>
            <w:tcW w:w="992" w:type="dxa"/>
            <w:tcBorders>
              <w:left w:val="double" w:sz="4" w:space="0" w:color="auto"/>
              <w:right w:val="double" w:sz="4" w:space="0" w:color="auto"/>
            </w:tcBorders>
            <w:shd w:val="clear" w:color="000000" w:fill="F2F2F2" w:themeFill="background1" w:themeFillShade="F2"/>
            <w:vAlign w:val="center"/>
            <w:hideMark/>
          </w:tcPr>
          <w:p w:rsidR="00386C4A" w:rsidRPr="0086601B" w:rsidRDefault="00386C4A" w:rsidP="00EF70AE">
            <w:pPr>
              <w:ind w:left="-109" w:right="-105"/>
              <w:jc w:val="center"/>
              <w:outlineLvl w:val="0"/>
              <w:rPr>
                <w:b/>
                <w:sz w:val="14"/>
                <w:szCs w:val="14"/>
                <w:lang w:eastAsia="lv-LV"/>
              </w:rPr>
            </w:pPr>
            <w:r w:rsidRPr="0086601B">
              <w:rPr>
                <w:b/>
                <w:sz w:val="14"/>
                <w:szCs w:val="14"/>
                <w:lang w:eastAsia="lv-LV"/>
              </w:rPr>
              <w:t>46 657</w:t>
            </w:r>
          </w:p>
        </w:tc>
        <w:tc>
          <w:tcPr>
            <w:tcW w:w="851" w:type="dxa"/>
            <w:tcBorders>
              <w:left w:val="double" w:sz="4" w:space="0" w:color="auto"/>
            </w:tcBorders>
            <w:shd w:val="clear" w:color="000000" w:fill="FFFFFF"/>
            <w:vAlign w:val="center"/>
            <w:hideMark/>
          </w:tcPr>
          <w:p w:rsidR="00386C4A" w:rsidRPr="0086601B" w:rsidRDefault="00386C4A" w:rsidP="00EF70AE">
            <w:pPr>
              <w:ind w:left="-109" w:right="-105"/>
              <w:jc w:val="center"/>
              <w:outlineLvl w:val="0"/>
              <w:rPr>
                <w:sz w:val="14"/>
                <w:szCs w:val="14"/>
                <w:lang w:eastAsia="lv-LV"/>
              </w:rPr>
            </w:pPr>
            <w:r w:rsidRPr="0086601B">
              <w:rPr>
                <w:sz w:val="14"/>
                <w:szCs w:val="14"/>
                <w:lang w:eastAsia="lv-LV"/>
              </w:rPr>
              <w:t>46 657</w:t>
            </w:r>
          </w:p>
        </w:tc>
        <w:tc>
          <w:tcPr>
            <w:tcW w:w="850" w:type="dxa"/>
            <w:shd w:val="clear" w:color="000000" w:fill="FFFFFF"/>
            <w:vAlign w:val="center"/>
            <w:hideMark/>
          </w:tcPr>
          <w:p w:rsidR="00386C4A" w:rsidRPr="0086601B" w:rsidRDefault="00386C4A" w:rsidP="00EF70AE">
            <w:pPr>
              <w:ind w:left="-109" w:right="-105"/>
              <w:jc w:val="center"/>
              <w:outlineLvl w:val="0"/>
              <w:rPr>
                <w:sz w:val="14"/>
                <w:szCs w:val="14"/>
                <w:lang w:eastAsia="lv-LV"/>
              </w:rPr>
            </w:pPr>
          </w:p>
        </w:tc>
        <w:tc>
          <w:tcPr>
            <w:tcW w:w="850" w:type="dxa"/>
            <w:shd w:val="clear" w:color="000000" w:fill="FFFFFF"/>
            <w:vAlign w:val="center"/>
            <w:hideMark/>
          </w:tcPr>
          <w:p w:rsidR="00386C4A" w:rsidRPr="0086601B" w:rsidRDefault="00386C4A" w:rsidP="00EF70AE">
            <w:pPr>
              <w:ind w:left="-109" w:right="-105"/>
              <w:jc w:val="center"/>
              <w:outlineLvl w:val="0"/>
              <w:rPr>
                <w:sz w:val="14"/>
                <w:szCs w:val="14"/>
                <w:lang w:eastAsia="lv-LV"/>
              </w:rPr>
            </w:pPr>
          </w:p>
        </w:tc>
        <w:tc>
          <w:tcPr>
            <w:tcW w:w="851" w:type="dxa"/>
            <w:shd w:val="clear" w:color="000000" w:fill="FFFFFF"/>
            <w:vAlign w:val="center"/>
            <w:hideMark/>
          </w:tcPr>
          <w:p w:rsidR="00386C4A" w:rsidRPr="0086601B" w:rsidRDefault="00386C4A" w:rsidP="00EF70AE">
            <w:pPr>
              <w:ind w:left="-109" w:right="-105"/>
              <w:jc w:val="center"/>
              <w:outlineLvl w:val="0"/>
              <w:rPr>
                <w:sz w:val="14"/>
                <w:szCs w:val="14"/>
                <w:lang w:eastAsia="lv-LV"/>
              </w:rPr>
            </w:pPr>
          </w:p>
        </w:tc>
        <w:tc>
          <w:tcPr>
            <w:tcW w:w="850" w:type="dxa"/>
            <w:shd w:val="clear" w:color="000000" w:fill="FFFFFF"/>
            <w:vAlign w:val="center"/>
            <w:hideMark/>
          </w:tcPr>
          <w:p w:rsidR="00386C4A" w:rsidRPr="0086601B" w:rsidRDefault="00386C4A" w:rsidP="00EF70AE">
            <w:pPr>
              <w:ind w:left="-109" w:right="-105"/>
              <w:jc w:val="center"/>
              <w:outlineLvl w:val="0"/>
              <w:rPr>
                <w:sz w:val="14"/>
                <w:szCs w:val="14"/>
                <w:lang w:eastAsia="lv-LV"/>
              </w:rPr>
            </w:pPr>
          </w:p>
        </w:tc>
        <w:tc>
          <w:tcPr>
            <w:tcW w:w="719" w:type="dxa"/>
            <w:shd w:val="clear" w:color="000000" w:fill="FFFFFF"/>
            <w:vAlign w:val="center"/>
            <w:hideMark/>
          </w:tcPr>
          <w:p w:rsidR="00386C4A" w:rsidRPr="0086601B" w:rsidRDefault="00386C4A" w:rsidP="00EF70AE">
            <w:pPr>
              <w:ind w:left="-109" w:right="-105"/>
              <w:jc w:val="center"/>
              <w:outlineLvl w:val="0"/>
              <w:rPr>
                <w:sz w:val="14"/>
                <w:szCs w:val="14"/>
                <w:lang w:eastAsia="lv-LV"/>
              </w:rPr>
            </w:pPr>
          </w:p>
        </w:tc>
      </w:tr>
      <w:tr w:rsidR="00386C4A" w:rsidRPr="0086601B" w:rsidTr="00FE4FAC">
        <w:trPr>
          <w:trHeight w:val="96"/>
        </w:trPr>
        <w:tc>
          <w:tcPr>
            <w:tcW w:w="296" w:type="dxa"/>
            <w:shd w:val="clear" w:color="000000" w:fill="FFFFFF"/>
            <w:vAlign w:val="center"/>
            <w:hideMark/>
          </w:tcPr>
          <w:p w:rsidR="00386C4A" w:rsidRPr="0086601B" w:rsidRDefault="00386C4A" w:rsidP="00386C4A">
            <w:pPr>
              <w:ind w:left="-103" w:right="-120"/>
              <w:jc w:val="center"/>
              <w:outlineLvl w:val="0"/>
              <w:rPr>
                <w:sz w:val="14"/>
                <w:szCs w:val="14"/>
                <w:lang w:eastAsia="lv-LV"/>
              </w:rPr>
            </w:pPr>
            <w:r w:rsidRPr="0086601B">
              <w:rPr>
                <w:sz w:val="14"/>
                <w:szCs w:val="14"/>
                <w:lang w:eastAsia="lv-LV"/>
              </w:rPr>
              <w:t>2)</w:t>
            </w:r>
          </w:p>
        </w:tc>
        <w:tc>
          <w:tcPr>
            <w:tcW w:w="2256" w:type="dxa"/>
            <w:tcBorders>
              <w:right w:val="double" w:sz="4" w:space="0" w:color="auto"/>
            </w:tcBorders>
            <w:shd w:val="clear" w:color="000000" w:fill="FFFFFF"/>
            <w:vAlign w:val="center"/>
            <w:hideMark/>
          </w:tcPr>
          <w:p w:rsidR="00386C4A" w:rsidRPr="0086601B" w:rsidRDefault="00386C4A" w:rsidP="00EF70AE">
            <w:pPr>
              <w:outlineLvl w:val="0"/>
              <w:rPr>
                <w:sz w:val="14"/>
                <w:szCs w:val="14"/>
                <w:lang w:eastAsia="lv-LV"/>
              </w:rPr>
            </w:pPr>
            <w:r w:rsidRPr="0086601B">
              <w:rPr>
                <w:sz w:val="14"/>
                <w:szCs w:val="14"/>
                <w:lang w:eastAsia="lv-LV"/>
              </w:rPr>
              <w:t>Tehniskā projekta izstrāde;</w:t>
            </w:r>
          </w:p>
        </w:tc>
        <w:tc>
          <w:tcPr>
            <w:tcW w:w="992" w:type="dxa"/>
            <w:tcBorders>
              <w:left w:val="double" w:sz="4" w:space="0" w:color="auto"/>
              <w:right w:val="double" w:sz="4" w:space="0" w:color="auto"/>
            </w:tcBorders>
            <w:shd w:val="clear" w:color="000000" w:fill="F2F2F2" w:themeFill="background1" w:themeFillShade="F2"/>
            <w:vAlign w:val="center"/>
            <w:hideMark/>
          </w:tcPr>
          <w:p w:rsidR="00386C4A" w:rsidRPr="0086601B" w:rsidRDefault="00386C4A" w:rsidP="00EF70AE">
            <w:pPr>
              <w:ind w:left="-109" w:right="-105"/>
              <w:jc w:val="center"/>
              <w:outlineLvl w:val="0"/>
              <w:rPr>
                <w:b/>
                <w:sz w:val="14"/>
                <w:szCs w:val="14"/>
                <w:lang w:eastAsia="lv-LV"/>
              </w:rPr>
            </w:pPr>
            <w:r w:rsidRPr="0086601B">
              <w:rPr>
                <w:b/>
                <w:sz w:val="14"/>
                <w:szCs w:val="14"/>
                <w:lang w:eastAsia="lv-LV"/>
              </w:rPr>
              <w:t>50 068</w:t>
            </w:r>
          </w:p>
        </w:tc>
        <w:tc>
          <w:tcPr>
            <w:tcW w:w="851" w:type="dxa"/>
            <w:tcBorders>
              <w:left w:val="double" w:sz="4" w:space="0" w:color="auto"/>
            </w:tcBorders>
            <w:shd w:val="clear" w:color="000000" w:fill="FFFFFF"/>
            <w:vAlign w:val="center"/>
            <w:hideMark/>
          </w:tcPr>
          <w:p w:rsidR="00386C4A" w:rsidRPr="0086601B" w:rsidRDefault="00386C4A" w:rsidP="00EF70AE">
            <w:pPr>
              <w:ind w:left="-109" w:right="-105"/>
              <w:jc w:val="center"/>
              <w:outlineLvl w:val="0"/>
              <w:rPr>
                <w:sz w:val="14"/>
                <w:szCs w:val="14"/>
                <w:lang w:eastAsia="lv-LV"/>
              </w:rPr>
            </w:pPr>
            <w:r w:rsidRPr="0086601B">
              <w:rPr>
                <w:sz w:val="14"/>
                <w:szCs w:val="14"/>
                <w:lang w:eastAsia="lv-LV"/>
              </w:rPr>
              <w:t>68</w:t>
            </w:r>
          </w:p>
        </w:tc>
        <w:tc>
          <w:tcPr>
            <w:tcW w:w="850" w:type="dxa"/>
            <w:shd w:val="clear" w:color="000000" w:fill="FFFFFF"/>
            <w:vAlign w:val="center"/>
            <w:hideMark/>
          </w:tcPr>
          <w:p w:rsidR="00386C4A" w:rsidRPr="0086601B" w:rsidRDefault="00386C4A" w:rsidP="00EF70AE">
            <w:pPr>
              <w:ind w:left="-109" w:right="-105"/>
              <w:jc w:val="center"/>
              <w:outlineLvl w:val="0"/>
              <w:rPr>
                <w:sz w:val="14"/>
                <w:szCs w:val="14"/>
                <w:lang w:eastAsia="lv-LV"/>
              </w:rPr>
            </w:pPr>
          </w:p>
        </w:tc>
        <w:tc>
          <w:tcPr>
            <w:tcW w:w="850" w:type="dxa"/>
            <w:shd w:val="clear" w:color="000000" w:fill="FFFFFF"/>
            <w:vAlign w:val="center"/>
            <w:hideMark/>
          </w:tcPr>
          <w:p w:rsidR="00386C4A" w:rsidRPr="0086601B" w:rsidRDefault="00386C4A" w:rsidP="00EF70AE">
            <w:pPr>
              <w:ind w:left="-109" w:right="-105"/>
              <w:jc w:val="center"/>
              <w:outlineLvl w:val="0"/>
              <w:rPr>
                <w:sz w:val="14"/>
                <w:szCs w:val="14"/>
                <w:lang w:eastAsia="lv-LV"/>
              </w:rPr>
            </w:pPr>
            <w:r w:rsidRPr="0086601B">
              <w:rPr>
                <w:sz w:val="14"/>
                <w:szCs w:val="14"/>
                <w:lang w:eastAsia="lv-LV"/>
              </w:rPr>
              <w:t>11 111</w:t>
            </w:r>
          </w:p>
        </w:tc>
        <w:tc>
          <w:tcPr>
            <w:tcW w:w="851" w:type="dxa"/>
            <w:shd w:val="clear" w:color="000000" w:fill="FFFFFF"/>
            <w:vAlign w:val="center"/>
            <w:hideMark/>
          </w:tcPr>
          <w:p w:rsidR="00386C4A" w:rsidRPr="0086601B" w:rsidRDefault="00386C4A" w:rsidP="00EF70AE">
            <w:pPr>
              <w:ind w:left="-109" w:right="-105"/>
              <w:jc w:val="center"/>
              <w:outlineLvl w:val="0"/>
              <w:rPr>
                <w:sz w:val="14"/>
                <w:szCs w:val="14"/>
                <w:lang w:eastAsia="lv-LV"/>
              </w:rPr>
            </w:pPr>
            <w:r w:rsidRPr="0086601B">
              <w:rPr>
                <w:sz w:val="14"/>
                <w:szCs w:val="14"/>
                <w:lang w:eastAsia="lv-LV"/>
              </w:rPr>
              <w:t>33 333</w:t>
            </w:r>
          </w:p>
        </w:tc>
        <w:tc>
          <w:tcPr>
            <w:tcW w:w="850" w:type="dxa"/>
            <w:shd w:val="clear" w:color="000000" w:fill="FFFFFF"/>
            <w:vAlign w:val="center"/>
            <w:hideMark/>
          </w:tcPr>
          <w:p w:rsidR="00386C4A" w:rsidRPr="0086601B" w:rsidRDefault="00386C4A" w:rsidP="00EF70AE">
            <w:pPr>
              <w:ind w:left="-109" w:right="-105"/>
              <w:jc w:val="center"/>
              <w:outlineLvl w:val="0"/>
              <w:rPr>
                <w:sz w:val="14"/>
                <w:szCs w:val="14"/>
                <w:lang w:eastAsia="lv-LV"/>
              </w:rPr>
            </w:pPr>
            <w:r w:rsidRPr="0086601B">
              <w:rPr>
                <w:sz w:val="14"/>
                <w:szCs w:val="14"/>
                <w:lang w:eastAsia="lv-LV"/>
              </w:rPr>
              <w:t>5 556</w:t>
            </w:r>
          </w:p>
        </w:tc>
        <w:tc>
          <w:tcPr>
            <w:tcW w:w="719" w:type="dxa"/>
            <w:shd w:val="clear" w:color="000000" w:fill="FFFFFF"/>
            <w:vAlign w:val="center"/>
            <w:hideMark/>
          </w:tcPr>
          <w:p w:rsidR="00386C4A" w:rsidRPr="0086601B" w:rsidRDefault="00386C4A" w:rsidP="00EF70AE">
            <w:pPr>
              <w:ind w:left="-109" w:right="-105"/>
              <w:jc w:val="center"/>
              <w:outlineLvl w:val="0"/>
              <w:rPr>
                <w:sz w:val="14"/>
                <w:szCs w:val="14"/>
                <w:lang w:eastAsia="lv-LV"/>
              </w:rPr>
            </w:pPr>
          </w:p>
        </w:tc>
      </w:tr>
      <w:tr w:rsidR="00386C4A" w:rsidRPr="0086601B" w:rsidTr="00386C4A">
        <w:trPr>
          <w:trHeight w:val="96"/>
        </w:trPr>
        <w:tc>
          <w:tcPr>
            <w:tcW w:w="296" w:type="dxa"/>
            <w:tcBorders>
              <w:bottom w:val="single" w:sz="4" w:space="0" w:color="auto"/>
            </w:tcBorders>
            <w:shd w:val="clear" w:color="000000" w:fill="FFFFFF"/>
            <w:vAlign w:val="center"/>
            <w:hideMark/>
          </w:tcPr>
          <w:p w:rsidR="00386C4A" w:rsidRPr="0086601B" w:rsidRDefault="00386C4A" w:rsidP="00386C4A">
            <w:pPr>
              <w:ind w:left="-103" w:right="-120"/>
              <w:jc w:val="center"/>
              <w:outlineLvl w:val="0"/>
              <w:rPr>
                <w:sz w:val="14"/>
                <w:szCs w:val="14"/>
                <w:lang w:eastAsia="lv-LV"/>
              </w:rPr>
            </w:pPr>
            <w:r w:rsidRPr="0086601B">
              <w:rPr>
                <w:sz w:val="14"/>
                <w:szCs w:val="14"/>
                <w:lang w:eastAsia="lv-LV"/>
              </w:rPr>
              <w:t>3)</w:t>
            </w:r>
          </w:p>
        </w:tc>
        <w:tc>
          <w:tcPr>
            <w:tcW w:w="2256" w:type="dxa"/>
            <w:tcBorders>
              <w:bottom w:val="single" w:sz="4" w:space="0" w:color="auto"/>
              <w:right w:val="double" w:sz="4" w:space="0" w:color="auto"/>
            </w:tcBorders>
            <w:shd w:val="clear" w:color="000000" w:fill="FFFFFF"/>
            <w:vAlign w:val="center"/>
            <w:hideMark/>
          </w:tcPr>
          <w:p w:rsidR="00386C4A" w:rsidRPr="0086601B" w:rsidRDefault="00386C4A" w:rsidP="00EF70AE">
            <w:pPr>
              <w:outlineLvl w:val="0"/>
              <w:rPr>
                <w:sz w:val="14"/>
                <w:szCs w:val="14"/>
                <w:lang w:eastAsia="lv-LV"/>
              </w:rPr>
            </w:pPr>
            <w:r w:rsidRPr="0086601B">
              <w:rPr>
                <w:sz w:val="14"/>
                <w:szCs w:val="14"/>
                <w:lang w:eastAsia="lv-LV"/>
              </w:rPr>
              <w:t>Tehniskā projekta ekspertīze;</w:t>
            </w:r>
          </w:p>
        </w:tc>
        <w:tc>
          <w:tcPr>
            <w:tcW w:w="992" w:type="dxa"/>
            <w:tcBorders>
              <w:left w:val="double" w:sz="4" w:space="0" w:color="auto"/>
              <w:bottom w:val="single" w:sz="4" w:space="0" w:color="auto"/>
              <w:right w:val="double" w:sz="4" w:space="0" w:color="auto"/>
            </w:tcBorders>
            <w:shd w:val="clear" w:color="000000" w:fill="F2F2F2" w:themeFill="background1" w:themeFillShade="F2"/>
            <w:vAlign w:val="center"/>
            <w:hideMark/>
          </w:tcPr>
          <w:p w:rsidR="00386C4A" w:rsidRPr="0086601B" w:rsidRDefault="00386C4A" w:rsidP="00EF70AE">
            <w:pPr>
              <w:ind w:left="-109" w:right="-105"/>
              <w:jc w:val="center"/>
              <w:outlineLvl w:val="0"/>
              <w:rPr>
                <w:b/>
                <w:sz w:val="14"/>
                <w:szCs w:val="14"/>
                <w:lang w:eastAsia="lv-LV"/>
              </w:rPr>
            </w:pPr>
            <w:r w:rsidRPr="0086601B">
              <w:rPr>
                <w:b/>
                <w:sz w:val="14"/>
                <w:szCs w:val="14"/>
                <w:lang w:eastAsia="lv-LV"/>
              </w:rPr>
              <w:t>0</w:t>
            </w:r>
          </w:p>
        </w:tc>
        <w:tc>
          <w:tcPr>
            <w:tcW w:w="851" w:type="dxa"/>
            <w:tcBorders>
              <w:left w:val="double" w:sz="4" w:space="0" w:color="auto"/>
              <w:bottom w:val="single" w:sz="4" w:space="0" w:color="auto"/>
            </w:tcBorders>
            <w:shd w:val="clear" w:color="000000" w:fill="FFFFFF"/>
            <w:vAlign w:val="center"/>
            <w:hideMark/>
          </w:tcPr>
          <w:p w:rsidR="00386C4A" w:rsidRPr="0086601B" w:rsidRDefault="00386C4A" w:rsidP="00EF70AE">
            <w:pPr>
              <w:ind w:left="-109" w:right="-105"/>
              <w:jc w:val="center"/>
              <w:outlineLvl w:val="0"/>
              <w:rPr>
                <w:sz w:val="14"/>
                <w:szCs w:val="14"/>
                <w:lang w:eastAsia="lv-LV"/>
              </w:rPr>
            </w:pPr>
          </w:p>
        </w:tc>
        <w:tc>
          <w:tcPr>
            <w:tcW w:w="850" w:type="dxa"/>
            <w:tcBorders>
              <w:bottom w:val="single" w:sz="4" w:space="0" w:color="auto"/>
            </w:tcBorders>
            <w:shd w:val="clear" w:color="000000" w:fill="FFFFFF"/>
            <w:vAlign w:val="center"/>
            <w:hideMark/>
          </w:tcPr>
          <w:p w:rsidR="00386C4A" w:rsidRPr="0086601B" w:rsidRDefault="00386C4A" w:rsidP="00EF70AE">
            <w:pPr>
              <w:ind w:left="-109" w:right="-105"/>
              <w:jc w:val="center"/>
              <w:outlineLvl w:val="0"/>
              <w:rPr>
                <w:sz w:val="14"/>
                <w:szCs w:val="14"/>
                <w:lang w:eastAsia="lv-LV"/>
              </w:rPr>
            </w:pPr>
          </w:p>
        </w:tc>
        <w:tc>
          <w:tcPr>
            <w:tcW w:w="850" w:type="dxa"/>
            <w:tcBorders>
              <w:bottom w:val="single" w:sz="4" w:space="0" w:color="auto"/>
            </w:tcBorders>
            <w:shd w:val="clear" w:color="000000" w:fill="FFFFFF"/>
            <w:vAlign w:val="center"/>
            <w:hideMark/>
          </w:tcPr>
          <w:p w:rsidR="00386C4A" w:rsidRPr="0086601B" w:rsidRDefault="00386C4A" w:rsidP="00EF70AE">
            <w:pPr>
              <w:ind w:left="-109" w:right="-105"/>
              <w:jc w:val="center"/>
              <w:outlineLvl w:val="0"/>
              <w:rPr>
                <w:sz w:val="14"/>
                <w:szCs w:val="14"/>
                <w:lang w:eastAsia="lv-LV"/>
              </w:rPr>
            </w:pPr>
          </w:p>
        </w:tc>
        <w:tc>
          <w:tcPr>
            <w:tcW w:w="851" w:type="dxa"/>
            <w:tcBorders>
              <w:bottom w:val="single" w:sz="4" w:space="0" w:color="auto"/>
            </w:tcBorders>
            <w:shd w:val="clear" w:color="000000" w:fill="FFFFFF"/>
            <w:vAlign w:val="center"/>
            <w:hideMark/>
          </w:tcPr>
          <w:p w:rsidR="00386C4A" w:rsidRPr="0086601B" w:rsidRDefault="00386C4A" w:rsidP="00EF70AE">
            <w:pPr>
              <w:ind w:left="-109" w:right="-105"/>
              <w:jc w:val="center"/>
              <w:outlineLvl w:val="0"/>
              <w:rPr>
                <w:sz w:val="14"/>
                <w:szCs w:val="14"/>
                <w:lang w:eastAsia="lv-LV"/>
              </w:rPr>
            </w:pPr>
          </w:p>
        </w:tc>
        <w:tc>
          <w:tcPr>
            <w:tcW w:w="850" w:type="dxa"/>
            <w:tcBorders>
              <w:bottom w:val="single" w:sz="4" w:space="0" w:color="auto"/>
            </w:tcBorders>
            <w:shd w:val="clear" w:color="000000" w:fill="FFFFFF"/>
            <w:vAlign w:val="center"/>
            <w:hideMark/>
          </w:tcPr>
          <w:p w:rsidR="00386C4A" w:rsidRPr="0086601B" w:rsidRDefault="00386C4A" w:rsidP="00EF70AE">
            <w:pPr>
              <w:ind w:left="-109" w:right="-105"/>
              <w:jc w:val="center"/>
              <w:outlineLvl w:val="0"/>
              <w:rPr>
                <w:sz w:val="14"/>
                <w:szCs w:val="14"/>
                <w:lang w:eastAsia="lv-LV"/>
              </w:rPr>
            </w:pPr>
          </w:p>
        </w:tc>
        <w:tc>
          <w:tcPr>
            <w:tcW w:w="719" w:type="dxa"/>
            <w:tcBorders>
              <w:bottom w:val="single" w:sz="4" w:space="0" w:color="auto"/>
            </w:tcBorders>
            <w:shd w:val="clear" w:color="000000" w:fill="FFFFFF"/>
            <w:vAlign w:val="center"/>
            <w:hideMark/>
          </w:tcPr>
          <w:p w:rsidR="00386C4A" w:rsidRPr="0086601B" w:rsidRDefault="00386C4A" w:rsidP="00EF70AE">
            <w:pPr>
              <w:ind w:left="-109" w:right="-105"/>
              <w:jc w:val="center"/>
              <w:outlineLvl w:val="0"/>
              <w:rPr>
                <w:sz w:val="14"/>
                <w:szCs w:val="14"/>
                <w:lang w:eastAsia="lv-LV"/>
              </w:rPr>
            </w:pPr>
          </w:p>
        </w:tc>
      </w:tr>
      <w:tr w:rsidR="00386C4A" w:rsidRPr="0086601B" w:rsidTr="00386C4A">
        <w:trPr>
          <w:trHeight w:val="96"/>
        </w:trPr>
        <w:tc>
          <w:tcPr>
            <w:tcW w:w="296" w:type="dxa"/>
            <w:tcBorders>
              <w:top w:val="single" w:sz="4" w:space="0" w:color="auto"/>
              <w:bottom w:val="single" w:sz="4" w:space="0" w:color="auto"/>
            </w:tcBorders>
            <w:shd w:val="clear" w:color="000000" w:fill="FFFFFF"/>
            <w:vAlign w:val="center"/>
            <w:hideMark/>
          </w:tcPr>
          <w:p w:rsidR="00386C4A" w:rsidRPr="0086601B" w:rsidRDefault="00386C4A" w:rsidP="00386C4A">
            <w:pPr>
              <w:ind w:left="-103" w:right="-120"/>
              <w:jc w:val="center"/>
              <w:outlineLvl w:val="0"/>
              <w:rPr>
                <w:b/>
                <w:color w:val="320000"/>
                <w:sz w:val="14"/>
                <w:szCs w:val="14"/>
                <w:lang w:eastAsia="lv-LV"/>
              </w:rPr>
            </w:pPr>
            <w:r w:rsidRPr="0086601B">
              <w:rPr>
                <w:b/>
                <w:color w:val="320000"/>
                <w:sz w:val="14"/>
                <w:szCs w:val="14"/>
                <w:lang w:eastAsia="lv-LV"/>
              </w:rPr>
              <w:t>4)</w:t>
            </w:r>
          </w:p>
        </w:tc>
        <w:tc>
          <w:tcPr>
            <w:tcW w:w="2256" w:type="dxa"/>
            <w:tcBorders>
              <w:top w:val="single" w:sz="4" w:space="0" w:color="auto"/>
              <w:bottom w:val="single" w:sz="4" w:space="0" w:color="auto"/>
              <w:right w:val="double" w:sz="4" w:space="0" w:color="auto"/>
            </w:tcBorders>
            <w:shd w:val="clear" w:color="000000" w:fill="FFFFFF"/>
            <w:vAlign w:val="center"/>
            <w:hideMark/>
          </w:tcPr>
          <w:p w:rsidR="00386C4A" w:rsidRPr="0086601B" w:rsidRDefault="00386C4A" w:rsidP="00EF70AE">
            <w:pPr>
              <w:outlineLvl w:val="0"/>
              <w:rPr>
                <w:b/>
                <w:color w:val="320000"/>
                <w:sz w:val="14"/>
                <w:szCs w:val="14"/>
                <w:lang w:eastAsia="lv-LV"/>
              </w:rPr>
            </w:pPr>
            <w:r w:rsidRPr="0086601B">
              <w:rPr>
                <w:b/>
                <w:color w:val="320000"/>
                <w:sz w:val="14"/>
                <w:szCs w:val="14"/>
                <w:lang w:eastAsia="lv-LV"/>
              </w:rPr>
              <w:t>Būvniecības darbi;</w:t>
            </w:r>
          </w:p>
        </w:tc>
        <w:tc>
          <w:tcPr>
            <w:tcW w:w="992" w:type="dxa"/>
            <w:tcBorders>
              <w:top w:val="single" w:sz="4" w:space="0" w:color="auto"/>
              <w:left w:val="double" w:sz="4" w:space="0" w:color="auto"/>
              <w:bottom w:val="single" w:sz="4" w:space="0" w:color="auto"/>
              <w:right w:val="double" w:sz="4" w:space="0" w:color="auto"/>
            </w:tcBorders>
            <w:shd w:val="clear" w:color="000000" w:fill="F2F2F2" w:themeFill="background1" w:themeFillShade="F2"/>
            <w:vAlign w:val="center"/>
            <w:hideMark/>
          </w:tcPr>
          <w:p w:rsidR="00386C4A" w:rsidRPr="0086601B" w:rsidRDefault="00386C4A" w:rsidP="00EF70AE">
            <w:pPr>
              <w:ind w:left="-109" w:right="-105"/>
              <w:jc w:val="center"/>
              <w:outlineLvl w:val="0"/>
              <w:rPr>
                <w:b/>
                <w:color w:val="320000"/>
                <w:sz w:val="14"/>
                <w:szCs w:val="14"/>
                <w:lang w:eastAsia="lv-LV"/>
              </w:rPr>
            </w:pPr>
            <w:r w:rsidRPr="0086601B">
              <w:rPr>
                <w:b/>
                <w:color w:val="320000"/>
                <w:sz w:val="14"/>
                <w:szCs w:val="14"/>
                <w:lang w:eastAsia="lv-LV"/>
              </w:rPr>
              <w:t>900 000</w:t>
            </w:r>
          </w:p>
        </w:tc>
        <w:tc>
          <w:tcPr>
            <w:tcW w:w="851" w:type="dxa"/>
            <w:tcBorders>
              <w:top w:val="single" w:sz="4" w:space="0" w:color="auto"/>
              <w:left w:val="double" w:sz="4" w:space="0" w:color="auto"/>
              <w:bottom w:val="single" w:sz="4" w:space="0" w:color="auto"/>
            </w:tcBorders>
            <w:shd w:val="clear" w:color="000000" w:fill="FFFFFF"/>
            <w:vAlign w:val="center"/>
            <w:hideMark/>
          </w:tcPr>
          <w:p w:rsidR="00386C4A" w:rsidRPr="0086601B" w:rsidRDefault="00386C4A" w:rsidP="00EF70AE">
            <w:pPr>
              <w:ind w:left="-109" w:right="-105"/>
              <w:jc w:val="center"/>
              <w:outlineLvl w:val="0"/>
              <w:rPr>
                <w:b/>
                <w:color w:val="320000"/>
                <w:sz w:val="14"/>
                <w:szCs w:val="14"/>
                <w:lang w:eastAsia="lv-LV"/>
              </w:rPr>
            </w:pPr>
          </w:p>
        </w:tc>
        <w:tc>
          <w:tcPr>
            <w:tcW w:w="850" w:type="dxa"/>
            <w:tcBorders>
              <w:top w:val="single" w:sz="4" w:space="0" w:color="auto"/>
              <w:bottom w:val="single" w:sz="4" w:space="0" w:color="auto"/>
            </w:tcBorders>
            <w:shd w:val="clear" w:color="000000" w:fill="FFFFFF"/>
            <w:vAlign w:val="center"/>
            <w:hideMark/>
          </w:tcPr>
          <w:p w:rsidR="00386C4A" w:rsidRPr="0086601B" w:rsidRDefault="00386C4A" w:rsidP="00EF70AE">
            <w:pPr>
              <w:ind w:left="-109" w:right="-105"/>
              <w:jc w:val="center"/>
              <w:outlineLvl w:val="0"/>
              <w:rPr>
                <w:b/>
                <w:color w:val="320000"/>
                <w:sz w:val="14"/>
                <w:szCs w:val="14"/>
                <w:lang w:eastAsia="lv-LV"/>
              </w:rPr>
            </w:pPr>
          </w:p>
        </w:tc>
        <w:tc>
          <w:tcPr>
            <w:tcW w:w="850" w:type="dxa"/>
            <w:tcBorders>
              <w:top w:val="single" w:sz="4" w:space="0" w:color="auto"/>
              <w:bottom w:val="single" w:sz="4" w:space="0" w:color="auto"/>
            </w:tcBorders>
            <w:shd w:val="clear" w:color="000000" w:fill="FFFFFF"/>
            <w:vAlign w:val="center"/>
            <w:hideMark/>
          </w:tcPr>
          <w:p w:rsidR="00386C4A" w:rsidRPr="0086601B" w:rsidRDefault="00386C4A" w:rsidP="00EF70AE">
            <w:pPr>
              <w:ind w:left="-109" w:right="-105"/>
              <w:jc w:val="center"/>
              <w:outlineLvl w:val="0"/>
              <w:rPr>
                <w:b/>
                <w:color w:val="320000"/>
                <w:sz w:val="14"/>
                <w:szCs w:val="14"/>
                <w:lang w:eastAsia="lv-LV"/>
              </w:rPr>
            </w:pPr>
          </w:p>
        </w:tc>
        <w:tc>
          <w:tcPr>
            <w:tcW w:w="851" w:type="dxa"/>
            <w:tcBorders>
              <w:top w:val="single" w:sz="4" w:space="0" w:color="auto"/>
              <w:bottom w:val="single" w:sz="4" w:space="0" w:color="auto"/>
            </w:tcBorders>
            <w:shd w:val="clear" w:color="000000" w:fill="FFFFFF"/>
            <w:vAlign w:val="center"/>
            <w:hideMark/>
          </w:tcPr>
          <w:p w:rsidR="00386C4A" w:rsidRPr="0086601B" w:rsidRDefault="00386C4A" w:rsidP="00EF70AE">
            <w:pPr>
              <w:ind w:left="-109" w:right="-105"/>
              <w:jc w:val="center"/>
              <w:outlineLvl w:val="0"/>
              <w:rPr>
                <w:b/>
                <w:color w:val="320000"/>
                <w:sz w:val="14"/>
                <w:szCs w:val="14"/>
                <w:lang w:eastAsia="lv-LV"/>
              </w:rPr>
            </w:pPr>
          </w:p>
        </w:tc>
        <w:tc>
          <w:tcPr>
            <w:tcW w:w="850" w:type="dxa"/>
            <w:tcBorders>
              <w:top w:val="single" w:sz="4" w:space="0" w:color="auto"/>
              <w:bottom w:val="single" w:sz="4" w:space="0" w:color="auto"/>
            </w:tcBorders>
            <w:shd w:val="clear" w:color="000000" w:fill="FFFFFF"/>
            <w:vAlign w:val="center"/>
            <w:hideMark/>
          </w:tcPr>
          <w:p w:rsidR="00386C4A" w:rsidRPr="0086601B" w:rsidRDefault="00386C4A" w:rsidP="00EF70AE">
            <w:pPr>
              <w:ind w:left="-109" w:right="-105"/>
              <w:jc w:val="center"/>
              <w:outlineLvl w:val="0"/>
              <w:rPr>
                <w:b/>
                <w:color w:val="320000"/>
                <w:sz w:val="14"/>
                <w:szCs w:val="14"/>
                <w:lang w:eastAsia="lv-LV"/>
              </w:rPr>
            </w:pPr>
            <w:r w:rsidRPr="0086601B">
              <w:rPr>
                <w:b/>
                <w:color w:val="320000"/>
                <w:sz w:val="14"/>
                <w:szCs w:val="14"/>
                <w:lang w:eastAsia="lv-LV"/>
              </w:rPr>
              <w:t>180 000</w:t>
            </w:r>
          </w:p>
        </w:tc>
        <w:tc>
          <w:tcPr>
            <w:tcW w:w="719" w:type="dxa"/>
            <w:tcBorders>
              <w:top w:val="single" w:sz="4" w:space="0" w:color="auto"/>
              <w:bottom w:val="single" w:sz="4" w:space="0" w:color="auto"/>
            </w:tcBorders>
            <w:shd w:val="clear" w:color="000000" w:fill="FFFFFF"/>
            <w:vAlign w:val="center"/>
            <w:hideMark/>
          </w:tcPr>
          <w:p w:rsidR="00386C4A" w:rsidRPr="0086601B" w:rsidRDefault="00386C4A" w:rsidP="00EF70AE">
            <w:pPr>
              <w:ind w:left="-109" w:right="-105"/>
              <w:jc w:val="center"/>
              <w:outlineLvl w:val="0"/>
              <w:rPr>
                <w:b/>
                <w:color w:val="320000"/>
                <w:sz w:val="14"/>
                <w:szCs w:val="14"/>
                <w:lang w:eastAsia="lv-LV"/>
              </w:rPr>
            </w:pPr>
            <w:r w:rsidRPr="0086601B">
              <w:rPr>
                <w:b/>
                <w:color w:val="320000"/>
                <w:sz w:val="14"/>
                <w:szCs w:val="14"/>
                <w:lang w:eastAsia="lv-LV"/>
              </w:rPr>
              <w:t>720 000</w:t>
            </w:r>
          </w:p>
        </w:tc>
      </w:tr>
      <w:tr w:rsidR="00386C4A" w:rsidRPr="0086601B" w:rsidTr="00386C4A">
        <w:trPr>
          <w:trHeight w:val="96"/>
        </w:trPr>
        <w:tc>
          <w:tcPr>
            <w:tcW w:w="296" w:type="dxa"/>
            <w:tcBorders>
              <w:top w:val="single" w:sz="4" w:space="0" w:color="auto"/>
            </w:tcBorders>
            <w:shd w:val="clear" w:color="000000" w:fill="FFFFFF"/>
            <w:vAlign w:val="center"/>
            <w:hideMark/>
          </w:tcPr>
          <w:p w:rsidR="00386C4A" w:rsidRPr="0086601B" w:rsidRDefault="00386C4A" w:rsidP="00386C4A">
            <w:pPr>
              <w:ind w:left="-103" w:right="-120"/>
              <w:jc w:val="center"/>
              <w:outlineLvl w:val="0"/>
              <w:rPr>
                <w:sz w:val="14"/>
                <w:szCs w:val="14"/>
                <w:lang w:eastAsia="lv-LV"/>
              </w:rPr>
            </w:pPr>
            <w:r w:rsidRPr="0086601B">
              <w:rPr>
                <w:sz w:val="14"/>
                <w:szCs w:val="14"/>
                <w:lang w:eastAsia="lv-LV"/>
              </w:rPr>
              <w:t>5)</w:t>
            </w:r>
          </w:p>
        </w:tc>
        <w:tc>
          <w:tcPr>
            <w:tcW w:w="2256" w:type="dxa"/>
            <w:tcBorders>
              <w:top w:val="single" w:sz="4" w:space="0" w:color="auto"/>
              <w:right w:val="double" w:sz="4" w:space="0" w:color="auto"/>
            </w:tcBorders>
            <w:shd w:val="clear" w:color="000000" w:fill="FFFFFF"/>
            <w:vAlign w:val="center"/>
            <w:hideMark/>
          </w:tcPr>
          <w:p w:rsidR="00386C4A" w:rsidRPr="0086601B" w:rsidRDefault="00386C4A" w:rsidP="00EF70AE">
            <w:pPr>
              <w:outlineLvl w:val="0"/>
              <w:rPr>
                <w:sz w:val="14"/>
                <w:szCs w:val="14"/>
                <w:lang w:eastAsia="lv-LV"/>
              </w:rPr>
            </w:pPr>
            <w:r w:rsidRPr="0086601B">
              <w:rPr>
                <w:sz w:val="14"/>
                <w:szCs w:val="14"/>
                <w:lang w:eastAsia="lv-LV"/>
              </w:rPr>
              <w:t>Būvniecības tehniskā uzraudzība;</w:t>
            </w:r>
          </w:p>
        </w:tc>
        <w:tc>
          <w:tcPr>
            <w:tcW w:w="992" w:type="dxa"/>
            <w:tcBorders>
              <w:top w:val="single" w:sz="4" w:space="0" w:color="auto"/>
              <w:left w:val="double" w:sz="4" w:space="0" w:color="auto"/>
              <w:right w:val="double" w:sz="4" w:space="0" w:color="auto"/>
            </w:tcBorders>
            <w:shd w:val="clear" w:color="000000" w:fill="F2F2F2" w:themeFill="background1" w:themeFillShade="F2"/>
            <w:vAlign w:val="center"/>
            <w:hideMark/>
          </w:tcPr>
          <w:p w:rsidR="00386C4A" w:rsidRPr="0086601B" w:rsidRDefault="00386C4A" w:rsidP="00EF70AE">
            <w:pPr>
              <w:ind w:left="-109" w:right="-105"/>
              <w:jc w:val="center"/>
              <w:outlineLvl w:val="0"/>
              <w:rPr>
                <w:b/>
                <w:sz w:val="14"/>
                <w:szCs w:val="14"/>
                <w:lang w:eastAsia="lv-LV"/>
              </w:rPr>
            </w:pPr>
            <w:r w:rsidRPr="0086601B">
              <w:rPr>
                <w:b/>
                <w:sz w:val="14"/>
                <w:szCs w:val="14"/>
                <w:lang w:eastAsia="lv-LV"/>
              </w:rPr>
              <w:t>40 000</w:t>
            </w:r>
          </w:p>
        </w:tc>
        <w:tc>
          <w:tcPr>
            <w:tcW w:w="851" w:type="dxa"/>
            <w:tcBorders>
              <w:top w:val="single" w:sz="4" w:space="0" w:color="auto"/>
              <w:left w:val="double" w:sz="4" w:space="0" w:color="auto"/>
            </w:tcBorders>
            <w:shd w:val="clear" w:color="000000" w:fill="FFFFFF"/>
            <w:vAlign w:val="center"/>
            <w:hideMark/>
          </w:tcPr>
          <w:p w:rsidR="00386C4A" w:rsidRPr="0086601B" w:rsidRDefault="00386C4A" w:rsidP="00EF70AE">
            <w:pPr>
              <w:ind w:left="-109" w:right="-105"/>
              <w:jc w:val="center"/>
              <w:outlineLvl w:val="0"/>
              <w:rPr>
                <w:sz w:val="14"/>
                <w:szCs w:val="14"/>
                <w:lang w:eastAsia="lv-LV"/>
              </w:rPr>
            </w:pPr>
          </w:p>
        </w:tc>
        <w:tc>
          <w:tcPr>
            <w:tcW w:w="850" w:type="dxa"/>
            <w:tcBorders>
              <w:top w:val="single" w:sz="4" w:space="0" w:color="auto"/>
            </w:tcBorders>
            <w:shd w:val="clear" w:color="000000" w:fill="FFFFFF"/>
            <w:vAlign w:val="center"/>
            <w:hideMark/>
          </w:tcPr>
          <w:p w:rsidR="00386C4A" w:rsidRPr="0086601B" w:rsidRDefault="00386C4A" w:rsidP="00EF70AE">
            <w:pPr>
              <w:ind w:left="-109" w:right="-105"/>
              <w:jc w:val="center"/>
              <w:outlineLvl w:val="0"/>
              <w:rPr>
                <w:sz w:val="14"/>
                <w:szCs w:val="14"/>
                <w:lang w:eastAsia="lv-LV"/>
              </w:rPr>
            </w:pPr>
          </w:p>
        </w:tc>
        <w:tc>
          <w:tcPr>
            <w:tcW w:w="850" w:type="dxa"/>
            <w:tcBorders>
              <w:top w:val="single" w:sz="4" w:space="0" w:color="auto"/>
            </w:tcBorders>
            <w:shd w:val="clear" w:color="000000" w:fill="FFFFFF"/>
            <w:vAlign w:val="center"/>
            <w:hideMark/>
          </w:tcPr>
          <w:p w:rsidR="00386C4A" w:rsidRPr="0086601B" w:rsidRDefault="00386C4A" w:rsidP="00EF70AE">
            <w:pPr>
              <w:ind w:left="-109" w:right="-105"/>
              <w:jc w:val="center"/>
              <w:outlineLvl w:val="0"/>
              <w:rPr>
                <w:sz w:val="14"/>
                <w:szCs w:val="14"/>
                <w:lang w:eastAsia="lv-LV"/>
              </w:rPr>
            </w:pPr>
          </w:p>
        </w:tc>
        <w:tc>
          <w:tcPr>
            <w:tcW w:w="851" w:type="dxa"/>
            <w:tcBorders>
              <w:top w:val="single" w:sz="4" w:space="0" w:color="auto"/>
            </w:tcBorders>
            <w:shd w:val="clear" w:color="000000" w:fill="FFFFFF"/>
            <w:vAlign w:val="center"/>
            <w:hideMark/>
          </w:tcPr>
          <w:p w:rsidR="00386C4A" w:rsidRPr="0086601B" w:rsidRDefault="00386C4A" w:rsidP="00EF70AE">
            <w:pPr>
              <w:ind w:left="-109" w:right="-105"/>
              <w:jc w:val="center"/>
              <w:outlineLvl w:val="0"/>
              <w:rPr>
                <w:sz w:val="14"/>
                <w:szCs w:val="14"/>
                <w:lang w:eastAsia="lv-LV"/>
              </w:rPr>
            </w:pPr>
          </w:p>
        </w:tc>
        <w:tc>
          <w:tcPr>
            <w:tcW w:w="850" w:type="dxa"/>
            <w:tcBorders>
              <w:top w:val="single" w:sz="4" w:space="0" w:color="auto"/>
            </w:tcBorders>
            <w:shd w:val="clear" w:color="000000" w:fill="FFFFFF"/>
            <w:vAlign w:val="center"/>
            <w:hideMark/>
          </w:tcPr>
          <w:p w:rsidR="00386C4A" w:rsidRPr="0086601B" w:rsidRDefault="00386C4A" w:rsidP="00EF70AE">
            <w:pPr>
              <w:ind w:left="-109" w:right="-105"/>
              <w:jc w:val="center"/>
              <w:outlineLvl w:val="0"/>
              <w:rPr>
                <w:sz w:val="14"/>
                <w:szCs w:val="14"/>
                <w:lang w:eastAsia="lv-LV"/>
              </w:rPr>
            </w:pPr>
            <w:r w:rsidRPr="0086601B">
              <w:rPr>
                <w:sz w:val="14"/>
                <w:szCs w:val="14"/>
                <w:lang w:eastAsia="lv-LV"/>
              </w:rPr>
              <w:t>8 000</w:t>
            </w:r>
          </w:p>
        </w:tc>
        <w:tc>
          <w:tcPr>
            <w:tcW w:w="719" w:type="dxa"/>
            <w:tcBorders>
              <w:top w:val="single" w:sz="4" w:space="0" w:color="auto"/>
            </w:tcBorders>
            <w:shd w:val="clear" w:color="000000" w:fill="FFFFFF"/>
            <w:vAlign w:val="center"/>
            <w:hideMark/>
          </w:tcPr>
          <w:p w:rsidR="00386C4A" w:rsidRPr="0086601B" w:rsidRDefault="00386C4A" w:rsidP="00EF70AE">
            <w:pPr>
              <w:ind w:left="-109" w:right="-105"/>
              <w:jc w:val="center"/>
              <w:outlineLvl w:val="0"/>
              <w:rPr>
                <w:sz w:val="14"/>
                <w:szCs w:val="14"/>
                <w:lang w:eastAsia="lv-LV"/>
              </w:rPr>
            </w:pPr>
            <w:r w:rsidRPr="0086601B">
              <w:rPr>
                <w:sz w:val="14"/>
                <w:szCs w:val="14"/>
                <w:lang w:eastAsia="lv-LV"/>
              </w:rPr>
              <w:t>32 000</w:t>
            </w:r>
          </w:p>
        </w:tc>
      </w:tr>
      <w:tr w:rsidR="00386C4A" w:rsidRPr="0086601B" w:rsidTr="00FE4FAC">
        <w:trPr>
          <w:trHeight w:val="96"/>
        </w:trPr>
        <w:tc>
          <w:tcPr>
            <w:tcW w:w="296" w:type="dxa"/>
            <w:shd w:val="clear" w:color="000000" w:fill="FFFFFF"/>
            <w:vAlign w:val="center"/>
            <w:hideMark/>
          </w:tcPr>
          <w:p w:rsidR="00386C4A" w:rsidRPr="0086601B" w:rsidRDefault="00386C4A" w:rsidP="00386C4A">
            <w:pPr>
              <w:ind w:left="-103" w:right="-120"/>
              <w:jc w:val="center"/>
              <w:outlineLvl w:val="0"/>
              <w:rPr>
                <w:sz w:val="14"/>
                <w:szCs w:val="14"/>
                <w:lang w:eastAsia="lv-LV"/>
              </w:rPr>
            </w:pPr>
            <w:r w:rsidRPr="0086601B">
              <w:rPr>
                <w:sz w:val="14"/>
                <w:szCs w:val="14"/>
                <w:lang w:eastAsia="lv-LV"/>
              </w:rPr>
              <w:t>6)</w:t>
            </w:r>
          </w:p>
        </w:tc>
        <w:tc>
          <w:tcPr>
            <w:tcW w:w="2256" w:type="dxa"/>
            <w:tcBorders>
              <w:right w:val="double" w:sz="4" w:space="0" w:color="auto"/>
            </w:tcBorders>
            <w:shd w:val="clear" w:color="000000" w:fill="FFFFFF"/>
            <w:vAlign w:val="center"/>
            <w:hideMark/>
          </w:tcPr>
          <w:p w:rsidR="00386C4A" w:rsidRPr="0086601B" w:rsidRDefault="00386C4A" w:rsidP="00EF70AE">
            <w:pPr>
              <w:outlineLvl w:val="0"/>
              <w:rPr>
                <w:sz w:val="14"/>
                <w:szCs w:val="14"/>
                <w:lang w:eastAsia="lv-LV"/>
              </w:rPr>
            </w:pPr>
            <w:r w:rsidRPr="0086601B">
              <w:rPr>
                <w:sz w:val="14"/>
                <w:szCs w:val="14"/>
                <w:lang w:eastAsia="lv-LV"/>
              </w:rPr>
              <w:t>Būvniecības autoruzraudzība;</w:t>
            </w:r>
          </w:p>
        </w:tc>
        <w:tc>
          <w:tcPr>
            <w:tcW w:w="992" w:type="dxa"/>
            <w:tcBorders>
              <w:left w:val="double" w:sz="4" w:space="0" w:color="auto"/>
              <w:right w:val="double" w:sz="4" w:space="0" w:color="auto"/>
            </w:tcBorders>
            <w:shd w:val="clear" w:color="000000" w:fill="F2F2F2" w:themeFill="background1" w:themeFillShade="F2"/>
            <w:vAlign w:val="center"/>
            <w:hideMark/>
          </w:tcPr>
          <w:p w:rsidR="00386C4A" w:rsidRPr="0086601B" w:rsidRDefault="00386C4A" w:rsidP="00EF70AE">
            <w:pPr>
              <w:ind w:left="-109" w:right="-105"/>
              <w:jc w:val="center"/>
              <w:outlineLvl w:val="0"/>
              <w:rPr>
                <w:b/>
                <w:sz w:val="14"/>
                <w:szCs w:val="14"/>
                <w:lang w:eastAsia="lv-LV"/>
              </w:rPr>
            </w:pPr>
            <w:r w:rsidRPr="0086601B">
              <w:rPr>
                <w:b/>
                <w:sz w:val="14"/>
                <w:szCs w:val="14"/>
                <w:lang w:eastAsia="lv-LV"/>
              </w:rPr>
              <w:t>10 000</w:t>
            </w:r>
          </w:p>
        </w:tc>
        <w:tc>
          <w:tcPr>
            <w:tcW w:w="851" w:type="dxa"/>
            <w:tcBorders>
              <w:left w:val="double" w:sz="4" w:space="0" w:color="auto"/>
            </w:tcBorders>
            <w:shd w:val="clear" w:color="000000" w:fill="FFFFFF"/>
            <w:vAlign w:val="center"/>
            <w:hideMark/>
          </w:tcPr>
          <w:p w:rsidR="00386C4A" w:rsidRPr="0086601B" w:rsidRDefault="00386C4A" w:rsidP="00EF70AE">
            <w:pPr>
              <w:ind w:left="-109" w:right="-105"/>
              <w:jc w:val="center"/>
              <w:outlineLvl w:val="0"/>
              <w:rPr>
                <w:sz w:val="14"/>
                <w:szCs w:val="14"/>
                <w:lang w:eastAsia="lv-LV"/>
              </w:rPr>
            </w:pPr>
          </w:p>
        </w:tc>
        <w:tc>
          <w:tcPr>
            <w:tcW w:w="850" w:type="dxa"/>
            <w:shd w:val="clear" w:color="000000" w:fill="FFFFFF"/>
            <w:vAlign w:val="center"/>
            <w:hideMark/>
          </w:tcPr>
          <w:p w:rsidR="00386C4A" w:rsidRPr="0086601B" w:rsidRDefault="00386C4A" w:rsidP="00EF70AE">
            <w:pPr>
              <w:ind w:left="-109" w:right="-105"/>
              <w:jc w:val="center"/>
              <w:outlineLvl w:val="0"/>
              <w:rPr>
                <w:sz w:val="14"/>
                <w:szCs w:val="14"/>
                <w:lang w:eastAsia="lv-LV"/>
              </w:rPr>
            </w:pPr>
          </w:p>
        </w:tc>
        <w:tc>
          <w:tcPr>
            <w:tcW w:w="850" w:type="dxa"/>
            <w:shd w:val="clear" w:color="000000" w:fill="FFFFFF"/>
            <w:vAlign w:val="center"/>
            <w:hideMark/>
          </w:tcPr>
          <w:p w:rsidR="00386C4A" w:rsidRPr="0086601B" w:rsidRDefault="00386C4A" w:rsidP="00EF70AE">
            <w:pPr>
              <w:ind w:left="-109" w:right="-105"/>
              <w:jc w:val="center"/>
              <w:outlineLvl w:val="0"/>
              <w:rPr>
                <w:sz w:val="14"/>
                <w:szCs w:val="14"/>
                <w:lang w:eastAsia="lv-LV"/>
              </w:rPr>
            </w:pPr>
          </w:p>
        </w:tc>
        <w:tc>
          <w:tcPr>
            <w:tcW w:w="851" w:type="dxa"/>
            <w:shd w:val="clear" w:color="000000" w:fill="FFFFFF"/>
            <w:vAlign w:val="center"/>
            <w:hideMark/>
          </w:tcPr>
          <w:p w:rsidR="00386C4A" w:rsidRPr="0086601B" w:rsidRDefault="00386C4A" w:rsidP="00EF70AE">
            <w:pPr>
              <w:ind w:left="-109" w:right="-105"/>
              <w:jc w:val="center"/>
              <w:outlineLvl w:val="0"/>
              <w:rPr>
                <w:sz w:val="14"/>
                <w:szCs w:val="14"/>
                <w:lang w:eastAsia="lv-LV"/>
              </w:rPr>
            </w:pPr>
          </w:p>
        </w:tc>
        <w:tc>
          <w:tcPr>
            <w:tcW w:w="850" w:type="dxa"/>
            <w:shd w:val="clear" w:color="000000" w:fill="FFFFFF"/>
            <w:vAlign w:val="center"/>
            <w:hideMark/>
          </w:tcPr>
          <w:p w:rsidR="00386C4A" w:rsidRPr="0086601B" w:rsidRDefault="00386C4A" w:rsidP="00EF70AE">
            <w:pPr>
              <w:ind w:left="-109" w:right="-105"/>
              <w:jc w:val="center"/>
              <w:outlineLvl w:val="0"/>
              <w:rPr>
                <w:sz w:val="14"/>
                <w:szCs w:val="14"/>
                <w:lang w:eastAsia="lv-LV"/>
              </w:rPr>
            </w:pPr>
            <w:r w:rsidRPr="0086601B">
              <w:rPr>
                <w:sz w:val="14"/>
                <w:szCs w:val="14"/>
                <w:lang w:eastAsia="lv-LV"/>
              </w:rPr>
              <w:t>2 000</w:t>
            </w:r>
          </w:p>
        </w:tc>
        <w:tc>
          <w:tcPr>
            <w:tcW w:w="719" w:type="dxa"/>
            <w:shd w:val="clear" w:color="000000" w:fill="FFFFFF"/>
            <w:vAlign w:val="center"/>
            <w:hideMark/>
          </w:tcPr>
          <w:p w:rsidR="00386C4A" w:rsidRPr="0086601B" w:rsidRDefault="00386C4A" w:rsidP="00EF70AE">
            <w:pPr>
              <w:ind w:left="-109" w:right="-105"/>
              <w:jc w:val="center"/>
              <w:outlineLvl w:val="0"/>
              <w:rPr>
                <w:sz w:val="14"/>
                <w:szCs w:val="14"/>
                <w:lang w:eastAsia="lv-LV"/>
              </w:rPr>
            </w:pPr>
            <w:r w:rsidRPr="0086601B">
              <w:rPr>
                <w:sz w:val="14"/>
                <w:szCs w:val="14"/>
                <w:lang w:eastAsia="lv-LV"/>
              </w:rPr>
              <w:t>8 000</w:t>
            </w:r>
          </w:p>
        </w:tc>
      </w:tr>
      <w:tr w:rsidR="00386C4A" w:rsidRPr="0086601B" w:rsidTr="003A6BBC">
        <w:trPr>
          <w:trHeight w:val="96"/>
        </w:trPr>
        <w:tc>
          <w:tcPr>
            <w:tcW w:w="296" w:type="dxa"/>
            <w:tcBorders>
              <w:bottom w:val="dotted" w:sz="4" w:space="0" w:color="auto"/>
            </w:tcBorders>
            <w:shd w:val="clear" w:color="000000" w:fill="FFFFFF"/>
            <w:vAlign w:val="center"/>
            <w:hideMark/>
          </w:tcPr>
          <w:p w:rsidR="00386C4A" w:rsidRPr="0086601B" w:rsidRDefault="00386C4A" w:rsidP="00386C4A">
            <w:pPr>
              <w:ind w:left="-103" w:right="-120"/>
              <w:jc w:val="center"/>
              <w:outlineLvl w:val="0"/>
              <w:rPr>
                <w:sz w:val="14"/>
                <w:szCs w:val="14"/>
                <w:lang w:eastAsia="lv-LV"/>
              </w:rPr>
            </w:pPr>
            <w:r w:rsidRPr="0086601B">
              <w:rPr>
                <w:sz w:val="14"/>
                <w:szCs w:val="14"/>
                <w:lang w:eastAsia="lv-LV"/>
              </w:rPr>
              <w:t>7)</w:t>
            </w:r>
          </w:p>
        </w:tc>
        <w:tc>
          <w:tcPr>
            <w:tcW w:w="2256" w:type="dxa"/>
            <w:tcBorders>
              <w:bottom w:val="dotted" w:sz="4" w:space="0" w:color="auto"/>
              <w:right w:val="double" w:sz="4" w:space="0" w:color="auto"/>
            </w:tcBorders>
            <w:shd w:val="clear" w:color="000000" w:fill="FFFFFF"/>
            <w:vAlign w:val="center"/>
            <w:hideMark/>
          </w:tcPr>
          <w:p w:rsidR="00386C4A" w:rsidRPr="0086601B" w:rsidRDefault="00386C4A" w:rsidP="00EF70AE">
            <w:pPr>
              <w:outlineLvl w:val="0"/>
              <w:rPr>
                <w:sz w:val="14"/>
                <w:szCs w:val="14"/>
                <w:lang w:eastAsia="lv-LV"/>
              </w:rPr>
            </w:pPr>
            <w:r w:rsidRPr="0086601B">
              <w:rPr>
                <w:sz w:val="14"/>
                <w:szCs w:val="14"/>
                <w:lang w:eastAsia="lv-LV"/>
              </w:rPr>
              <w:t>Citas ar būvniecību saistītās izmaksas;</w:t>
            </w:r>
          </w:p>
        </w:tc>
        <w:tc>
          <w:tcPr>
            <w:tcW w:w="992" w:type="dxa"/>
            <w:tcBorders>
              <w:left w:val="double" w:sz="4" w:space="0" w:color="auto"/>
              <w:bottom w:val="dotted" w:sz="4" w:space="0" w:color="auto"/>
              <w:right w:val="double" w:sz="4" w:space="0" w:color="auto"/>
            </w:tcBorders>
            <w:shd w:val="clear" w:color="000000" w:fill="F2F2F2" w:themeFill="background1" w:themeFillShade="F2"/>
            <w:vAlign w:val="center"/>
            <w:hideMark/>
          </w:tcPr>
          <w:p w:rsidR="00386C4A" w:rsidRPr="0086601B" w:rsidRDefault="00386C4A" w:rsidP="00EF70AE">
            <w:pPr>
              <w:ind w:left="-109" w:right="-105"/>
              <w:jc w:val="center"/>
              <w:outlineLvl w:val="0"/>
              <w:rPr>
                <w:b/>
                <w:sz w:val="14"/>
                <w:szCs w:val="14"/>
                <w:lang w:eastAsia="lv-LV"/>
              </w:rPr>
            </w:pPr>
            <w:r w:rsidRPr="0086601B">
              <w:rPr>
                <w:b/>
                <w:sz w:val="14"/>
                <w:szCs w:val="14"/>
                <w:lang w:eastAsia="lv-LV"/>
              </w:rPr>
              <w:t>448</w:t>
            </w:r>
          </w:p>
        </w:tc>
        <w:tc>
          <w:tcPr>
            <w:tcW w:w="851" w:type="dxa"/>
            <w:tcBorders>
              <w:left w:val="double" w:sz="4" w:space="0" w:color="auto"/>
              <w:bottom w:val="dotted" w:sz="4" w:space="0" w:color="auto"/>
            </w:tcBorders>
            <w:shd w:val="clear" w:color="000000" w:fill="FFFFFF"/>
            <w:vAlign w:val="center"/>
            <w:hideMark/>
          </w:tcPr>
          <w:p w:rsidR="00386C4A" w:rsidRPr="0086601B" w:rsidRDefault="00386C4A" w:rsidP="00EF70AE">
            <w:pPr>
              <w:ind w:left="-109" w:right="-105"/>
              <w:jc w:val="center"/>
              <w:outlineLvl w:val="0"/>
              <w:rPr>
                <w:sz w:val="14"/>
                <w:szCs w:val="14"/>
                <w:lang w:eastAsia="lv-LV"/>
              </w:rPr>
            </w:pPr>
            <w:r w:rsidRPr="0086601B">
              <w:rPr>
                <w:sz w:val="14"/>
                <w:szCs w:val="14"/>
                <w:lang w:eastAsia="lv-LV"/>
              </w:rPr>
              <w:t>448</w:t>
            </w:r>
          </w:p>
        </w:tc>
        <w:tc>
          <w:tcPr>
            <w:tcW w:w="850" w:type="dxa"/>
            <w:tcBorders>
              <w:bottom w:val="dotted" w:sz="4" w:space="0" w:color="auto"/>
            </w:tcBorders>
            <w:shd w:val="clear" w:color="000000" w:fill="FFFFFF"/>
            <w:vAlign w:val="center"/>
            <w:hideMark/>
          </w:tcPr>
          <w:p w:rsidR="00386C4A" w:rsidRPr="0086601B" w:rsidRDefault="00386C4A" w:rsidP="00EF70AE">
            <w:pPr>
              <w:ind w:left="-109" w:right="-105"/>
              <w:jc w:val="center"/>
              <w:outlineLvl w:val="0"/>
              <w:rPr>
                <w:sz w:val="14"/>
                <w:szCs w:val="14"/>
                <w:lang w:eastAsia="lv-LV"/>
              </w:rPr>
            </w:pPr>
          </w:p>
        </w:tc>
        <w:tc>
          <w:tcPr>
            <w:tcW w:w="850" w:type="dxa"/>
            <w:tcBorders>
              <w:bottom w:val="dotted" w:sz="4" w:space="0" w:color="auto"/>
            </w:tcBorders>
            <w:shd w:val="clear" w:color="000000" w:fill="FFFFFF"/>
            <w:vAlign w:val="center"/>
            <w:hideMark/>
          </w:tcPr>
          <w:p w:rsidR="00386C4A" w:rsidRPr="0086601B" w:rsidRDefault="00386C4A" w:rsidP="00EF70AE">
            <w:pPr>
              <w:ind w:left="-109" w:right="-105"/>
              <w:jc w:val="center"/>
              <w:outlineLvl w:val="0"/>
              <w:rPr>
                <w:sz w:val="14"/>
                <w:szCs w:val="14"/>
                <w:lang w:eastAsia="lv-LV"/>
              </w:rPr>
            </w:pPr>
          </w:p>
        </w:tc>
        <w:tc>
          <w:tcPr>
            <w:tcW w:w="851" w:type="dxa"/>
            <w:tcBorders>
              <w:bottom w:val="dotted" w:sz="4" w:space="0" w:color="auto"/>
            </w:tcBorders>
            <w:shd w:val="clear" w:color="000000" w:fill="FFFFFF"/>
            <w:vAlign w:val="center"/>
            <w:hideMark/>
          </w:tcPr>
          <w:p w:rsidR="00386C4A" w:rsidRPr="0086601B" w:rsidRDefault="00386C4A" w:rsidP="00EF70AE">
            <w:pPr>
              <w:ind w:left="-109" w:right="-105"/>
              <w:jc w:val="center"/>
              <w:outlineLvl w:val="0"/>
              <w:rPr>
                <w:sz w:val="14"/>
                <w:szCs w:val="14"/>
                <w:lang w:eastAsia="lv-LV"/>
              </w:rPr>
            </w:pPr>
          </w:p>
        </w:tc>
        <w:tc>
          <w:tcPr>
            <w:tcW w:w="850" w:type="dxa"/>
            <w:tcBorders>
              <w:bottom w:val="dotted" w:sz="4" w:space="0" w:color="auto"/>
            </w:tcBorders>
            <w:shd w:val="clear" w:color="000000" w:fill="FFFFFF"/>
            <w:vAlign w:val="center"/>
            <w:hideMark/>
          </w:tcPr>
          <w:p w:rsidR="00386C4A" w:rsidRPr="0086601B" w:rsidRDefault="00386C4A" w:rsidP="00EF70AE">
            <w:pPr>
              <w:ind w:left="-109" w:right="-105"/>
              <w:jc w:val="center"/>
              <w:outlineLvl w:val="0"/>
              <w:rPr>
                <w:sz w:val="14"/>
                <w:szCs w:val="14"/>
                <w:lang w:eastAsia="lv-LV"/>
              </w:rPr>
            </w:pPr>
          </w:p>
        </w:tc>
        <w:tc>
          <w:tcPr>
            <w:tcW w:w="719" w:type="dxa"/>
            <w:tcBorders>
              <w:bottom w:val="dotted" w:sz="4" w:space="0" w:color="auto"/>
            </w:tcBorders>
            <w:shd w:val="clear" w:color="000000" w:fill="FFFFFF"/>
            <w:vAlign w:val="center"/>
            <w:hideMark/>
          </w:tcPr>
          <w:p w:rsidR="00386C4A" w:rsidRPr="0086601B" w:rsidRDefault="00386C4A" w:rsidP="00EF70AE">
            <w:pPr>
              <w:ind w:left="-109" w:right="-105"/>
              <w:jc w:val="center"/>
              <w:outlineLvl w:val="0"/>
              <w:rPr>
                <w:sz w:val="14"/>
                <w:szCs w:val="14"/>
                <w:lang w:eastAsia="lv-LV"/>
              </w:rPr>
            </w:pPr>
          </w:p>
        </w:tc>
      </w:tr>
      <w:tr w:rsidR="00FE4FAC" w:rsidRPr="0086601B" w:rsidTr="003A6BBC">
        <w:trPr>
          <w:trHeight w:val="96"/>
        </w:trPr>
        <w:tc>
          <w:tcPr>
            <w:tcW w:w="2552" w:type="dxa"/>
            <w:gridSpan w:val="2"/>
            <w:tcBorders>
              <w:bottom w:val="dotted" w:sz="4" w:space="0" w:color="auto"/>
              <w:right w:val="double" w:sz="4" w:space="0" w:color="auto"/>
            </w:tcBorders>
            <w:shd w:val="clear" w:color="000000" w:fill="D9D9D9" w:themeFill="background1" w:themeFillShade="D9"/>
            <w:vAlign w:val="center"/>
            <w:hideMark/>
          </w:tcPr>
          <w:p w:rsidR="00FE4FAC" w:rsidRPr="0086601B" w:rsidRDefault="00FE4FAC" w:rsidP="00FE4FAC">
            <w:pPr>
              <w:jc w:val="right"/>
              <w:rPr>
                <w:b/>
                <w:bCs/>
                <w:sz w:val="14"/>
                <w:szCs w:val="14"/>
                <w:lang w:eastAsia="lv-LV"/>
              </w:rPr>
            </w:pPr>
            <w:r w:rsidRPr="0086601B">
              <w:rPr>
                <w:b/>
                <w:bCs/>
                <w:sz w:val="14"/>
                <w:szCs w:val="14"/>
                <w:lang w:eastAsia="lv-LV"/>
              </w:rPr>
              <w:t>Pavisam kopā</w:t>
            </w:r>
          </w:p>
          <w:p w:rsidR="00FE4FAC" w:rsidRPr="0086601B" w:rsidRDefault="00FE4FAC" w:rsidP="00FE4FAC">
            <w:pPr>
              <w:jc w:val="right"/>
              <w:rPr>
                <w:b/>
                <w:bCs/>
                <w:sz w:val="14"/>
                <w:szCs w:val="14"/>
                <w:lang w:eastAsia="lv-LV"/>
              </w:rPr>
            </w:pPr>
            <w:r w:rsidRPr="0086601B">
              <w:rPr>
                <w:b/>
                <w:bCs/>
                <w:sz w:val="14"/>
                <w:szCs w:val="14"/>
                <w:lang w:eastAsia="lv-LV"/>
              </w:rPr>
              <w:t>(ar PVN):</w:t>
            </w:r>
          </w:p>
        </w:tc>
        <w:tc>
          <w:tcPr>
            <w:tcW w:w="992" w:type="dxa"/>
            <w:tcBorders>
              <w:left w:val="double" w:sz="4" w:space="0" w:color="auto"/>
              <w:bottom w:val="dotted" w:sz="4" w:space="0" w:color="auto"/>
              <w:right w:val="double" w:sz="4" w:space="0" w:color="auto"/>
            </w:tcBorders>
            <w:shd w:val="clear" w:color="000000" w:fill="000000" w:themeFill="text1"/>
            <w:vAlign w:val="center"/>
            <w:hideMark/>
          </w:tcPr>
          <w:p w:rsidR="00FE4FAC" w:rsidRPr="0086601B" w:rsidRDefault="00FE4FAC" w:rsidP="00FE4FAC">
            <w:pPr>
              <w:ind w:left="-109" w:right="-105"/>
              <w:jc w:val="center"/>
              <w:rPr>
                <w:b/>
                <w:bCs/>
                <w:sz w:val="14"/>
                <w:szCs w:val="14"/>
                <w:lang w:eastAsia="lv-LV"/>
              </w:rPr>
            </w:pPr>
            <w:r w:rsidRPr="0086601B">
              <w:rPr>
                <w:b/>
                <w:bCs/>
                <w:sz w:val="14"/>
                <w:szCs w:val="14"/>
                <w:lang w:eastAsia="lv-LV"/>
              </w:rPr>
              <w:t>1 047 174</w:t>
            </w:r>
          </w:p>
        </w:tc>
        <w:tc>
          <w:tcPr>
            <w:tcW w:w="851" w:type="dxa"/>
            <w:tcBorders>
              <w:left w:val="double" w:sz="4" w:space="0" w:color="auto"/>
              <w:bottom w:val="dotted" w:sz="4" w:space="0" w:color="auto"/>
            </w:tcBorders>
            <w:shd w:val="clear" w:color="000000" w:fill="D9D9D9" w:themeFill="background1" w:themeFillShade="D9"/>
            <w:vAlign w:val="center"/>
            <w:hideMark/>
          </w:tcPr>
          <w:p w:rsidR="00FE4FAC" w:rsidRPr="0086601B" w:rsidRDefault="00FE4FAC" w:rsidP="00FE4FAC">
            <w:pPr>
              <w:ind w:left="-109" w:right="-105"/>
              <w:jc w:val="center"/>
              <w:rPr>
                <w:b/>
                <w:bCs/>
                <w:sz w:val="14"/>
                <w:szCs w:val="14"/>
                <w:lang w:eastAsia="lv-LV"/>
              </w:rPr>
            </w:pPr>
            <w:r w:rsidRPr="0086601B">
              <w:rPr>
                <w:b/>
                <w:bCs/>
                <w:sz w:val="14"/>
                <w:szCs w:val="14"/>
                <w:lang w:eastAsia="lv-LV"/>
              </w:rPr>
              <w:t>47 174</w:t>
            </w:r>
          </w:p>
        </w:tc>
        <w:tc>
          <w:tcPr>
            <w:tcW w:w="850" w:type="dxa"/>
            <w:tcBorders>
              <w:bottom w:val="dotted" w:sz="4" w:space="0" w:color="auto"/>
            </w:tcBorders>
            <w:shd w:val="clear" w:color="000000" w:fill="D9D9D9" w:themeFill="background1" w:themeFillShade="D9"/>
            <w:vAlign w:val="center"/>
            <w:hideMark/>
          </w:tcPr>
          <w:p w:rsidR="00FE4FAC" w:rsidRPr="0086601B" w:rsidRDefault="00FE4FAC" w:rsidP="00FE4FAC">
            <w:pPr>
              <w:ind w:left="-109" w:right="-105"/>
              <w:jc w:val="center"/>
              <w:rPr>
                <w:b/>
                <w:bCs/>
                <w:sz w:val="14"/>
                <w:szCs w:val="14"/>
                <w:lang w:eastAsia="lv-LV"/>
              </w:rPr>
            </w:pPr>
            <w:r w:rsidRPr="0086601B">
              <w:rPr>
                <w:b/>
                <w:bCs/>
                <w:sz w:val="14"/>
                <w:szCs w:val="14"/>
                <w:lang w:eastAsia="lv-LV"/>
              </w:rPr>
              <w:t>0</w:t>
            </w:r>
          </w:p>
        </w:tc>
        <w:tc>
          <w:tcPr>
            <w:tcW w:w="850" w:type="dxa"/>
            <w:tcBorders>
              <w:bottom w:val="dotted" w:sz="4" w:space="0" w:color="auto"/>
            </w:tcBorders>
            <w:shd w:val="clear" w:color="000000" w:fill="D9D9D9" w:themeFill="background1" w:themeFillShade="D9"/>
            <w:vAlign w:val="center"/>
            <w:hideMark/>
          </w:tcPr>
          <w:p w:rsidR="00FE4FAC" w:rsidRPr="0086601B" w:rsidRDefault="00FE4FAC" w:rsidP="00FE4FAC">
            <w:pPr>
              <w:ind w:left="-109" w:right="-105"/>
              <w:jc w:val="center"/>
              <w:rPr>
                <w:b/>
                <w:bCs/>
                <w:sz w:val="14"/>
                <w:szCs w:val="14"/>
                <w:lang w:eastAsia="lv-LV"/>
              </w:rPr>
            </w:pPr>
            <w:r w:rsidRPr="0086601B">
              <w:rPr>
                <w:b/>
                <w:bCs/>
                <w:sz w:val="14"/>
                <w:szCs w:val="14"/>
                <w:lang w:eastAsia="lv-LV"/>
              </w:rPr>
              <w:t>11 111</w:t>
            </w:r>
          </w:p>
        </w:tc>
        <w:tc>
          <w:tcPr>
            <w:tcW w:w="851" w:type="dxa"/>
            <w:tcBorders>
              <w:bottom w:val="dotted" w:sz="4" w:space="0" w:color="auto"/>
            </w:tcBorders>
            <w:shd w:val="clear" w:color="000000" w:fill="D9D9D9" w:themeFill="background1" w:themeFillShade="D9"/>
            <w:vAlign w:val="center"/>
            <w:hideMark/>
          </w:tcPr>
          <w:p w:rsidR="00FE4FAC" w:rsidRPr="0086601B" w:rsidRDefault="00FE4FAC" w:rsidP="00FE4FAC">
            <w:pPr>
              <w:ind w:left="-109" w:right="-105"/>
              <w:jc w:val="center"/>
              <w:rPr>
                <w:b/>
                <w:bCs/>
                <w:sz w:val="14"/>
                <w:szCs w:val="14"/>
                <w:lang w:eastAsia="lv-LV"/>
              </w:rPr>
            </w:pPr>
            <w:r w:rsidRPr="0086601B">
              <w:rPr>
                <w:b/>
                <w:bCs/>
                <w:sz w:val="14"/>
                <w:szCs w:val="14"/>
                <w:lang w:eastAsia="lv-LV"/>
              </w:rPr>
              <w:t>33 333</w:t>
            </w:r>
          </w:p>
        </w:tc>
        <w:tc>
          <w:tcPr>
            <w:tcW w:w="850" w:type="dxa"/>
            <w:tcBorders>
              <w:bottom w:val="dotted" w:sz="4" w:space="0" w:color="auto"/>
            </w:tcBorders>
            <w:shd w:val="clear" w:color="000000" w:fill="D9D9D9" w:themeFill="background1" w:themeFillShade="D9"/>
            <w:vAlign w:val="center"/>
            <w:hideMark/>
          </w:tcPr>
          <w:p w:rsidR="00FE4FAC" w:rsidRPr="0086601B" w:rsidRDefault="00FE4FAC" w:rsidP="00FE4FAC">
            <w:pPr>
              <w:ind w:left="-109" w:right="-105"/>
              <w:jc w:val="center"/>
              <w:rPr>
                <w:b/>
                <w:bCs/>
                <w:sz w:val="14"/>
                <w:szCs w:val="14"/>
                <w:lang w:eastAsia="lv-LV"/>
              </w:rPr>
            </w:pPr>
            <w:r w:rsidRPr="0086601B">
              <w:rPr>
                <w:b/>
                <w:bCs/>
                <w:sz w:val="14"/>
                <w:szCs w:val="14"/>
                <w:lang w:eastAsia="lv-LV"/>
              </w:rPr>
              <w:t>195 556</w:t>
            </w:r>
          </w:p>
        </w:tc>
        <w:tc>
          <w:tcPr>
            <w:tcW w:w="719" w:type="dxa"/>
            <w:tcBorders>
              <w:bottom w:val="dotted" w:sz="4" w:space="0" w:color="auto"/>
            </w:tcBorders>
            <w:shd w:val="clear" w:color="000000" w:fill="D9D9D9" w:themeFill="background1" w:themeFillShade="D9"/>
            <w:vAlign w:val="center"/>
            <w:hideMark/>
          </w:tcPr>
          <w:p w:rsidR="00FE4FAC" w:rsidRPr="0086601B" w:rsidRDefault="00FE4FAC" w:rsidP="00FE4FAC">
            <w:pPr>
              <w:ind w:left="-109" w:right="-105"/>
              <w:jc w:val="center"/>
              <w:rPr>
                <w:b/>
                <w:bCs/>
                <w:sz w:val="14"/>
                <w:szCs w:val="14"/>
                <w:lang w:eastAsia="lv-LV"/>
              </w:rPr>
            </w:pPr>
            <w:r w:rsidRPr="0086601B">
              <w:rPr>
                <w:b/>
                <w:bCs/>
                <w:sz w:val="14"/>
                <w:szCs w:val="14"/>
                <w:lang w:eastAsia="lv-LV"/>
              </w:rPr>
              <w:t>760 000</w:t>
            </w:r>
          </w:p>
        </w:tc>
      </w:tr>
    </w:tbl>
    <w:p w:rsidR="00EF70AE" w:rsidRPr="00EF70AE" w:rsidRDefault="00EF70AE" w:rsidP="00FE4FAC">
      <w:pPr>
        <w:pStyle w:val="Sarakstarindkopa"/>
        <w:ind w:left="709" w:right="-31" w:hanging="142"/>
        <w:jc w:val="both"/>
        <w:rPr>
          <w:sz w:val="16"/>
          <w:szCs w:val="16"/>
        </w:rPr>
      </w:pPr>
      <w:r w:rsidRPr="00EF70AE">
        <w:rPr>
          <w:sz w:val="16"/>
          <w:szCs w:val="16"/>
        </w:rPr>
        <w:t>* Būvniecības projektu izmaksas ir precizējamas, pārskatot būvniecības tehniskos uzdevumus un būvniecības darbu apjomus, attiecīgi izstrādājot vai precizējot būvniecības tehniskos projektus, pēc būvniecības līguma noslēgšanas un pēc objekta nodošanas ekspluatācijā.</w:t>
      </w:r>
    </w:p>
    <w:p w:rsidR="00FE4FAC" w:rsidRDefault="00FE4FAC" w:rsidP="00FE4FAC">
      <w:pPr>
        <w:pStyle w:val="Sarakstarindkopa"/>
        <w:tabs>
          <w:tab w:val="left" w:pos="567"/>
        </w:tabs>
        <w:spacing w:after="120"/>
        <w:ind w:left="567"/>
        <w:jc w:val="both"/>
      </w:pPr>
    </w:p>
    <w:p w:rsidR="004B1DC5" w:rsidRDefault="000B7487" w:rsidP="00FE4FAC">
      <w:pPr>
        <w:pStyle w:val="Sarakstarindkopa"/>
        <w:tabs>
          <w:tab w:val="left" w:pos="567"/>
        </w:tabs>
        <w:spacing w:after="120"/>
        <w:ind w:left="567"/>
        <w:jc w:val="both"/>
      </w:pPr>
      <w:r w:rsidRPr="000B7487">
        <w:rPr>
          <w:u w:val="single"/>
        </w:rPr>
        <w:t>Vēršam uzmanību</w:t>
      </w:r>
      <w:r w:rsidR="00224BED" w:rsidRPr="000B7487">
        <w:rPr>
          <w:u w:val="single"/>
        </w:rPr>
        <w:t>, ka</w:t>
      </w:r>
      <w:r w:rsidR="004B1DC5">
        <w:t>:</w:t>
      </w:r>
    </w:p>
    <w:p w:rsidR="009D7057" w:rsidRPr="00DB257D" w:rsidRDefault="00AC1B77" w:rsidP="00007D67">
      <w:pPr>
        <w:pStyle w:val="Sarakstarindkopa"/>
        <w:numPr>
          <w:ilvl w:val="0"/>
          <w:numId w:val="8"/>
        </w:numPr>
        <w:tabs>
          <w:tab w:val="left" w:pos="567"/>
        </w:tabs>
        <w:spacing w:after="120"/>
        <w:ind w:left="851" w:hanging="284"/>
        <w:jc w:val="both"/>
      </w:pPr>
      <w:r>
        <w:t>a</w:t>
      </w:r>
      <w:r w:rsidR="000B7487">
        <w:t xml:space="preserve">r </w:t>
      </w:r>
      <w:r w:rsidR="00386C4A">
        <w:t>MK</w:t>
      </w:r>
      <w:r w:rsidR="00386C4A" w:rsidRPr="00770D7E">
        <w:t xml:space="preserve"> protokollēmuma </w:t>
      </w:r>
      <w:r w:rsidR="000B7487" w:rsidRPr="00A21FA6">
        <w:t xml:space="preserve">Nr.47 </w:t>
      </w:r>
      <w:r w:rsidR="000B7487">
        <w:t>1</w:t>
      </w:r>
      <w:r w:rsidR="000B7487" w:rsidRPr="00A21FA6">
        <w:t>.punkt</w:t>
      </w:r>
      <w:r w:rsidR="000B7487">
        <w:t xml:space="preserve">u zināšanai pieņemtajā </w:t>
      </w:r>
      <w:r w:rsidR="00E85A91">
        <w:t>I</w:t>
      </w:r>
      <w:r w:rsidR="000B7487">
        <w:t xml:space="preserve">nformatīvajā ziņojumā </w:t>
      </w:r>
      <w:r w:rsidR="00E85A91" w:rsidRPr="00E85A91">
        <w:t>un</w:t>
      </w:r>
      <w:r w:rsidR="004B1DC5">
        <w:t xml:space="preserve"> tā pielikumā </w:t>
      </w:r>
      <w:r w:rsidR="00224BED" w:rsidRPr="00DB257D">
        <w:t>m</w:t>
      </w:r>
      <w:r w:rsidR="009D7057" w:rsidRPr="00DB257D">
        <w:t>inēt</w:t>
      </w:r>
      <w:r w:rsidR="000B7487">
        <w:t>ajiem</w:t>
      </w:r>
      <w:r w:rsidR="009D7057" w:rsidRPr="00DB257D">
        <w:t xml:space="preserve"> būvniecības projekt</w:t>
      </w:r>
      <w:r w:rsidR="000B7487">
        <w:t>iem</w:t>
      </w:r>
      <w:r w:rsidR="009D7057" w:rsidRPr="00DB257D">
        <w:t xml:space="preserve"> sākotnēj</w:t>
      </w:r>
      <w:r w:rsidR="00470C2E">
        <w:t>ie</w:t>
      </w:r>
      <w:r w:rsidR="009D7057" w:rsidRPr="00DB257D">
        <w:t xml:space="preserve"> iz</w:t>
      </w:r>
      <w:r w:rsidR="000B7487">
        <w:t xml:space="preserve">maksu aprēķini tika sagatavoti </w:t>
      </w:r>
      <w:r w:rsidR="00AA77AF">
        <w:t>ar mērķi</w:t>
      </w:r>
      <w:r w:rsidR="009D7057" w:rsidRPr="00DB257D">
        <w:t xml:space="preserve"> sniegt </w:t>
      </w:r>
      <w:r w:rsidR="000B7487">
        <w:t xml:space="preserve">Ministru kabinetam </w:t>
      </w:r>
      <w:r w:rsidR="009D7057" w:rsidRPr="00DB257D">
        <w:t xml:space="preserve">priekšstatu par Sabiedrības uz Ministru kabineta lēmumos doto uzdevumu pamata uzsāktiem būvniecības projektiem un to kopējiem finanšu apmēriem, kā arī balstoties uz </w:t>
      </w:r>
      <w:r w:rsidR="00AA797D" w:rsidRPr="00DB257D">
        <w:t>attiecīgo m</w:t>
      </w:r>
      <w:r w:rsidR="009D7057" w:rsidRPr="00DB257D">
        <w:t>inistriju savstarpēji panāktām vienošanām sniegt konceptuālus priekšlikum</w:t>
      </w:r>
      <w:r w:rsidR="00AA77AF">
        <w:t xml:space="preserve">us par turpmāko rīcību ar tiem, </w:t>
      </w:r>
      <w:r w:rsidR="009D7057" w:rsidRPr="00DB257D">
        <w:t>nosakot atbalstāmo</w:t>
      </w:r>
      <w:r w:rsidR="00AA77AF">
        <w:t>s</w:t>
      </w:r>
      <w:r w:rsidR="009D7057" w:rsidRPr="00DB257D">
        <w:t>, atliekamo</w:t>
      </w:r>
      <w:r w:rsidR="00AA77AF">
        <w:t>s</w:t>
      </w:r>
      <w:r w:rsidR="009D7057" w:rsidRPr="00DB257D">
        <w:t xml:space="preserve"> un izbeidzamo</w:t>
      </w:r>
      <w:r w:rsidR="00386C4A">
        <w:t>s</w:t>
      </w:r>
      <w:r w:rsidR="009D7057" w:rsidRPr="00DB257D">
        <w:t xml:space="preserve"> būvniecības projektu</w:t>
      </w:r>
      <w:r w:rsidR="00AA77AF">
        <w:t xml:space="preserve">s. </w:t>
      </w:r>
      <w:r w:rsidR="009D7057" w:rsidRPr="00DB257D">
        <w:t xml:space="preserve">Līdz ar to detalizēta informācija par katra šajā </w:t>
      </w:r>
      <w:r w:rsidR="007102FF">
        <w:t>I</w:t>
      </w:r>
      <w:r w:rsidR="009D7057" w:rsidRPr="00DB257D">
        <w:t xml:space="preserve">nformatīvajā ziņojumā ietvertā </w:t>
      </w:r>
      <w:r w:rsidR="00AA77AF">
        <w:t xml:space="preserve">būvniecības </w:t>
      </w:r>
      <w:r w:rsidR="009D7057" w:rsidRPr="00DB257D">
        <w:t xml:space="preserve">projekta izmaksām </w:t>
      </w:r>
      <w:r w:rsidR="00DF7162">
        <w:t>netika sniegta</w:t>
      </w:r>
      <w:r w:rsidR="00386C4A">
        <w:t>.</w:t>
      </w:r>
      <w:r w:rsidR="00AA77AF">
        <w:t xml:space="preserve"> </w:t>
      </w:r>
      <w:r w:rsidR="00386C4A">
        <w:t>V</w:t>
      </w:r>
      <w:r w:rsidR="00AA77AF">
        <w:t xml:space="preserve">ienlaicīgi ar </w:t>
      </w:r>
      <w:r w:rsidR="007F7D25" w:rsidRPr="00DB257D">
        <w:t xml:space="preserve">norādēm </w:t>
      </w:r>
      <w:r w:rsidR="00386C4A">
        <w:t xml:space="preserve">tika </w:t>
      </w:r>
      <w:r w:rsidR="009D7057" w:rsidRPr="00DB257D">
        <w:t>akcentē</w:t>
      </w:r>
      <w:r w:rsidR="00AA77AF">
        <w:t>t</w:t>
      </w:r>
      <w:r w:rsidR="00386C4A">
        <w:t>s</w:t>
      </w:r>
      <w:r w:rsidR="009D7057" w:rsidRPr="00DB257D">
        <w:t xml:space="preserve">, ka </w:t>
      </w:r>
      <w:r w:rsidR="00386C4A">
        <w:t xml:space="preserve">Informatīvā ziņojumā un tā pielikumos ietvertā informācija par </w:t>
      </w:r>
      <w:r w:rsidR="009D7057" w:rsidRPr="00DB257D">
        <w:t>būvniecības projektu izmaks</w:t>
      </w:r>
      <w:r w:rsidR="00386C4A">
        <w:t>ām</w:t>
      </w:r>
      <w:r w:rsidR="009D7057" w:rsidRPr="00DB257D">
        <w:t xml:space="preserve"> ir </w:t>
      </w:r>
      <w:r w:rsidR="00386C4A">
        <w:t xml:space="preserve">provizoriska un </w:t>
      </w:r>
      <w:r w:rsidR="009D7057" w:rsidRPr="00DB257D">
        <w:t>precizējama</w:t>
      </w:r>
      <w:r w:rsidR="00386C4A">
        <w:t>:</w:t>
      </w:r>
      <w:r w:rsidR="009D7057" w:rsidRPr="00DB257D">
        <w:t xml:space="preserve"> </w:t>
      </w:r>
      <w:r w:rsidR="00386C4A">
        <w:t xml:space="preserve">(a) </w:t>
      </w:r>
      <w:r w:rsidR="009D7057" w:rsidRPr="00DB257D">
        <w:t xml:space="preserve">pārskatot būvniecības tehniskos uzdevumus un </w:t>
      </w:r>
      <w:r w:rsidR="00AA77AF">
        <w:t xml:space="preserve">tajos ietvertos </w:t>
      </w:r>
      <w:r w:rsidR="009D7057" w:rsidRPr="00DB257D">
        <w:t xml:space="preserve">būvniecības darba apjomus, </w:t>
      </w:r>
      <w:r w:rsidR="00386C4A">
        <w:t xml:space="preserve">(b) </w:t>
      </w:r>
      <w:r w:rsidR="009D7057" w:rsidRPr="00DB257D">
        <w:t xml:space="preserve">pēc </w:t>
      </w:r>
      <w:r w:rsidR="00AA77AF">
        <w:t xml:space="preserve">būvniecības tehnisko projektu izstrādes vai pārprojektēšanas, </w:t>
      </w:r>
      <w:r w:rsidR="00386C4A">
        <w:t xml:space="preserve">(c) </w:t>
      </w:r>
      <w:r w:rsidR="00AA77AF">
        <w:t xml:space="preserve">pēc </w:t>
      </w:r>
      <w:r w:rsidR="009D7057" w:rsidRPr="00DB257D">
        <w:t xml:space="preserve">būvniecības līgumu noslēgšanas un </w:t>
      </w:r>
      <w:r w:rsidR="00386C4A">
        <w:t xml:space="preserve">(d) </w:t>
      </w:r>
      <w:r w:rsidR="009D7057" w:rsidRPr="00DB257D">
        <w:t xml:space="preserve">pēc objekta nodošanas ekspluatācijā (t.i. būvniecības </w:t>
      </w:r>
      <w:r w:rsidR="00386C4A" w:rsidRPr="00DB257D">
        <w:t xml:space="preserve">procesa </w:t>
      </w:r>
      <w:r w:rsidR="009D7057" w:rsidRPr="00DB257D">
        <w:t>galvenie etapi, kuri ir uzskatāmi par objektīviem apstākļiem būvniecības provizorisko izmaksu palielināšanai vai samazināšanai).</w:t>
      </w:r>
    </w:p>
    <w:p w:rsidR="00255811" w:rsidRDefault="00AC1B77" w:rsidP="00007D67">
      <w:pPr>
        <w:pStyle w:val="Sarakstarindkopa"/>
        <w:numPr>
          <w:ilvl w:val="0"/>
          <w:numId w:val="8"/>
        </w:numPr>
        <w:tabs>
          <w:tab w:val="left" w:pos="567"/>
        </w:tabs>
        <w:spacing w:after="120"/>
        <w:ind w:left="851" w:hanging="284"/>
        <w:jc w:val="both"/>
      </w:pPr>
      <w:r>
        <w:t>a</w:t>
      </w:r>
      <w:r w:rsidR="004B1DC5" w:rsidRPr="00A21FA6">
        <w:t xml:space="preserve">pzinoties apstākļus un riskus, kas saistīti </w:t>
      </w:r>
      <w:r w:rsidR="004B1DC5">
        <w:t xml:space="preserve">ar </w:t>
      </w:r>
      <w:r w:rsidR="00B12825">
        <w:t>būvniecīb</w:t>
      </w:r>
      <w:r w:rsidR="00621E2C">
        <w:t>as</w:t>
      </w:r>
      <w:r w:rsidR="00B12825">
        <w:t xml:space="preserve"> izmaksu sākotnējām prognozēm</w:t>
      </w:r>
      <w:r w:rsidR="004B1DC5" w:rsidRPr="00A21FA6">
        <w:t xml:space="preserve">, </w:t>
      </w:r>
      <w:r w:rsidR="004B1DC5">
        <w:t>Finanšu ministrija (</w:t>
      </w:r>
      <w:r w:rsidR="004B1DC5" w:rsidRPr="00A21FA6">
        <w:t>Sabiedrība</w:t>
      </w:r>
      <w:r w:rsidR="004B1DC5">
        <w:t>)</w:t>
      </w:r>
      <w:r w:rsidR="004B1DC5" w:rsidRPr="00A21FA6">
        <w:t xml:space="preserve"> sagatav</w:t>
      </w:r>
      <w:r w:rsidR="004B1DC5">
        <w:t xml:space="preserve">ojot </w:t>
      </w:r>
      <w:r w:rsidR="004B1DC5" w:rsidRPr="00DB257D">
        <w:t>Ministru kabineta 2011.gada 9.augu</w:t>
      </w:r>
      <w:r w:rsidR="004B1DC5">
        <w:t xml:space="preserve">sta sēdē izskatīto Informatīvo ziņojumu un tam pievienoto Ministru kabineta sēdes protokollēmumu (šobrīd </w:t>
      </w:r>
      <w:r w:rsidR="00386C4A">
        <w:t>MK</w:t>
      </w:r>
      <w:r w:rsidR="00386C4A" w:rsidRPr="00770D7E">
        <w:t xml:space="preserve"> protokollēmuma </w:t>
      </w:r>
      <w:r w:rsidR="00386C4A" w:rsidRPr="00A21FA6">
        <w:t>Nr.47</w:t>
      </w:r>
      <w:r w:rsidR="004B1DC5">
        <w:t xml:space="preserve">), </w:t>
      </w:r>
      <w:r w:rsidR="00386C4A">
        <w:t>MK</w:t>
      </w:r>
      <w:r w:rsidR="00386C4A" w:rsidRPr="00770D7E">
        <w:t xml:space="preserve"> protokollēmuma </w:t>
      </w:r>
      <w:r w:rsidR="00386C4A" w:rsidRPr="00A21FA6">
        <w:t>Nr.47</w:t>
      </w:r>
      <w:r w:rsidR="00621E2C">
        <w:t xml:space="preserve"> 2.4.punktā netika noteikts uzdevums Sabiedrībai veikt būvniecības darbus, bet gan </w:t>
      </w:r>
      <w:r w:rsidR="004B1DC5" w:rsidRPr="00A21FA6">
        <w:t>savstarpēji saistīt</w:t>
      </w:r>
      <w:r w:rsidR="004B1DC5">
        <w:t>i</w:t>
      </w:r>
      <w:r w:rsidR="004B1DC5" w:rsidRPr="00A21FA6">
        <w:t xml:space="preserve"> </w:t>
      </w:r>
      <w:r w:rsidR="00621E2C">
        <w:t xml:space="preserve">(procesuāli) </w:t>
      </w:r>
      <w:r w:rsidR="004B1DC5" w:rsidRPr="00A21FA6">
        <w:t>uzdevum</w:t>
      </w:r>
      <w:r w:rsidR="00621E2C">
        <w:t>i Finanšu ministrijai (Sabiedrībai), t.i.</w:t>
      </w:r>
      <w:r w:rsidR="00255811">
        <w:t>:</w:t>
      </w:r>
    </w:p>
    <w:p w:rsidR="004B1DC5" w:rsidRDefault="00621E2C" w:rsidP="00007D67">
      <w:pPr>
        <w:pStyle w:val="Sarakstarindkopa"/>
        <w:numPr>
          <w:ilvl w:val="0"/>
          <w:numId w:val="6"/>
        </w:numPr>
        <w:tabs>
          <w:tab w:val="left" w:pos="567"/>
        </w:tabs>
        <w:spacing w:after="120"/>
        <w:ind w:left="1134" w:hanging="283"/>
        <w:jc w:val="both"/>
      </w:pPr>
      <w:r w:rsidRPr="00202564">
        <w:rPr>
          <w:u w:val="single"/>
        </w:rPr>
        <w:t>vispirms</w:t>
      </w:r>
      <w:r w:rsidR="00255811" w:rsidRPr="00202564">
        <w:t>, lai Kultūras ministrija uz detalizētu aprēķinu pamata varētu iesniegt Ministru kabinetā rīkojuma projektu par likumprojektā „Par valsts budžetu 2013.gadam” paredzamām ilgtermiņa saistībām</w:t>
      </w:r>
      <w:r w:rsidR="00AA77AF" w:rsidRPr="00202564">
        <w:t xml:space="preserve"> turpmākajiem gadiem</w:t>
      </w:r>
      <w:r w:rsidR="00255811" w:rsidRPr="00202564">
        <w:t xml:space="preserve"> (</w:t>
      </w:r>
      <w:r w:rsidR="00B80F41" w:rsidRPr="00202564">
        <w:rPr>
          <w:lang w:eastAsia="lv-LV"/>
        </w:rPr>
        <w:t>MK protokollēmuma Nr.47</w:t>
      </w:r>
      <w:r w:rsidR="00255811" w:rsidRPr="00202564">
        <w:t xml:space="preserve"> 2.4.2.apakšpunkts), </w:t>
      </w:r>
      <w:r w:rsidR="00B12825" w:rsidRPr="00202564">
        <w:t>detalizēti izvērtēt optimālāko būvniecības darbu finansēšanas modeli un tā ietvaros minētā būvniecības projekta provizoriskās būvniecības izmaksas</w:t>
      </w:r>
      <w:r w:rsidR="00FC6218" w:rsidRPr="00202564">
        <w:t xml:space="preserve"> (</w:t>
      </w:r>
      <w:r w:rsidR="00FC6218" w:rsidRPr="00202564">
        <w:rPr>
          <w:lang w:eastAsia="lv-LV"/>
        </w:rPr>
        <w:t>MK protokollēmuma Nr.47</w:t>
      </w:r>
      <w:r w:rsidR="00FC6218" w:rsidRPr="00202564">
        <w:t xml:space="preserve"> 2.4.1.apakšpunkts)</w:t>
      </w:r>
      <w:r w:rsidR="00B12825" w:rsidRPr="00202564">
        <w:t>, jo tās atbilstoši Ministru kabineta 2010.gada 8.jūnija noteikumu Nr.515 „Noteikumi par valsts un pašvaldību mantas iznomāšanas kārtību, nomas maksas noteikšanas metodiku un nomas līguma tipveida nosacījumiem” 56., 60. un 61.punkt</w:t>
      </w:r>
      <w:r w:rsidR="004F0895" w:rsidRPr="00202564">
        <w:t xml:space="preserve">ā noteiktajiem </w:t>
      </w:r>
      <w:r w:rsidR="00B12825" w:rsidRPr="00202564">
        <w:t xml:space="preserve">nomas maksas </w:t>
      </w:r>
      <w:r w:rsidR="004F0895" w:rsidRPr="00202564">
        <w:t>aprēķināšanas</w:t>
      </w:r>
      <w:r w:rsidR="004F0895">
        <w:t xml:space="preserve"> </w:t>
      </w:r>
      <w:r w:rsidR="00B12825" w:rsidRPr="00DB257D">
        <w:t>princip</w:t>
      </w:r>
      <w:r w:rsidR="004F0895">
        <w:t>iem</w:t>
      </w:r>
      <w:r w:rsidR="00B12825" w:rsidRPr="00DB257D">
        <w:t xml:space="preserve"> un metodik</w:t>
      </w:r>
      <w:r w:rsidR="004F0895">
        <w:t>ai ir ietverama nomas maksas aprēķinā, ka viena no izmaksu pozīcijām</w:t>
      </w:r>
      <w:r w:rsidR="00255811">
        <w:t>;</w:t>
      </w:r>
    </w:p>
    <w:p w:rsidR="00255811" w:rsidRPr="00202564" w:rsidRDefault="00621E2C" w:rsidP="00007D67">
      <w:pPr>
        <w:pStyle w:val="Sarakstarindkopa"/>
        <w:numPr>
          <w:ilvl w:val="0"/>
          <w:numId w:val="6"/>
        </w:numPr>
        <w:tabs>
          <w:tab w:val="left" w:pos="567"/>
        </w:tabs>
        <w:spacing w:after="120"/>
        <w:ind w:left="1134" w:hanging="283"/>
        <w:jc w:val="both"/>
      </w:pPr>
      <w:r w:rsidRPr="00202564">
        <w:rPr>
          <w:u w:val="single"/>
        </w:rPr>
        <w:lastRenderedPageBreak/>
        <w:t>otrkārt</w:t>
      </w:r>
      <w:r w:rsidR="00255811" w:rsidRPr="00202564">
        <w:t xml:space="preserve">, </w:t>
      </w:r>
      <w:r w:rsidR="00AA77AF" w:rsidRPr="00202564">
        <w:t xml:space="preserve">tikai </w:t>
      </w:r>
      <w:r w:rsidR="00255811" w:rsidRPr="00202564">
        <w:t>pēc Kultūras ministrijas sagatavotā un iesniegtā Ministru kabineta rīkojuma pieņemšanas, normatīvajos aktos noteiktā kārtībā veikt Jaunā Rīgas teātra ēkas rekonstrukcijas Lāčplēša ielā 25, Rīgā tehniskā projekta izstrādes un būvniecības darbus</w:t>
      </w:r>
      <w:r w:rsidR="00FC6218" w:rsidRPr="00202564">
        <w:t xml:space="preserve"> (</w:t>
      </w:r>
      <w:r w:rsidR="00FC6218" w:rsidRPr="00202564">
        <w:rPr>
          <w:lang w:eastAsia="lv-LV"/>
        </w:rPr>
        <w:t>MK protokollēmuma Nr.47</w:t>
      </w:r>
      <w:r w:rsidR="00FC6218" w:rsidRPr="00202564">
        <w:t xml:space="preserve"> 2.4.3.apakšpunkts)</w:t>
      </w:r>
      <w:r w:rsidR="00255811" w:rsidRPr="00202564">
        <w:t>.</w:t>
      </w:r>
    </w:p>
    <w:p w:rsidR="00255811" w:rsidRDefault="00AC1B77" w:rsidP="00007D67">
      <w:pPr>
        <w:pStyle w:val="Sarakstarindkopa"/>
        <w:numPr>
          <w:ilvl w:val="0"/>
          <w:numId w:val="8"/>
        </w:numPr>
        <w:tabs>
          <w:tab w:val="left" w:pos="567"/>
        </w:tabs>
        <w:spacing w:after="120"/>
        <w:ind w:left="851" w:hanging="284"/>
        <w:jc w:val="both"/>
      </w:pPr>
      <w:r w:rsidRPr="00202564">
        <w:t>m</w:t>
      </w:r>
      <w:r w:rsidR="00AE121D" w:rsidRPr="00202564">
        <w:t xml:space="preserve">inētā starpība starp precizētajām būvniecības projektu </w:t>
      </w:r>
      <w:r w:rsidR="002D08E8" w:rsidRPr="00202564">
        <w:t xml:space="preserve">provizoriskajām </w:t>
      </w:r>
      <w:r w:rsidR="00AE121D" w:rsidRPr="00202564">
        <w:t xml:space="preserve">izmaksām un </w:t>
      </w:r>
      <w:r w:rsidR="00621E2C" w:rsidRPr="00202564">
        <w:t xml:space="preserve">provizoriskajām </w:t>
      </w:r>
      <w:r w:rsidR="00AE121D" w:rsidRPr="00202564">
        <w:t>izmaksām, kas tika iekļautas Ministru kabineta 2011.gadā 9.aug</w:t>
      </w:r>
      <w:r w:rsidR="00525A61" w:rsidRPr="00202564">
        <w:t>us</w:t>
      </w:r>
      <w:r w:rsidR="00AE121D" w:rsidRPr="00202564">
        <w:t>tā izskatītājā</w:t>
      </w:r>
      <w:r w:rsidR="00AE121D">
        <w:t xml:space="preserve"> Informatīvajā ziņojuma </w:t>
      </w:r>
      <w:r w:rsidR="00AE121D" w:rsidRPr="00770D7E">
        <w:t>20.punktā un tā 1.pielikuma 1.tabulas 20.punktā un 2.pielikuma 2.tabulas 20.punktā</w:t>
      </w:r>
      <w:r w:rsidR="00AE121D">
        <w:t xml:space="preserve">, nav saistīta ar būvniecības </w:t>
      </w:r>
      <w:r w:rsidR="00451405">
        <w:t xml:space="preserve">nozares vispārējo </w:t>
      </w:r>
      <w:r w:rsidR="00AE121D">
        <w:t>cenu kāpumu</w:t>
      </w:r>
      <w:r w:rsidR="00451405">
        <w:t xml:space="preserve"> vai kritumu</w:t>
      </w:r>
      <w:r w:rsidR="00AE121D">
        <w:t>, bet gan ar kļūdu pieņēmumā par veicamo darbu apjomu</w:t>
      </w:r>
      <w:r w:rsidR="00AA77AF">
        <w:t xml:space="preserve"> un būvniecības darbu </w:t>
      </w:r>
      <w:r w:rsidR="00393ACD">
        <w:t>provizorisk</w:t>
      </w:r>
      <w:r w:rsidR="00621E2C">
        <w:t>o</w:t>
      </w:r>
      <w:r w:rsidR="00393ACD">
        <w:t xml:space="preserve"> </w:t>
      </w:r>
      <w:r w:rsidR="00AA77AF">
        <w:t>izmaks</w:t>
      </w:r>
      <w:r w:rsidR="00621E2C">
        <w:t>u apmēru</w:t>
      </w:r>
      <w:r w:rsidR="00AA77AF">
        <w:t xml:space="preserve"> uz vienu </w:t>
      </w:r>
      <w:r w:rsidR="00621E2C">
        <w:t>būves</w:t>
      </w:r>
      <w:r w:rsidR="00393ACD">
        <w:t xml:space="preserve"> </w:t>
      </w:r>
      <w:r w:rsidR="00AA77AF">
        <w:t>kvadrātmetra platības</w:t>
      </w:r>
      <w:r w:rsidR="002A496A">
        <w:t xml:space="preserve">, kas vienlaicīgi summārā izteiksmē </w:t>
      </w:r>
      <w:r w:rsidR="00451405">
        <w:t>ietekmē ar būvniecības darbiem saistīto izmaksu prognozes</w:t>
      </w:r>
      <w:r w:rsidR="00393ACD">
        <w:t xml:space="preserve">, </w:t>
      </w:r>
      <w:r w:rsidR="00451405">
        <w:t>kā, piemēram, t</w:t>
      </w:r>
      <w:r w:rsidR="00451405" w:rsidRPr="00451405">
        <w:t>ehniskā projekta izstrāde</w:t>
      </w:r>
      <w:r w:rsidR="00451405">
        <w:t>s, t</w:t>
      </w:r>
      <w:r w:rsidR="00451405" w:rsidRPr="00451405">
        <w:t>ehniskā projekta ekspertīze</w:t>
      </w:r>
      <w:r w:rsidR="00451405">
        <w:t>s, b</w:t>
      </w:r>
      <w:r w:rsidR="00451405" w:rsidRPr="00451405">
        <w:t>ūvniecības tehniskā</w:t>
      </w:r>
      <w:r w:rsidR="00451405">
        <w:t>s</w:t>
      </w:r>
      <w:r w:rsidR="00451405" w:rsidRPr="00451405">
        <w:t xml:space="preserve"> uzraudzība</w:t>
      </w:r>
      <w:r w:rsidR="00451405">
        <w:t>s,</w:t>
      </w:r>
      <w:r w:rsidR="00451405" w:rsidRPr="00451405">
        <w:t xml:space="preserve"> </w:t>
      </w:r>
      <w:r w:rsidR="00451405">
        <w:t>b</w:t>
      </w:r>
      <w:r w:rsidR="00451405" w:rsidRPr="00451405">
        <w:t>ūvniecības autoruzraudzība</w:t>
      </w:r>
      <w:r w:rsidR="00451405">
        <w:t>s un c</w:t>
      </w:r>
      <w:r w:rsidR="00451405" w:rsidRPr="00451405">
        <w:t>itas ar būvniecību saistītās izmaksas</w:t>
      </w:r>
      <w:r w:rsidR="00956B6D">
        <w:t xml:space="preserve">, kuras </w:t>
      </w:r>
      <w:r w:rsidR="00451405">
        <w:t xml:space="preserve">tiek aprēķinātas prognozējot procentuālu </w:t>
      </w:r>
      <w:r w:rsidR="00451405" w:rsidRPr="00451405">
        <w:t>īpatsvars no būvniecības darbu izmaksām</w:t>
      </w:r>
      <w:r w:rsidR="00393ACD">
        <w:t xml:space="preserve">, kas rezumējas, </w:t>
      </w:r>
      <w:r w:rsidR="00AE121D">
        <w:t>nosakot būvniecības projekta kopējās provizoriskās izmaksas.</w:t>
      </w:r>
    </w:p>
    <w:p w:rsidR="00A41E90" w:rsidRDefault="00AC1B77" w:rsidP="00007D67">
      <w:pPr>
        <w:pStyle w:val="Sarakstarindkopa"/>
        <w:numPr>
          <w:ilvl w:val="0"/>
          <w:numId w:val="8"/>
        </w:numPr>
        <w:tabs>
          <w:tab w:val="left" w:pos="567"/>
        </w:tabs>
        <w:spacing w:after="120"/>
        <w:ind w:left="851" w:hanging="284"/>
        <w:jc w:val="both"/>
      </w:pPr>
      <w:r>
        <w:t>s</w:t>
      </w:r>
      <w:r w:rsidR="00A41E90" w:rsidRPr="00DB257D">
        <w:t xml:space="preserve">askaņā ar Ministru kabineta 2006.gada 16.maija rīkojumu Nr.347 „Par programmu „Mantojums – 2018. Kultūras infrastruktūras uzlabošanas programma 2006.–2018.gadam”” atbalstītās programmas pielikumā ietverto kultūras objektu un plānoto darbu un izmaksu sarakstu, Jaunā Rīgas teātra ēku rekonstrukcijai Lāčplēša ielā 25, Rīgā </w:t>
      </w:r>
      <w:r w:rsidR="00A41E90">
        <w:t>provizoriskās būvniecības darbu</w:t>
      </w:r>
      <w:r w:rsidR="00A41E90" w:rsidRPr="00DB257D">
        <w:t xml:space="preserve"> </w:t>
      </w:r>
      <w:r w:rsidR="00A41E90">
        <w:t xml:space="preserve">izmaksas </w:t>
      </w:r>
      <w:r w:rsidR="00A41E90" w:rsidRPr="00DB257D">
        <w:t>tika plānotas 4 250,0 tūkst.</w:t>
      </w:r>
      <w:r w:rsidR="00A41E90">
        <w:t xml:space="preserve"> </w:t>
      </w:r>
      <w:r w:rsidR="00A41E90" w:rsidRPr="00DB257D">
        <w:t>latu apmērā</w:t>
      </w:r>
      <w:r w:rsidR="00A41E90">
        <w:t>, kas ir līdzvērtīgs prognozes apmērs, kā šobrīd ir ietverts precizētaj</w:t>
      </w:r>
      <w:r w:rsidR="00B07AFC">
        <w:t>ā</w:t>
      </w:r>
      <w:r w:rsidR="00A41E90">
        <w:t xml:space="preserve"> būvniecības </w:t>
      </w:r>
      <w:r w:rsidR="00B07AFC">
        <w:t xml:space="preserve">projekta provizorisko </w:t>
      </w:r>
      <w:r w:rsidR="00A41E90">
        <w:t>izmaks</w:t>
      </w:r>
      <w:r w:rsidR="00B07AFC">
        <w:t>u aprēķinā, t.i.</w:t>
      </w:r>
      <w:r w:rsidR="00A41E90">
        <w:t xml:space="preserve"> </w:t>
      </w:r>
      <w:r w:rsidR="00A41E90" w:rsidRPr="00A41E90">
        <w:t>5</w:t>
      </w:r>
      <w:r w:rsidR="00A41E90">
        <w:t> </w:t>
      </w:r>
      <w:r w:rsidR="00A41E90" w:rsidRPr="00A41E90">
        <w:t>502</w:t>
      </w:r>
      <w:r w:rsidR="00A41E90">
        <w:t xml:space="preserve">,5 </w:t>
      </w:r>
      <w:r w:rsidR="00B07AFC">
        <w:t>tūkst</w:t>
      </w:r>
      <w:r w:rsidR="00A41E90">
        <w:t>. lati</w:t>
      </w:r>
      <w:r w:rsidR="00B07AFC">
        <w:t xml:space="preserve"> (skat. 1.tabulas 4.punktu)</w:t>
      </w:r>
      <w:r w:rsidR="00A41E90">
        <w:t>.</w:t>
      </w:r>
    </w:p>
    <w:p w:rsidR="00AC1B77" w:rsidRPr="00202564" w:rsidRDefault="00AC1B77" w:rsidP="00007D67">
      <w:pPr>
        <w:pStyle w:val="Sarakstarindkopa"/>
        <w:numPr>
          <w:ilvl w:val="0"/>
          <w:numId w:val="8"/>
        </w:numPr>
        <w:tabs>
          <w:tab w:val="left" w:pos="567"/>
        </w:tabs>
        <w:spacing w:after="120"/>
        <w:ind w:left="851" w:hanging="284"/>
        <w:jc w:val="both"/>
      </w:pPr>
      <w:r w:rsidRPr="00202564">
        <w:t>a</w:t>
      </w:r>
      <w:r w:rsidR="00B07AFC" w:rsidRPr="00202564">
        <w:t>rī šobrīd būvniecības projekta „Jaunā Rīgas teātra ēku rekonstrukcija Lāčplēša ielā 25, Rīgā” ietvaros provizoriski aprēķinātais kapitālieguldījumu apmērs var būtiski atšķirties pēc būvniecības tehniskā projekta izstrādes saistībā ar objektā paredzam</w:t>
      </w:r>
      <w:r w:rsidR="002A496A" w:rsidRPr="00202564">
        <w:t>iem</w:t>
      </w:r>
      <w:r w:rsidR="00B07AFC" w:rsidRPr="00202564">
        <w:t xml:space="preserve"> </w:t>
      </w:r>
      <w:r w:rsidR="002A496A" w:rsidRPr="00202564">
        <w:t xml:space="preserve">konstruktīviem risinājumiem skatītāju plūsmas uzlabošanai starp ēkām un ēkā paredzamo un </w:t>
      </w:r>
      <w:r w:rsidR="00B07AFC" w:rsidRPr="00202564">
        <w:t>individuāli projektējamo skatuvju ierīkošanu, kas iespējams ietver vairākus pasākumus vai pasākumu kopumu</w:t>
      </w:r>
      <w:r w:rsidR="002A496A" w:rsidRPr="00202564">
        <w:t>s</w:t>
      </w:r>
      <w:r w:rsidR="00B07AFC" w:rsidRPr="00202564">
        <w:t xml:space="preserve"> ar vienu vai vairāku telpu, telpu grupu būtisku pārplānošanu, kā arī ar to saistīto specifisko neatdalāmo iekārtu un inženierkomunikāciju ierīkošanu, kuru izmaksas </w:t>
      </w:r>
      <w:r w:rsidR="00A56417" w:rsidRPr="00202564">
        <w:t xml:space="preserve">šobrīd </w:t>
      </w:r>
      <w:r w:rsidRPr="00202564">
        <w:t>(</w:t>
      </w:r>
      <w:r w:rsidR="00B07AFC" w:rsidRPr="00202564">
        <w:t>pirms tehniskā projekta izstrādes</w:t>
      </w:r>
      <w:r w:rsidRPr="00202564">
        <w:t>)</w:t>
      </w:r>
      <w:r w:rsidR="00B07AFC" w:rsidRPr="00202564">
        <w:t xml:space="preserve"> nav prognozējamas.</w:t>
      </w:r>
      <w:r w:rsidR="00A56417" w:rsidRPr="00202564">
        <w:t xml:space="preserve"> Tāpēc Finanšu ministrija (Sabiedrība</w:t>
      </w:r>
      <w:r w:rsidRPr="00202564">
        <w:t xml:space="preserve">), ņemot vērā minēto apstākli, </w:t>
      </w:r>
      <w:r w:rsidR="002A496A" w:rsidRPr="00202564">
        <w:t>plāno izteikt un uzturēt</w:t>
      </w:r>
      <w:r w:rsidR="00A56417" w:rsidRPr="00202564">
        <w:t xml:space="preserve"> priekšlikumu Kultūras ministrijai, sagatavojot Ministru kabineta rīkojuma projektu </w:t>
      </w:r>
      <w:r w:rsidR="00B80F41" w:rsidRPr="00202564">
        <w:t>(</w:t>
      </w:r>
      <w:r w:rsidR="00A56417" w:rsidRPr="00202564">
        <w:t xml:space="preserve">saskaņā ar </w:t>
      </w:r>
      <w:r w:rsidR="00B80F41" w:rsidRPr="00202564">
        <w:rPr>
          <w:lang w:eastAsia="lv-LV"/>
        </w:rPr>
        <w:t>MK protokollēmuma Nr.47</w:t>
      </w:r>
      <w:r w:rsidR="00A56417" w:rsidRPr="00202564">
        <w:t xml:space="preserve"> 2.4.2.apakšpunktā doto uzdevumu</w:t>
      </w:r>
      <w:r w:rsidR="00B80F41" w:rsidRPr="00202564">
        <w:t>)</w:t>
      </w:r>
      <w:r w:rsidR="00A56417" w:rsidRPr="00202564">
        <w:t>, paredzēt divus procesuālus posmus saistībā ar likumprojektā „Par valsts budžetu 2013.gadam” paredzamo ilgtermiņa saistību precizēšanu</w:t>
      </w:r>
      <w:r w:rsidR="002A496A" w:rsidRPr="00202564">
        <w:t xml:space="preserve">, t.i., </w:t>
      </w:r>
      <w:r w:rsidR="00A24EB5" w:rsidRPr="00202564">
        <w:t xml:space="preserve">tiks lūgts paredzēt </w:t>
      </w:r>
      <w:r w:rsidRPr="00202564">
        <w:t>Finanšu ministrijai (</w:t>
      </w:r>
      <w:r w:rsidR="00A24EB5" w:rsidRPr="00202564">
        <w:t>S</w:t>
      </w:r>
      <w:r w:rsidRPr="00202564">
        <w:t xml:space="preserve">abiedrībai) </w:t>
      </w:r>
      <w:r w:rsidR="002D08E8" w:rsidRPr="00202564">
        <w:t xml:space="preserve">noteikt </w:t>
      </w:r>
      <w:r w:rsidR="002A496A" w:rsidRPr="00202564">
        <w:t xml:space="preserve">šādus uzdevumus </w:t>
      </w:r>
      <w:r w:rsidRPr="00202564">
        <w:t>pēc Jaunā Rīgas teātra ēku Lāčplēša ielā 25, Rīgā:</w:t>
      </w:r>
    </w:p>
    <w:p w:rsidR="00AC1B77" w:rsidRPr="00202564" w:rsidRDefault="00A24EB5" w:rsidP="00007D67">
      <w:pPr>
        <w:pStyle w:val="Sarakstarindkopa"/>
        <w:numPr>
          <w:ilvl w:val="0"/>
          <w:numId w:val="6"/>
        </w:numPr>
        <w:tabs>
          <w:tab w:val="left" w:pos="567"/>
        </w:tabs>
        <w:spacing w:after="120"/>
        <w:ind w:left="1134" w:hanging="283"/>
        <w:jc w:val="both"/>
      </w:pPr>
      <w:r w:rsidRPr="00202564">
        <w:rPr>
          <w:u w:val="single"/>
        </w:rPr>
        <w:t>būvniecības</w:t>
      </w:r>
      <w:r w:rsidR="00AC1B77" w:rsidRPr="00202564">
        <w:rPr>
          <w:u w:val="single"/>
        </w:rPr>
        <w:t xml:space="preserve"> tehnisk</w:t>
      </w:r>
      <w:r w:rsidRPr="00202564">
        <w:rPr>
          <w:u w:val="single"/>
        </w:rPr>
        <w:t>ā</w:t>
      </w:r>
      <w:r w:rsidR="00AC1B77" w:rsidRPr="00202564">
        <w:rPr>
          <w:u w:val="single"/>
        </w:rPr>
        <w:t xml:space="preserve"> projektu izstrādes</w:t>
      </w:r>
      <w:r w:rsidR="00AC1B77" w:rsidRPr="00202564">
        <w:t xml:space="preserve"> </w:t>
      </w:r>
      <w:r w:rsidR="00F72B51" w:rsidRPr="00202564">
        <w:t xml:space="preserve">– </w:t>
      </w:r>
      <w:r w:rsidR="00AC1B77" w:rsidRPr="00202564">
        <w:t xml:space="preserve">ja </w:t>
      </w:r>
      <w:r w:rsidR="00F72B51" w:rsidRPr="00202564">
        <w:t>tiek</w:t>
      </w:r>
      <w:r w:rsidR="00AC1B77" w:rsidRPr="00202564">
        <w:t xml:space="preserve"> konstat</w:t>
      </w:r>
      <w:r w:rsidR="00F72B51" w:rsidRPr="00202564">
        <w:t>ēts</w:t>
      </w:r>
      <w:r w:rsidR="00AC1B77" w:rsidRPr="00202564">
        <w:t>, ka būvniecības darbu un ar to finansēšanu saistīt</w:t>
      </w:r>
      <w:r w:rsidRPr="00202564">
        <w:t>o</w:t>
      </w:r>
      <w:r w:rsidR="00AC1B77" w:rsidRPr="00202564">
        <w:t xml:space="preserve"> izdevum</w:t>
      </w:r>
      <w:r w:rsidRPr="00202564">
        <w:t>u kopēja</w:t>
      </w:r>
      <w:r w:rsidR="001B3BF7" w:rsidRPr="00202564">
        <w:t>i</w:t>
      </w:r>
      <w:r w:rsidRPr="00202564">
        <w:t>s</w:t>
      </w:r>
      <w:r w:rsidR="00AC1B77" w:rsidRPr="00202564">
        <w:t xml:space="preserve"> </w:t>
      </w:r>
      <w:r w:rsidRPr="00202564">
        <w:t xml:space="preserve">apmērs ir </w:t>
      </w:r>
      <w:r w:rsidR="00AC1B77" w:rsidRPr="00202564">
        <w:t>lielāk</w:t>
      </w:r>
      <w:r w:rsidRPr="00202564">
        <w:t>s</w:t>
      </w:r>
      <w:r w:rsidR="00AC1B77" w:rsidRPr="00202564">
        <w:t xml:space="preserve"> par Ministru kabineta rīkojumā paredzamo ilgtermiņa saistību apmēru, mēneša laikā iesniegt Kultūras ministrijai informāciju par Ministru kabineta rīkojumā paredzamo ilgtermiņa saistību precizēšanu;</w:t>
      </w:r>
    </w:p>
    <w:p w:rsidR="00AC1B77" w:rsidRPr="00A24EB5" w:rsidRDefault="00AC1B77" w:rsidP="00007D67">
      <w:pPr>
        <w:pStyle w:val="Sarakstarindkopa"/>
        <w:numPr>
          <w:ilvl w:val="0"/>
          <w:numId w:val="6"/>
        </w:numPr>
        <w:tabs>
          <w:tab w:val="left" w:pos="567"/>
        </w:tabs>
        <w:spacing w:after="120"/>
        <w:ind w:left="1134" w:hanging="283"/>
        <w:jc w:val="both"/>
      </w:pPr>
      <w:r w:rsidRPr="00202564">
        <w:rPr>
          <w:u w:val="single"/>
        </w:rPr>
        <w:t>rekonstrukcijas darbu pabeigšanas</w:t>
      </w:r>
      <w:r w:rsidRPr="00202564">
        <w:t xml:space="preserve"> </w:t>
      </w:r>
      <w:r w:rsidR="00F72B51" w:rsidRPr="00202564">
        <w:t xml:space="preserve">– </w:t>
      </w:r>
      <w:r w:rsidRPr="00202564">
        <w:t xml:space="preserve">trīs mēnešu laikā precizēt būvniecības darbu </w:t>
      </w:r>
      <w:r w:rsidR="001B3BF7" w:rsidRPr="00202564">
        <w:t>izmaksas</w:t>
      </w:r>
      <w:r w:rsidRPr="00202564">
        <w:t xml:space="preserve"> atbilstoši faktiskajām būvniecības </w:t>
      </w:r>
      <w:r w:rsidR="00A24EB5" w:rsidRPr="00202564">
        <w:t>un ar to finansēšanu saistītām</w:t>
      </w:r>
      <w:r w:rsidR="00A24EB5" w:rsidRPr="00A24EB5">
        <w:t xml:space="preserve"> izmaksām</w:t>
      </w:r>
      <w:r w:rsidRPr="00A24EB5">
        <w:t>, un iesniegt Kultūras ministrijai informāciju par Ministru kabineta rīkojumā paredzamo ilgtermiņa saistību precizēšanu.</w:t>
      </w:r>
    </w:p>
    <w:p w:rsidR="00255811" w:rsidRPr="00AE121D" w:rsidRDefault="00255811" w:rsidP="00255811">
      <w:pPr>
        <w:pStyle w:val="Sarakstarindkopa"/>
        <w:spacing w:after="120"/>
        <w:ind w:left="567"/>
        <w:jc w:val="both"/>
        <w:rPr>
          <w:b/>
        </w:rPr>
      </w:pPr>
      <w:r w:rsidRPr="00AE121D">
        <w:rPr>
          <w:b/>
        </w:rPr>
        <w:lastRenderedPageBreak/>
        <w:t xml:space="preserve">Ņemot vērā </w:t>
      </w:r>
      <w:r w:rsidR="00B94152">
        <w:rPr>
          <w:b/>
        </w:rPr>
        <w:t xml:space="preserve">iepriekš </w:t>
      </w:r>
      <w:r w:rsidRPr="00AE121D">
        <w:rPr>
          <w:b/>
        </w:rPr>
        <w:t xml:space="preserve">minēto, Finanšu ministrija uzskata, ka ir nepieciešams atkārtoti </w:t>
      </w:r>
      <w:r w:rsidR="007A6ABF">
        <w:rPr>
          <w:b/>
        </w:rPr>
        <w:t xml:space="preserve">Ministru kabinetā </w:t>
      </w:r>
      <w:r w:rsidRPr="00AE121D">
        <w:rPr>
          <w:b/>
        </w:rPr>
        <w:t xml:space="preserve">pieņemt </w:t>
      </w:r>
      <w:r w:rsidR="007A6ABF">
        <w:rPr>
          <w:b/>
        </w:rPr>
        <w:t xml:space="preserve">konceptuālu </w:t>
      </w:r>
      <w:r w:rsidRPr="00AE121D">
        <w:rPr>
          <w:b/>
        </w:rPr>
        <w:t xml:space="preserve">lēmumu </w:t>
      </w:r>
      <w:r w:rsidR="007A6ABF">
        <w:rPr>
          <w:b/>
        </w:rPr>
        <w:t>par</w:t>
      </w:r>
      <w:r w:rsidRPr="00AE121D">
        <w:rPr>
          <w:b/>
        </w:rPr>
        <w:t xml:space="preserve"> atļau</w:t>
      </w:r>
      <w:r w:rsidR="007A6ABF">
        <w:rPr>
          <w:b/>
        </w:rPr>
        <w:t>ju</w:t>
      </w:r>
      <w:r w:rsidRPr="00AE121D">
        <w:rPr>
          <w:b/>
        </w:rPr>
        <w:t xml:space="preserve"> Kultūras ministrijai normatīvajos aktos noteiktā kārtībā iesniegt Ministru kabinetā rīkojuma projektu par objekta Jaunais Rīgas teātris Lāčplēša ielā 25, Rīgā telpu provizoriskās nomas maksas, kas Kultūras ministrijai būs jāmaksā Sabiedrībai, pārcelšanās un aprīkojumu iegādes izdevumu iekļaušanu likumprojekta „Par valsts budžetu 2013.gadam” ilgtermiņa saistībās, norādot būvniecības plānotos pabeigšanas un nomas līgumsaistību sākuma termiņus.</w:t>
      </w:r>
    </w:p>
    <w:p w:rsidR="00255811" w:rsidRPr="00255811" w:rsidRDefault="00255811" w:rsidP="004B1DC5">
      <w:pPr>
        <w:pStyle w:val="Sarakstarindkopa"/>
        <w:tabs>
          <w:tab w:val="left" w:pos="567"/>
        </w:tabs>
        <w:spacing w:after="120"/>
        <w:ind w:left="851"/>
        <w:jc w:val="both"/>
        <w:rPr>
          <w:b/>
        </w:rPr>
      </w:pPr>
    </w:p>
    <w:p w:rsidR="00A41E90" w:rsidRDefault="00A41E90" w:rsidP="00007D67">
      <w:pPr>
        <w:pStyle w:val="Sarakstarindkopa"/>
        <w:numPr>
          <w:ilvl w:val="0"/>
          <w:numId w:val="5"/>
        </w:numPr>
        <w:tabs>
          <w:tab w:val="left" w:pos="567"/>
        </w:tabs>
        <w:spacing w:after="120"/>
        <w:ind w:left="567" w:hanging="567"/>
        <w:jc w:val="both"/>
        <w:rPr>
          <w:b/>
          <w:color w:val="500000"/>
        </w:rPr>
      </w:pPr>
      <w:r w:rsidRPr="00A24EB5">
        <w:rPr>
          <w:b/>
          <w:color w:val="500000"/>
        </w:rPr>
        <w:t>būvniecības projekta „</w:t>
      </w:r>
      <w:r w:rsidR="00F72B51" w:rsidRPr="00F1704D">
        <w:rPr>
          <w:b/>
          <w:color w:val="500000"/>
        </w:rPr>
        <w:t>Raiņa un Aspazijas mājas renovāciju Baznīcas ielā 30, Rīgā</w:t>
      </w:r>
      <w:r w:rsidRPr="00A24EB5">
        <w:rPr>
          <w:b/>
          <w:color w:val="500000"/>
        </w:rPr>
        <w:t xml:space="preserve">” </w:t>
      </w:r>
      <w:r w:rsidR="00F1704D">
        <w:rPr>
          <w:b/>
          <w:color w:val="500000"/>
        </w:rPr>
        <w:t xml:space="preserve">īstenošana </w:t>
      </w:r>
      <w:r w:rsidR="00FD588E" w:rsidRPr="00FD588E">
        <w:rPr>
          <w:b/>
          <w:color w:val="500000"/>
        </w:rPr>
        <w:t xml:space="preserve">Eiropas Ekonomikas zonas finanšu instrumenta 2009.-2014.gadam </w:t>
      </w:r>
      <w:r w:rsidR="00FD588E" w:rsidRPr="00202564">
        <w:rPr>
          <w:b/>
          <w:color w:val="500000"/>
        </w:rPr>
        <w:t>finansētās programmas „Kultūras un dabas mantojuma saglabāšana un atjaunināšana”</w:t>
      </w:r>
      <w:r w:rsidR="00FD588E" w:rsidRPr="00FD588E">
        <w:rPr>
          <w:b/>
          <w:color w:val="500000"/>
        </w:rPr>
        <w:t xml:space="preserve"> ietvaros</w:t>
      </w:r>
      <w:r w:rsidRPr="00A24EB5">
        <w:rPr>
          <w:b/>
          <w:color w:val="500000"/>
        </w:rPr>
        <w:t>;</w:t>
      </w:r>
    </w:p>
    <w:p w:rsidR="00F1704D" w:rsidRPr="00202564" w:rsidRDefault="00F1704D" w:rsidP="00F1704D">
      <w:pPr>
        <w:pStyle w:val="Sarakstarindkopa"/>
        <w:spacing w:after="120"/>
        <w:ind w:left="567"/>
        <w:jc w:val="both"/>
      </w:pPr>
      <w:r w:rsidRPr="00202564">
        <w:t xml:space="preserve">Saskaņā ar </w:t>
      </w:r>
      <w:r w:rsidR="00B94152" w:rsidRPr="00202564">
        <w:rPr>
          <w:lang w:eastAsia="lv-LV"/>
        </w:rPr>
        <w:t>MK protokollēmuma Nr.47</w:t>
      </w:r>
      <w:r w:rsidRPr="00202564">
        <w:t xml:space="preserve"> 2.4.1.apakšpunktu Finanšu ministrijai (Sabiedrībai) vienlaicīgi ar iepriekš minēto būvniecības projektu</w:t>
      </w:r>
      <w:r w:rsidR="00A10416" w:rsidRPr="00202564">
        <w:t xml:space="preserve"> „Jaunā Rīgas teātra ēku rekonstrukcija Lāčplēša ielā 25, Rīgā”</w:t>
      </w:r>
      <w:r w:rsidRPr="00202564">
        <w:t xml:space="preserve"> tika dots </w:t>
      </w:r>
      <w:r w:rsidR="00A10416" w:rsidRPr="00202564">
        <w:t xml:space="preserve">arī </w:t>
      </w:r>
      <w:r w:rsidRPr="00202564">
        <w:t>uzdevums</w:t>
      </w:r>
      <w:r w:rsidR="00DB12CD" w:rsidRPr="00202564">
        <w:t>,</w:t>
      </w:r>
      <w:r w:rsidRPr="00202564">
        <w:t xml:space="preserve"> izvērtēt optimālāko būvniecības darbu finansēšanas modeli un iesniegt Kultūras ministrijai informāciju par objekta </w:t>
      </w:r>
      <w:r w:rsidRPr="00202564">
        <w:rPr>
          <w:u w:val="single"/>
        </w:rPr>
        <w:t>Raiņa un Aspazijas mājas Baznīcas ielā 30, Rīgā</w:t>
      </w:r>
      <w:r w:rsidRPr="00202564">
        <w:t xml:space="preserve"> provizorisko nomas maksas apmēru un plānotajiem būvniecības pabeigšanas un nomas līgumsaistību sākuma termiņiem.</w:t>
      </w:r>
    </w:p>
    <w:p w:rsidR="00324BCB" w:rsidRPr="00202564" w:rsidRDefault="00F72B51" w:rsidP="00324BCB">
      <w:pPr>
        <w:pStyle w:val="Sarakstarindkopa"/>
        <w:spacing w:after="120"/>
        <w:ind w:left="567"/>
        <w:jc w:val="both"/>
      </w:pPr>
      <w:r w:rsidRPr="00202564">
        <w:t xml:space="preserve">Vienlaicīgi informējam, ka </w:t>
      </w:r>
      <w:r w:rsidR="00AC2347" w:rsidRPr="00202564">
        <w:t xml:space="preserve">Finanšu ministrijai (Sabiedrībai) </w:t>
      </w:r>
      <w:r w:rsidR="009D4646" w:rsidRPr="00202564">
        <w:t xml:space="preserve">šobrīd </w:t>
      </w:r>
      <w:r w:rsidRPr="00202564">
        <w:t xml:space="preserve">detalizēta informācija </w:t>
      </w:r>
      <w:r w:rsidR="00AD43FE" w:rsidRPr="00202564">
        <w:t xml:space="preserve">Kultūras ministrijai </w:t>
      </w:r>
      <w:r w:rsidR="007D5E1B" w:rsidRPr="00202564">
        <w:t>(</w:t>
      </w:r>
      <w:r w:rsidR="00B94152" w:rsidRPr="00202564">
        <w:rPr>
          <w:lang w:eastAsia="lv-LV"/>
        </w:rPr>
        <w:t xml:space="preserve">MK protokollēmuma Nr.47 </w:t>
      </w:r>
      <w:r w:rsidRPr="00202564">
        <w:t>2.4.1.apakšpunktā doto uzdevumu kontekstā</w:t>
      </w:r>
      <w:r w:rsidR="00804010" w:rsidRPr="00202564">
        <w:t>) nav sniedzama</w:t>
      </w:r>
      <w:r w:rsidRPr="00202564">
        <w:t xml:space="preserve"> par būvniecības projektu „Raiņa un Aspazijas mājas renovācija Baznīcas ielā 30, Rīgā”</w:t>
      </w:r>
      <w:r w:rsidR="007A5127" w:rsidRPr="00202564">
        <w:t>,</w:t>
      </w:r>
      <w:r w:rsidR="009D44A7" w:rsidRPr="00202564">
        <w:t xml:space="preserve"> </w:t>
      </w:r>
      <w:r w:rsidR="007A5127" w:rsidRPr="00202564">
        <w:t>j</w:t>
      </w:r>
      <w:r w:rsidR="009D44A7" w:rsidRPr="00202564">
        <w:t>o</w:t>
      </w:r>
      <w:r w:rsidRPr="00202564">
        <w:t xml:space="preserve"> pamatojoties uz Kultūras ministrijas, Finanšu ministrijas un </w:t>
      </w:r>
      <w:r w:rsidR="009D44A7" w:rsidRPr="00202564">
        <w:t>S</w:t>
      </w:r>
      <w:r w:rsidRPr="00202564">
        <w:t xml:space="preserve">abiedrības šobrīd veiktajām sarunām, pastāv iespēja, ka </w:t>
      </w:r>
      <w:r w:rsidR="00005C5F" w:rsidRPr="00202564">
        <w:t xml:space="preserve">minētā </w:t>
      </w:r>
      <w:r w:rsidRPr="00202564">
        <w:t>būvniecības projekta īstenošana tiks veikta Eiropas Ekonomikas zonas finanšu instrumenta 2009.-2014.gad</w:t>
      </w:r>
      <w:r w:rsidR="00DB12CD" w:rsidRPr="00202564">
        <w:t>am</w:t>
      </w:r>
      <w:r w:rsidRPr="00202564">
        <w:t xml:space="preserve"> </w:t>
      </w:r>
      <w:r w:rsidR="00FD588E" w:rsidRPr="00202564">
        <w:t>finansētās programmas „Kultūras un dabas mantojuma saglabāšana un atjaunināšana”</w:t>
      </w:r>
      <w:r w:rsidR="00FD588E" w:rsidRPr="00202564">
        <w:rPr>
          <w:b/>
        </w:rPr>
        <w:t xml:space="preserve"> </w:t>
      </w:r>
      <w:r w:rsidRPr="00202564">
        <w:t>ietvaros</w:t>
      </w:r>
      <w:r w:rsidR="00AD43FE" w:rsidRPr="00202564">
        <w:t xml:space="preserve"> (turpmāk – EEZ finanšu instruments)</w:t>
      </w:r>
      <w:r w:rsidR="007A5127" w:rsidRPr="00202564">
        <w:t xml:space="preserve">. </w:t>
      </w:r>
    </w:p>
    <w:p w:rsidR="00AC2347" w:rsidRPr="00AC2347" w:rsidRDefault="00324BCB" w:rsidP="00324BCB">
      <w:pPr>
        <w:pStyle w:val="Sarakstarindkopa"/>
        <w:spacing w:after="120"/>
        <w:ind w:left="567"/>
        <w:jc w:val="both"/>
      </w:pPr>
      <w:r w:rsidRPr="00202564">
        <w:t xml:space="preserve">Minēto </w:t>
      </w:r>
      <w:r w:rsidR="00F72B51" w:rsidRPr="00202564">
        <w:t>apliecina</w:t>
      </w:r>
      <w:r w:rsidRPr="00202564">
        <w:t xml:space="preserve"> </w:t>
      </w:r>
      <w:r w:rsidR="00F72B51" w:rsidRPr="00202564">
        <w:t>Kultūras ministri</w:t>
      </w:r>
      <w:r w:rsidR="009D4646" w:rsidRPr="00202564">
        <w:t>jas 2011.gada 6.decembra vēstulē</w:t>
      </w:r>
      <w:r w:rsidR="00F72B51" w:rsidRPr="00202564">
        <w:t xml:space="preserve"> Nr.12.2-2/3735 </w:t>
      </w:r>
      <w:r w:rsidR="009D4646" w:rsidRPr="00202564">
        <w:t>(</w:t>
      </w:r>
      <w:r w:rsidR="00F72B51" w:rsidRPr="00202564">
        <w:t xml:space="preserve">un </w:t>
      </w:r>
      <w:r w:rsidR="009D4646" w:rsidRPr="00202564">
        <w:t xml:space="preserve">ar detalizētiem skaidrojumiem 2012.gada 9.janvāra vēstulē Nr.12.2-4/120) </w:t>
      </w:r>
      <w:r w:rsidR="00F72B51" w:rsidRPr="00202564">
        <w:t xml:space="preserve">izteiktie </w:t>
      </w:r>
      <w:r w:rsidR="00F72B51" w:rsidRPr="00202564">
        <w:rPr>
          <w:u w:val="single"/>
        </w:rPr>
        <w:t>priekšlikumi Finanšu ministrijai par nepieciešamajām izmaiņām</w:t>
      </w:r>
      <w:r w:rsidR="00F72B51" w:rsidRPr="00202564">
        <w:t xml:space="preserve"> </w:t>
      </w:r>
      <w:r w:rsidR="004F00B3" w:rsidRPr="00202564">
        <w:t>ar Ministru kabineta 2011.gada 29.marta noteikum</w:t>
      </w:r>
      <w:r w:rsidR="00AC2347" w:rsidRPr="00202564">
        <w:t>u</w:t>
      </w:r>
      <w:r w:rsidR="004F00B3" w:rsidRPr="00202564">
        <w:t xml:space="preserve"> Nr.251 „Par Latvijas Republikas un Īslandes, Lihtenšteinas Firstistes un Norvēģijas Karalistes saprašanās memorandu par Eiropas Ekonomikas zonas instrumenta ieviešanu 2009.-2014.gadā</w:t>
      </w:r>
      <w:r w:rsidR="00AC2347" w:rsidRPr="00202564">
        <w:t xml:space="preserve">” 1.punktu pieņemtā un apstiprinātā Latvijas Republikas un Īslandes, Lihtenšteinas Firstistes un Norvēģijas Karalistes saprašanās memoranda par Eiropas Ekonomikas zonas finanšu instrumenta ieviešanu 2009.-2014.gadā (turpmāk – saprašanās memorands) B pielikuma C. Programmas jomā „Kultūras un dabas mantojuma saglabāšana un atjaunināšana” </w:t>
      </w:r>
      <w:r w:rsidR="00AC2347" w:rsidRPr="00202564">
        <w:rPr>
          <w:u w:val="single"/>
        </w:rPr>
        <w:t>iepriekš definēto projektu sarakstā</w:t>
      </w:r>
      <w:r w:rsidR="00AC2347" w:rsidRPr="00202564">
        <w:t xml:space="preserve">, </w:t>
      </w:r>
      <w:r w:rsidR="00AD43FE" w:rsidRPr="00202564">
        <w:t>kur</w:t>
      </w:r>
      <w:r w:rsidR="00B335D6" w:rsidRPr="00202564">
        <w:t>i</w:t>
      </w:r>
      <w:r w:rsidR="00AD43FE" w:rsidRPr="00202564">
        <w:t xml:space="preserve"> </w:t>
      </w:r>
      <w:r w:rsidR="00B335D6" w:rsidRPr="00202564">
        <w:t xml:space="preserve">uz </w:t>
      </w:r>
      <w:r w:rsidR="00B94152" w:rsidRPr="00202564">
        <w:rPr>
          <w:lang w:eastAsia="lv-LV"/>
        </w:rPr>
        <w:t xml:space="preserve">MK protokollēmuma Nr.47 </w:t>
      </w:r>
      <w:r w:rsidR="00B335D6" w:rsidRPr="00202564">
        <w:t>2.3.apakšpunktā doto uzdevuma pamata Kultūras ministrijai īstenojami sadarbībā ar Finanšu ministriju</w:t>
      </w:r>
      <w:r w:rsidR="00B335D6">
        <w:t xml:space="preserve"> (</w:t>
      </w:r>
      <w:r w:rsidR="00AC2347">
        <w:t>Sabiedrīb</w:t>
      </w:r>
      <w:r w:rsidR="00B335D6">
        <w:t>u), t.i.</w:t>
      </w:r>
      <w:r w:rsidR="00AD43FE">
        <w:t>:</w:t>
      </w:r>
    </w:p>
    <w:p w:rsidR="00AC2347" w:rsidRPr="00D57FF8" w:rsidRDefault="00D57FF8" w:rsidP="00C84828">
      <w:pPr>
        <w:pStyle w:val="Sarakstarindkopa"/>
        <w:numPr>
          <w:ilvl w:val="0"/>
          <w:numId w:val="18"/>
        </w:numPr>
        <w:suppressAutoHyphens w:val="0"/>
        <w:spacing w:after="120"/>
        <w:ind w:left="851" w:hanging="284"/>
        <w:jc w:val="both"/>
      </w:pPr>
      <w:r>
        <w:t xml:space="preserve">projekts </w:t>
      </w:r>
      <w:r w:rsidR="00AC2347" w:rsidRPr="00D57FF8">
        <w:t>„Raiņa un Aspazijas memoriālās mājas (vasarnīcas) Jūrmalā restaurācija”;</w:t>
      </w:r>
    </w:p>
    <w:p w:rsidR="00AC2347" w:rsidRPr="00D57FF8" w:rsidRDefault="00D57FF8" w:rsidP="00C84828">
      <w:pPr>
        <w:pStyle w:val="Sarakstarindkopa"/>
        <w:numPr>
          <w:ilvl w:val="0"/>
          <w:numId w:val="18"/>
        </w:numPr>
        <w:suppressAutoHyphens w:val="0"/>
        <w:spacing w:after="120"/>
        <w:ind w:left="851" w:hanging="284"/>
        <w:jc w:val="both"/>
      </w:pPr>
      <w:r>
        <w:t>projekts</w:t>
      </w:r>
      <w:r w:rsidRPr="00D57FF8">
        <w:t xml:space="preserve"> </w:t>
      </w:r>
      <w:r w:rsidR="00AC2347" w:rsidRPr="00D57FF8">
        <w:t>„Raiņa memoriālās mājas „Tadenava” restaurācija”;</w:t>
      </w:r>
    </w:p>
    <w:p w:rsidR="00AD43FE" w:rsidRPr="00D57FF8" w:rsidRDefault="00D57FF8" w:rsidP="00C84828">
      <w:pPr>
        <w:pStyle w:val="Sarakstarindkopa"/>
        <w:numPr>
          <w:ilvl w:val="0"/>
          <w:numId w:val="18"/>
        </w:numPr>
        <w:suppressAutoHyphens w:val="0"/>
        <w:spacing w:after="120"/>
        <w:ind w:left="851" w:hanging="284"/>
        <w:jc w:val="both"/>
      </w:pPr>
      <w:r>
        <w:t>projekts</w:t>
      </w:r>
      <w:r w:rsidRPr="00D57FF8">
        <w:t xml:space="preserve"> </w:t>
      </w:r>
      <w:r w:rsidR="00AC2347" w:rsidRPr="00D57FF8">
        <w:t>„Rakstniecības un</w:t>
      </w:r>
      <w:r w:rsidR="00B335D6" w:rsidRPr="00D57FF8">
        <w:t xml:space="preserve"> mūzikas muzeja rekonstrukcija”.</w:t>
      </w:r>
    </w:p>
    <w:p w:rsidR="00AC2347" w:rsidRPr="00A66B4E" w:rsidRDefault="00A22F05" w:rsidP="00D57FF8">
      <w:pPr>
        <w:suppressAutoHyphens w:val="0"/>
        <w:spacing w:after="120"/>
        <w:ind w:left="567"/>
        <w:jc w:val="both"/>
      </w:pPr>
      <w:r w:rsidRPr="00F1704D">
        <w:t xml:space="preserve">Kultūras ministrijas </w:t>
      </w:r>
      <w:r w:rsidR="009D4646">
        <w:t>2011.gada 6.decembra vēstulē</w:t>
      </w:r>
      <w:r w:rsidR="009D4646" w:rsidRPr="00F1704D">
        <w:t xml:space="preserve"> Nr.12.2-2/3735 </w:t>
      </w:r>
      <w:r w:rsidR="009D4646">
        <w:t>(</w:t>
      </w:r>
      <w:r w:rsidR="009D4646" w:rsidRPr="00F1704D">
        <w:t xml:space="preserve">un </w:t>
      </w:r>
      <w:r w:rsidR="009D4646">
        <w:t>ar detalizētiem skaidrojumiem 2012.gada 9.janvāra vēstulē Nr.12.2-4/120)</w:t>
      </w:r>
      <w:r w:rsidRPr="00F1704D">
        <w:t xml:space="preserve"> </w:t>
      </w:r>
      <w:r w:rsidR="00B335D6">
        <w:t xml:space="preserve">izteiktais priekšlikums </w:t>
      </w:r>
      <w:r w:rsidR="009D4646">
        <w:t xml:space="preserve">Finanšu ministrijai, paredz </w:t>
      </w:r>
      <w:r w:rsidR="00B335D6">
        <w:t xml:space="preserve">augstāk minēto </w:t>
      </w:r>
      <w:r>
        <w:t xml:space="preserve">EEZ finanšu instrumenta iepriekš definēto </w:t>
      </w:r>
      <w:r w:rsidR="00005C5F">
        <w:lastRenderedPageBreak/>
        <w:t xml:space="preserve">projektu vietā, nemainot kopējo </w:t>
      </w:r>
      <w:r>
        <w:t>i</w:t>
      </w:r>
      <w:r w:rsidRPr="00AC2347">
        <w:t>epriekš definēt</w:t>
      </w:r>
      <w:r>
        <w:t>o</w:t>
      </w:r>
      <w:r w:rsidRPr="00AC2347">
        <w:t xml:space="preserve"> projektu </w:t>
      </w:r>
      <w:r w:rsidR="00005C5F">
        <w:t xml:space="preserve">ietvaros paredzamo finanšu apmēru, </w:t>
      </w:r>
      <w:r w:rsidR="00005C5F" w:rsidRPr="00A22F05">
        <w:rPr>
          <w:u w:val="single"/>
        </w:rPr>
        <w:t xml:space="preserve">noteikt </w:t>
      </w:r>
      <w:r w:rsidR="00AD43FE" w:rsidRPr="00A22F05">
        <w:rPr>
          <w:u w:val="single"/>
        </w:rPr>
        <w:t>šādus divus EEZ finanšu instrumenta iepriekš</w:t>
      </w:r>
      <w:r w:rsidR="00804010">
        <w:rPr>
          <w:u w:val="single"/>
        </w:rPr>
        <w:t xml:space="preserve"> </w:t>
      </w:r>
      <w:r w:rsidR="00AD43FE" w:rsidRPr="00A22F05">
        <w:rPr>
          <w:u w:val="single"/>
        </w:rPr>
        <w:t>definēt</w:t>
      </w:r>
      <w:r w:rsidR="00804010">
        <w:rPr>
          <w:u w:val="single"/>
        </w:rPr>
        <w:t>us</w:t>
      </w:r>
      <w:r w:rsidR="00AD43FE" w:rsidRPr="00A22F05">
        <w:rPr>
          <w:u w:val="single"/>
        </w:rPr>
        <w:t xml:space="preserve"> projektus</w:t>
      </w:r>
      <w:r w:rsidR="00AD43FE">
        <w:t>:</w:t>
      </w:r>
    </w:p>
    <w:p w:rsidR="00AD43FE" w:rsidRPr="00A22F05" w:rsidRDefault="00AD43FE" w:rsidP="00C84828">
      <w:pPr>
        <w:pStyle w:val="Sarakstarindkopa"/>
        <w:numPr>
          <w:ilvl w:val="0"/>
          <w:numId w:val="19"/>
        </w:numPr>
        <w:suppressAutoHyphens w:val="0"/>
        <w:spacing w:after="120"/>
        <w:ind w:left="851" w:hanging="284"/>
        <w:jc w:val="both"/>
      </w:pPr>
      <w:r w:rsidRPr="00D57FF8">
        <w:rPr>
          <w:b/>
        </w:rPr>
        <w:t>projekts „Rakstniecības un mūzikas muzeja rekonstrukcija”</w:t>
      </w:r>
      <w:r w:rsidRPr="00A22F05">
        <w:t>, kurā ir ietverts Sabiedrības būvniecības projekts „Rakstniecības un mūzikas muzeja rekonstrukcija un restaurācija Pils laukumā 2, Rīgā;</w:t>
      </w:r>
    </w:p>
    <w:p w:rsidR="00AD43FE" w:rsidRPr="00A22F05" w:rsidRDefault="00AD43FE" w:rsidP="00C84828">
      <w:pPr>
        <w:pStyle w:val="Sarakstarindkopa"/>
        <w:numPr>
          <w:ilvl w:val="0"/>
          <w:numId w:val="19"/>
        </w:numPr>
        <w:suppressAutoHyphens w:val="0"/>
        <w:spacing w:after="120"/>
        <w:ind w:left="851" w:hanging="284"/>
        <w:jc w:val="both"/>
      </w:pPr>
      <w:r w:rsidRPr="00D57FF8">
        <w:rPr>
          <w:b/>
        </w:rPr>
        <w:t>projekts „Raiņa un Aspazijas muzeja atjaunošana”</w:t>
      </w:r>
      <w:r w:rsidRPr="00A22F05">
        <w:t>, kurā apvienoti šādi Sabiedrības būvniecības projekti:</w:t>
      </w:r>
    </w:p>
    <w:p w:rsidR="00AD43FE" w:rsidRPr="00A66B4E" w:rsidRDefault="00AD43FE" w:rsidP="00C84828">
      <w:pPr>
        <w:pStyle w:val="Sarakstarindkopa"/>
        <w:numPr>
          <w:ilvl w:val="0"/>
          <w:numId w:val="2"/>
        </w:numPr>
        <w:suppressAutoHyphens w:val="0"/>
        <w:spacing w:after="120"/>
        <w:ind w:left="1134" w:hanging="283"/>
        <w:jc w:val="both"/>
      </w:pPr>
      <w:r w:rsidRPr="00A66B4E">
        <w:t>Raiņa un Aspazijas memoriālās mājas (vasarnīcas) rekonstrukcija un restaurācija Jāņa Pliekšāna ielā 5/7, Jūrmalā;</w:t>
      </w:r>
    </w:p>
    <w:p w:rsidR="00AD43FE" w:rsidRPr="00A66B4E" w:rsidRDefault="00AD43FE" w:rsidP="00C84828">
      <w:pPr>
        <w:pStyle w:val="Sarakstarindkopa"/>
        <w:numPr>
          <w:ilvl w:val="0"/>
          <w:numId w:val="2"/>
        </w:numPr>
        <w:suppressAutoHyphens w:val="0"/>
        <w:spacing w:after="120"/>
        <w:ind w:left="1134" w:hanging="283"/>
        <w:jc w:val="both"/>
      </w:pPr>
      <w:r w:rsidRPr="00A66B4E">
        <w:t>Raiņa memoriālās mājas „Tadenava” rekonstrukcija un restaurācija Jēkabpils novada Dunavas pagastā;</w:t>
      </w:r>
    </w:p>
    <w:p w:rsidR="00AD43FE" w:rsidRPr="00A66B4E" w:rsidRDefault="00AD43FE" w:rsidP="00C84828">
      <w:pPr>
        <w:pStyle w:val="Sarakstarindkopa"/>
        <w:numPr>
          <w:ilvl w:val="0"/>
          <w:numId w:val="2"/>
        </w:numPr>
        <w:suppressAutoHyphens w:val="0"/>
        <w:spacing w:after="120"/>
        <w:ind w:left="1134" w:hanging="283"/>
        <w:jc w:val="both"/>
      </w:pPr>
      <w:r w:rsidRPr="00005C5F">
        <w:rPr>
          <w:u w:val="single"/>
        </w:rPr>
        <w:t>Raiņa un Aspazijas mājas rekonstrukcija un restaurācija Baznīcas ielā 30, Rīgā</w:t>
      </w:r>
      <w:r w:rsidRPr="00A66B4E">
        <w:t>;</w:t>
      </w:r>
    </w:p>
    <w:p w:rsidR="00A22F05" w:rsidRDefault="00D400D7" w:rsidP="00D57FF8">
      <w:pPr>
        <w:suppressAutoHyphens w:val="0"/>
        <w:spacing w:after="120"/>
        <w:ind w:left="567"/>
        <w:jc w:val="both"/>
      </w:pPr>
      <w:r>
        <w:t xml:space="preserve">Pamatojums </w:t>
      </w:r>
      <w:r w:rsidR="009D4646">
        <w:t xml:space="preserve">trīs </w:t>
      </w:r>
      <w:r w:rsidR="001F40E4">
        <w:t xml:space="preserve">EEZ finanšu instrumenta iepriekš definēto projektu </w:t>
      </w:r>
      <w:r w:rsidR="009D4646">
        <w:t>vietā noteikt divus</w:t>
      </w:r>
      <w:r w:rsidR="001F40E4">
        <w:t xml:space="preserve">, t.sk., apvienotā </w:t>
      </w:r>
      <w:r w:rsidR="001F40E4" w:rsidRPr="001F40E4">
        <w:t>projekta „Raiņa un Aspazijas muzeja atjaunošana” ietvaros</w:t>
      </w:r>
      <w:r w:rsidR="001F40E4">
        <w:t xml:space="preserve"> iekļaut </w:t>
      </w:r>
      <w:r w:rsidR="00237070">
        <w:t xml:space="preserve">papildus </w:t>
      </w:r>
      <w:r w:rsidR="001F40E4" w:rsidRPr="00D57FF8">
        <w:rPr>
          <w:u w:val="single"/>
        </w:rPr>
        <w:t>Raiņa un Aspazijas mājas rekonstrukcijas un restaurācijas ieceri Baznīcas ielā 30, Rīgā</w:t>
      </w:r>
      <w:r w:rsidR="001F40E4" w:rsidRPr="00237070">
        <w:t xml:space="preserve">, ir </w:t>
      </w:r>
      <w:r w:rsidR="00237070">
        <w:t>balstīt</w:t>
      </w:r>
      <w:r w:rsidR="00804010">
        <w:t>a</w:t>
      </w:r>
      <w:r w:rsidR="00237070">
        <w:t xml:space="preserve"> uz šādiem </w:t>
      </w:r>
      <w:r w:rsidR="00804010">
        <w:t xml:space="preserve">būtiskiem </w:t>
      </w:r>
      <w:r w:rsidR="00237070">
        <w:t>apsvērumiem</w:t>
      </w:r>
      <w:r w:rsidR="00A22F05" w:rsidRPr="00237070">
        <w:t>:</w:t>
      </w:r>
    </w:p>
    <w:p w:rsidR="00324BCB" w:rsidRDefault="00324BCB" w:rsidP="00C84828">
      <w:pPr>
        <w:pStyle w:val="Sarakstarindkopa"/>
        <w:numPr>
          <w:ilvl w:val="0"/>
          <w:numId w:val="20"/>
        </w:numPr>
        <w:shd w:val="clear" w:color="auto" w:fill="FFFFFF" w:themeFill="background1"/>
        <w:suppressAutoHyphens w:val="0"/>
        <w:spacing w:after="120"/>
        <w:ind w:left="851" w:hanging="284"/>
        <w:jc w:val="both"/>
      </w:pPr>
      <w:r w:rsidRPr="00D57FF8">
        <w:t xml:space="preserve">visi trīs ēku kompleksi ir valsts aģentūras „Memoriālo muzeju apvienība” struktūrvienības „Raiņa un Aspazijas muzejs” ekspozīciju un izstāžu vietas, kā arī visi </w:t>
      </w:r>
      <w:r w:rsidR="00D57FF8">
        <w:t xml:space="preserve">ar minētajiem muzejiem saistītie valsts </w:t>
      </w:r>
      <w:r w:rsidRPr="00D57FF8">
        <w:t xml:space="preserve">nekustamie īpašumi ir reģistrēti uz valsts vārda Finanšu ministrijas personā un nodoti </w:t>
      </w:r>
      <w:r w:rsidR="00D57FF8">
        <w:t xml:space="preserve">Sabiedrības </w:t>
      </w:r>
      <w:r w:rsidRPr="00D57FF8">
        <w:t>pārvaldīšanā. Savukārt „Raiņa un Aspazijas muzejs” ir ēku lietotājs, kas nodrošina tajās muzeju funkciju izpildi;</w:t>
      </w:r>
    </w:p>
    <w:p w:rsidR="00324BCB" w:rsidRPr="00D57FF8" w:rsidRDefault="00324BCB" w:rsidP="00C84828">
      <w:pPr>
        <w:pStyle w:val="Sarakstarindkopa"/>
        <w:numPr>
          <w:ilvl w:val="0"/>
          <w:numId w:val="20"/>
        </w:numPr>
        <w:shd w:val="clear" w:color="auto" w:fill="FFFFFF" w:themeFill="background1"/>
        <w:suppressAutoHyphens w:val="0"/>
        <w:spacing w:after="120"/>
        <w:ind w:left="851" w:hanging="284"/>
        <w:jc w:val="both"/>
      </w:pPr>
      <w:r w:rsidRPr="00D57FF8">
        <w:t>visus trīs ēku kompleksus vieno piederība Latvijas koka arhitektūras mantojumam – ēkas, kas atrodas „Tadenavā”, ir Latvijas tradicionālās guļbaļķu arhitektūras piemērs, ēku komplekss, kas atrodas Jūrmalā, apvieno trīs Jūrmalas jūgendstila koka apbūvei raksturīgas ēkas, savukārt ēkas Baznīcas ielā ir nozīmīga Rīgas centra koka apbūves sastāvdaļa. Baznīcas ielas ēkas ar pagalmu un blakus esošās augstās centra mūra mājas veido savdabīgu R</w:t>
      </w:r>
      <w:r w:rsidR="00D57FF8">
        <w:t>īgas kultūrvēsturisko ansambli;</w:t>
      </w:r>
    </w:p>
    <w:p w:rsidR="00324BCB" w:rsidRPr="00D57FF8" w:rsidRDefault="00324BCB" w:rsidP="00C84828">
      <w:pPr>
        <w:pStyle w:val="Sarakstarindkopa"/>
        <w:numPr>
          <w:ilvl w:val="0"/>
          <w:numId w:val="20"/>
        </w:numPr>
        <w:shd w:val="clear" w:color="auto" w:fill="FFFFFF" w:themeFill="background1"/>
        <w:suppressAutoHyphens w:val="0"/>
        <w:spacing w:after="120"/>
        <w:ind w:left="851" w:hanging="284"/>
        <w:jc w:val="both"/>
      </w:pPr>
      <w:r w:rsidRPr="00D57FF8">
        <w:t xml:space="preserve">projektiem ir kopīgi sadarbības parteri </w:t>
      </w:r>
      <w:r w:rsidR="00D57FF8">
        <w:t>–</w:t>
      </w:r>
      <w:r w:rsidRPr="00D57FF8">
        <w:t xml:space="preserve"> objekti ir saturiski saistīti, tādēļ iespējama sadarbība un pieredzes apmaiņa ar vienām un tām pašām donorvalstu institūcijām;</w:t>
      </w:r>
    </w:p>
    <w:p w:rsidR="00324BCB" w:rsidRPr="00D57FF8" w:rsidRDefault="00324BCB" w:rsidP="00C84828">
      <w:pPr>
        <w:pStyle w:val="Sarakstarindkopa"/>
        <w:numPr>
          <w:ilvl w:val="0"/>
          <w:numId w:val="20"/>
        </w:numPr>
        <w:shd w:val="clear" w:color="auto" w:fill="FFFFFF" w:themeFill="background1"/>
        <w:suppressAutoHyphens w:val="0"/>
        <w:spacing w:after="120"/>
        <w:ind w:left="851" w:hanging="284"/>
        <w:jc w:val="both"/>
      </w:pPr>
      <w:r w:rsidRPr="00D57FF8">
        <w:t>tā kā visu trīs projektu ietvaros ir plānotas ekspozīciju izveides, projektu apvienošana ļautu nodrošināt savstarpēji saistīta, koordinēta ekspozīciju satura izveidi, novērstu dublēšanos un būtu garants katra objekta unikalitātei;</w:t>
      </w:r>
    </w:p>
    <w:p w:rsidR="00324BCB" w:rsidRDefault="00324BCB" w:rsidP="00C84828">
      <w:pPr>
        <w:pStyle w:val="Sarakstarindkopa"/>
        <w:numPr>
          <w:ilvl w:val="0"/>
          <w:numId w:val="20"/>
        </w:numPr>
        <w:shd w:val="clear" w:color="auto" w:fill="FFFFFF" w:themeFill="background1"/>
        <w:suppressAutoHyphens w:val="0"/>
        <w:spacing w:after="120"/>
        <w:ind w:left="851" w:hanging="284"/>
        <w:jc w:val="both"/>
      </w:pPr>
      <w:r w:rsidRPr="00D57FF8">
        <w:t xml:space="preserve">apvienojot projektus, tiktu vienkāršota projektu administrēšana un ieviešana – projektam būtu viens projekta vadītājs, kas attiecīgi koordinētu iepirkumu veikšanu, finanšu plānošanu, būvniecības </w:t>
      </w:r>
      <w:r w:rsidR="00D57FF8">
        <w:t>tehnisko dokumentāciju izstrādi;</w:t>
      </w:r>
    </w:p>
    <w:p w:rsidR="00B80F41" w:rsidRDefault="00B94152" w:rsidP="00C84828">
      <w:pPr>
        <w:pStyle w:val="Sarakstarindkopa"/>
        <w:numPr>
          <w:ilvl w:val="0"/>
          <w:numId w:val="20"/>
        </w:numPr>
        <w:shd w:val="clear" w:color="auto" w:fill="FFFFFF" w:themeFill="background1"/>
        <w:suppressAutoHyphens w:val="0"/>
        <w:spacing w:after="120"/>
        <w:ind w:left="851" w:hanging="284"/>
        <w:jc w:val="both"/>
      </w:pPr>
      <w:r>
        <w:rPr>
          <w:lang w:eastAsia="lv-LV"/>
        </w:rPr>
        <w:t xml:space="preserve">saskaņā ar </w:t>
      </w:r>
      <w:r w:rsidRPr="00470C2E">
        <w:rPr>
          <w:lang w:eastAsia="lv-LV"/>
        </w:rPr>
        <w:t>MK protokollēmum</w:t>
      </w:r>
      <w:r>
        <w:rPr>
          <w:lang w:eastAsia="lv-LV"/>
        </w:rPr>
        <w:t>a</w:t>
      </w:r>
      <w:r w:rsidRPr="00470C2E">
        <w:rPr>
          <w:lang w:eastAsia="lv-LV"/>
        </w:rPr>
        <w:t xml:space="preserve"> Nr.47</w:t>
      </w:r>
      <w:r>
        <w:rPr>
          <w:lang w:eastAsia="lv-LV"/>
        </w:rPr>
        <w:t xml:space="preserve"> 2.4.punktā doto uzdevumu Kultūras ministrijas un Finanšu ministrijas (Sabiedrības) realizējamais būvniecības projekts „</w:t>
      </w:r>
      <w:r w:rsidRPr="00B94152">
        <w:rPr>
          <w:lang w:eastAsia="lv-LV"/>
        </w:rPr>
        <w:t>Raiņa un Aspazijas mājas renovāciju Baznīcas ielā 30, Rīgā”</w:t>
      </w:r>
      <w:r>
        <w:rPr>
          <w:lang w:eastAsia="lv-LV"/>
        </w:rPr>
        <w:t xml:space="preserve">” ir </w:t>
      </w:r>
      <w:r w:rsidR="003D2E0D">
        <w:rPr>
          <w:lang w:eastAsia="lv-LV"/>
        </w:rPr>
        <w:t xml:space="preserve">noteikts </w:t>
      </w:r>
      <w:r>
        <w:rPr>
          <w:lang w:eastAsia="lv-LV"/>
        </w:rPr>
        <w:t>Ministru kabineta atbalstīto būvniecības projektu sarakstā;</w:t>
      </w:r>
    </w:p>
    <w:p w:rsidR="002E6E4B" w:rsidRDefault="00804010" w:rsidP="00C84828">
      <w:pPr>
        <w:pStyle w:val="Sarakstarindkopa"/>
        <w:numPr>
          <w:ilvl w:val="0"/>
          <w:numId w:val="20"/>
        </w:numPr>
        <w:shd w:val="clear" w:color="auto" w:fill="FFFFFF" w:themeFill="background1"/>
        <w:suppressAutoHyphens w:val="0"/>
        <w:spacing w:after="120"/>
        <w:ind w:left="851" w:hanging="284"/>
        <w:jc w:val="both"/>
      </w:pPr>
      <w:r>
        <w:t>apvienotā projektā</w:t>
      </w:r>
      <w:r w:rsidRPr="001F40E4">
        <w:t xml:space="preserve"> „Raiņa un Aspazijas muzeja atjaunošana” </w:t>
      </w:r>
      <w:r>
        <w:t xml:space="preserve">paredzēt papildus </w:t>
      </w:r>
      <w:r w:rsidRPr="00804010">
        <w:t>Raiņa un Aspazijas mājas rekonstrukcijas un restaurācijas ieceri Baznīcas ielā 30, Rīgā ir nodrošin</w:t>
      </w:r>
      <w:r>
        <w:t>āma esošo EEZ finanšu instrumenta paredzēto</w:t>
      </w:r>
      <w:r w:rsidR="002E6E4B">
        <w:t xml:space="preserve"> finanšu resursu ietvaros, ko apliecina Kultūras ministrijas 2012.gada 9.janvāra vēstulē Nr.12.2-4/120 un tās </w:t>
      </w:r>
      <w:r w:rsidR="00B94152">
        <w:t>pielikumā Sabiedrības sagatavotā</w:t>
      </w:r>
      <w:r w:rsidR="002E6E4B">
        <w:t xml:space="preserve"> detalizētā informācija ar aprēķiniem par EEZ </w:t>
      </w:r>
      <w:r w:rsidR="002E6E4B">
        <w:lastRenderedPageBreak/>
        <w:t>finanšu instrumenta iepriekš definēto projekt</w:t>
      </w:r>
      <w:r w:rsidR="006D55C8">
        <w:t xml:space="preserve">u finanšu resursu pietiekamību (skat. minēto projektu kopējās izmaksa 3.tabulā vai detalizēti </w:t>
      </w:r>
      <w:r w:rsidR="00F64A96">
        <w:t>2.</w:t>
      </w:r>
      <w:r w:rsidR="006D55C8">
        <w:t>pielikumā).</w:t>
      </w:r>
    </w:p>
    <w:p w:rsidR="00B80F41" w:rsidRPr="00770D7E" w:rsidRDefault="00B80F41" w:rsidP="00B80F41">
      <w:pPr>
        <w:ind w:right="-2"/>
        <w:jc w:val="right"/>
        <w:rPr>
          <w:sz w:val="16"/>
          <w:szCs w:val="16"/>
        </w:rPr>
      </w:pPr>
      <w:r>
        <w:rPr>
          <w:sz w:val="16"/>
          <w:szCs w:val="16"/>
        </w:rPr>
        <w:t>3</w:t>
      </w:r>
      <w:r w:rsidRPr="00770D7E">
        <w:rPr>
          <w:sz w:val="16"/>
          <w:szCs w:val="16"/>
        </w:rPr>
        <w:t>.tabula</w:t>
      </w:r>
    </w:p>
    <w:tbl>
      <w:tblPr>
        <w:tblW w:w="8221" w:type="dxa"/>
        <w:tblInd w:w="959" w:type="dxa"/>
        <w:tblLayout w:type="fixed"/>
        <w:tblLook w:val="04A0"/>
      </w:tblPr>
      <w:tblGrid>
        <w:gridCol w:w="425"/>
        <w:gridCol w:w="4111"/>
        <w:gridCol w:w="1418"/>
        <w:gridCol w:w="1134"/>
        <w:gridCol w:w="1133"/>
      </w:tblGrid>
      <w:tr w:rsidR="006D55C8" w:rsidRPr="0086601B" w:rsidTr="00C84828">
        <w:trPr>
          <w:trHeight w:val="25"/>
        </w:trPr>
        <w:tc>
          <w:tcPr>
            <w:tcW w:w="425" w:type="dxa"/>
            <w:vMerge w:val="restart"/>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6D55C8" w:rsidRPr="0086601B" w:rsidRDefault="006D55C8" w:rsidP="006D55C8">
            <w:pPr>
              <w:ind w:left="-108" w:right="-102"/>
              <w:jc w:val="center"/>
              <w:rPr>
                <w:b/>
                <w:bCs/>
                <w:sz w:val="16"/>
                <w:szCs w:val="16"/>
                <w:lang w:eastAsia="lv-LV"/>
              </w:rPr>
            </w:pPr>
            <w:r w:rsidRPr="0086601B">
              <w:rPr>
                <w:b/>
                <w:bCs/>
                <w:sz w:val="16"/>
                <w:szCs w:val="16"/>
                <w:lang w:eastAsia="lv-LV"/>
              </w:rPr>
              <w:t>Nr.</w:t>
            </w:r>
            <w:r w:rsidRPr="0086601B">
              <w:rPr>
                <w:b/>
                <w:bCs/>
                <w:sz w:val="16"/>
                <w:szCs w:val="16"/>
                <w:lang w:eastAsia="lv-LV"/>
              </w:rPr>
              <w:br/>
              <w:t>p.k.</w:t>
            </w:r>
          </w:p>
        </w:tc>
        <w:tc>
          <w:tcPr>
            <w:tcW w:w="4111" w:type="dxa"/>
            <w:vMerge w:val="restart"/>
            <w:tcBorders>
              <w:top w:val="dotted" w:sz="4" w:space="0" w:color="auto"/>
              <w:left w:val="dotted" w:sz="4" w:space="0" w:color="auto"/>
              <w:bottom w:val="dotted" w:sz="4" w:space="0" w:color="auto"/>
              <w:right w:val="double" w:sz="6" w:space="0" w:color="auto"/>
            </w:tcBorders>
            <w:shd w:val="clear" w:color="auto" w:fill="D9D9D9" w:themeFill="background1" w:themeFillShade="D9"/>
            <w:vAlign w:val="center"/>
            <w:hideMark/>
          </w:tcPr>
          <w:p w:rsidR="006D55C8" w:rsidRPr="0086601B" w:rsidRDefault="006D55C8" w:rsidP="006D55C8">
            <w:pPr>
              <w:jc w:val="center"/>
              <w:rPr>
                <w:b/>
                <w:bCs/>
                <w:sz w:val="16"/>
                <w:szCs w:val="16"/>
                <w:lang w:eastAsia="lv-LV"/>
              </w:rPr>
            </w:pPr>
            <w:r w:rsidRPr="0086601B">
              <w:rPr>
                <w:b/>
                <w:bCs/>
                <w:sz w:val="16"/>
                <w:szCs w:val="16"/>
                <w:lang w:eastAsia="lv-LV"/>
              </w:rPr>
              <w:t>Iepriekš definēto investīciju projekta nosaukumi</w:t>
            </w:r>
          </w:p>
        </w:tc>
        <w:tc>
          <w:tcPr>
            <w:tcW w:w="1418" w:type="dxa"/>
            <w:vMerge w:val="restart"/>
            <w:tcBorders>
              <w:top w:val="double" w:sz="6" w:space="0" w:color="auto"/>
              <w:left w:val="double" w:sz="6" w:space="0" w:color="auto"/>
              <w:bottom w:val="dotted" w:sz="4" w:space="0" w:color="auto"/>
              <w:right w:val="double" w:sz="6" w:space="0" w:color="auto"/>
            </w:tcBorders>
            <w:shd w:val="clear" w:color="auto" w:fill="D9D9D9" w:themeFill="background1" w:themeFillShade="D9"/>
            <w:vAlign w:val="center"/>
            <w:hideMark/>
          </w:tcPr>
          <w:p w:rsidR="006D55C8" w:rsidRPr="0086601B" w:rsidRDefault="006D55C8" w:rsidP="006D55C8">
            <w:pPr>
              <w:ind w:left="-116" w:right="-108"/>
              <w:jc w:val="center"/>
              <w:rPr>
                <w:b/>
                <w:bCs/>
                <w:sz w:val="16"/>
                <w:szCs w:val="16"/>
                <w:lang w:eastAsia="lv-LV"/>
              </w:rPr>
            </w:pPr>
            <w:r w:rsidRPr="0086601B">
              <w:rPr>
                <w:b/>
                <w:bCs/>
                <w:sz w:val="16"/>
                <w:szCs w:val="16"/>
                <w:lang w:eastAsia="lv-LV"/>
              </w:rPr>
              <w:t>Precizētais</w:t>
            </w:r>
          </w:p>
          <w:p w:rsidR="00B80F41" w:rsidRPr="0086601B" w:rsidRDefault="006D55C8" w:rsidP="006D55C8">
            <w:pPr>
              <w:ind w:left="-116" w:right="-108"/>
              <w:jc w:val="center"/>
              <w:rPr>
                <w:b/>
                <w:bCs/>
                <w:sz w:val="16"/>
                <w:szCs w:val="16"/>
                <w:lang w:eastAsia="lv-LV"/>
              </w:rPr>
            </w:pPr>
            <w:r w:rsidRPr="0086601B">
              <w:rPr>
                <w:b/>
                <w:bCs/>
                <w:sz w:val="16"/>
                <w:szCs w:val="16"/>
                <w:lang w:eastAsia="lv-LV"/>
              </w:rPr>
              <w:t>(provizoriskais)</w:t>
            </w:r>
            <w:r w:rsidRPr="0086601B">
              <w:rPr>
                <w:b/>
                <w:bCs/>
                <w:sz w:val="16"/>
                <w:szCs w:val="16"/>
                <w:lang w:eastAsia="lv-LV"/>
              </w:rPr>
              <w:br/>
              <w:t>investīciju</w:t>
            </w:r>
          </w:p>
          <w:p w:rsidR="00B80F41" w:rsidRPr="0086601B" w:rsidRDefault="006D55C8" w:rsidP="006D55C8">
            <w:pPr>
              <w:ind w:left="-116" w:right="-108"/>
              <w:jc w:val="center"/>
              <w:rPr>
                <w:b/>
                <w:bCs/>
                <w:sz w:val="16"/>
                <w:szCs w:val="16"/>
                <w:lang w:eastAsia="lv-LV"/>
              </w:rPr>
            </w:pPr>
            <w:r w:rsidRPr="0086601B">
              <w:rPr>
                <w:b/>
                <w:bCs/>
                <w:sz w:val="16"/>
                <w:szCs w:val="16"/>
                <w:lang w:eastAsia="lv-LV"/>
              </w:rPr>
              <w:t xml:space="preserve"> projekta</w:t>
            </w:r>
            <w:r w:rsidRPr="0086601B">
              <w:rPr>
                <w:b/>
                <w:bCs/>
                <w:sz w:val="16"/>
                <w:szCs w:val="16"/>
                <w:lang w:eastAsia="lv-LV"/>
              </w:rPr>
              <w:br/>
              <w:t>attiecināmo izmaksu</w:t>
            </w:r>
            <w:r w:rsidRPr="0086601B">
              <w:rPr>
                <w:b/>
                <w:bCs/>
                <w:sz w:val="16"/>
                <w:szCs w:val="16"/>
                <w:lang w:eastAsia="lv-LV"/>
              </w:rPr>
              <w:br/>
              <w:t>kopējais</w:t>
            </w:r>
          </w:p>
          <w:p w:rsidR="006D55C8" w:rsidRPr="0086601B" w:rsidRDefault="006D55C8" w:rsidP="006D55C8">
            <w:pPr>
              <w:ind w:left="-116" w:right="-108"/>
              <w:jc w:val="center"/>
              <w:rPr>
                <w:b/>
                <w:bCs/>
                <w:sz w:val="16"/>
                <w:szCs w:val="16"/>
                <w:lang w:eastAsia="lv-LV"/>
              </w:rPr>
            </w:pPr>
            <w:r w:rsidRPr="0086601B">
              <w:rPr>
                <w:b/>
                <w:bCs/>
                <w:sz w:val="16"/>
                <w:szCs w:val="16"/>
                <w:lang w:eastAsia="lv-LV"/>
              </w:rPr>
              <w:t>apjoms*</w:t>
            </w:r>
          </w:p>
        </w:tc>
        <w:tc>
          <w:tcPr>
            <w:tcW w:w="2267" w:type="dxa"/>
            <w:gridSpan w:val="2"/>
            <w:tcBorders>
              <w:top w:val="dotted" w:sz="4" w:space="0" w:color="auto"/>
              <w:left w:val="double" w:sz="6" w:space="0" w:color="auto"/>
              <w:bottom w:val="dotted" w:sz="4" w:space="0" w:color="auto"/>
              <w:right w:val="dotted" w:sz="4" w:space="0" w:color="auto"/>
            </w:tcBorders>
            <w:shd w:val="clear" w:color="auto" w:fill="D9D9D9" w:themeFill="background1" w:themeFillShade="D9"/>
            <w:vAlign w:val="center"/>
            <w:hideMark/>
          </w:tcPr>
          <w:p w:rsidR="006D55C8" w:rsidRPr="0086601B" w:rsidRDefault="006D55C8" w:rsidP="006D55C8">
            <w:pPr>
              <w:rPr>
                <w:b/>
                <w:bCs/>
                <w:sz w:val="16"/>
                <w:szCs w:val="16"/>
                <w:lang w:eastAsia="lv-LV"/>
              </w:rPr>
            </w:pPr>
            <w:r w:rsidRPr="0086601B">
              <w:rPr>
                <w:b/>
                <w:bCs/>
                <w:sz w:val="16"/>
                <w:szCs w:val="16"/>
                <w:lang w:eastAsia="lv-LV"/>
              </w:rPr>
              <w:t>t.sk.:</w:t>
            </w:r>
          </w:p>
        </w:tc>
      </w:tr>
      <w:tr w:rsidR="006D55C8" w:rsidRPr="0086601B" w:rsidTr="00C84828">
        <w:trPr>
          <w:trHeight w:val="801"/>
        </w:trPr>
        <w:tc>
          <w:tcPr>
            <w:tcW w:w="425" w:type="dxa"/>
            <w:vMerge/>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6D55C8" w:rsidRPr="0086601B" w:rsidRDefault="006D55C8" w:rsidP="006D55C8">
            <w:pPr>
              <w:ind w:left="-108" w:right="-102"/>
              <w:rPr>
                <w:b/>
                <w:bCs/>
                <w:sz w:val="16"/>
                <w:szCs w:val="16"/>
                <w:lang w:eastAsia="lv-LV"/>
              </w:rPr>
            </w:pPr>
          </w:p>
        </w:tc>
        <w:tc>
          <w:tcPr>
            <w:tcW w:w="4111" w:type="dxa"/>
            <w:vMerge/>
            <w:tcBorders>
              <w:top w:val="dotted" w:sz="4" w:space="0" w:color="auto"/>
              <w:left w:val="dotted" w:sz="4" w:space="0" w:color="auto"/>
              <w:bottom w:val="dotted" w:sz="4" w:space="0" w:color="auto"/>
              <w:right w:val="double" w:sz="6" w:space="0" w:color="auto"/>
            </w:tcBorders>
            <w:shd w:val="clear" w:color="auto" w:fill="D9D9D9" w:themeFill="background1" w:themeFillShade="D9"/>
            <w:vAlign w:val="center"/>
            <w:hideMark/>
          </w:tcPr>
          <w:p w:rsidR="006D55C8" w:rsidRPr="0086601B" w:rsidRDefault="006D55C8" w:rsidP="006D55C8">
            <w:pPr>
              <w:rPr>
                <w:b/>
                <w:bCs/>
                <w:sz w:val="16"/>
                <w:szCs w:val="16"/>
                <w:lang w:eastAsia="lv-LV"/>
              </w:rPr>
            </w:pPr>
          </w:p>
        </w:tc>
        <w:tc>
          <w:tcPr>
            <w:tcW w:w="1418" w:type="dxa"/>
            <w:vMerge/>
            <w:tcBorders>
              <w:top w:val="dotted" w:sz="4" w:space="0" w:color="auto"/>
              <w:left w:val="double" w:sz="6" w:space="0" w:color="auto"/>
              <w:bottom w:val="dotted" w:sz="4" w:space="0" w:color="auto"/>
              <w:right w:val="double" w:sz="6" w:space="0" w:color="auto"/>
            </w:tcBorders>
            <w:shd w:val="clear" w:color="auto" w:fill="D9D9D9" w:themeFill="background1" w:themeFillShade="D9"/>
            <w:vAlign w:val="center"/>
            <w:hideMark/>
          </w:tcPr>
          <w:p w:rsidR="006D55C8" w:rsidRPr="0086601B" w:rsidRDefault="006D55C8" w:rsidP="006D55C8">
            <w:pPr>
              <w:rPr>
                <w:b/>
                <w:bCs/>
                <w:sz w:val="16"/>
                <w:szCs w:val="16"/>
                <w:lang w:eastAsia="lv-LV"/>
              </w:rPr>
            </w:pPr>
          </w:p>
        </w:tc>
        <w:tc>
          <w:tcPr>
            <w:tcW w:w="1134" w:type="dxa"/>
            <w:vMerge w:val="restart"/>
            <w:tcBorders>
              <w:top w:val="dotted" w:sz="4" w:space="0" w:color="auto"/>
              <w:left w:val="double" w:sz="6" w:space="0" w:color="auto"/>
              <w:bottom w:val="dotted" w:sz="4" w:space="0" w:color="auto"/>
              <w:right w:val="dotted" w:sz="4" w:space="0" w:color="auto"/>
            </w:tcBorders>
            <w:shd w:val="clear" w:color="auto" w:fill="D9D9D9" w:themeFill="background1" w:themeFillShade="D9"/>
            <w:vAlign w:val="center"/>
            <w:hideMark/>
          </w:tcPr>
          <w:p w:rsidR="006D55C8" w:rsidRPr="0086601B" w:rsidRDefault="006D55C8" w:rsidP="006D55C8">
            <w:pPr>
              <w:ind w:left="-108" w:right="-108"/>
              <w:jc w:val="center"/>
              <w:rPr>
                <w:b/>
                <w:bCs/>
                <w:sz w:val="16"/>
                <w:szCs w:val="16"/>
                <w:lang w:eastAsia="lv-LV"/>
              </w:rPr>
            </w:pPr>
            <w:r w:rsidRPr="0086601B">
              <w:rPr>
                <w:b/>
                <w:bCs/>
                <w:sz w:val="16"/>
                <w:szCs w:val="16"/>
                <w:lang w:eastAsia="lv-LV"/>
              </w:rPr>
              <w:t xml:space="preserve">EEZ līdzfin. kopējai </w:t>
            </w:r>
          </w:p>
          <w:p w:rsidR="006D55C8" w:rsidRPr="0086601B" w:rsidRDefault="006D55C8" w:rsidP="006D55C8">
            <w:pPr>
              <w:ind w:left="-108" w:right="-108"/>
              <w:jc w:val="center"/>
              <w:rPr>
                <w:b/>
                <w:bCs/>
                <w:sz w:val="16"/>
                <w:szCs w:val="16"/>
                <w:lang w:eastAsia="lv-LV"/>
              </w:rPr>
            </w:pPr>
            <w:r w:rsidRPr="0086601B">
              <w:rPr>
                <w:b/>
                <w:bCs/>
                <w:sz w:val="16"/>
                <w:szCs w:val="16"/>
                <w:lang w:eastAsia="lv-LV"/>
              </w:rPr>
              <w:t>apmērs</w:t>
            </w:r>
          </w:p>
          <w:p w:rsidR="006D55C8" w:rsidRPr="0086601B" w:rsidRDefault="006D55C8" w:rsidP="006D55C8">
            <w:pPr>
              <w:ind w:left="-108" w:right="-108"/>
              <w:jc w:val="center"/>
              <w:rPr>
                <w:b/>
                <w:bCs/>
                <w:sz w:val="16"/>
                <w:szCs w:val="16"/>
                <w:lang w:eastAsia="lv-LV"/>
              </w:rPr>
            </w:pPr>
            <w:r w:rsidRPr="0086601B">
              <w:rPr>
                <w:b/>
                <w:bCs/>
                <w:sz w:val="16"/>
                <w:szCs w:val="16"/>
                <w:lang w:eastAsia="lv-LV"/>
              </w:rPr>
              <w:t>(85%)</w:t>
            </w:r>
          </w:p>
        </w:tc>
        <w:tc>
          <w:tcPr>
            <w:tcW w:w="1133" w:type="dxa"/>
            <w:vMerge w:val="restart"/>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6D55C8" w:rsidRPr="0086601B" w:rsidRDefault="006D55C8" w:rsidP="006D55C8">
            <w:pPr>
              <w:ind w:left="-108" w:right="-108"/>
              <w:jc w:val="center"/>
              <w:rPr>
                <w:b/>
                <w:bCs/>
                <w:sz w:val="16"/>
                <w:szCs w:val="16"/>
                <w:lang w:eastAsia="lv-LV"/>
              </w:rPr>
            </w:pPr>
            <w:r w:rsidRPr="0086601B">
              <w:rPr>
                <w:b/>
                <w:bCs/>
                <w:sz w:val="16"/>
                <w:szCs w:val="16"/>
                <w:lang w:eastAsia="lv-LV"/>
              </w:rPr>
              <w:t>Valsts līdzfin.</w:t>
            </w:r>
            <w:r w:rsidRPr="0086601B">
              <w:rPr>
                <w:b/>
                <w:bCs/>
                <w:sz w:val="16"/>
                <w:szCs w:val="16"/>
                <w:lang w:eastAsia="lv-LV"/>
              </w:rPr>
              <w:br/>
              <w:t>kopējais</w:t>
            </w:r>
          </w:p>
          <w:p w:rsidR="006D55C8" w:rsidRPr="0086601B" w:rsidRDefault="006D55C8" w:rsidP="006D55C8">
            <w:pPr>
              <w:ind w:left="-108" w:right="-108"/>
              <w:jc w:val="center"/>
              <w:rPr>
                <w:b/>
                <w:bCs/>
                <w:sz w:val="16"/>
                <w:szCs w:val="16"/>
                <w:lang w:eastAsia="lv-LV"/>
              </w:rPr>
            </w:pPr>
            <w:r w:rsidRPr="0086601B">
              <w:rPr>
                <w:b/>
                <w:bCs/>
                <w:sz w:val="16"/>
                <w:szCs w:val="16"/>
                <w:lang w:eastAsia="lv-LV"/>
              </w:rPr>
              <w:t>apmērs</w:t>
            </w:r>
            <w:r w:rsidRPr="0086601B">
              <w:rPr>
                <w:b/>
                <w:bCs/>
                <w:sz w:val="16"/>
                <w:szCs w:val="16"/>
                <w:lang w:eastAsia="lv-LV"/>
              </w:rPr>
              <w:br/>
              <w:t>(15%)</w:t>
            </w:r>
          </w:p>
        </w:tc>
      </w:tr>
      <w:tr w:rsidR="006D55C8" w:rsidRPr="0086601B" w:rsidTr="00C84828">
        <w:trPr>
          <w:trHeight w:val="230"/>
        </w:trPr>
        <w:tc>
          <w:tcPr>
            <w:tcW w:w="425" w:type="dxa"/>
            <w:vMerge/>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6D55C8" w:rsidRPr="0086601B" w:rsidRDefault="006D55C8" w:rsidP="006D55C8">
            <w:pPr>
              <w:ind w:left="-108" w:right="-102"/>
              <w:rPr>
                <w:b/>
                <w:bCs/>
                <w:sz w:val="16"/>
                <w:szCs w:val="16"/>
                <w:lang w:eastAsia="lv-LV"/>
              </w:rPr>
            </w:pPr>
          </w:p>
        </w:tc>
        <w:tc>
          <w:tcPr>
            <w:tcW w:w="4111" w:type="dxa"/>
            <w:vMerge/>
            <w:tcBorders>
              <w:top w:val="dotted" w:sz="4" w:space="0" w:color="auto"/>
              <w:left w:val="dotted" w:sz="4" w:space="0" w:color="auto"/>
              <w:bottom w:val="dotted" w:sz="4" w:space="0" w:color="auto"/>
              <w:right w:val="double" w:sz="6" w:space="0" w:color="auto"/>
            </w:tcBorders>
            <w:shd w:val="clear" w:color="auto" w:fill="D9D9D9" w:themeFill="background1" w:themeFillShade="D9"/>
            <w:vAlign w:val="center"/>
            <w:hideMark/>
          </w:tcPr>
          <w:p w:rsidR="006D55C8" w:rsidRPr="0086601B" w:rsidRDefault="006D55C8" w:rsidP="006D55C8">
            <w:pPr>
              <w:rPr>
                <w:b/>
                <w:bCs/>
                <w:sz w:val="16"/>
                <w:szCs w:val="16"/>
                <w:lang w:eastAsia="lv-LV"/>
              </w:rPr>
            </w:pPr>
          </w:p>
        </w:tc>
        <w:tc>
          <w:tcPr>
            <w:tcW w:w="1418" w:type="dxa"/>
            <w:vMerge/>
            <w:tcBorders>
              <w:top w:val="dotted" w:sz="4" w:space="0" w:color="auto"/>
              <w:left w:val="double" w:sz="6" w:space="0" w:color="auto"/>
              <w:bottom w:val="dotted" w:sz="4" w:space="0" w:color="auto"/>
              <w:right w:val="double" w:sz="6" w:space="0" w:color="auto"/>
            </w:tcBorders>
            <w:shd w:val="clear" w:color="auto" w:fill="D9D9D9" w:themeFill="background1" w:themeFillShade="D9"/>
            <w:vAlign w:val="center"/>
            <w:hideMark/>
          </w:tcPr>
          <w:p w:rsidR="006D55C8" w:rsidRPr="0086601B" w:rsidRDefault="006D55C8" w:rsidP="006D55C8">
            <w:pPr>
              <w:rPr>
                <w:b/>
                <w:bCs/>
                <w:sz w:val="16"/>
                <w:szCs w:val="16"/>
                <w:lang w:eastAsia="lv-LV"/>
              </w:rPr>
            </w:pPr>
          </w:p>
        </w:tc>
        <w:tc>
          <w:tcPr>
            <w:tcW w:w="1134" w:type="dxa"/>
            <w:vMerge/>
            <w:tcBorders>
              <w:top w:val="dotted" w:sz="4" w:space="0" w:color="auto"/>
              <w:left w:val="double" w:sz="6" w:space="0" w:color="auto"/>
              <w:bottom w:val="dotted" w:sz="4" w:space="0" w:color="auto"/>
              <w:right w:val="dotted" w:sz="4" w:space="0" w:color="auto"/>
            </w:tcBorders>
            <w:shd w:val="clear" w:color="auto" w:fill="D9D9D9" w:themeFill="background1" w:themeFillShade="D9"/>
            <w:vAlign w:val="center"/>
            <w:hideMark/>
          </w:tcPr>
          <w:p w:rsidR="006D55C8" w:rsidRPr="0086601B" w:rsidRDefault="006D55C8" w:rsidP="006D55C8">
            <w:pPr>
              <w:rPr>
                <w:b/>
                <w:bCs/>
                <w:sz w:val="16"/>
                <w:szCs w:val="16"/>
                <w:lang w:eastAsia="lv-LV"/>
              </w:rPr>
            </w:pPr>
          </w:p>
        </w:tc>
        <w:tc>
          <w:tcPr>
            <w:tcW w:w="1133" w:type="dxa"/>
            <w:vMerge/>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rsidR="006D55C8" w:rsidRPr="0086601B" w:rsidRDefault="006D55C8" w:rsidP="006D55C8">
            <w:pPr>
              <w:rPr>
                <w:b/>
                <w:bCs/>
                <w:sz w:val="16"/>
                <w:szCs w:val="16"/>
                <w:lang w:eastAsia="lv-LV"/>
              </w:rPr>
            </w:pPr>
          </w:p>
        </w:tc>
      </w:tr>
      <w:tr w:rsidR="006D55C8" w:rsidRPr="0086601B" w:rsidTr="00C84828">
        <w:trPr>
          <w:trHeight w:val="639"/>
        </w:trPr>
        <w:tc>
          <w:tcPr>
            <w:tcW w:w="425"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6D55C8" w:rsidRPr="0086601B" w:rsidRDefault="006D55C8" w:rsidP="006D55C8">
            <w:pPr>
              <w:ind w:left="-108" w:right="-102"/>
              <w:jc w:val="center"/>
              <w:rPr>
                <w:sz w:val="16"/>
                <w:szCs w:val="16"/>
                <w:lang w:eastAsia="lv-LV"/>
              </w:rPr>
            </w:pPr>
            <w:r w:rsidRPr="0086601B">
              <w:rPr>
                <w:sz w:val="16"/>
                <w:szCs w:val="16"/>
                <w:lang w:eastAsia="lv-LV"/>
              </w:rPr>
              <w:t>1.</w:t>
            </w:r>
          </w:p>
        </w:tc>
        <w:tc>
          <w:tcPr>
            <w:tcW w:w="4111" w:type="dxa"/>
            <w:tcBorders>
              <w:top w:val="dotted" w:sz="4" w:space="0" w:color="auto"/>
              <w:left w:val="dotted" w:sz="4" w:space="0" w:color="auto"/>
              <w:bottom w:val="dotted" w:sz="4" w:space="0" w:color="auto"/>
              <w:right w:val="double" w:sz="6" w:space="0" w:color="auto"/>
            </w:tcBorders>
            <w:shd w:val="clear" w:color="000000" w:fill="FFFFFF"/>
            <w:vAlign w:val="center"/>
            <w:hideMark/>
          </w:tcPr>
          <w:p w:rsidR="006D55C8" w:rsidRPr="0086601B" w:rsidRDefault="006D55C8" w:rsidP="006D55C8">
            <w:pPr>
              <w:ind w:left="-72" w:right="-64"/>
              <w:rPr>
                <w:bCs/>
                <w:sz w:val="16"/>
                <w:szCs w:val="16"/>
                <w:lang w:eastAsia="lv-LV"/>
              </w:rPr>
            </w:pPr>
            <w:r w:rsidRPr="0086601B">
              <w:rPr>
                <w:bCs/>
                <w:sz w:val="16"/>
                <w:szCs w:val="16"/>
                <w:lang w:eastAsia="lv-LV"/>
              </w:rPr>
              <w:t>Rakstniecības un mūzikas muzeja rekonstrukcija (lati);</w:t>
            </w:r>
          </w:p>
        </w:tc>
        <w:tc>
          <w:tcPr>
            <w:tcW w:w="1418" w:type="dxa"/>
            <w:tcBorders>
              <w:top w:val="dotted" w:sz="4" w:space="0" w:color="auto"/>
              <w:left w:val="double" w:sz="6" w:space="0" w:color="auto"/>
              <w:bottom w:val="dotted" w:sz="4" w:space="0" w:color="auto"/>
              <w:right w:val="double" w:sz="6" w:space="0" w:color="auto"/>
            </w:tcBorders>
            <w:shd w:val="clear" w:color="000000" w:fill="FFFFFF"/>
            <w:vAlign w:val="center"/>
            <w:hideMark/>
          </w:tcPr>
          <w:p w:rsidR="006D55C8" w:rsidRPr="0086601B" w:rsidRDefault="006D55C8" w:rsidP="006D55C8">
            <w:pPr>
              <w:ind w:left="-108" w:right="-108"/>
              <w:jc w:val="center"/>
              <w:rPr>
                <w:sz w:val="16"/>
                <w:szCs w:val="16"/>
                <w:lang w:eastAsia="lv-LV"/>
              </w:rPr>
            </w:pPr>
            <w:r w:rsidRPr="0086601B">
              <w:rPr>
                <w:b/>
                <w:bCs/>
                <w:sz w:val="16"/>
                <w:szCs w:val="16"/>
                <w:lang w:eastAsia="lv-LV"/>
              </w:rPr>
              <w:t>3 477 253</w:t>
            </w:r>
          </w:p>
        </w:tc>
        <w:tc>
          <w:tcPr>
            <w:tcW w:w="1134" w:type="dxa"/>
            <w:tcBorders>
              <w:top w:val="dotted" w:sz="4" w:space="0" w:color="auto"/>
              <w:left w:val="double" w:sz="6" w:space="0" w:color="auto"/>
              <w:bottom w:val="dotted" w:sz="4" w:space="0" w:color="auto"/>
              <w:right w:val="dotted" w:sz="4" w:space="0" w:color="auto"/>
            </w:tcBorders>
            <w:shd w:val="clear" w:color="000000" w:fill="FFFFFF"/>
            <w:vAlign w:val="center"/>
            <w:hideMark/>
          </w:tcPr>
          <w:p w:rsidR="006D55C8" w:rsidRPr="0086601B" w:rsidRDefault="006D55C8" w:rsidP="006D55C8">
            <w:pPr>
              <w:ind w:left="-108" w:right="-108"/>
              <w:jc w:val="center"/>
              <w:rPr>
                <w:sz w:val="16"/>
                <w:szCs w:val="16"/>
                <w:lang w:eastAsia="lv-LV"/>
              </w:rPr>
            </w:pPr>
            <w:r w:rsidRPr="0086601B">
              <w:rPr>
                <w:bCs/>
                <w:sz w:val="16"/>
                <w:szCs w:val="16"/>
                <w:lang w:eastAsia="lv-LV"/>
              </w:rPr>
              <w:t>2 955 665</w:t>
            </w:r>
          </w:p>
        </w:tc>
        <w:tc>
          <w:tcPr>
            <w:tcW w:w="1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6D55C8" w:rsidRPr="0086601B" w:rsidRDefault="006D55C8" w:rsidP="006D55C8">
            <w:pPr>
              <w:ind w:left="-108" w:right="-108"/>
              <w:jc w:val="center"/>
              <w:rPr>
                <w:sz w:val="16"/>
                <w:szCs w:val="16"/>
                <w:lang w:eastAsia="lv-LV"/>
              </w:rPr>
            </w:pPr>
            <w:r w:rsidRPr="0086601B">
              <w:rPr>
                <w:bCs/>
                <w:sz w:val="16"/>
                <w:szCs w:val="16"/>
                <w:lang w:eastAsia="lv-LV"/>
              </w:rPr>
              <w:t>521 588</w:t>
            </w:r>
          </w:p>
        </w:tc>
      </w:tr>
      <w:tr w:rsidR="006D55C8" w:rsidRPr="0086601B" w:rsidTr="00C84828">
        <w:trPr>
          <w:trHeight w:val="549"/>
        </w:trPr>
        <w:tc>
          <w:tcPr>
            <w:tcW w:w="425"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6D55C8" w:rsidRPr="0086601B" w:rsidRDefault="006D55C8" w:rsidP="006D55C8">
            <w:pPr>
              <w:ind w:left="-108" w:right="-102"/>
              <w:jc w:val="center"/>
              <w:rPr>
                <w:sz w:val="16"/>
                <w:szCs w:val="16"/>
                <w:lang w:eastAsia="lv-LV"/>
              </w:rPr>
            </w:pPr>
            <w:r w:rsidRPr="0086601B">
              <w:rPr>
                <w:sz w:val="16"/>
                <w:szCs w:val="16"/>
                <w:lang w:eastAsia="lv-LV"/>
              </w:rPr>
              <w:t>2.</w:t>
            </w:r>
          </w:p>
        </w:tc>
        <w:tc>
          <w:tcPr>
            <w:tcW w:w="4111" w:type="dxa"/>
            <w:tcBorders>
              <w:top w:val="dotted" w:sz="4" w:space="0" w:color="auto"/>
              <w:left w:val="dotted" w:sz="4" w:space="0" w:color="auto"/>
              <w:bottom w:val="dotted" w:sz="4" w:space="0" w:color="auto"/>
              <w:right w:val="double" w:sz="6" w:space="0" w:color="auto"/>
            </w:tcBorders>
            <w:shd w:val="clear" w:color="000000" w:fill="FFFFFF"/>
            <w:vAlign w:val="center"/>
            <w:hideMark/>
          </w:tcPr>
          <w:p w:rsidR="006D55C8" w:rsidRPr="0086601B" w:rsidRDefault="006D55C8" w:rsidP="006D55C8">
            <w:pPr>
              <w:ind w:left="-72" w:right="-64"/>
              <w:rPr>
                <w:bCs/>
                <w:sz w:val="16"/>
                <w:szCs w:val="16"/>
                <w:lang w:eastAsia="lv-LV"/>
              </w:rPr>
            </w:pPr>
            <w:r w:rsidRPr="0086601B">
              <w:rPr>
                <w:bCs/>
                <w:sz w:val="16"/>
                <w:szCs w:val="16"/>
                <w:lang w:eastAsia="lv-LV"/>
              </w:rPr>
              <w:t>Raiņa un Aspa</w:t>
            </w:r>
            <w:r w:rsidR="00B80F41" w:rsidRPr="0086601B">
              <w:rPr>
                <w:bCs/>
                <w:sz w:val="16"/>
                <w:szCs w:val="16"/>
                <w:lang w:eastAsia="lv-LV"/>
              </w:rPr>
              <w:t>zijas muzeja atjaunošana (lati).</w:t>
            </w:r>
          </w:p>
        </w:tc>
        <w:tc>
          <w:tcPr>
            <w:tcW w:w="1418" w:type="dxa"/>
            <w:tcBorders>
              <w:top w:val="dotted" w:sz="4" w:space="0" w:color="auto"/>
              <w:left w:val="double" w:sz="6" w:space="0" w:color="auto"/>
              <w:bottom w:val="double" w:sz="6" w:space="0" w:color="auto"/>
              <w:right w:val="double" w:sz="6" w:space="0" w:color="auto"/>
            </w:tcBorders>
            <w:shd w:val="clear" w:color="000000" w:fill="FFFFFF"/>
            <w:vAlign w:val="center"/>
            <w:hideMark/>
          </w:tcPr>
          <w:p w:rsidR="006D55C8" w:rsidRPr="0086601B" w:rsidRDefault="006D55C8" w:rsidP="006D55C8">
            <w:pPr>
              <w:ind w:left="-108" w:right="-108"/>
              <w:jc w:val="center"/>
              <w:rPr>
                <w:sz w:val="16"/>
                <w:szCs w:val="16"/>
                <w:lang w:eastAsia="lv-LV"/>
              </w:rPr>
            </w:pPr>
            <w:r w:rsidRPr="0086601B">
              <w:rPr>
                <w:b/>
                <w:bCs/>
                <w:sz w:val="16"/>
                <w:szCs w:val="16"/>
                <w:lang w:eastAsia="lv-LV"/>
              </w:rPr>
              <w:t>1 800 823</w:t>
            </w:r>
          </w:p>
        </w:tc>
        <w:tc>
          <w:tcPr>
            <w:tcW w:w="1134" w:type="dxa"/>
            <w:tcBorders>
              <w:top w:val="dotted" w:sz="4" w:space="0" w:color="auto"/>
              <w:left w:val="double" w:sz="6" w:space="0" w:color="auto"/>
              <w:bottom w:val="double" w:sz="6" w:space="0" w:color="auto"/>
              <w:right w:val="dotted" w:sz="4" w:space="0" w:color="auto"/>
            </w:tcBorders>
            <w:shd w:val="clear" w:color="000000" w:fill="FFFFFF"/>
            <w:vAlign w:val="center"/>
            <w:hideMark/>
          </w:tcPr>
          <w:p w:rsidR="006D55C8" w:rsidRPr="0086601B" w:rsidRDefault="006D55C8" w:rsidP="006D55C8">
            <w:pPr>
              <w:ind w:left="-108" w:right="-108"/>
              <w:jc w:val="center"/>
              <w:rPr>
                <w:sz w:val="16"/>
                <w:szCs w:val="16"/>
                <w:lang w:eastAsia="lv-LV"/>
              </w:rPr>
            </w:pPr>
            <w:r w:rsidRPr="0086601B">
              <w:rPr>
                <w:bCs/>
                <w:sz w:val="16"/>
                <w:szCs w:val="16"/>
                <w:lang w:eastAsia="lv-LV"/>
              </w:rPr>
              <w:t>1 530 699</w:t>
            </w:r>
          </w:p>
        </w:tc>
        <w:tc>
          <w:tcPr>
            <w:tcW w:w="1133" w:type="dxa"/>
            <w:tcBorders>
              <w:top w:val="dotted" w:sz="4" w:space="0" w:color="auto"/>
              <w:left w:val="dotted" w:sz="4" w:space="0" w:color="auto"/>
              <w:bottom w:val="double" w:sz="6" w:space="0" w:color="auto"/>
              <w:right w:val="dotted" w:sz="4" w:space="0" w:color="auto"/>
            </w:tcBorders>
            <w:shd w:val="clear" w:color="000000" w:fill="FFFFFF"/>
            <w:vAlign w:val="center"/>
            <w:hideMark/>
          </w:tcPr>
          <w:p w:rsidR="006D55C8" w:rsidRPr="0086601B" w:rsidRDefault="006D55C8" w:rsidP="006D55C8">
            <w:pPr>
              <w:ind w:left="-108" w:right="-108"/>
              <w:jc w:val="center"/>
              <w:rPr>
                <w:sz w:val="16"/>
                <w:szCs w:val="16"/>
                <w:lang w:eastAsia="lv-LV"/>
              </w:rPr>
            </w:pPr>
            <w:r w:rsidRPr="0086601B">
              <w:rPr>
                <w:bCs/>
                <w:sz w:val="16"/>
                <w:szCs w:val="16"/>
                <w:lang w:eastAsia="lv-LV"/>
              </w:rPr>
              <w:t>270 124</w:t>
            </w:r>
          </w:p>
        </w:tc>
      </w:tr>
      <w:tr w:rsidR="006D55C8" w:rsidRPr="0086601B" w:rsidTr="00C84828">
        <w:trPr>
          <w:trHeight w:val="60"/>
        </w:trPr>
        <w:tc>
          <w:tcPr>
            <w:tcW w:w="4536" w:type="dxa"/>
            <w:gridSpan w:val="2"/>
            <w:tcBorders>
              <w:top w:val="dotted" w:sz="4" w:space="0" w:color="auto"/>
              <w:left w:val="dotted" w:sz="4" w:space="0" w:color="auto"/>
              <w:bottom w:val="dotted" w:sz="4" w:space="0" w:color="auto"/>
              <w:right w:val="double" w:sz="6" w:space="0" w:color="auto"/>
            </w:tcBorders>
            <w:shd w:val="clear" w:color="auto" w:fill="D9D9D9" w:themeFill="background1" w:themeFillShade="D9"/>
            <w:vAlign w:val="center"/>
            <w:hideMark/>
          </w:tcPr>
          <w:p w:rsidR="006D55C8" w:rsidRPr="0086601B" w:rsidRDefault="006D55C8" w:rsidP="006D55C8">
            <w:pPr>
              <w:jc w:val="right"/>
              <w:rPr>
                <w:b/>
                <w:bCs/>
                <w:sz w:val="16"/>
                <w:szCs w:val="16"/>
                <w:lang w:eastAsia="lv-LV"/>
              </w:rPr>
            </w:pPr>
            <w:r w:rsidRPr="0086601B">
              <w:rPr>
                <w:b/>
                <w:sz w:val="16"/>
                <w:szCs w:val="16"/>
              </w:rPr>
              <w:t>Pavisam kopā (lati):</w:t>
            </w:r>
          </w:p>
        </w:tc>
        <w:tc>
          <w:tcPr>
            <w:tcW w:w="1418" w:type="dxa"/>
            <w:tcBorders>
              <w:top w:val="double" w:sz="6" w:space="0" w:color="auto"/>
              <w:left w:val="double" w:sz="6" w:space="0" w:color="auto"/>
              <w:bottom w:val="double" w:sz="6" w:space="0" w:color="auto"/>
              <w:right w:val="double" w:sz="6" w:space="0" w:color="auto"/>
            </w:tcBorders>
            <w:shd w:val="clear" w:color="000000" w:fill="D9D9D9" w:themeFill="background1" w:themeFillShade="D9"/>
            <w:vAlign w:val="center"/>
            <w:hideMark/>
          </w:tcPr>
          <w:p w:rsidR="006D55C8" w:rsidRPr="0086601B" w:rsidRDefault="006D55C8" w:rsidP="006D55C8">
            <w:pPr>
              <w:ind w:left="-108" w:right="-108"/>
              <w:jc w:val="center"/>
              <w:rPr>
                <w:b/>
                <w:sz w:val="16"/>
                <w:szCs w:val="16"/>
                <w:lang w:eastAsia="lv-LV"/>
              </w:rPr>
            </w:pPr>
            <w:r w:rsidRPr="0086601B">
              <w:rPr>
                <w:b/>
                <w:bCs/>
                <w:sz w:val="16"/>
                <w:szCs w:val="16"/>
                <w:lang w:eastAsia="lv-LV"/>
              </w:rPr>
              <w:t>5 278 076</w:t>
            </w:r>
          </w:p>
        </w:tc>
        <w:tc>
          <w:tcPr>
            <w:tcW w:w="1134" w:type="dxa"/>
            <w:tcBorders>
              <w:top w:val="double" w:sz="6" w:space="0" w:color="auto"/>
              <w:left w:val="double" w:sz="6" w:space="0" w:color="auto"/>
              <w:bottom w:val="double" w:sz="6" w:space="0" w:color="auto"/>
              <w:right w:val="double" w:sz="6" w:space="0" w:color="auto"/>
            </w:tcBorders>
            <w:shd w:val="clear" w:color="auto" w:fill="000000" w:themeFill="text1"/>
            <w:vAlign w:val="center"/>
            <w:hideMark/>
          </w:tcPr>
          <w:p w:rsidR="006D55C8" w:rsidRPr="0086601B" w:rsidRDefault="006D55C8" w:rsidP="006D55C8">
            <w:pPr>
              <w:ind w:left="-108" w:right="-108"/>
              <w:jc w:val="center"/>
              <w:rPr>
                <w:b/>
                <w:sz w:val="16"/>
                <w:szCs w:val="16"/>
                <w:lang w:eastAsia="lv-LV"/>
              </w:rPr>
            </w:pPr>
            <w:r w:rsidRPr="0086601B">
              <w:rPr>
                <w:b/>
                <w:bCs/>
                <w:sz w:val="16"/>
                <w:szCs w:val="16"/>
                <w:lang w:eastAsia="lv-LV"/>
              </w:rPr>
              <w:t>4 486 364</w:t>
            </w:r>
          </w:p>
        </w:tc>
        <w:tc>
          <w:tcPr>
            <w:tcW w:w="1133" w:type="dxa"/>
            <w:tcBorders>
              <w:top w:val="double" w:sz="6" w:space="0" w:color="auto"/>
              <w:left w:val="double" w:sz="6" w:space="0" w:color="auto"/>
              <w:bottom w:val="double" w:sz="6" w:space="0" w:color="auto"/>
              <w:right w:val="double" w:sz="6" w:space="0" w:color="auto"/>
            </w:tcBorders>
            <w:shd w:val="clear" w:color="000000" w:fill="D9D9D9" w:themeFill="background1" w:themeFillShade="D9"/>
            <w:vAlign w:val="center"/>
            <w:hideMark/>
          </w:tcPr>
          <w:p w:rsidR="006D55C8" w:rsidRPr="0086601B" w:rsidRDefault="006D55C8" w:rsidP="006D55C8">
            <w:pPr>
              <w:ind w:left="-108" w:right="-108"/>
              <w:jc w:val="center"/>
              <w:rPr>
                <w:b/>
                <w:sz w:val="16"/>
                <w:szCs w:val="16"/>
                <w:lang w:eastAsia="lv-LV"/>
              </w:rPr>
            </w:pPr>
            <w:r w:rsidRPr="0086601B">
              <w:rPr>
                <w:b/>
                <w:bCs/>
                <w:sz w:val="16"/>
                <w:szCs w:val="16"/>
                <w:lang w:eastAsia="lv-LV"/>
              </w:rPr>
              <w:t>791 712</w:t>
            </w:r>
          </w:p>
        </w:tc>
      </w:tr>
      <w:tr w:rsidR="006D55C8" w:rsidRPr="0086601B" w:rsidTr="00C84828">
        <w:trPr>
          <w:trHeight w:val="599"/>
        </w:trPr>
        <w:tc>
          <w:tcPr>
            <w:tcW w:w="425"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6D55C8" w:rsidRPr="0086601B" w:rsidRDefault="006D55C8" w:rsidP="006D55C8">
            <w:pPr>
              <w:ind w:left="-108" w:right="-102"/>
              <w:jc w:val="center"/>
              <w:rPr>
                <w:sz w:val="16"/>
                <w:szCs w:val="16"/>
                <w:lang w:eastAsia="lv-LV"/>
              </w:rPr>
            </w:pPr>
            <w:r w:rsidRPr="0086601B">
              <w:rPr>
                <w:sz w:val="16"/>
                <w:szCs w:val="16"/>
                <w:lang w:eastAsia="lv-LV"/>
              </w:rPr>
              <w:t>1.</w:t>
            </w:r>
          </w:p>
        </w:tc>
        <w:tc>
          <w:tcPr>
            <w:tcW w:w="4111" w:type="dxa"/>
            <w:tcBorders>
              <w:top w:val="dotted" w:sz="4" w:space="0" w:color="auto"/>
              <w:left w:val="dotted" w:sz="4" w:space="0" w:color="auto"/>
              <w:bottom w:val="dotted" w:sz="4" w:space="0" w:color="auto"/>
              <w:right w:val="double" w:sz="6" w:space="0" w:color="auto"/>
            </w:tcBorders>
            <w:shd w:val="clear" w:color="000000" w:fill="FFFFFF"/>
            <w:vAlign w:val="center"/>
            <w:hideMark/>
          </w:tcPr>
          <w:p w:rsidR="006D55C8" w:rsidRPr="0086601B" w:rsidRDefault="006D55C8" w:rsidP="006D55C8">
            <w:pPr>
              <w:ind w:left="-72" w:right="-64"/>
              <w:rPr>
                <w:bCs/>
                <w:sz w:val="16"/>
                <w:szCs w:val="16"/>
                <w:lang w:eastAsia="lv-LV"/>
              </w:rPr>
            </w:pPr>
            <w:r w:rsidRPr="0086601B">
              <w:rPr>
                <w:bCs/>
                <w:sz w:val="16"/>
                <w:szCs w:val="16"/>
                <w:lang w:eastAsia="lv-LV"/>
              </w:rPr>
              <w:t>Rakstniecības un mūzikas muzeja rekonstrukcija (eiro);</w:t>
            </w:r>
          </w:p>
        </w:tc>
        <w:tc>
          <w:tcPr>
            <w:tcW w:w="1418" w:type="dxa"/>
            <w:tcBorders>
              <w:top w:val="dotted" w:sz="4" w:space="0" w:color="auto"/>
              <w:left w:val="double" w:sz="6" w:space="0" w:color="auto"/>
              <w:bottom w:val="dotted" w:sz="4" w:space="0" w:color="auto"/>
              <w:right w:val="double" w:sz="6" w:space="0" w:color="auto"/>
            </w:tcBorders>
            <w:shd w:val="clear" w:color="000000" w:fill="FFFFFF"/>
            <w:vAlign w:val="center"/>
            <w:hideMark/>
          </w:tcPr>
          <w:p w:rsidR="006D55C8" w:rsidRPr="0086601B" w:rsidRDefault="006D55C8" w:rsidP="006D55C8">
            <w:pPr>
              <w:ind w:left="-108" w:right="-108"/>
              <w:jc w:val="center"/>
              <w:rPr>
                <w:sz w:val="16"/>
                <w:szCs w:val="16"/>
                <w:lang w:eastAsia="lv-LV"/>
              </w:rPr>
            </w:pPr>
            <w:r w:rsidRPr="0086601B">
              <w:rPr>
                <w:b/>
                <w:bCs/>
                <w:sz w:val="16"/>
                <w:szCs w:val="16"/>
                <w:lang w:eastAsia="lv-LV"/>
              </w:rPr>
              <w:t>4 947 685</w:t>
            </w:r>
          </w:p>
        </w:tc>
        <w:tc>
          <w:tcPr>
            <w:tcW w:w="1134" w:type="dxa"/>
            <w:tcBorders>
              <w:top w:val="dotted" w:sz="4" w:space="0" w:color="auto"/>
              <w:left w:val="double" w:sz="6" w:space="0" w:color="auto"/>
              <w:bottom w:val="dotted" w:sz="4" w:space="0" w:color="auto"/>
              <w:right w:val="dotted" w:sz="4" w:space="0" w:color="auto"/>
            </w:tcBorders>
            <w:shd w:val="clear" w:color="000000" w:fill="FFFFFF"/>
            <w:vAlign w:val="center"/>
            <w:hideMark/>
          </w:tcPr>
          <w:p w:rsidR="006D55C8" w:rsidRPr="0086601B" w:rsidRDefault="006D55C8" w:rsidP="006D55C8">
            <w:pPr>
              <w:ind w:left="-108" w:right="-108"/>
              <w:jc w:val="center"/>
              <w:rPr>
                <w:sz w:val="16"/>
                <w:szCs w:val="16"/>
                <w:lang w:eastAsia="lv-LV"/>
              </w:rPr>
            </w:pPr>
            <w:r w:rsidRPr="0086601B">
              <w:rPr>
                <w:bCs/>
                <w:sz w:val="16"/>
                <w:szCs w:val="16"/>
                <w:lang w:eastAsia="lv-LV"/>
              </w:rPr>
              <w:t>4 205 532</w:t>
            </w:r>
          </w:p>
        </w:tc>
        <w:tc>
          <w:tcPr>
            <w:tcW w:w="1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6D55C8" w:rsidRPr="0086601B" w:rsidRDefault="006D55C8" w:rsidP="006D55C8">
            <w:pPr>
              <w:ind w:left="-108" w:right="-108"/>
              <w:jc w:val="center"/>
              <w:rPr>
                <w:sz w:val="16"/>
                <w:szCs w:val="16"/>
                <w:lang w:eastAsia="lv-LV"/>
              </w:rPr>
            </w:pPr>
            <w:r w:rsidRPr="0086601B">
              <w:rPr>
                <w:bCs/>
                <w:sz w:val="16"/>
                <w:szCs w:val="16"/>
                <w:lang w:eastAsia="lv-LV"/>
              </w:rPr>
              <w:t>742 153</w:t>
            </w:r>
          </w:p>
        </w:tc>
      </w:tr>
      <w:tr w:rsidR="006D55C8" w:rsidRPr="0086601B" w:rsidTr="00C84828">
        <w:trPr>
          <w:trHeight w:val="525"/>
        </w:trPr>
        <w:tc>
          <w:tcPr>
            <w:tcW w:w="425"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6D55C8" w:rsidRPr="0086601B" w:rsidRDefault="006D55C8" w:rsidP="006D55C8">
            <w:pPr>
              <w:ind w:left="-108" w:right="-102"/>
              <w:jc w:val="center"/>
              <w:rPr>
                <w:sz w:val="16"/>
                <w:szCs w:val="16"/>
                <w:lang w:eastAsia="lv-LV"/>
              </w:rPr>
            </w:pPr>
            <w:r w:rsidRPr="0086601B">
              <w:rPr>
                <w:sz w:val="16"/>
                <w:szCs w:val="16"/>
                <w:lang w:eastAsia="lv-LV"/>
              </w:rPr>
              <w:t>2.</w:t>
            </w:r>
          </w:p>
        </w:tc>
        <w:tc>
          <w:tcPr>
            <w:tcW w:w="4111" w:type="dxa"/>
            <w:tcBorders>
              <w:top w:val="dotted" w:sz="4" w:space="0" w:color="auto"/>
              <w:left w:val="dotted" w:sz="4" w:space="0" w:color="auto"/>
              <w:bottom w:val="dotted" w:sz="4" w:space="0" w:color="auto"/>
              <w:right w:val="double" w:sz="6" w:space="0" w:color="auto"/>
            </w:tcBorders>
            <w:shd w:val="clear" w:color="000000" w:fill="FFFFFF"/>
            <w:vAlign w:val="center"/>
            <w:hideMark/>
          </w:tcPr>
          <w:p w:rsidR="006D55C8" w:rsidRPr="0086601B" w:rsidRDefault="006D55C8" w:rsidP="006D55C8">
            <w:pPr>
              <w:ind w:left="-72" w:right="-64"/>
              <w:rPr>
                <w:bCs/>
                <w:sz w:val="16"/>
                <w:szCs w:val="16"/>
                <w:lang w:eastAsia="lv-LV"/>
              </w:rPr>
            </w:pPr>
            <w:r w:rsidRPr="0086601B">
              <w:rPr>
                <w:bCs/>
                <w:sz w:val="16"/>
                <w:szCs w:val="16"/>
                <w:lang w:eastAsia="lv-LV"/>
              </w:rPr>
              <w:t>Raiņa un Aspa</w:t>
            </w:r>
            <w:r w:rsidR="00B80F41" w:rsidRPr="0086601B">
              <w:rPr>
                <w:bCs/>
                <w:sz w:val="16"/>
                <w:szCs w:val="16"/>
                <w:lang w:eastAsia="lv-LV"/>
              </w:rPr>
              <w:t>zijas muzeja atjaunošana (eiro).</w:t>
            </w:r>
          </w:p>
        </w:tc>
        <w:tc>
          <w:tcPr>
            <w:tcW w:w="1418" w:type="dxa"/>
            <w:tcBorders>
              <w:top w:val="dotted" w:sz="4" w:space="0" w:color="auto"/>
              <w:left w:val="double" w:sz="6" w:space="0" w:color="auto"/>
              <w:bottom w:val="double" w:sz="6" w:space="0" w:color="auto"/>
              <w:right w:val="double" w:sz="6" w:space="0" w:color="auto"/>
            </w:tcBorders>
            <w:shd w:val="clear" w:color="000000" w:fill="FFFFFF"/>
            <w:vAlign w:val="center"/>
            <w:hideMark/>
          </w:tcPr>
          <w:p w:rsidR="006D55C8" w:rsidRPr="0086601B" w:rsidRDefault="006D55C8" w:rsidP="006D55C8">
            <w:pPr>
              <w:ind w:left="-108" w:right="-108"/>
              <w:jc w:val="center"/>
              <w:rPr>
                <w:sz w:val="16"/>
                <w:szCs w:val="16"/>
                <w:lang w:eastAsia="lv-LV"/>
              </w:rPr>
            </w:pPr>
            <w:r w:rsidRPr="0086601B">
              <w:rPr>
                <w:b/>
                <w:bCs/>
                <w:sz w:val="16"/>
                <w:szCs w:val="16"/>
                <w:lang w:eastAsia="lv-LV"/>
              </w:rPr>
              <w:t>2 562 340</w:t>
            </w:r>
          </w:p>
        </w:tc>
        <w:tc>
          <w:tcPr>
            <w:tcW w:w="1134" w:type="dxa"/>
            <w:tcBorders>
              <w:top w:val="dotted" w:sz="4" w:space="0" w:color="auto"/>
              <w:left w:val="double" w:sz="6" w:space="0" w:color="auto"/>
              <w:bottom w:val="double" w:sz="6" w:space="0" w:color="auto"/>
              <w:right w:val="dotted" w:sz="4" w:space="0" w:color="auto"/>
            </w:tcBorders>
            <w:shd w:val="clear" w:color="000000" w:fill="FFFFFF"/>
            <w:vAlign w:val="center"/>
            <w:hideMark/>
          </w:tcPr>
          <w:p w:rsidR="006D55C8" w:rsidRPr="0086601B" w:rsidRDefault="006D55C8" w:rsidP="006D55C8">
            <w:pPr>
              <w:ind w:left="-108" w:right="-108"/>
              <w:jc w:val="center"/>
              <w:rPr>
                <w:sz w:val="16"/>
                <w:szCs w:val="16"/>
                <w:lang w:eastAsia="lv-LV"/>
              </w:rPr>
            </w:pPr>
            <w:r w:rsidRPr="0086601B">
              <w:rPr>
                <w:bCs/>
                <w:sz w:val="16"/>
                <w:szCs w:val="16"/>
                <w:lang w:eastAsia="lv-LV"/>
              </w:rPr>
              <w:t>2 177 989</w:t>
            </w:r>
          </w:p>
        </w:tc>
        <w:tc>
          <w:tcPr>
            <w:tcW w:w="1133" w:type="dxa"/>
            <w:tcBorders>
              <w:top w:val="dotted" w:sz="4" w:space="0" w:color="auto"/>
              <w:left w:val="dotted" w:sz="4" w:space="0" w:color="auto"/>
              <w:bottom w:val="double" w:sz="6" w:space="0" w:color="auto"/>
              <w:right w:val="dotted" w:sz="4" w:space="0" w:color="auto"/>
            </w:tcBorders>
            <w:shd w:val="clear" w:color="000000" w:fill="FFFFFF"/>
            <w:vAlign w:val="center"/>
            <w:hideMark/>
          </w:tcPr>
          <w:p w:rsidR="006D55C8" w:rsidRPr="0086601B" w:rsidRDefault="006D55C8" w:rsidP="006D55C8">
            <w:pPr>
              <w:ind w:left="-108" w:right="-108"/>
              <w:jc w:val="center"/>
              <w:rPr>
                <w:sz w:val="16"/>
                <w:szCs w:val="16"/>
                <w:lang w:eastAsia="lv-LV"/>
              </w:rPr>
            </w:pPr>
            <w:r w:rsidRPr="0086601B">
              <w:rPr>
                <w:bCs/>
                <w:sz w:val="16"/>
                <w:szCs w:val="16"/>
                <w:lang w:eastAsia="lv-LV"/>
              </w:rPr>
              <w:t>384 351</w:t>
            </w:r>
          </w:p>
        </w:tc>
      </w:tr>
      <w:tr w:rsidR="006D55C8" w:rsidRPr="0086601B" w:rsidTr="00C84828">
        <w:trPr>
          <w:trHeight w:val="60"/>
        </w:trPr>
        <w:tc>
          <w:tcPr>
            <w:tcW w:w="4536" w:type="dxa"/>
            <w:gridSpan w:val="2"/>
            <w:tcBorders>
              <w:top w:val="dotted" w:sz="4" w:space="0" w:color="auto"/>
              <w:left w:val="dotted" w:sz="4" w:space="0" w:color="auto"/>
              <w:bottom w:val="dotted" w:sz="4" w:space="0" w:color="auto"/>
              <w:right w:val="double" w:sz="6" w:space="0" w:color="auto"/>
            </w:tcBorders>
            <w:shd w:val="clear" w:color="000000" w:fill="D9D9D9" w:themeFill="background1" w:themeFillShade="D9"/>
            <w:vAlign w:val="center"/>
            <w:hideMark/>
          </w:tcPr>
          <w:p w:rsidR="006D55C8" w:rsidRPr="0086601B" w:rsidRDefault="006D55C8" w:rsidP="006D55C8">
            <w:pPr>
              <w:jc w:val="right"/>
              <w:rPr>
                <w:b/>
                <w:bCs/>
                <w:sz w:val="16"/>
                <w:szCs w:val="16"/>
                <w:lang w:eastAsia="lv-LV"/>
              </w:rPr>
            </w:pPr>
            <w:r w:rsidRPr="0086601B">
              <w:rPr>
                <w:b/>
                <w:sz w:val="16"/>
                <w:szCs w:val="16"/>
              </w:rPr>
              <w:t>Pavisam kopā (eiro):</w:t>
            </w:r>
          </w:p>
        </w:tc>
        <w:tc>
          <w:tcPr>
            <w:tcW w:w="1418" w:type="dxa"/>
            <w:tcBorders>
              <w:top w:val="double" w:sz="6" w:space="0" w:color="auto"/>
              <w:left w:val="double" w:sz="6" w:space="0" w:color="auto"/>
              <w:bottom w:val="double" w:sz="6" w:space="0" w:color="auto"/>
              <w:right w:val="double" w:sz="6" w:space="0" w:color="auto"/>
            </w:tcBorders>
            <w:shd w:val="clear" w:color="000000" w:fill="D9D9D9" w:themeFill="background1" w:themeFillShade="D9"/>
            <w:vAlign w:val="center"/>
            <w:hideMark/>
          </w:tcPr>
          <w:p w:rsidR="006D55C8" w:rsidRPr="0086601B" w:rsidRDefault="006D55C8" w:rsidP="006D55C8">
            <w:pPr>
              <w:ind w:left="-108" w:right="-108"/>
              <w:jc w:val="center"/>
              <w:rPr>
                <w:b/>
                <w:sz w:val="16"/>
                <w:szCs w:val="16"/>
                <w:lang w:eastAsia="lv-LV"/>
              </w:rPr>
            </w:pPr>
            <w:r w:rsidRPr="0086601B">
              <w:rPr>
                <w:b/>
                <w:bCs/>
                <w:sz w:val="16"/>
                <w:szCs w:val="16"/>
                <w:lang w:eastAsia="lv-LV"/>
              </w:rPr>
              <w:t>7 510 025</w:t>
            </w:r>
          </w:p>
        </w:tc>
        <w:tc>
          <w:tcPr>
            <w:tcW w:w="1134" w:type="dxa"/>
            <w:tcBorders>
              <w:top w:val="double" w:sz="6" w:space="0" w:color="auto"/>
              <w:left w:val="double" w:sz="6" w:space="0" w:color="auto"/>
              <w:bottom w:val="double" w:sz="6" w:space="0" w:color="auto"/>
              <w:right w:val="double" w:sz="6" w:space="0" w:color="auto"/>
            </w:tcBorders>
            <w:shd w:val="clear" w:color="000000" w:fill="000000" w:themeFill="text1"/>
            <w:vAlign w:val="center"/>
            <w:hideMark/>
          </w:tcPr>
          <w:p w:rsidR="006D55C8" w:rsidRPr="0086601B" w:rsidRDefault="006D55C8" w:rsidP="006D55C8">
            <w:pPr>
              <w:ind w:left="-108" w:right="-108"/>
              <w:jc w:val="center"/>
              <w:rPr>
                <w:b/>
                <w:sz w:val="16"/>
                <w:szCs w:val="16"/>
                <w:lang w:eastAsia="lv-LV"/>
              </w:rPr>
            </w:pPr>
            <w:r w:rsidRPr="0086601B">
              <w:rPr>
                <w:b/>
                <w:bCs/>
                <w:sz w:val="16"/>
                <w:szCs w:val="16"/>
                <w:lang w:eastAsia="lv-LV"/>
              </w:rPr>
              <w:t>6 383 521</w:t>
            </w:r>
          </w:p>
        </w:tc>
        <w:tc>
          <w:tcPr>
            <w:tcW w:w="1133" w:type="dxa"/>
            <w:tcBorders>
              <w:top w:val="double" w:sz="6" w:space="0" w:color="auto"/>
              <w:left w:val="double" w:sz="6" w:space="0" w:color="auto"/>
              <w:bottom w:val="double" w:sz="6" w:space="0" w:color="auto"/>
              <w:right w:val="double" w:sz="6" w:space="0" w:color="auto"/>
            </w:tcBorders>
            <w:shd w:val="clear" w:color="000000" w:fill="D9D9D9" w:themeFill="background1" w:themeFillShade="D9"/>
            <w:vAlign w:val="center"/>
            <w:hideMark/>
          </w:tcPr>
          <w:p w:rsidR="006D55C8" w:rsidRPr="0086601B" w:rsidRDefault="006D55C8" w:rsidP="006D55C8">
            <w:pPr>
              <w:ind w:left="-108" w:right="-108"/>
              <w:jc w:val="center"/>
              <w:rPr>
                <w:b/>
                <w:sz w:val="16"/>
                <w:szCs w:val="16"/>
                <w:lang w:eastAsia="lv-LV"/>
              </w:rPr>
            </w:pPr>
            <w:r w:rsidRPr="0086601B">
              <w:rPr>
                <w:b/>
                <w:bCs/>
                <w:sz w:val="16"/>
                <w:szCs w:val="16"/>
                <w:lang w:eastAsia="lv-LV"/>
              </w:rPr>
              <w:t>1 126 504</w:t>
            </w:r>
          </w:p>
        </w:tc>
      </w:tr>
      <w:tr w:rsidR="006D55C8" w:rsidRPr="0086601B" w:rsidTr="00C8482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90"/>
        </w:trPr>
        <w:tc>
          <w:tcPr>
            <w:tcW w:w="425" w:type="dxa"/>
            <w:tcBorders>
              <w:top w:val="dotted" w:sz="4" w:space="0" w:color="auto"/>
              <w:left w:val="nil"/>
              <w:bottom w:val="nil"/>
              <w:right w:val="nil"/>
            </w:tcBorders>
            <w:shd w:val="clear" w:color="auto" w:fill="FFFFFF" w:themeFill="background1"/>
            <w:hideMark/>
          </w:tcPr>
          <w:p w:rsidR="006D55C8" w:rsidRPr="0086601B" w:rsidRDefault="006D55C8" w:rsidP="006D55C8">
            <w:pPr>
              <w:ind w:left="-103" w:right="-108"/>
              <w:jc w:val="right"/>
              <w:rPr>
                <w:sz w:val="16"/>
                <w:szCs w:val="16"/>
                <w:lang w:eastAsia="lv-LV"/>
              </w:rPr>
            </w:pPr>
            <w:r w:rsidRPr="0086601B">
              <w:rPr>
                <w:sz w:val="16"/>
                <w:szCs w:val="16"/>
              </w:rPr>
              <w:t>*</w:t>
            </w:r>
          </w:p>
        </w:tc>
        <w:tc>
          <w:tcPr>
            <w:tcW w:w="7796" w:type="dxa"/>
            <w:gridSpan w:val="4"/>
            <w:tcBorders>
              <w:top w:val="dotted" w:sz="4" w:space="0" w:color="auto"/>
              <w:left w:val="nil"/>
              <w:bottom w:val="nil"/>
              <w:right w:val="nil"/>
            </w:tcBorders>
            <w:shd w:val="clear" w:color="auto" w:fill="FFFFFF" w:themeFill="background1"/>
            <w:vAlign w:val="center"/>
            <w:hideMark/>
          </w:tcPr>
          <w:p w:rsidR="006D55C8" w:rsidRPr="0086601B" w:rsidRDefault="006D55C8" w:rsidP="006D55C8">
            <w:pPr>
              <w:jc w:val="both"/>
              <w:rPr>
                <w:sz w:val="16"/>
                <w:szCs w:val="16"/>
                <w:lang w:eastAsia="lv-LV"/>
              </w:rPr>
            </w:pPr>
            <w:r w:rsidRPr="0086601B">
              <w:rPr>
                <w:sz w:val="16"/>
                <w:szCs w:val="16"/>
              </w:rPr>
              <w:t>Būvniecības projektu izmaksas ir precizējamas, pārskatot būvniecības tehniskos uzdevumus un būvniecības darbu apjomus, attiecīgi izstrādājot vai precizējot būvniecības tehniskos projektus, pēc būvniecības līguma noslēgšanas un pēc objekta nodošanas ekspluatācijā.</w:t>
            </w:r>
          </w:p>
        </w:tc>
      </w:tr>
    </w:tbl>
    <w:p w:rsidR="00D57FF8" w:rsidRDefault="00D57FF8" w:rsidP="002E6E4B">
      <w:pPr>
        <w:pStyle w:val="Sarakstarindkopa"/>
        <w:shd w:val="clear" w:color="auto" w:fill="FFFFFF" w:themeFill="background1"/>
        <w:suppressAutoHyphens w:val="0"/>
        <w:spacing w:after="120"/>
        <w:ind w:left="992"/>
        <w:jc w:val="both"/>
      </w:pPr>
    </w:p>
    <w:p w:rsidR="00AA2676" w:rsidRPr="00202564" w:rsidRDefault="00AA2676" w:rsidP="00C84828">
      <w:pPr>
        <w:suppressAutoHyphens w:val="0"/>
        <w:spacing w:after="120"/>
        <w:ind w:left="567"/>
        <w:jc w:val="both"/>
      </w:pPr>
      <w:r w:rsidRPr="000B782E">
        <w:t>Vienlaicīgi vēršam uzmanību, ka</w:t>
      </w:r>
      <w:r w:rsidR="00C84828" w:rsidRPr="000B782E">
        <w:t xml:space="preserve"> </w:t>
      </w:r>
      <w:r w:rsidRPr="000B782E">
        <w:t xml:space="preserve">Kultūras ministrijas augstāk minētais priekšlikums par </w:t>
      </w:r>
      <w:r w:rsidR="00A85AA5" w:rsidRPr="000B782E">
        <w:t xml:space="preserve">būvniecības projekta „Raiņa un Aspazijas mājas rekonstrukcija un restaurācija Baznīcas ielā 30, Rīgā” iekļaušanu apvienotajā EEZ finanšu instrumenta iepriekš definētājā projektā „Raiņa un Aspazijas muzeja atjaunošana” </w:t>
      </w:r>
      <w:r w:rsidR="00C73055" w:rsidRPr="000B782E">
        <w:t xml:space="preserve">saskaņā ar </w:t>
      </w:r>
      <w:r w:rsidR="00521736" w:rsidRPr="000B782E">
        <w:t xml:space="preserve">Ministru kabineta 2012.gada 14.februāra rīkojumu Nr.77 „Par Eiropas Ekonomikas zonas finanšu instrumenta 2009.–2014.gada programmas LV04 „Kultūras un dabas mantojuma saglabāšana un atjaunināšana” iesnieguma projektu” </w:t>
      </w:r>
      <w:r w:rsidR="00C73055" w:rsidRPr="000B782E">
        <w:t>(</w:t>
      </w:r>
      <w:r w:rsidR="009E3EE9" w:rsidRPr="000B782E">
        <w:t xml:space="preserve">Ministru kabineta </w:t>
      </w:r>
      <w:r w:rsidR="009E3EE9">
        <w:t xml:space="preserve">sēdes </w:t>
      </w:r>
      <w:r w:rsidR="00C73055" w:rsidRPr="000B782E">
        <w:t xml:space="preserve">prot. Nr.8 8.§) ir atbalstīts </w:t>
      </w:r>
      <w:r w:rsidR="00521736" w:rsidRPr="000B782E">
        <w:t xml:space="preserve">un </w:t>
      </w:r>
      <w:r w:rsidR="000B782E" w:rsidRPr="000B782E">
        <w:t xml:space="preserve">Kultūras ministrija </w:t>
      </w:r>
      <w:r w:rsidR="00C73055" w:rsidRPr="000B782E">
        <w:t xml:space="preserve">līdz 2012.gada 31.martam </w:t>
      </w:r>
      <w:r w:rsidRPr="000B782E">
        <w:t xml:space="preserve">iesniegs </w:t>
      </w:r>
      <w:r w:rsidR="005451AB" w:rsidRPr="000B782E">
        <w:t>Eiropas Komisijā vienotu valsts atbalsta paziņojumu par valsts atbalsta sniegšanu kultūras nozarei, tai skaitā infrastruktūras objektiem (piemēram, investīcijas, uzturēšana), ieskaitot muzejus, teātrus, kultūras centrus un bibliotēkas (neatkarīgi no to īpašuma formas), atbilstoši Eiropas Komisijas valsts atbalsta lēmumu praksei.</w:t>
      </w:r>
    </w:p>
    <w:p w:rsidR="002E6E4B" w:rsidRPr="00202564" w:rsidRDefault="00B80F41" w:rsidP="00FD588E">
      <w:pPr>
        <w:pStyle w:val="Sarakstarindkopa"/>
        <w:spacing w:after="120"/>
        <w:ind w:left="567"/>
        <w:jc w:val="both"/>
      </w:pPr>
      <w:r w:rsidRPr="00202564">
        <w:rPr>
          <w:b/>
        </w:rPr>
        <w:t xml:space="preserve">Ņemot vērā </w:t>
      </w:r>
      <w:r w:rsidR="00B94152" w:rsidRPr="00202564">
        <w:rPr>
          <w:b/>
        </w:rPr>
        <w:t xml:space="preserve">iepriekš </w:t>
      </w:r>
      <w:r w:rsidRPr="00202564">
        <w:rPr>
          <w:b/>
        </w:rPr>
        <w:t xml:space="preserve">minēto, Finanšu ministrija uzskata, ka ir nepieciešams </w:t>
      </w:r>
      <w:r w:rsidR="007A6ABF" w:rsidRPr="00202564">
        <w:rPr>
          <w:b/>
        </w:rPr>
        <w:t xml:space="preserve">Ministru kabinetā </w:t>
      </w:r>
      <w:r w:rsidRPr="00202564">
        <w:rPr>
          <w:b/>
        </w:rPr>
        <w:t xml:space="preserve">pieņemt </w:t>
      </w:r>
      <w:r w:rsidR="007A6ABF" w:rsidRPr="00202564">
        <w:rPr>
          <w:b/>
        </w:rPr>
        <w:t xml:space="preserve">konceptuālu </w:t>
      </w:r>
      <w:r w:rsidRPr="00202564">
        <w:rPr>
          <w:b/>
        </w:rPr>
        <w:t>lēmumu par MK protokollēmum</w:t>
      </w:r>
      <w:r w:rsidR="007A6ABF" w:rsidRPr="00202564">
        <w:rPr>
          <w:b/>
        </w:rPr>
        <w:t>a</w:t>
      </w:r>
      <w:r w:rsidRPr="00202564">
        <w:rPr>
          <w:b/>
        </w:rPr>
        <w:t xml:space="preserve"> </w:t>
      </w:r>
      <w:r w:rsidR="00B94152" w:rsidRPr="00202564">
        <w:rPr>
          <w:b/>
        </w:rPr>
        <w:t>Nr.47 2.4.punktā dot</w:t>
      </w:r>
      <w:r w:rsidR="007A6ABF" w:rsidRPr="00202564">
        <w:rPr>
          <w:b/>
        </w:rPr>
        <w:t>ā</w:t>
      </w:r>
      <w:r w:rsidR="00B94152" w:rsidRPr="00202564">
        <w:rPr>
          <w:b/>
        </w:rPr>
        <w:t xml:space="preserve"> uzdevum</w:t>
      </w:r>
      <w:r w:rsidR="007A6ABF" w:rsidRPr="00202564">
        <w:rPr>
          <w:b/>
        </w:rPr>
        <w:t>a</w:t>
      </w:r>
      <w:r w:rsidR="00B94152" w:rsidRPr="00202564">
        <w:rPr>
          <w:b/>
        </w:rPr>
        <w:t xml:space="preserve"> </w:t>
      </w:r>
      <w:r w:rsidR="007A6ABF" w:rsidRPr="00202564">
        <w:rPr>
          <w:b/>
        </w:rPr>
        <w:t xml:space="preserve">ietvaros </w:t>
      </w:r>
      <w:r w:rsidR="00B94152" w:rsidRPr="00202564">
        <w:rPr>
          <w:b/>
        </w:rPr>
        <w:t>būvniecības projekt</w:t>
      </w:r>
      <w:r w:rsidR="007A6ABF" w:rsidRPr="00202564">
        <w:rPr>
          <w:b/>
        </w:rPr>
        <w:t>am</w:t>
      </w:r>
      <w:r w:rsidR="00B94152" w:rsidRPr="00202564">
        <w:rPr>
          <w:b/>
        </w:rPr>
        <w:t xml:space="preserve"> „Raiņa un Aspazijas mājas renovāciju Baznīcas ielā 30, Rīgā”</w:t>
      </w:r>
      <w:r w:rsidR="007A6ABF" w:rsidRPr="00202564">
        <w:rPr>
          <w:b/>
        </w:rPr>
        <w:t xml:space="preserve"> </w:t>
      </w:r>
      <w:r w:rsidR="00B94152" w:rsidRPr="00202564">
        <w:rPr>
          <w:b/>
        </w:rPr>
        <w:t>noteikt</w:t>
      </w:r>
      <w:r w:rsidR="007A6ABF" w:rsidRPr="00202564">
        <w:rPr>
          <w:b/>
        </w:rPr>
        <w:t>ā</w:t>
      </w:r>
      <w:r w:rsidR="00B94152" w:rsidRPr="00202564">
        <w:rPr>
          <w:b/>
        </w:rPr>
        <w:t xml:space="preserve"> finansēšanas mode</w:t>
      </w:r>
      <w:r w:rsidR="007A6ABF" w:rsidRPr="00202564">
        <w:rPr>
          <w:b/>
        </w:rPr>
        <w:t>ļa izmaiņām</w:t>
      </w:r>
      <w:r w:rsidR="00B94152" w:rsidRPr="00202564">
        <w:rPr>
          <w:b/>
        </w:rPr>
        <w:t>, nosakot</w:t>
      </w:r>
      <w:r w:rsidR="007A6ABF" w:rsidRPr="00202564">
        <w:rPr>
          <w:b/>
        </w:rPr>
        <w:t xml:space="preserve"> </w:t>
      </w:r>
      <w:r w:rsidR="00FD588E" w:rsidRPr="00202564">
        <w:rPr>
          <w:b/>
        </w:rPr>
        <w:t>Kultūras ministrijai sadarbībā ar Finanšu ministriju (S</w:t>
      </w:r>
      <w:r w:rsidR="00AA2676" w:rsidRPr="00202564">
        <w:rPr>
          <w:b/>
        </w:rPr>
        <w:t xml:space="preserve">abiedrību) rast risinājumu </w:t>
      </w:r>
      <w:r w:rsidR="00C358D7" w:rsidRPr="00202564">
        <w:rPr>
          <w:b/>
        </w:rPr>
        <w:t xml:space="preserve">un veikt nepieciešamās darbības, lai </w:t>
      </w:r>
      <w:r w:rsidR="00FD588E" w:rsidRPr="00202564">
        <w:rPr>
          <w:b/>
        </w:rPr>
        <w:t>minētā būvniecības projekta īstenošan</w:t>
      </w:r>
      <w:r w:rsidR="00C358D7" w:rsidRPr="00202564">
        <w:rPr>
          <w:b/>
        </w:rPr>
        <w:t>u</w:t>
      </w:r>
      <w:r w:rsidR="00FD588E" w:rsidRPr="00202564">
        <w:rPr>
          <w:b/>
        </w:rPr>
        <w:t xml:space="preserve"> veikt</w:t>
      </w:r>
      <w:r w:rsidR="00C358D7" w:rsidRPr="00202564">
        <w:rPr>
          <w:b/>
        </w:rPr>
        <w:t>u</w:t>
      </w:r>
      <w:r w:rsidR="00FD588E" w:rsidRPr="00202564">
        <w:rPr>
          <w:b/>
        </w:rPr>
        <w:t xml:space="preserve"> </w:t>
      </w:r>
      <w:r w:rsidR="00AA2676" w:rsidRPr="00202564">
        <w:rPr>
          <w:b/>
        </w:rPr>
        <w:t xml:space="preserve">EEZ </w:t>
      </w:r>
      <w:r w:rsidR="00FD588E" w:rsidRPr="00202564">
        <w:rPr>
          <w:b/>
        </w:rPr>
        <w:t>finanšu instrumenta ietvaros</w:t>
      </w:r>
      <w:r w:rsidR="00C84828" w:rsidRPr="00202564">
        <w:rPr>
          <w:b/>
        </w:rPr>
        <w:t>,</w:t>
      </w:r>
      <w:r w:rsidR="00FD588E" w:rsidRPr="00202564">
        <w:rPr>
          <w:b/>
        </w:rPr>
        <w:t xml:space="preserve"> un restaurācijas un rekonstrukcijas darbus veikt</w:t>
      </w:r>
      <w:r w:rsidR="00AA2676" w:rsidRPr="00202564">
        <w:rPr>
          <w:b/>
        </w:rPr>
        <w:t>u</w:t>
      </w:r>
      <w:r w:rsidR="00FD588E" w:rsidRPr="00202564">
        <w:rPr>
          <w:b/>
        </w:rPr>
        <w:t xml:space="preserve"> sadarbībā ar Finanšu ministriju (</w:t>
      </w:r>
      <w:r w:rsidR="00AA2676" w:rsidRPr="00202564">
        <w:rPr>
          <w:b/>
        </w:rPr>
        <w:t>S</w:t>
      </w:r>
      <w:r w:rsidR="00FD588E" w:rsidRPr="00202564">
        <w:rPr>
          <w:b/>
        </w:rPr>
        <w:t>abiedrību)</w:t>
      </w:r>
      <w:r w:rsidR="00FD588E" w:rsidRPr="00202564">
        <w:t>.</w:t>
      </w:r>
    </w:p>
    <w:p w:rsidR="00C84828" w:rsidRDefault="00C84828">
      <w:pPr>
        <w:suppressAutoHyphens w:val="0"/>
      </w:pPr>
      <w:r>
        <w:br w:type="page"/>
      </w:r>
    </w:p>
    <w:p w:rsidR="002E6E4B" w:rsidRPr="00DB257D" w:rsidRDefault="007A6ABF" w:rsidP="002E6E4B">
      <w:pPr>
        <w:pStyle w:val="Sarakstarindkopa"/>
        <w:numPr>
          <w:ilvl w:val="0"/>
          <w:numId w:val="4"/>
        </w:numPr>
        <w:spacing w:after="120"/>
        <w:ind w:left="567" w:hanging="283"/>
        <w:rPr>
          <w:b/>
        </w:rPr>
      </w:pPr>
      <w:r>
        <w:rPr>
          <w:b/>
        </w:rPr>
        <w:lastRenderedPageBreak/>
        <w:t>Priekšlikumi turpmākai rīcībai</w:t>
      </w:r>
      <w:r w:rsidR="002E6E4B">
        <w:rPr>
          <w:b/>
        </w:rPr>
        <w:t>:</w:t>
      </w:r>
    </w:p>
    <w:p w:rsidR="000854A0" w:rsidRPr="00202564" w:rsidRDefault="00A406A2" w:rsidP="00A406A2">
      <w:pPr>
        <w:spacing w:after="120"/>
        <w:ind w:firstLine="567"/>
        <w:jc w:val="both"/>
      </w:pPr>
      <w:r w:rsidRPr="00202564">
        <w:t xml:space="preserve">Lai </w:t>
      </w:r>
      <w:r w:rsidR="000854A0" w:rsidRPr="00202564">
        <w:t xml:space="preserve">nodrošinātu MK protokollēmuma Nr.47 2.4.punktā dotā uzdevuma turpmāko procesuālo izpildi </w:t>
      </w:r>
      <w:r w:rsidR="000854A0" w:rsidRPr="00202564">
        <w:rPr>
          <w:lang w:eastAsia="lv-LV"/>
        </w:rPr>
        <w:t xml:space="preserve">par Ministru kabineta konceptuāli atbalstītajiem būvniecības projektiem „Jaunā Rīgas teātra ēkas rekonstrukciju Lāčplēša ielā 25, Rīgā” un „Raiņa un Aspazijas mājas renovāciju Baznīcas ielā 30, Rīgā” </w:t>
      </w:r>
      <w:r w:rsidR="000854A0" w:rsidRPr="00202564">
        <w:t>atbilstoši precizētām būvniecības projektu provizoriskajām izmaksām un to realizēšanai nosakāmajam finansēšanas modeļiem, Finanšu ministrija ierosina izvērtēt priekšlikumu</w:t>
      </w:r>
      <w:r w:rsidR="00A03812" w:rsidRPr="00202564">
        <w:t xml:space="preserve"> atbalstīt</w:t>
      </w:r>
      <w:r w:rsidR="000854A0" w:rsidRPr="00202564">
        <w:t>:</w:t>
      </w:r>
    </w:p>
    <w:p w:rsidR="009D69AF" w:rsidRPr="00202564" w:rsidRDefault="009D69AF" w:rsidP="000854A0">
      <w:pPr>
        <w:pStyle w:val="Sarakstarindkopa"/>
        <w:numPr>
          <w:ilvl w:val="0"/>
          <w:numId w:val="16"/>
        </w:numPr>
        <w:spacing w:after="120"/>
        <w:ind w:left="993" w:hanging="426"/>
        <w:jc w:val="both"/>
      </w:pPr>
      <w:r w:rsidRPr="00202564">
        <w:t xml:space="preserve">būvniecības projekta „Jaunā Rīgas teātra ēkas rekonstrukcija Lāčplēša ielā 25, Rīgā” </w:t>
      </w:r>
      <w:r w:rsidR="009F1F0C" w:rsidRPr="00202564">
        <w:t>īstenošanu</w:t>
      </w:r>
      <w:r w:rsidRPr="00202564">
        <w:t>, nosakot:</w:t>
      </w:r>
    </w:p>
    <w:p w:rsidR="009D69AF" w:rsidRPr="00632825" w:rsidRDefault="009D69AF" w:rsidP="00C358D7">
      <w:pPr>
        <w:pStyle w:val="Sarakstarindkopa"/>
        <w:numPr>
          <w:ilvl w:val="0"/>
          <w:numId w:val="17"/>
        </w:numPr>
        <w:spacing w:after="120"/>
        <w:ind w:left="1134" w:hanging="567"/>
        <w:jc w:val="both"/>
      </w:pPr>
      <w:r w:rsidRPr="00632825">
        <w:t xml:space="preserve">Kultūras ministrijai sadarbībā ar Finanšu ministriju (Sabiedrību) līdz 2012.gada </w:t>
      </w:r>
      <w:r w:rsidR="00752860" w:rsidRPr="00632825">
        <w:t>1</w:t>
      </w:r>
      <w:r w:rsidR="00B12AB3" w:rsidRPr="00632825">
        <w:t>5.</w:t>
      </w:r>
      <w:r w:rsidR="00752860" w:rsidRPr="00632825">
        <w:t xml:space="preserve">maijam </w:t>
      </w:r>
      <w:r w:rsidRPr="00632825">
        <w:t xml:space="preserve">normatīvajos aktos noteiktā kārtībā iesniegt Ministru kabinetā rīkojuma projektu par Jaunā Rīgas teātra ēkas Lāčplēša ielā 25, Rīgā telpu provizoriskās nomas maksas, kas Kultūras ministrijai būs jāmaksā </w:t>
      </w:r>
      <w:r w:rsidR="00A96E82" w:rsidRPr="00632825">
        <w:t>S</w:t>
      </w:r>
      <w:r w:rsidRPr="00632825">
        <w:t>abiedrībai, pārcelšanās un aprīkojumu iegādes izdevumu iekļaušanu likumprojekta „Par valsts budžetu 2013.gadam” ilgtermiņa saistībās, norādot būvniecības plānotos pabeigšanas un nomas līgumsaistību sākuma termiņus</w:t>
      </w:r>
      <w:r w:rsidR="00CE2DFD" w:rsidRPr="00632825">
        <w:t>;</w:t>
      </w:r>
    </w:p>
    <w:p w:rsidR="00CE2DFD" w:rsidRDefault="00CE2DFD" w:rsidP="00C358D7">
      <w:pPr>
        <w:pStyle w:val="Sarakstarindkopa"/>
        <w:numPr>
          <w:ilvl w:val="0"/>
          <w:numId w:val="17"/>
        </w:numPr>
        <w:spacing w:after="120"/>
        <w:ind w:left="1134" w:hanging="567"/>
        <w:jc w:val="both"/>
      </w:pPr>
      <w:r w:rsidRPr="009D69AF">
        <w:t>Finanšu ministrijai (</w:t>
      </w:r>
      <w:r>
        <w:t>S</w:t>
      </w:r>
      <w:r w:rsidRPr="009D69AF">
        <w:t>abiedrībai) pēc minētā Ministru kabineta rīkojuma pieņemšanas normatīvajos aktos noteiktā kārtībā veikt Jaunā Rīgas teātra ēkas rekonstrukcijas Lāčplēša ielā 25, Rīgā tehniskā projekta izstrādes un abu minēto objektu būvniecības darbus.</w:t>
      </w:r>
    </w:p>
    <w:p w:rsidR="00C358D7" w:rsidRPr="00202564" w:rsidRDefault="00A03812" w:rsidP="00E7328D">
      <w:pPr>
        <w:pStyle w:val="Sarakstarindkopa"/>
        <w:numPr>
          <w:ilvl w:val="0"/>
          <w:numId w:val="16"/>
        </w:numPr>
        <w:spacing w:after="120"/>
        <w:ind w:left="993" w:hanging="426"/>
        <w:jc w:val="both"/>
      </w:pPr>
      <w:r w:rsidRPr="00202564">
        <w:t>būvniecības projekta „Raiņa un Aspazijas mājas rekonstrukcija un restaurācija Baznīcas ielā 30, Rīgā” īstenošanu, nosakot Kultūras ministrijai</w:t>
      </w:r>
      <w:r w:rsidR="00C358D7" w:rsidRPr="00202564">
        <w:t>:</w:t>
      </w:r>
    </w:p>
    <w:p w:rsidR="00C358D7" w:rsidRPr="00202564" w:rsidRDefault="00E7328D" w:rsidP="00C358D7">
      <w:pPr>
        <w:pStyle w:val="Sarakstarindkopa"/>
        <w:numPr>
          <w:ilvl w:val="0"/>
          <w:numId w:val="22"/>
        </w:numPr>
        <w:spacing w:after="120"/>
        <w:ind w:left="1134" w:hanging="567"/>
        <w:jc w:val="both"/>
      </w:pPr>
      <w:r w:rsidRPr="00202564">
        <w:t xml:space="preserve">sadarbībā ar Finanšu ministriju (valsts akciju sabiedrību „Valsts nekustamie īpašumi”) rast risinājumu </w:t>
      </w:r>
      <w:r w:rsidR="00C358D7" w:rsidRPr="00202564">
        <w:t xml:space="preserve">un veikt nepieciešamās darbības, lai </w:t>
      </w:r>
      <w:r w:rsidRPr="00202564">
        <w:t>būvniecības projekta „</w:t>
      </w:r>
      <w:r w:rsidR="00C358D7" w:rsidRPr="00202564">
        <w:t>Raiņa un Aspazijas mājas rekonstrukcija un restaurācija Baznīcas ielā 30, Rīgā</w:t>
      </w:r>
      <w:r w:rsidRPr="00202564">
        <w:t>” īstenošanu veikt</w:t>
      </w:r>
      <w:r w:rsidR="00C358D7" w:rsidRPr="00202564">
        <w:t>u</w:t>
      </w:r>
      <w:r w:rsidRPr="00202564">
        <w:t xml:space="preserve"> Eiropas Ekonomikas zonas finanšu instrumenta 2009.-2014.gadam finansētās programmas „Kultūras un dabas mantojuma saglabāšana un atjaunināšana” ietvaros</w:t>
      </w:r>
      <w:r w:rsidR="00C358D7" w:rsidRPr="00202564">
        <w:t>;</w:t>
      </w:r>
    </w:p>
    <w:p w:rsidR="009D69AF" w:rsidRPr="00202564" w:rsidRDefault="00C358D7" w:rsidP="00C358D7">
      <w:pPr>
        <w:pStyle w:val="Sarakstarindkopa"/>
        <w:numPr>
          <w:ilvl w:val="0"/>
          <w:numId w:val="22"/>
        </w:numPr>
        <w:spacing w:after="120"/>
        <w:ind w:left="1134" w:hanging="567"/>
        <w:jc w:val="both"/>
      </w:pPr>
      <w:r w:rsidRPr="00202564">
        <w:t xml:space="preserve">Raiņa un Aspazijas mājas rekonstrukcijas un restaurācijas darbus Baznīcas ielā 30, Rīgā </w:t>
      </w:r>
      <w:r w:rsidR="00E7328D" w:rsidRPr="00202564">
        <w:t>veikt sadarbībā ar Finanšu ministriju (valsts akciju sabiedrību „Valsts nekustamie īpašumi”).</w:t>
      </w:r>
    </w:p>
    <w:p w:rsidR="00CE2DFD" w:rsidRDefault="00CE2DFD" w:rsidP="009D69AF">
      <w:pPr>
        <w:spacing w:after="120"/>
        <w:ind w:firstLine="567"/>
        <w:jc w:val="both"/>
      </w:pPr>
    </w:p>
    <w:p w:rsidR="00CE2DFD" w:rsidRPr="009D69AF" w:rsidRDefault="00CE2DFD" w:rsidP="009D69AF">
      <w:pPr>
        <w:spacing w:after="120"/>
        <w:ind w:firstLine="567"/>
        <w:jc w:val="both"/>
      </w:pPr>
    </w:p>
    <w:p w:rsidR="0078257C" w:rsidRPr="00DB257D" w:rsidRDefault="0078257C" w:rsidP="00DB257D">
      <w:pPr>
        <w:spacing w:after="120"/>
      </w:pPr>
      <w:r w:rsidRPr="00DB257D">
        <w:t>Finanšu ministrs</w:t>
      </w:r>
      <w:r w:rsidR="000854A0">
        <w:tab/>
      </w:r>
      <w:r w:rsidR="000854A0">
        <w:tab/>
      </w:r>
      <w:r w:rsidR="000854A0">
        <w:tab/>
      </w:r>
      <w:r w:rsidR="000854A0">
        <w:tab/>
      </w:r>
      <w:r w:rsidR="000854A0">
        <w:tab/>
      </w:r>
      <w:r w:rsidR="000854A0">
        <w:tab/>
      </w:r>
      <w:r w:rsidR="000854A0">
        <w:tab/>
      </w:r>
      <w:r w:rsidRPr="00DB257D">
        <w:t>A.Vilks</w:t>
      </w:r>
    </w:p>
    <w:p w:rsidR="008A0E21" w:rsidRDefault="008A0E21" w:rsidP="00DB257D">
      <w:pPr>
        <w:spacing w:after="120"/>
        <w:jc w:val="both"/>
      </w:pPr>
    </w:p>
    <w:p w:rsidR="009933AB" w:rsidRDefault="009933AB" w:rsidP="00DB257D">
      <w:pPr>
        <w:spacing w:after="120"/>
        <w:ind w:firstLine="720"/>
        <w:jc w:val="both"/>
      </w:pPr>
    </w:p>
    <w:p w:rsidR="004F1B98" w:rsidRDefault="004F1B98" w:rsidP="00DB257D">
      <w:pPr>
        <w:spacing w:after="120"/>
        <w:ind w:firstLine="720"/>
        <w:jc w:val="both"/>
      </w:pPr>
    </w:p>
    <w:p w:rsidR="00604DED" w:rsidRPr="00DB257D" w:rsidRDefault="00604DED" w:rsidP="00DB257D">
      <w:pPr>
        <w:spacing w:after="120"/>
        <w:ind w:firstLine="720"/>
        <w:jc w:val="both"/>
      </w:pPr>
    </w:p>
    <w:p w:rsidR="0078257C" w:rsidRPr="00A96E82" w:rsidRDefault="00D35A48" w:rsidP="00CE2DFD">
      <w:pPr>
        <w:rPr>
          <w:sz w:val="16"/>
          <w:szCs w:val="16"/>
        </w:rPr>
      </w:pPr>
      <w:r w:rsidRPr="00A96E82">
        <w:rPr>
          <w:sz w:val="16"/>
          <w:szCs w:val="16"/>
        </w:rPr>
        <w:fldChar w:fldCharType="begin"/>
      </w:r>
      <w:r w:rsidR="0078257C" w:rsidRPr="00A96E82">
        <w:rPr>
          <w:sz w:val="16"/>
          <w:szCs w:val="16"/>
          <w:lang w:val="ru-RU"/>
        </w:rPr>
        <w:instrText xml:space="preserve"> TIME \@ "dd.MM.yyyy H:mm" </w:instrText>
      </w:r>
      <w:r w:rsidRPr="00A96E82">
        <w:rPr>
          <w:sz w:val="16"/>
          <w:szCs w:val="16"/>
        </w:rPr>
        <w:fldChar w:fldCharType="separate"/>
      </w:r>
      <w:r w:rsidR="004F1B98">
        <w:rPr>
          <w:noProof/>
          <w:sz w:val="16"/>
          <w:szCs w:val="16"/>
          <w:lang w:val="ru-RU"/>
        </w:rPr>
        <w:t>16.04.2012 12:20</w:t>
      </w:r>
      <w:r w:rsidRPr="00A96E82">
        <w:rPr>
          <w:sz w:val="16"/>
          <w:szCs w:val="16"/>
        </w:rPr>
        <w:fldChar w:fldCharType="end"/>
      </w:r>
    </w:p>
    <w:p w:rsidR="00CE2DFD" w:rsidRPr="00A96E82" w:rsidRDefault="00D35A48" w:rsidP="00CE2DFD">
      <w:pPr>
        <w:rPr>
          <w:sz w:val="16"/>
          <w:szCs w:val="16"/>
        </w:rPr>
      </w:pPr>
      <w:fldSimple w:instr=" NUMWORDS   \* MERGEFORMAT ">
        <w:r w:rsidR="004F1B98" w:rsidRPr="004F1B98">
          <w:rPr>
            <w:noProof/>
            <w:sz w:val="16"/>
            <w:szCs w:val="16"/>
          </w:rPr>
          <w:t>3139</w:t>
        </w:r>
      </w:fldSimple>
    </w:p>
    <w:p w:rsidR="00A96E82" w:rsidRPr="00A96E82" w:rsidRDefault="00A96E82" w:rsidP="00A96E82">
      <w:pPr>
        <w:jc w:val="both"/>
        <w:rPr>
          <w:sz w:val="16"/>
          <w:szCs w:val="16"/>
        </w:rPr>
      </w:pPr>
      <w:bookmarkStart w:id="1" w:name="OLE_LINK3"/>
      <w:bookmarkStart w:id="2" w:name="OLE_LINK4"/>
      <w:r w:rsidRPr="00A96E82">
        <w:rPr>
          <w:sz w:val="16"/>
          <w:szCs w:val="16"/>
        </w:rPr>
        <w:t>G.Kosojs</w:t>
      </w:r>
    </w:p>
    <w:p w:rsidR="00202564" w:rsidRDefault="00A96E82" w:rsidP="00A96E82">
      <w:pPr>
        <w:jc w:val="both"/>
        <w:rPr>
          <w:sz w:val="16"/>
          <w:szCs w:val="16"/>
        </w:rPr>
      </w:pPr>
      <w:r w:rsidRPr="00A96E82">
        <w:rPr>
          <w:sz w:val="16"/>
          <w:szCs w:val="16"/>
        </w:rPr>
        <w:t>67024941,</w:t>
      </w:r>
    </w:p>
    <w:p w:rsidR="00A96E82" w:rsidRPr="00A96E82" w:rsidRDefault="00D35A48" w:rsidP="00A96E82">
      <w:pPr>
        <w:jc w:val="both"/>
        <w:rPr>
          <w:noProof/>
          <w:sz w:val="16"/>
          <w:szCs w:val="16"/>
        </w:rPr>
      </w:pPr>
      <w:hyperlink r:id="rId8" w:history="1">
        <w:r w:rsidR="00A96E82" w:rsidRPr="00A96E82">
          <w:rPr>
            <w:rStyle w:val="Hipersaite"/>
            <w:sz w:val="16"/>
            <w:szCs w:val="16"/>
          </w:rPr>
          <w:t>Gunars.kosojs@vni.lv</w:t>
        </w:r>
      </w:hyperlink>
    </w:p>
    <w:p w:rsidR="0078257C" w:rsidRPr="00A96E82" w:rsidRDefault="0078257C" w:rsidP="00CE2DFD">
      <w:pPr>
        <w:rPr>
          <w:sz w:val="16"/>
          <w:szCs w:val="16"/>
        </w:rPr>
      </w:pPr>
      <w:r w:rsidRPr="00A96E82">
        <w:rPr>
          <w:sz w:val="16"/>
          <w:szCs w:val="16"/>
        </w:rPr>
        <w:t>A.Gulbe</w:t>
      </w:r>
    </w:p>
    <w:p w:rsidR="00202564" w:rsidRDefault="0078257C">
      <w:pPr>
        <w:jc w:val="both"/>
        <w:rPr>
          <w:sz w:val="16"/>
          <w:szCs w:val="16"/>
        </w:rPr>
      </w:pPr>
      <w:bookmarkStart w:id="3" w:name="OLE_LINK5"/>
      <w:bookmarkStart w:id="4" w:name="OLE_LINK6"/>
      <w:r w:rsidRPr="00A96E82">
        <w:rPr>
          <w:sz w:val="16"/>
          <w:szCs w:val="16"/>
        </w:rPr>
        <w:t>67024698,</w:t>
      </w:r>
    </w:p>
    <w:p w:rsidR="00A96E82" w:rsidRPr="00A96E82" w:rsidRDefault="00D35A48">
      <w:pPr>
        <w:jc w:val="both"/>
        <w:rPr>
          <w:noProof/>
          <w:sz w:val="16"/>
          <w:szCs w:val="16"/>
        </w:rPr>
      </w:pPr>
      <w:hyperlink r:id="rId9" w:history="1">
        <w:r w:rsidR="0078257C" w:rsidRPr="00A96E82">
          <w:rPr>
            <w:rStyle w:val="Hipersaite"/>
            <w:sz w:val="16"/>
            <w:szCs w:val="16"/>
          </w:rPr>
          <w:t>Aiga.Gulbe@vni.lv</w:t>
        </w:r>
      </w:hyperlink>
      <w:bookmarkEnd w:id="1"/>
      <w:bookmarkEnd w:id="2"/>
      <w:bookmarkEnd w:id="3"/>
      <w:bookmarkEnd w:id="4"/>
    </w:p>
    <w:sectPr w:rsidR="00A96E82" w:rsidRPr="00A96E82" w:rsidSect="00EF70AE">
      <w:headerReference w:type="even" r:id="rId10"/>
      <w:headerReference w:type="default" r:id="rId11"/>
      <w:footerReference w:type="default" r:id="rId12"/>
      <w:footerReference w:type="first" r:id="rId13"/>
      <w:pgSz w:w="11905" w:h="16837"/>
      <w:pgMar w:top="1134" w:right="1134" w:bottom="1134" w:left="1701" w:header="851" w:footer="5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F8C" w:rsidRDefault="006D7F8C">
      <w:r>
        <w:separator/>
      </w:r>
    </w:p>
  </w:endnote>
  <w:endnote w:type="continuationSeparator" w:id="0">
    <w:p w:rsidR="006D7F8C" w:rsidRDefault="006D7F8C">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BA"/>
    <w:family w:val="roman"/>
    <w:pitch w:val="variable"/>
    <w:sig w:usb0="E0002AE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F8C" w:rsidRPr="00D57FF8" w:rsidRDefault="00D35A48" w:rsidP="00D57FF8">
    <w:pPr>
      <w:jc w:val="both"/>
    </w:pPr>
    <w:fldSimple w:instr=" FILENAME   \* MERGEFORMAT ">
      <w:r w:rsidR="006D7F8C" w:rsidRPr="006D7F8C">
        <w:rPr>
          <w:noProof/>
          <w:sz w:val="16"/>
          <w:szCs w:val="16"/>
        </w:rPr>
        <w:t>FMZino_140312_VSS-151</w:t>
      </w:r>
    </w:fldSimple>
    <w:r w:rsidR="006D7F8C" w:rsidRPr="00F13F57">
      <w:rPr>
        <w:noProof/>
        <w:sz w:val="16"/>
        <w:szCs w:val="16"/>
      </w:rPr>
      <w:t xml:space="preserve">; </w:t>
    </w:r>
    <w:bookmarkStart w:id="5" w:name="OLE_LINK1"/>
    <w:bookmarkStart w:id="6" w:name="OLE_LINK2"/>
    <w:r w:rsidR="006D7F8C" w:rsidRPr="00D57FF8">
      <w:rPr>
        <w:noProof/>
        <w:sz w:val="16"/>
        <w:szCs w:val="16"/>
      </w:rPr>
      <w:t>Informatīvais ziņojums „Par Ministru kabineta 2011.gada 9.augusta sēdes protokollēmuma (prot. Nr.47 23.§) „Informatīvais ziņojums „Par turpmāko rīcību ar valsts akciju sabiedrības „Valsts nekustamie īpašumi” būvniecības projektiem”” 2.4.punktā dotā uzdevuma izpildes gaitu”</w:t>
    </w:r>
    <w:bookmarkEnd w:id="5"/>
    <w:bookmarkEnd w:id="6"/>
    <w:r w:rsidR="006D7F8C" w:rsidRPr="00D57FF8">
      <w:rPr>
        <w:noProof/>
        <w:sz w:val="16"/>
        <w:szCs w:val="16"/>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F8C" w:rsidRPr="00D57FF8" w:rsidRDefault="00D35A48" w:rsidP="00C601A8">
    <w:pPr>
      <w:jc w:val="both"/>
      <w:rPr>
        <w:noProof/>
        <w:sz w:val="16"/>
        <w:szCs w:val="16"/>
      </w:rPr>
    </w:pPr>
    <w:fldSimple w:instr=" FILENAME   \* MERGEFORMAT ">
      <w:r w:rsidR="006D7F8C" w:rsidRPr="006D7F8C">
        <w:rPr>
          <w:noProof/>
          <w:sz w:val="16"/>
          <w:szCs w:val="16"/>
        </w:rPr>
        <w:t>FMZino_140312_VSS-151</w:t>
      </w:r>
    </w:fldSimple>
    <w:r w:rsidR="006D7F8C" w:rsidRPr="00F13F57">
      <w:rPr>
        <w:noProof/>
        <w:sz w:val="16"/>
        <w:szCs w:val="16"/>
      </w:rPr>
      <w:t xml:space="preserve">; </w:t>
    </w:r>
    <w:r w:rsidR="006D7F8C" w:rsidRPr="00D57FF8">
      <w:rPr>
        <w:noProof/>
        <w:sz w:val="16"/>
        <w:szCs w:val="16"/>
      </w:rPr>
      <w:t>Informatīvais ziņojums „Par Ministru kabineta 2011.gada 9.augusta sēdes protokollēmuma (prot. Nr.47 23.§) „Informatīvais ziņojums „Par turpmāko rīcību ar valsts akciju sabiedrības „Valsts nekustamie īpašumi” būvniecības projektiem”” 2.4.punktā dotā uzdevuma izpildes gaitu”.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F8C" w:rsidRDefault="006D7F8C">
      <w:r>
        <w:separator/>
      </w:r>
    </w:p>
  </w:footnote>
  <w:footnote w:type="continuationSeparator" w:id="0">
    <w:p w:rsidR="006D7F8C" w:rsidRDefault="006D7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F8C" w:rsidRDefault="00D35A48" w:rsidP="0085764E">
    <w:pPr>
      <w:pStyle w:val="Galvene"/>
      <w:framePr w:wrap="around" w:vAnchor="text" w:hAnchor="margin" w:xAlign="center" w:y="1"/>
      <w:rPr>
        <w:rStyle w:val="Lappusesnumurs"/>
      </w:rPr>
    </w:pPr>
    <w:r>
      <w:rPr>
        <w:rStyle w:val="Lappusesnumurs"/>
      </w:rPr>
      <w:fldChar w:fldCharType="begin"/>
    </w:r>
    <w:r w:rsidR="006D7F8C">
      <w:rPr>
        <w:rStyle w:val="Lappusesnumurs"/>
      </w:rPr>
      <w:instrText xml:space="preserve">PAGE  </w:instrText>
    </w:r>
    <w:r>
      <w:rPr>
        <w:rStyle w:val="Lappusesnumurs"/>
      </w:rPr>
      <w:fldChar w:fldCharType="end"/>
    </w:r>
  </w:p>
  <w:p w:rsidR="006D7F8C" w:rsidRDefault="006D7F8C">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F8C" w:rsidRPr="006D55C8" w:rsidRDefault="00D35A48" w:rsidP="0085764E">
    <w:pPr>
      <w:pStyle w:val="Galvene"/>
      <w:framePr w:wrap="around" w:vAnchor="text" w:hAnchor="margin" w:xAlign="center" w:y="1"/>
      <w:rPr>
        <w:rStyle w:val="Lappusesnumurs"/>
        <w:sz w:val="20"/>
        <w:szCs w:val="20"/>
      </w:rPr>
    </w:pPr>
    <w:r w:rsidRPr="006D55C8">
      <w:rPr>
        <w:rStyle w:val="Lappusesnumurs"/>
        <w:sz w:val="20"/>
        <w:szCs w:val="20"/>
      </w:rPr>
      <w:fldChar w:fldCharType="begin"/>
    </w:r>
    <w:r w:rsidR="006D7F8C" w:rsidRPr="006D55C8">
      <w:rPr>
        <w:rStyle w:val="Lappusesnumurs"/>
        <w:sz w:val="20"/>
        <w:szCs w:val="20"/>
      </w:rPr>
      <w:instrText xml:space="preserve">PAGE  </w:instrText>
    </w:r>
    <w:r w:rsidRPr="006D55C8">
      <w:rPr>
        <w:rStyle w:val="Lappusesnumurs"/>
        <w:sz w:val="20"/>
        <w:szCs w:val="20"/>
      </w:rPr>
      <w:fldChar w:fldCharType="separate"/>
    </w:r>
    <w:r w:rsidR="004F1B98">
      <w:rPr>
        <w:rStyle w:val="Lappusesnumurs"/>
        <w:noProof/>
        <w:sz w:val="20"/>
        <w:szCs w:val="20"/>
      </w:rPr>
      <w:t>8</w:t>
    </w:r>
    <w:r w:rsidRPr="006D55C8">
      <w:rPr>
        <w:rStyle w:val="Lappusesnumurs"/>
        <w:sz w:val="20"/>
        <w:szCs w:val="20"/>
      </w:rPr>
      <w:fldChar w:fldCharType="end"/>
    </w:r>
  </w:p>
  <w:p w:rsidR="006D7F8C" w:rsidRDefault="006D7F8C">
    <w:pPr>
      <w:pStyle w:val="Galvene"/>
    </w:pPr>
  </w:p>
  <w:p w:rsidR="006D7F8C" w:rsidRDefault="006D7F8C">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Virsraksts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hybridMultilevel"/>
    <w:tmpl w:val="00000002"/>
    <w:name w:val="WW8Num2"/>
    <w:lvl w:ilvl="0" w:tplc="B95A460C">
      <w:start w:val="1"/>
      <w:numFmt w:val="bullet"/>
      <w:lvlText w:val="-"/>
      <w:lvlJc w:val="left"/>
      <w:pPr>
        <w:tabs>
          <w:tab w:val="num" w:pos="1506"/>
        </w:tabs>
        <w:ind w:left="1506" w:hanging="360"/>
      </w:pPr>
      <w:rPr>
        <w:rFonts w:ascii="Sylfaen" w:hAnsi="Sylfaen" w:cs="OpenSymbol"/>
      </w:rPr>
    </w:lvl>
    <w:lvl w:ilvl="1" w:tplc="8E5854EA" w:tentative="1">
      <w:start w:val="1"/>
      <w:numFmt w:val="bullet"/>
      <w:lvlText w:val="o"/>
      <w:lvlJc w:val="left"/>
      <w:pPr>
        <w:tabs>
          <w:tab w:val="num" w:pos="1440"/>
        </w:tabs>
        <w:ind w:left="1440" w:hanging="360"/>
      </w:pPr>
      <w:rPr>
        <w:rFonts w:ascii="Courier New" w:hAnsi="Courier New" w:cs="Courier New" w:hint="default"/>
      </w:rPr>
    </w:lvl>
    <w:lvl w:ilvl="2" w:tplc="EC4233EE" w:tentative="1">
      <w:start w:val="1"/>
      <w:numFmt w:val="bullet"/>
      <w:lvlText w:val=""/>
      <w:lvlJc w:val="left"/>
      <w:pPr>
        <w:tabs>
          <w:tab w:val="num" w:pos="2160"/>
        </w:tabs>
        <w:ind w:left="2160" w:hanging="360"/>
      </w:pPr>
      <w:rPr>
        <w:rFonts w:ascii="Wingdings" w:hAnsi="Wingdings" w:hint="default"/>
      </w:rPr>
    </w:lvl>
    <w:lvl w:ilvl="3" w:tplc="95DA6734" w:tentative="1">
      <w:start w:val="1"/>
      <w:numFmt w:val="bullet"/>
      <w:lvlText w:val=""/>
      <w:lvlJc w:val="left"/>
      <w:pPr>
        <w:tabs>
          <w:tab w:val="num" w:pos="2880"/>
        </w:tabs>
        <w:ind w:left="2880" w:hanging="360"/>
      </w:pPr>
      <w:rPr>
        <w:rFonts w:ascii="Symbol" w:hAnsi="Symbol" w:hint="default"/>
      </w:rPr>
    </w:lvl>
    <w:lvl w:ilvl="4" w:tplc="AAF27E76" w:tentative="1">
      <w:start w:val="1"/>
      <w:numFmt w:val="bullet"/>
      <w:lvlText w:val="o"/>
      <w:lvlJc w:val="left"/>
      <w:pPr>
        <w:tabs>
          <w:tab w:val="num" w:pos="3600"/>
        </w:tabs>
        <w:ind w:left="3600" w:hanging="360"/>
      </w:pPr>
      <w:rPr>
        <w:rFonts w:ascii="Courier New" w:hAnsi="Courier New" w:cs="Courier New" w:hint="default"/>
      </w:rPr>
    </w:lvl>
    <w:lvl w:ilvl="5" w:tplc="E82C6466" w:tentative="1">
      <w:start w:val="1"/>
      <w:numFmt w:val="bullet"/>
      <w:lvlText w:val=""/>
      <w:lvlJc w:val="left"/>
      <w:pPr>
        <w:tabs>
          <w:tab w:val="num" w:pos="4320"/>
        </w:tabs>
        <w:ind w:left="4320" w:hanging="360"/>
      </w:pPr>
      <w:rPr>
        <w:rFonts w:ascii="Wingdings" w:hAnsi="Wingdings" w:hint="default"/>
      </w:rPr>
    </w:lvl>
    <w:lvl w:ilvl="6" w:tplc="187E0D5E" w:tentative="1">
      <w:start w:val="1"/>
      <w:numFmt w:val="bullet"/>
      <w:lvlText w:val=""/>
      <w:lvlJc w:val="left"/>
      <w:pPr>
        <w:tabs>
          <w:tab w:val="num" w:pos="5040"/>
        </w:tabs>
        <w:ind w:left="5040" w:hanging="360"/>
      </w:pPr>
      <w:rPr>
        <w:rFonts w:ascii="Symbol" w:hAnsi="Symbol" w:hint="default"/>
      </w:rPr>
    </w:lvl>
    <w:lvl w:ilvl="7" w:tplc="5394E45C" w:tentative="1">
      <w:start w:val="1"/>
      <w:numFmt w:val="bullet"/>
      <w:lvlText w:val="o"/>
      <w:lvlJc w:val="left"/>
      <w:pPr>
        <w:tabs>
          <w:tab w:val="num" w:pos="5760"/>
        </w:tabs>
        <w:ind w:left="5760" w:hanging="360"/>
      </w:pPr>
      <w:rPr>
        <w:rFonts w:ascii="Courier New" w:hAnsi="Courier New" w:cs="Courier New" w:hint="default"/>
      </w:rPr>
    </w:lvl>
    <w:lvl w:ilvl="8" w:tplc="482C4982" w:tentative="1">
      <w:start w:val="1"/>
      <w:numFmt w:val="bullet"/>
      <w:lvlText w:val=""/>
      <w:lvlJc w:val="left"/>
      <w:pPr>
        <w:tabs>
          <w:tab w:val="num" w:pos="6480"/>
        </w:tabs>
        <w:ind w:left="6480" w:hanging="360"/>
      </w:pPr>
      <w:rPr>
        <w:rFonts w:ascii="Wingdings" w:hAnsi="Wingdings" w:hint="default"/>
      </w:rPr>
    </w:lvl>
  </w:abstractNum>
  <w:abstractNum w:abstractNumId="2">
    <w:nsid w:val="10E97CE1"/>
    <w:multiLevelType w:val="hybridMultilevel"/>
    <w:tmpl w:val="294A6A0C"/>
    <w:lvl w:ilvl="0" w:tplc="C4EE7524">
      <w:start w:val="1"/>
      <w:numFmt w:val="bullet"/>
      <w:lvlText w:val="-"/>
      <w:lvlJc w:val="left"/>
      <w:pPr>
        <w:ind w:left="1571" w:hanging="360"/>
      </w:pPr>
      <w:rPr>
        <w:rFonts w:ascii="Arial" w:hAnsi="Aria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
    <w:nsid w:val="16F455CD"/>
    <w:multiLevelType w:val="hybridMultilevel"/>
    <w:tmpl w:val="CBD67630"/>
    <w:lvl w:ilvl="0" w:tplc="E014D8F0">
      <w:start w:val="1"/>
      <w:numFmt w:val="decimal"/>
      <w:lvlText w:val="1.%1."/>
      <w:lvlJc w:val="left"/>
      <w:pPr>
        <w:ind w:left="1713" w:hanging="360"/>
      </w:pPr>
      <w:rPr>
        <w:rFonts w:hint="default"/>
      </w:r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4">
    <w:nsid w:val="1CDA13BD"/>
    <w:multiLevelType w:val="hybridMultilevel"/>
    <w:tmpl w:val="E7C87BA8"/>
    <w:lvl w:ilvl="0" w:tplc="14D474EA">
      <w:start w:val="1"/>
      <w:numFmt w:val="decimal"/>
      <w:lvlText w:val="%1)"/>
      <w:lvlJc w:val="left"/>
      <w:pPr>
        <w:ind w:left="1287" w:hanging="360"/>
      </w:pPr>
      <w:rPr>
        <w:rFonts w:ascii="Times New Roman" w:eastAsia="Times New Roman" w:hAnsi="Times New Roman" w:cs="Times New Roman" w:hint="default"/>
        <w:color w:val="auto"/>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
    <w:nsid w:val="2B3D097E"/>
    <w:multiLevelType w:val="hybridMultilevel"/>
    <w:tmpl w:val="B62AF1B2"/>
    <w:lvl w:ilvl="0" w:tplc="A4E08CF6">
      <w:start w:val="1"/>
      <w:numFmt w:val="decimal"/>
      <w:lvlText w:val="(%1)"/>
      <w:lvlJc w:val="left"/>
      <w:pPr>
        <w:ind w:left="1287" w:hanging="360"/>
      </w:pPr>
      <w:rPr>
        <w:rFont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nsid w:val="2B3E1AEF"/>
    <w:multiLevelType w:val="hybridMultilevel"/>
    <w:tmpl w:val="016A9804"/>
    <w:lvl w:ilvl="0" w:tplc="A4E08CF6">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5D2724F"/>
    <w:multiLevelType w:val="hybridMultilevel"/>
    <w:tmpl w:val="35CAE780"/>
    <w:lvl w:ilvl="0" w:tplc="04260011">
      <w:start w:val="1"/>
      <w:numFmt w:val="decimal"/>
      <w:lvlText w:val="%1)"/>
      <w:lvlJc w:val="left"/>
      <w:pPr>
        <w:ind w:left="1287" w:hanging="360"/>
      </w:pPr>
      <w:rPr>
        <w:rFont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nsid w:val="38D63657"/>
    <w:multiLevelType w:val="multilevel"/>
    <w:tmpl w:val="136442F0"/>
    <w:lvl w:ilvl="0">
      <w:start w:val="1"/>
      <w:numFmt w:val="decimal"/>
      <w:lvlText w:val="%1."/>
      <w:lvlJc w:val="left"/>
      <w:pPr>
        <w:ind w:left="1080" w:hanging="360"/>
      </w:pPr>
      <w:rPr>
        <w:rFonts w:hint="default"/>
      </w:rPr>
    </w:lvl>
    <w:lvl w:ilvl="1">
      <w:start w:val="1"/>
      <w:numFmt w:val="decimal"/>
      <w:isLgl/>
      <w:lvlText w:val="%1.%2."/>
      <w:lvlJc w:val="left"/>
      <w:pPr>
        <w:ind w:left="2149" w:hanging="720"/>
      </w:pPr>
      <w:rPr>
        <w:rFonts w:hint="default"/>
        <w:color w:val="auto"/>
      </w:rPr>
    </w:lvl>
    <w:lvl w:ilvl="2">
      <w:start w:val="1"/>
      <w:numFmt w:val="decimal"/>
      <w:isLgl/>
      <w:lvlText w:val="%1.%2.%3."/>
      <w:lvlJc w:val="left"/>
      <w:pPr>
        <w:ind w:left="2858" w:hanging="720"/>
      </w:pPr>
      <w:rPr>
        <w:rFonts w:hint="default"/>
        <w:color w:val="auto"/>
      </w:rPr>
    </w:lvl>
    <w:lvl w:ilvl="3">
      <w:start w:val="1"/>
      <w:numFmt w:val="decimal"/>
      <w:isLgl/>
      <w:lvlText w:val="%1.%2.%3.%4."/>
      <w:lvlJc w:val="left"/>
      <w:pPr>
        <w:ind w:left="3927" w:hanging="1080"/>
      </w:pPr>
      <w:rPr>
        <w:rFonts w:hint="default"/>
        <w:color w:val="auto"/>
      </w:rPr>
    </w:lvl>
    <w:lvl w:ilvl="4">
      <w:start w:val="1"/>
      <w:numFmt w:val="decimal"/>
      <w:isLgl/>
      <w:lvlText w:val="%1.%2.%3.%4.%5."/>
      <w:lvlJc w:val="left"/>
      <w:pPr>
        <w:ind w:left="4636" w:hanging="1080"/>
      </w:pPr>
      <w:rPr>
        <w:rFonts w:hint="default"/>
        <w:color w:val="auto"/>
      </w:rPr>
    </w:lvl>
    <w:lvl w:ilvl="5">
      <w:start w:val="1"/>
      <w:numFmt w:val="decimal"/>
      <w:isLgl/>
      <w:lvlText w:val="%1.%2.%3.%4.%5.%6."/>
      <w:lvlJc w:val="left"/>
      <w:pPr>
        <w:ind w:left="5705" w:hanging="1440"/>
      </w:pPr>
      <w:rPr>
        <w:rFonts w:hint="default"/>
        <w:color w:val="auto"/>
      </w:rPr>
    </w:lvl>
    <w:lvl w:ilvl="6">
      <w:start w:val="1"/>
      <w:numFmt w:val="decimal"/>
      <w:isLgl/>
      <w:lvlText w:val="%1.%2.%3.%4.%5.%6.%7."/>
      <w:lvlJc w:val="left"/>
      <w:pPr>
        <w:ind w:left="6774" w:hanging="1800"/>
      </w:pPr>
      <w:rPr>
        <w:rFonts w:hint="default"/>
        <w:color w:val="auto"/>
      </w:rPr>
    </w:lvl>
    <w:lvl w:ilvl="7">
      <w:start w:val="1"/>
      <w:numFmt w:val="decimal"/>
      <w:isLgl/>
      <w:lvlText w:val="%1.%2.%3.%4.%5.%6.%7.%8."/>
      <w:lvlJc w:val="left"/>
      <w:pPr>
        <w:ind w:left="7483" w:hanging="1800"/>
      </w:pPr>
      <w:rPr>
        <w:rFonts w:hint="default"/>
        <w:color w:val="auto"/>
      </w:rPr>
    </w:lvl>
    <w:lvl w:ilvl="8">
      <w:start w:val="1"/>
      <w:numFmt w:val="decimal"/>
      <w:isLgl/>
      <w:lvlText w:val="%1.%2.%3.%4.%5.%6.%7.%8.%9."/>
      <w:lvlJc w:val="left"/>
      <w:pPr>
        <w:ind w:left="8552" w:hanging="2160"/>
      </w:pPr>
      <w:rPr>
        <w:rFonts w:hint="default"/>
        <w:color w:val="auto"/>
      </w:rPr>
    </w:lvl>
  </w:abstractNum>
  <w:abstractNum w:abstractNumId="9">
    <w:nsid w:val="3CE429A5"/>
    <w:multiLevelType w:val="hybridMultilevel"/>
    <w:tmpl w:val="A3C43286"/>
    <w:lvl w:ilvl="0" w:tplc="A4E08CF6">
      <w:start w:val="1"/>
      <w:numFmt w:val="decimal"/>
      <w:lvlText w:val="(%1)"/>
      <w:lvlJc w:val="left"/>
      <w:pPr>
        <w:ind w:left="1287" w:hanging="360"/>
      </w:pPr>
      <w:rPr>
        <w:rFont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nsid w:val="3DE827FF"/>
    <w:multiLevelType w:val="hybridMultilevel"/>
    <w:tmpl w:val="B322BA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19C37B0"/>
    <w:multiLevelType w:val="hybridMultilevel"/>
    <w:tmpl w:val="596022AE"/>
    <w:lvl w:ilvl="0" w:tplc="00AE62EC">
      <w:start w:val="1"/>
      <w:numFmt w:val="decimal"/>
      <w:lvlText w:val="2.%1."/>
      <w:lvlJc w:val="left"/>
      <w:pPr>
        <w:ind w:left="1713" w:hanging="360"/>
      </w:pPr>
      <w:rPr>
        <w:rFonts w:cs="Times New Roman" w:hint="default"/>
        <w:b w:val="0"/>
        <w:color w:val="auto"/>
      </w:r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12">
    <w:nsid w:val="45157E58"/>
    <w:multiLevelType w:val="hybridMultilevel"/>
    <w:tmpl w:val="B97690F4"/>
    <w:lvl w:ilvl="0" w:tplc="B94AC854">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nsid w:val="45C85254"/>
    <w:multiLevelType w:val="hybridMultilevel"/>
    <w:tmpl w:val="58D8B41C"/>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0285AC1"/>
    <w:multiLevelType w:val="hybridMultilevel"/>
    <w:tmpl w:val="D72EBD36"/>
    <w:lvl w:ilvl="0" w:tplc="C4EE7524">
      <w:start w:val="1"/>
      <w:numFmt w:val="bullet"/>
      <w:lvlText w:val="-"/>
      <w:lvlJc w:val="left"/>
      <w:pPr>
        <w:ind w:left="1287" w:hanging="360"/>
      </w:pPr>
      <w:rPr>
        <w:rFonts w:ascii="Arial" w:hAnsi="Aria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5">
    <w:nsid w:val="558C18F8"/>
    <w:multiLevelType w:val="hybridMultilevel"/>
    <w:tmpl w:val="14461A10"/>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6">
    <w:nsid w:val="56136967"/>
    <w:multiLevelType w:val="hybridMultilevel"/>
    <w:tmpl w:val="C570F3C8"/>
    <w:lvl w:ilvl="0" w:tplc="04260011">
      <w:start w:val="1"/>
      <w:numFmt w:val="decimal"/>
      <w:lvlText w:val="%1)"/>
      <w:lvlJc w:val="left"/>
      <w:pPr>
        <w:ind w:left="1287" w:hanging="360"/>
      </w:pPr>
      <w:rPr>
        <w:rFont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7">
    <w:nsid w:val="591369F5"/>
    <w:multiLevelType w:val="hybridMultilevel"/>
    <w:tmpl w:val="587E2F5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8">
    <w:nsid w:val="59BB2C74"/>
    <w:multiLevelType w:val="hybridMultilevel"/>
    <w:tmpl w:val="52C6D584"/>
    <w:lvl w:ilvl="0" w:tplc="C4EE7524">
      <w:start w:val="1"/>
      <w:numFmt w:val="bullet"/>
      <w:lvlText w:val="-"/>
      <w:lvlJc w:val="left"/>
      <w:pPr>
        <w:ind w:left="1287" w:hanging="360"/>
      </w:pPr>
      <w:rPr>
        <w:rFonts w:ascii="Arial" w:hAnsi="Aria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9">
    <w:nsid w:val="5DFA0BEB"/>
    <w:multiLevelType w:val="hybridMultilevel"/>
    <w:tmpl w:val="E41C9FCE"/>
    <w:lvl w:ilvl="0" w:tplc="14D474EA">
      <w:start w:val="1"/>
      <w:numFmt w:val="decimal"/>
      <w:lvlText w:val="%1)"/>
      <w:lvlJc w:val="left"/>
      <w:pPr>
        <w:ind w:left="1287" w:hanging="360"/>
      </w:pPr>
      <w:rPr>
        <w:rFonts w:ascii="Times New Roman" w:eastAsia="Times New Roman" w:hAnsi="Times New Roman" w:cs="Times New Roman" w:hint="default"/>
        <w:color w:val="auto"/>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0">
    <w:nsid w:val="5FF753C3"/>
    <w:multiLevelType w:val="hybridMultilevel"/>
    <w:tmpl w:val="37C864AE"/>
    <w:lvl w:ilvl="0" w:tplc="04260011">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75823AC8"/>
    <w:multiLevelType w:val="hybridMultilevel"/>
    <w:tmpl w:val="8BE2DD50"/>
    <w:lvl w:ilvl="0" w:tplc="04260013">
      <w:start w:val="1"/>
      <w:numFmt w:val="upperRoman"/>
      <w:lvlText w:val="%1."/>
      <w:lvlJc w:val="righ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22">
    <w:nsid w:val="7A86406F"/>
    <w:multiLevelType w:val="hybridMultilevel"/>
    <w:tmpl w:val="2BA81BEC"/>
    <w:lvl w:ilvl="0" w:tplc="B94AC854">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0"/>
  </w:num>
  <w:num w:numId="2">
    <w:abstractNumId w:val="14"/>
  </w:num>
  <w:num w:numId="3">
    <w:abstractNumId w:val="2"/>
  </w:num>
  <w:num w:numId="4">
    <w:abstractNumId w:val="21"/>
  </w:num>
  <w:num w:numId="5">
    <w:abstractNumId w:val="12"/>
  </w:num>
  <w:num w:numId="6">
    <w:abstractNumId w:val="18"/>
  </w:num>
  <w:num w:numId="7">
    <w:abstractNumId w:val="10"/>
  </w:num>
  <w:num w:numId="8">
    <w:abstractNumId w:val="19"/>
  </w:num>
  <w:num w:numId="9">
    <w:abstractNumId w:val="8"/>
  </w:num>
  <w:num w:numId="10">
    <w:abstractNumId w:val="22"/>
  </w:num>
  <w:num w:numId="11">
    <w:abstractNumId w:val="4"/>
  </w:num>
  <w:num w:numId="12">
    <w:abstractNumId w:val="5"/>
  </w:num>
  <w:num w:numId="13">
    <w:abstractNumId w:val="9"/>
  </w:num>
  <w:num w:numId="14">
    <w:abstractNumId w:val="13"/>
  </w:num>
  <w:num w:numId="15">
    <w:abstractNumId w:val="6"/>
  </w:num>
  <w:num w:numId="16">
    <w:abstractNumId w:val="17"/>
  </w:num>
  <w:num w:numId="17">
    <w:abstractNumId w:val="3"/>
  </w:num>
  <w:num w:numId="18">
    <w:abstractNumId w:val="16"/>
  </w:num>
  <w:num w:numId="19">
    <w:abstractNumId w:val="7"/>
  </w:num>
  <w:num w:numId="20">
    <w:abstractNumId w:val="20"/>
  </w:num>
  <w:num w:numId="21">
    <w:abstractNumId w:val="15"/>
  </w:num>
  <w:num w:numId="22">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09"/>
  <w:defaultTableStyle w:val="Parasta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81"/>
  </w:hdrShapeDefaults>
  <w:footnotePr>
    <w:footnote w:id="-1"/>
    <w:footnote w:id="0"/>
  </w:footnotePr>
  <w:endnotePr>
    <w:endnote w:id="-1"/>
    <w:endnote w:id="0"/>
  </w:endnotePr>
  <w:compat/>
  <w:rsids>
    <w:rsidRoot w:val="00B731C0"/>
    <w:rsid w:val="00005C5F"/>
    <w:rsid w:val="00007190"/>
    <w:rsid w:val="00007D67"/>
    <w:rsid w:val="00014260"/>
    <w:rsid w:val="00015A98"/>
    <w:rsid w:val="00020C99"/>
    <w:rsid w:val="0004036B"/>
    <w:rsid w:val="0004046D"/>
    <w:rsid w:val="000434E9"/>
    <w:rsid w:val="00043861"/>
    <w:rsid w:val="00047B60"/>
    <w:rsid w:val="00053605"/>
    <w:rsid w:val="00053FD4"/>
    <w:rsid w:val="00054501"/>
    <w:rsid w:val="00056637"/>
    <w:rsid w:val="0005718B"/>
    <w:rsid w:val="00063A52"/>
    <w:rsid w:val="00063BB3"/>
    <w:rsid w:val="000650F5"/>
    <w:rsid w:val="000727BB"/>
    <w:rsid w:val="00072F9B"/>
    <w:rsid w:val="000733A9"/>
    <w:rsid w:val="000753D9"/>
    <w:rsid w:val="0008017D"/>
    <w:rsid w:val="000854A0"/>
    <w:rsid w:val="00086FBE"/>
    <w:rsid w:val="00087610"/>
    <w:rsid w:val="000877FB"/>
    <w:rsid w:val="00090BF6"/>
    <w:rsid w:val="00094F36"/>
    <w:rsid w:val="00095BFC"/>
    <w:rsid w:val="000970FE"/>
    <w:rsid w:val="0009774C"/>
    <w:rsid w:val="00097B79"/>
    <w:rsid w:val="000A00EF"/>
    <w:rsid w:val="000A0CE2"/>
    <w:rsid w:val="000A4F39"/>
    <w:rsid w:val="000B281E"/>
    <w:rsid w:val="000B44F0"/>
    <w:rsid w:val="000B701F"/>
    <w:rsid w:val="000B7487"/>
    <w:rsid w:val="000B782E"/>
    <w:rsid w:val="000C1DC1"/>
    <w:rsid w:val="000C2AAF"/>
    <w:rsid w:val="000C758A"/>
    <w:rsid w:val="000D18B6"/>
    <w:rsid w:val="000E1A1D"/>
    <w:rsid w:val="000F4CB1"/>
    <w:rsid w:val="00105141"/>
    <w:rsid w:val="001113A3"/>
    <w:rsid w:val="00115C8B"/>
    <w:rsid w:val="00116219"/>
    <w:rsid w:val="00124486"/>
    <w:rsid w:val="001255A5"/>
    <w:rsid w:val="00127860"/>
    <w:rsid w:val="001349FA"/>
    <w:rsid w:val="00137341"/>
    <w:rsid w:val="00144E33"/>
    <w:rsid w:val="0015481D"/>
    <w:rsid w:val="00160543"/>
    <w:rsid w:val="00173018"/>
    <w:rsid w:val="00174478"/>
    <w:rsid w:val="00175659"/>
    <w:rsid w:val="00175D29"/>
    <w:rsid w:val="00176D94"/>
    <w:rsid w:val="00180059"/>
    <w:rsid w:val="00180153"/>
    <w:rsid w:val="001809E1"/>
    <w:rsid w:val="0018301D"/>
    <w:rsid w:val="00184928"/>
    <w:rsid w:val="00185023"/>
    <w:rsid w:val="00193019"/>
    <w:rsid w:val="00194313"/>
    <w:rsid w:val="001A125A"/>
    <w:rsid w:val="001A229F"/>
    <w:rsid w:val="001A4CB5"/>
    <w:rsid w:val="001A5808"/>
    <w:rsid w:val="001B0427"/>
    <w:rsid w:val="001B1A0D"/>
    <w:rsid w:val="001B3BF7"/>
    <w:rsid w:val="001B7C7E"/>
    <w:rsid w:val="001C5C05"/>
    <w:rsid w:val="001D0D3E"/>
    <w:rsid w:val="001D1892"/>
    <w:rsid w:val="001D3A74"/>
    <w:rsid w:val="001D68FA"/>
    <w:rsid w:val="001D6D05"/>
    <w:rsid w:val="001E1433"/>
    <w:rsid w:val="001E39AC"/>
    <w:rsid w:val="001E5818"/>
    <w:rsid w:val="001F0726"/>
    <w:rsid w:val="001F40E4"/>
    <w:rsid w:val="001F51BF"/>
    <w:rsid w:val="001F7486"/>
    <w:rsid w:val="00202564"/>
    <w:rsid w:val="002038D4"/>
    <w:rsid w:val="00203AEF"/>
    <w:rsid w:val="00204643"/>
    <w:rsid w:val="00205CD1"/>
    <w:rsid w:val="00206789"/>
    <w:rsid w:val="0021384E"/>
    <w:rsid w:val="00217780"/>
    <w:rsid w:val="00217BFE"/>
    <w:rsid w:val="00217DF4"/>
    <w:rsid w:val="002206BA"/>
    <w:rsid w:val="00224BED"/>
    <w:rsid w:val="002310EA"/>
    <w:rsid w:val="002337CE"/>
    <w:rsid w:val="00234613"/>
    <w:rsid w:val="002357E4"/>
    <w:rsid w:val="00236672"/>
    <w:rsid w:val="00236973"/>
    <w:rsid w:val="00237070"/>
    <w:rsid w:val="002373DC"/>
    <w:rsid w:val="0023778C"/>
    <w:rsid w:val="00240096"/>
    <w:rsid w:val="00241C01"/>
    <w:rsid w:val="00242A82"/>
    <w:rsid w:val="00252741"/>
    <w:rsid w:val="00252899"/>
    <w:rsid w:val="00255811"/>
    <w:rsid w:val="00256BCF"/>
    <w:rsid w:val="00260420"/>
    <w:rsid w:val="0026159F"/>
    <w:rsid w:val="002623FC"/>
    <w:rsid w:val="002637C7"/>
    <w:rsid w:val="0026573A"/>
    <w:rsid w:val="00267266"/>
    <w:rsid w:val="002710AD"/>
    <w:rsid w:val="00272477"/>
    <w:rsid w:val="00275058"/>
    <w:rsid w:val="00275180"/>
    <w:rsid w:val="002822EF"/>
    <w:rsid w:val="0028539B"/>
    <w:rsid w:val="00286DB3"/>
    <w:rsid w:val="00290960"/>
    <w:rsid w:val="00291119"/>
    <w:rsid w:val="002913BB"/>
    <w:rsid w:val="00291FC1"/>
    <w:rsid w:val="00292AF8"/>
    <w:rsid w:val="002940A7"/>
    <w:rsid w:val="00294132"/>
    <w:rsid w:val="00296160"/>
    <w:rsid w:val="002A34B1"/>
    <w:rsid w:val="002A496A"/>
    <w:rsid w:val="002B12B3"/>
    <w:rsid w:val="002B7115"/>
    <w:rsid w:val="002C377E"/>
    <w:rsid w:val="002D08E8"/>
    <w:rsid w:val="002D2FB7"/>
    <w:rsid w:val="002D4B3B"/>
    <w:rsid w:val="002E0898"/>
    <w:rsid w:val="002E5484"/>
    <w:rsid w:val="002E6E4B"/>
    <w:rsid w:val="002F11BB"/>
    <w:rsid w:val="002F12EC"/>
    <w:rsid w:val="002F5352"/>
    <w:rsid w:val="002F5513"/>
    <w:rsid w:val="002F5D65"/>
    <w:rsid w:val="002F673A"/>
    <w:rsid w:val="002F75E0"/>
    <w:rsid w:val="00307E7B"/>
    <w:rsid w:val="00312114"/>
    <w:rsid w:val="003121BA"/>
    <w:rsid w:val="00314455"/>
    <w:rsid w:val="003150D3"/>
    <w:rsid w:val="0032201D"/>
    <w:rsid w:val="0032322E"/>
    <w:rsid w:val="0032359A"/>
    <w:rsid w:val="00324A46"/>
    <w:rsid w:val="00324BCB"/>
    <w:rsid w:val="00326EC8"/>
    <w:rsid w:val="00327011"/>
    <w:rsid w:val="003366E4"/>
    <w:rsid w:val="00336895"/>
    <w:rsid w:val="00336A66"/>
    <w:rsid w:val="0034250B"/>
    <w:rsid w:val="00343A2C"/>
    <w:rsid w:val="00344FEB"/>
    <w:rsid w:val="00345C9E"/>
    <w:rsid w:val="003474F9"/>
    <w:rsid w:val="00351454"/>
    <w:rsid w:val="00352537"/>
    <w:rsid w:val="003537F3"/>
    <w:rsid w:val="0036316D"/>
    <w:rsid w:val="00365CC5"/>
    <w:rsid w:val="00367816"/>
    <w:rsid w:val="00376EB2"/>
    <w:rsid w:val="00377B7F"/>
    <w:rsid w:val="00380772"/>
    <w:rsid w:val="00380D7C"/>
    <w:rsid w:val="00381EC7"/>
    <w:rsid w:val="00382AF9"/>
    <w:rsid w:val="00384C8A"/>
    <w:rsid w:val="00385AF1"/>
    <w:rsid w:val="00386C4A"/>
    <w:rsid w:val="00391719"/>
    <w:rsid w:val="00393ACD"/>
    <w:rsid w:val="003A1656"/>
    <w:rsid w:val="003A6BBC"/>
    <w:rsid w:val="003B0B86"/>
    <w:rsid w:val="003B22FB"/>
    <w:rsid w:val="003B2C41"/>
    <w:rsid w:val="003C3C59"/>
    <w:rsid w:val="003D2E0D"/>
    <w:rsid w:val="003D3737"/>
    <w:rsid w:val="003D6D47"/>
    <w:rsid w:val="003E0DEE"/>
    <w:rsid w:val="003E7135"/>
    <w:rsid w:val="003E7532"/>
    <w:rsid w:val="003F02A2"/>
    <w:rsid w:val="003F1150"/>
    <w:rsid w:val="004009E8"/>
    <w:rsid w:val="00404887"/>
    <w:rsid w:val="004120F1"/>
    <w:rsid w:val="00415B3C"/>
    <w:rsid w:val="0041608E"/>
    <w:rsid w:val="004171BD"/>
    <w:rsid w:val="00417783"/>
    <w:rsid w:val="00417AF0"/>
    <w:rsid w:val="004239F5"/>
    <w:rsid w:val="00425DA7"/>
    <w:rsid w:val="0042755A"/>
    <w:rsid w:val="0042761B"/>
    <w:rsid w:val="00427C89"/>
    <w:rsid w:val="004329C3"/>
    <w:rsid w:val="00435574"/>
    <w:rsid w:val="00440A4E"/>
    <w:rsid w:val="00440C38"/>
    <w:rsid w:val="0044159C"/>
    <w:rsid w:val="00446A33"/>
    <w:rsid w:val="0044702D"/>
    <w:rsid w:val="00451405"/>
    <w:rsid w:val="0045237B"/>
    <w:rsid w:val="00452DAE"/>
    <w:rsid w:val="00462455"/>
    <w:rsid w:val="004630C2"/>
    <w:rsid w:val="00467994"/>
    <w:rsid w:val="00470BCF"/>
    <w:rsid w:val="00470C2E"/>
    <w:rsid w:val="00471479"/>
    <w:rsid w:val="00472E2E"/>
    <w:rsid w:val="00473992"/>
    <w:rsid w:val="00475ED7"/>
    <w:rsid w:val="0048086F"/>
    <w:rsid w:val="00481219"/>
    <w:rsid w:val="00481E9F"/>
    <w:rsid w:val="004834AB"/>
    <w:rsid w:val="00492F98"/>
    <w:rsid w:val="004947D8"/>
    <w:rsid w:val="00495682"/>
    <w:rsid w:val="004A065E"/>
    <w:rsid w:val="004A0A17"/>
    <w:rsid w:val="004A1CD1"/>
    <w:rsid w:val="004A3547"/>
    <w:rsid w:val="004A6743"/>
    <w:rsid w:val="004B1CB4"/>
    <w:rsid w:val="004B1DC5"/>
    <w:rsid w:val="004B7B9A"/>
    <w:rsid w:val="004C3D62"/>
    <w:rsid w:val="004C5598"/>
    <w:rsid w:val="004C7D45"/>
    <w:rsid w:val="004D079E"/>
    <w:rsid w:val="004D14F2"/>
    <w:rsid w:val="004D2E13"/>
    <w:rsid w:val="004D3C49"/>
    <w:rsid w:val="004D4CF2"/>
    <w:rsid w:val="004E156B"/>
    <w:rsid w:val="004E442D"/>
    <w:rsid w:val="004E4DE2"/>
    <w:rsid w:val="004E5A29"/>
    <w:rsid w:val="004E73F2"/>
    <w:rsid w:val="004F00B3"/>
    <w:rsid w:val="004F0895"/>
    <w:rsid w:val="004F19E0"/>
    <w:rsid w:val="004F1B98"/>
    <w:rsid w:val="004F469A"/>
    <w:rsid w:val="004F7852"/>
    <w:rsid w:val="00507B5E"/>
    <w:rsid w:val="00515512"/>
    <w:rsid w:val="00517FBF"/>
    <w:rsid w:val="005212E7"/>
    <w:rsid w:val="00521736"/>
    <w:rsid w:val="00521B38"/>
    <w:rsid w:val="00525A61"/>
    <w:rsid w:val="0052718C"/>
    <w:rsid w:val="00531A2E"/>
    <w:rsid w:val="005322F9"/>
    <w:rsid w:val="0053582A"/>
    <w:rsid w:val="00535B9B"/>
    <w:rsid w:val="005420A7"/>
    <w:rsid w:val="005435F0"/>
    <w:rsid w:val="0054449A"/>
    <w:rsid w:val="005451AB"/>
    <w:rsid w:val="0055340E"/>
    <w:rsid w:val="00554044"/>
    <w:rsid w:val="00554ADA"/>
    <w:rsid w:val="00554B22"/>
    <w:rsid w:val="00554F46"/>
    <w:rsid w:val="005563AA"/>
    <w:rsid w:val="00557346"/>
    <w:rsid w:val="005645A0"/>
    <w:rsid w:val="005670C7"/>
    <w:rsid w:val="0057002F"/>
    <w:rsid w:val="00570F29"/>
    <w:rsid w:val="005710CD"/>
    <w:rsid w:val="00571B1D"/>
    <w:rsid w:val="0057256E"/>
    <w:rsid w:val="00573B44"/>
    <w:rsid w:val="0057474A"/>
    <w:rsid w:val="005804D3"/>
    <w:rsid w:val="00582879"/>
    <w:rsid w:val="00582E25"/>
    <w:rsid w:val="00583308"/>
    <w:rsid w:val="00593C86"/>
    <w:rsid w:val="0059411F"/>
    <w:rsid w:val="005945BA"/>
    <w:rsid w:val="005A065D"/>
    <w:rsid w:val="005A36BE"/>
    <w:rsid w:val="005A7687"/>
    <w:rsid w:val="005A7AEB"/>
    <w:rsid w:val="005B05A8"/>
    <w:rsid w:val="005B1772"/>
    <w:rsid w:val="005B2108"/>
    <w:rsid w:val="005B4AE3"/>
    <w:rsid w:val="005B70B3"/>
    <w:rsid w:val="005C0B42"/>
    <w:rsid w:val="005C5084"/>
    <w:rsid w:val="005C5987"/>
    <w:rsid w:val="005C78C2"/>
    <w:rsid w:val="005D5EFD"/>
    <w:rsid w:val="005D6FCF"/>
    <w:rsid w:val="005D727A"/>
    <w:rsid w:val="005E0A5C"/>
    <w:rsid w:val="005E2108"/>
    <w:rsid w:val="005E2B59"/>
    <w:rsid w:val="005E2BD4"/>
    <w:rsid w:val="005F3131"/>
    <w:rsid w:val="005F4125"/>
    <w:rsid w:val="005F5161"/>
    <w:rsid w:val="005F698D"/>
    <w:rsid w:val="00600DB6"/>
    <w:rsid w:val="00602B79"/>
    <w:rsid w:val="006034A5"/>
    <w:rsid w:val="00603FAE"/>
    <w:rsid w:val="00604DED"/>
    <w:rsid w:val="00606359"/>
    <w:rsid w:val="006075FF"/>
    <w:rsid w:val="00607A09"/>
    <w:rsid w:val="00610577"/>
    <w:rsid w:val="00610FB5"/>
    <w:rsid w:val="006117B4"/>
    <w:rsid w:val="00613EDA"/>
    <w:rsid w:val="00614BB2"/>
    <w:rsid w:val="0062098F"/>
    <w:rsid w:val="00621E2C"/>
    <w:rsid w:val="00622500"/>
    <w:rsid w:val="00622897"/>
    <w:rsid w:val="006279C3"/>
    <w:rsid w:val="00630B92"/>
    <w:rsid w:val="00632825"/>
    <w:rsid w:val="00635C71"/>
    <w:rsid w:val="00637299"/>
    <w:rsid w:val="00641B8B"/>
    <w:rsid w:val="006437A4"/>
    <w:rsid w:val="00644C65"/>
    <w:rsid w:val="006512F7"/>
    <w:rsid w:val="00652949"/>
    <w:rsid w:val="00654A5E"/>
    <w:rsid w:val="006578D8"/>
    <w:rsid w:val="00670EA5"/>
    <w:rsid w:val="00676048"/>
    <w:rsid w:val="006767FA"/>
    <w:rsid w:val="006835E3"/>
    <w:rsid w:val="00683C14"/>
    <w:rsid w:val="006852DC"/>
    <w:rsid w:val="00691F16"/>
    <w:rsid w:val="00693D49"/>
    <w:rsid w:val="006965B6"/>
    <w:rsid w:val="006A18B1"/>
    <w:rsid w:val="006A231F"/>
    <w:rsid w:val="006B0BA0"/>
    <w:rsid w:val="006B1CC1"/>
    <w:rsid w:val="006B202D"/>
    <w:rsid w:val="006B3ADB"/>
    <w:rsid w:val="006C2E5D"/>
    <w:rsid w:val="006C3F56"/>
    <w:rsid w:val="006C55F7"/>
    <w:rsid w:val="006D55C8"/>
    <w:rsid w:val="006D6490"/>
    <w:rsid w:val="006D7A6B"/>
    <w:rsid w:val="006D7F23"/>
    <w:rsid w:val="006D7F8C"/>
    <w:rsid w:val="006E1C2B"/>
    <w:rsid w:val="006E3009"/>
    <w:rsid w:val="006F0C65"/>
    <w:rsid w:val="006F2D7C"/>
    <w:rsid w:val="006F34FA"/>
    <w:rsid w:val="00703830"/>
    <w:rsid w:val="007039B1"/>
    <w:rsid w:val="00704606"/>
    <w:rsid w:val="00704933"/>
    <w:rsid w:val="007102FF"/>
    <w:rsid w:val="00710858"/>
    <w:rsid w:val="00710B34"/>
    <w:rsid w:val="00712AFD"/>
    <w:rsid w:val="00712D9E"/>
    <w:rsid w:val="00716CA3"/>
    <w:rsid w:val="00727D77"/>
    <w:rsid w:val="007307D8"/>
    <w:rsid w:val="0073104F"/>
    <w:rsid w:val="007317B2"/>
    <w:rsid w:val="00731F71"/>
    <w:rsid w:val="00732918"/>
    <w:rsid w:val="00737280"/>
    <w:rsid w:val="00737A09"/>
    <w:rsid w:val="00742203"/>
    <w:rsid w:val="00743F56"/>
    <w:rsid w:val="007455EB"/>
    <w:rsid w:val="00746C32"/>
    <w:rsid w:val="00746D9E"/>
    <w:rsid w:val="0074736B"/>
    <w:rsid w:val="007476D5"/>
    <w:rsid w:val="00752860"/>
    <w:rsid w:val="00752D40"/>
    <w:rsid w:val="00753318"/>
    <w:rsid w:val="00753C44"/>
    <w:rsid w:val="00754513"/>
    <w:rsid w:val="0075489C"/>
    <w:rsid w:val="00754945"/>
    <w:rsid w:val="007554D9"/>
    <w:rsid w:val="00773110"/>
    <w:rsid w:val="00776984"/>
    <w:rsid w:val="00777B87"/>
    <w:rsid w:val="00780624"/>
    <w:rsid w:val="00780D96"/>
    <w:rsid w:val="00781BAF"/>
    <w:rsid w:val="0078257C"/>
    <w:rsid w:val="00785D72"/>
    <w:rsid w:val="00786DC9"/>
    <w:rsid w:val="007905B8"/>
    <w:rsid w:val="00791F99"/>
    <w:rsid w:val="00794453"/>
    <w:rsid w:val="00795050"/>
    <w:rsid w:val="00796125"/>
    <w:rsid w:val="007A25AA"/>
    <w:rsid w:val="007A3BEC"/>
    <w:rsid w:val="007A5127"/>
    <w:rsid w:val="007A6ABF"/>
    <w:rsid w:val="007B24A0"/>
    <w:rsid w:val="007B4406"/>
    <w:rsid w:val="007B6AE1"/>
    <w:rsid w:val="007C00F1"/>
    <w:rsid w:val="007C323F"/>
    <w:rsid w:val="007C644A"/>
    <w:rsid w:val="007C7641"/>
    <w:rsid w:val="007D06A0"/>
    <w:rsid w:val="007D06D7"/>
    <w:rsid w:val="007D18D4"/>
    <w:rsid w:val="007D5E1B"/>
    <w:rsid w:val="007E3F55"/>
    <w:rsid w:val="007E5937"/>
    <w:rsid w:val="007E7787"/>
    <w:rsid w:val="007E79C4"/>
    <w:rsid w:val="007F0DA4"/>
    <w:rsid w:val="007F1953"/>
    <w:rsid w:val="007F38C0"/>
    <w:rsid w:val="007F5943"/>
    <w:rsid w:val="007F61F6"/>
    <w:rsid w:val="007F7C0C"/>
    <w:rsid w:val="007F7D25"/>
    <w:rsid w:val="0080246F"/>
    <w:rsid w:val="00804010"/>
    <w:rsid w:val="008115D5"/>
    <w:rsid w:val="00811CB5"/>
    <w:rsid w:val="008132BE"/>
    <w:rsid w:val="008150B3"/>
    <w:rsid w:val="00817259"/>
    <w:rsid w:val="00817FD2"/>
    <w:rsid w:val="00820163"/>
    <w:rsid w:val="008219AD"/>
    <w:rsid w:val="00823C6A"/>
    <w:rsid w:val="008244D7"/>
    <w:rsid w:val="008261AE"/>
    <w:rsid w:val="008262E1"/>
    <w:rsid w:val="008274E0"/>
    <w:rsid w:val="00827782"/>
    <w:rsid w:val="00831302"/>
    <w:rsid w:val="00831B0A"/>
    <w:rsid w:val="00831F6A"/>
    <w:rsid w:val="00833AD0"/>
    <w:rsid w:val="0083683E"/>
    <w:rsid w:val="00837BEE"/>
    <w:rsid w:val="0084035C"/>
    <w:rsid w:val="008471ED"/>
    <w:rsid w:val="00850590"/>
    <w:rsid w:val="00852813"/>
    <w:rsid w:val="0085764E"/>
    <w:rsid w:val="00860EF8"/>
    <w:rsid w:val="00862A07"/>
    <w:rsid w:val="00862EF7"/>
    <w:rsid w:val="00863F5A"/>
    <w:rsid w:val="00863F71"/>
    <w:rsid w:val="0086601B"/>
    <w:rsid w:val="008718AF"/>
    <w:rsid w:val="00871F6C"/>
    <w:rsid w:val="008724FA"/>
    <w:rsid w:val="0087698D"/>
    <w:rsid w:val="008774A5"/>
    <w:rsid w:val="008857D9"/>
    <w:rsid w:val="008946D2"/>
    <w:rsid w:val="00895315"/>
    <w:rsid w:val="008955D7"/>
    <w:rsid w:val="00897A3C"/>
    <w:rsid w:val="00897C3B"/>
    <w:rsid w:val="00897D4C"/>
    <w:rsid w:val="008A04F0"/>
    <w:rsid w:val="008A0E21"/>
    <w:rsid w:val="008A2731"/>
    <w:rsid w:val="008A2893"/>
    <w:rsid w:val="008B1A3A"/>
    <w:rsid w:val="008B3D8E"/>
    <w:rsid w:val="008B5FA6"/>
    <w:rsid w:val="008C3397"/>
    <w:rsid w:val="008C43A5"/>
    <w:rsid w:val="008C44AC"/>
    <w:rsid w:val="008C4521"/>
    <w:rsid w:val="008C6DD3"/>
    <w:rsid w:val="008C729C"/>
    <w:rsid w:val="008D71B2"/>
    <w:rsid w:val="008E3159"/>
    <w:rsid w:val="008E3D45"/>
    <w:rsid w:val="008E46C5"/>
    <w:rsid w:val="008E69D3"/>
    <w:rsid w:val="008E7FBD"/>
    <w:rsid w:val="008F0DBC"/>
    <w:rsid w:val="008F10E1"/>
    <w:rsid w:val="008F1426"/>
    <w:rsid w:val="008F5251"/>
    <w:rsid w:val="00901A03"/>
    <w:rsid w:val="0091134F"/>
    <w:rsid w:val="0091179D"/>
    <w:rsid w:val="00912808"/>
    <w:rsid w:val="009158DE"/>
    <w:rsid w:val="00917D85"/>
    <w:rsid w:val="00923136"/>
    <w:rsid w:val="00923CC2"/>
    <w:rsid w:val="00924A9D"/>
    <w:rsid w:val="00924D97"/>
    <w:rsid w:val="009319BF"/>
    <w:rsid w:val="00935E45"/>
    <w:rsid w:val="00936D3E"/>
    <w:rsid w:val="009404E2"/>
    <w:rsid w:val="009426D0"/>
    <w:rsid w:val="00943018"/>
    <w:rsid w:val="00944BD1"/>
    <w:rsid w:val="009472C3"/>
    <w:rsid w:val="00950D70"/>
    <w:rsid w:val="00956B6D"/>
    <w:rsid w:val="009572BD"/>
    <w:rsid w:val="009603A9"/>
    <w:rsid w:val="00964069"/>
    <w:rsid w:val="00965993"/>
    <w:rsid w:val="00970453"/>
    <w:rsid w:val="00971DE8"/>
    <w:rsid w:val="009805CE"/>
    <w:rsid w:val="009848C6"/>
    <w:rsid w:val="009856C5"/>
    <w:rsid w:val="00986226"/>
    <w:rsid w:val="0098723E"/>
    <w:rsid w:val="00990CE6"/>
    <w:rsid w:val="00991A37"/>
    <w:rsid w:val="009921A7"/>
    <w:rsid w:val="009933AB"/>
    <w:rsid w:val="00996355"/>
    <w:rsid w:val="009B1C0E"/>
    <w:rsid w:val="009B29E0"/>
    <w:rsid w:val="009B32AA"/>
    <w:rsid w:val="009B4DFC"/>
    <w:rsid w:val="009B568A"/>
    <w:rsid w:val="009B58E0"/>
    <w:rsid w:val="009C1C0F"/>
    <w:rsid w:val="009C5D45"/>
    <w:rsid w:val="009D3257"/>
    <w:rsid w:val="009D44A7"/>
    <w:rsid w:val="009D4646"/>
    <w:rsid w:val="009D5244"/>
    <w:rsid w:val="009D69AF"/>
    <w:rsid w:val="009D7057"/>
    <w:rsid w:val="009D7380"/>
    <w:rsid w:val="009D7A05"/>
    <w:rsid w:val="009E2CD1"/>
    <w:rsid w:val="009E3EE9"/>
    <w:rsid w:val="009E53E9"/>
    <w:rsid w:val="009E7991"/>
    <w:rsid w:val="009F1F0C"/>
    <w:rsid w:val="009F383D"/>
    <w:rsid w:val="00A01A89"/>
    <w:rsid w:val="00A03812"/>
    <w:rsid w:val="00A03BD3"/>
    <w:rsid w:val="00A059C0"/>
    <w:rsid w:val="00A103E9"/>
    <w:rsid w:val="00A10416"/>
    <w:rsid w:val="00A108EC"/>
    <w:rsid w:val="00A12453"/>
    <w:rsid w:val="00A1327C"/>
    <w:rsid w:val="00A22F05"/>
    <w:rsid w:val="00A24EB5"/>
    <w:rsid w:val="00A30491"/>
    <w:rsid w:val="00A33F13"/>
    <w:rsid w:val="00A35921"/>
    <w:rsid w:val="00A37999"/>
    <w:rsid w:val="00A406A2"/>
    <w:rsid w:val="00A41419"/>
    <w:rsid w:val="00A41E90"/>
    <w:rsid w:val="00A52669"/>
    <w:rsid w:val="00A53C66"/>
    <w:rsid w:val="00A54D0A"/>
    <w:rsid w:val="00A56417"/>
    <w:rsid w:val="00A57E9A"/>
    <w:rsid w:val="00A653A7"/>
    <w:rsid w:val="00A65D60"/>
    <w:rsid w:val="00A76C12"/>
    <w:rsid w:val="00A825EE"/>
    <w:rsid w:val="00A84BDC"/>
    <w:rsid w:val="00A85AA5"/>
    <w:rsid w:val="00A86CD1"/>
    <w:rsid w:val="00A90368"/>
    <w:rsid w:val="00A934E9"/>
    <w:rsid w:val="00A93B5D"/>
    <w:rsid w:val="00A96577"/>
    <w:rsid w:val="00A96E82"/>
    <w:rsid w:val="00AA1C1F"/>
    <w:rsid w:val="00AA2598"/>
    <w:rsid w:val="00AA2676"/>
    <w:rsid w:val="00AA545A"/>
    <w:rsid w:val="00AA5F80"/>
    <w:rsid w:val="00AA7070"/>
    <w:rsid w:val="00AA77AF"/>
    <w:rsid w:val="00AA797D"/>
    <w:rsid w:val="00AB0F60"/>
    <w:rsid w:val="00AB2FA1"/>
    <w:rsid w:val="00AB7251"/>
    <w:rsid w:val="00AC1B77"/>
    <w:rsid w:val="00AC2347"/>
    <w:rsid w:val="00AD2A1E"/>
    <w:rsid w:val="00AD4010"/>
    <w:rsid w:val="00AD43FE"/>
    <w:rsid w:val="00AD6F4E"/>
    <w:rsid w:val="00AD77B5"/>
    <w:rsid w:val="00AE121D"/>
    <w:rsid w:val="00AE2241"/>
    <w:rsid w:val="00AE4C1A"/>
    <w:rsid w:val="00AE4D1E"/>
    <w:rsid w:val="00AE631B"/>
    <w:rsid w:val="00AE7A51"/>
    <w:rsid w:val="00AF273E"/>
    <w:rsid w:val="00AF3B32"/>
    <w:rsid w:val="00AF43A4"/>
    <w:rsid w:val="00B012A3"/>
    <w:rsid w:val="00B04ABB"/>
    <w:rsid w:val="00B05D1C"/>
    <w:rsid w:val="00B066CB"/>
    <w:rsid w:val="00B071F2"/>
    <w:rsid w:val="00B079D3"/>
    <w:rsid w:val="00B07AFC"/>
    <w:rsid w:val="00B07F55"/>
    <w:rsid w:val="00B11825"/>
    <w:rsid w:val="00B12825"/>
    <w:rsid w:val="00B128EB"/>
    <w:rsid w:val="00B12966"/>
    <w:rsid w:val="00B12A86"/>
    <w:rsid w:val="00B12AB3"/>
    <w:rsid w:val="00B1355E"/>
    <w:rsid w:val="00B147EB"/>
    <w:rsid w:val="00B17A28"/>
    <w:rsid w:val="00B214F2"/>
    <w:rsid w:val="00B2202C"/>
    <w:rsid w:val="00B23199"/>
    <w:rsid w:val="00B32A9D"/>
    <w:rsid w:val="00B335D6"/>
    <w:rsid w:val="00B370E1"/>
    <w:rsid w:val="00B40227"/>
    <w:rsid w:val="00B42473"/>
    <w:rsid w:val="00B460E7"/>
    <w:rsid w:val="00B51CA1"/>
    <w:rsid w:val="00B56B5A"/>
    <w:rsid w:val="00B56C49"/>
    <w:rsid w:val="00B60428"/>
    <w:rsid w:val="00B641D8"/>
    <w:rsid w:val="00B64DEE"/>
    <w:rsid w:val="00B653CD"/>
    <w:rsid w:val="00B672E4"/>
    <w:rsid w:val="00B6761F"/>
    <w:rsid w:val="00B67B32"/>
    <w:rsid w:val="00B72AA8"/>
    <w:rsid w:val="00B7308E"/>
    <w:rsid w:val="00B731C0"/>
    <w:rsid w:val="00B73E6A"/>
    <w:rsid w:val="00B76FF6"/>
    <w:rsid w:val="00B80A1F"/>
    <w:rsid w:val="00B80D4D"/>
    <w:rsid w:val="00B80F41"/>
    <w:rsid w:val="00B822CF"/>
    <w:rsid w:val="00B8548B"/>
    <w:rsid w:val="00B86588"/>
    <w:rsid w:val="00B92042"/>
    <w:rsid w:val="00B92DBF"/>
    <w:rsid w:val="00B93208"/>
    <w:rsid w:val="00B939E3"/>
    <w:rsid w:val="00B94152"/>
    <w:rsid w:val="00B94BA1"/>
    <w:rsid w:val="00B961F7"/>
    <w:rsid w:val="00B9641B"/>
    <w:rsid w:val="00BA32A7"/>
    <w:rsid w:val="00BA442D"/>
    <w:rsid w:val="00BA63EE"/>
    <w:rsid w:val="00BD03DA"/>
    <w:rsid w:val="00BD09AA"/>
    <w:rsid w:val="00BD2A7F"/>
    <w:rsid w:val="00BD2AC1"/>
    <w:rsid w:val="00BD2CCA"/>
    <w:rsid w:val="00BD5CF6"/>
    <w:rsid w:val="00BE02EE"/>
    <w:rsid w:val="00BE041D"/>
    <w:rsid w:val="00BE27F1"/>
    <w:rsid w:val="00BE44B5"/>
    <w:rsid w:val="00BF2826"/>
    <w:rsid w:val="00BF2EAB"/>
    <w:rsid w:val="00BF3B09"/>
    <w:rsid w:val="00BF5F78"/>
    <w:rsid w:val="00C0011E"/>
    <w:rsid w:val="00C0180C"/>
    <w:rsid w:val="00C01EE5"/>
    <w:rsid w:val="00C020D8"/>
    <w:rsid w:val="00C052C5"/>
    <w:rsid w:val="00C0582F"/>
    <w:rsid w:val="00C0667F"/>
    <w:rsid w:val="00C133EF"/>
    <w:rsid w:val="00C1370F"/>
    <w:rsid w:val="00C14065"/>
    <w:rsid w:val="00C14767"/>
    <w:rsid w:val="00C14EC6"/>
    <w:rsid w:val="00C15274"/>
    <w:rsid w:val="00C16B6B"/>
    <w:rsid w:val="00C1726B"/>
    <w:rsid w:val="00C17B98"/>
    <w:rsid w:val="00C20A34"/>
    <w:rsid w:val="00C21145"/>
    <w:rsid w:val="00C211F8"/>
    <w:rsid w:val="00C22896"/>
    <w:rsid w:val="00C26655"/>
    <w:rsid w:val="00C32D47"/>
    <w:rsid w:val="00C358D7"/>
    <w:rsid w:val="00C40110"/>
    <w:rsid w:val="00C4560C"/>
    <w:rsid w:val="00C45B1C"/>
    <w:rsid w:val="00C45DBC"/>
    <w:rsid w:val="00C46B91"/>
    <w:rsid w:val="00C47961"/>
    <w:rsid w:val="00C5222A"/>
    <w:rsid w:val="00C5333E"/>
    <w:rsid w:val="00C54EF2"/>
    <w:rsid w:val="00C601A8"/>
    <w:rsid w:val="00C63F59"/>
    <w:rsid w:val="00C64576"/>
    <w:rsid w:val="00C67630"/>
    <w:rsid w:val="00C67ACF"/>
    <w:rsid w:val="00C67D21"/>
    <w:rsid w:val="00C73055"/>
    <w:rsid w:val="00C771E3"/>
    <w:rsid w:val="00C84828"/>
    <w:rsid w:val="00C8624A"/>
    <w:rsid w:val="00C92443"/>
    <w:rsid w:val="00C92DF1"/>
    <w:rsid w:val="00C93713"/>
    <w:rsid w:val="00C93ED4"/>
    <w:rsid w:val="00C948FA"/>
    <w:rsid w:val="00C958C1"/>
    <w:rsid w:val="00CA2DFD"/>
    <w:rsid w:val="00CA3DAF"/>
    <w:rsid w:val="00CA62E7"/>
    <w:rsid w:val="00CA77F0"/>
    <w:rsid w:val="00CB1D2A"/>
    <w:rsid w:val="00CB2D6E"/>
    <w:rsid w:val="00CB31FE"/>
    <w:rsid w:val="00CC6283"/>
    <w:rsid w:val="00CC68A1"/>
    <w:rsid w:val="00CC770A"/>
    <w:rsid w:val="00CD06F5"/>
    <w:rsid w:val="00CD2488"/>
    <w:rsid w:val="00CD2E01"/>
    <w:rsid w:val="00CD33F4"/>
    <w:rsid w:val="00CE2DFD"/>
    <w:rsid w:val="00CE3CA8"/>
    <w:rsid w:val="00CE74B2"/>
    <w:rsid w:val="00CE78AE"/>
    <w:rsid w:val="00CE7B23"/>
    <w:rsid w:val="00CF1008"/>
    <w:rsid w:val="00CF2B84"/>
    <w:rsid w:val="00CF40E8"/>
    <w:rsid w:val="00CF73BC"/>
    <w:rsid w:val="00CF779D"/>
    <w:rsid w:val="00CF7B9F"/>
    <w:rsid w:val="00CF7D95"/>
    <w:rsid w:val="00D01681"/>
    <w:rsid w:val="00D0227A"/>
    <w:rsid w:val="00D05605"/>
    <w:rsid w:val="00D10C3B"/>
    <w:rsid w:val="00D16E1E"/>
    <w:rsid w:val="00D2360F"/>
    <w:rsid w:val="00D25122"/>
    <w:rsid w:val="00D30DB5"/>
    <w:rsid w:val="00D32D30"/>
    <w:rsid w:val="00D35A48"/>
    <w:rsid w:val="00D400D7"/>
    <w:rsid w:val="00D419D2"/>
    <w:rsid w:val="00D4376C"/>
    <w:rsid w:val="00D45E4A"/>
    <w:rsid w:val="00D51565"/>
    <w:rsid w:val="00D57FF8"/>
    <w:rsid w:val="00D62786"/>
    <w:rsid w:val="00D722AF"/>
    <w:rsid w:val="00D7477B"/>
    <w:rsid w:val="00D74EAA"/>
    <w:rsid w:val="00D81B9F"/>
    <w:rsid w:val="00D8278E"/>
    <w:rsid w:val="00D82DBF"/>
    <w:rsid w:val="00D84C41"/>
    <w:rsid w:val="00D84CBA"/>
    <w:rsid w:val="00D85201"/>
    <w:rsid w:val="00D90429"/>
    <w:rsid w:val="00D926A6"/>
    <w:rsid w:val="00D9614D"/>
    <w:rsid w:val="00DA1038"/>
    <w:rsid w:val="00DA1E7E"/>
    <w:rsid w:val="00DA27DD"/>
    <w:rsid w:val="00DA5FB0"/>
    <w:rsid w:val="00DA6253"/>
    <w:rsid w:val="00DA6D78"/>
    <w:rsid w:val="00DA7298"/>
    <w:rsid w:val="00DA72DB"/>
    <w:rsid w:val="00DB12CD"/>
    <w:rsid w:val="00DB257D"/>
    <w:rsid w:val="00DB2D7C"/>
    <w:rsid w:val="00DB3290"/>
    <w:rsid w:val="00DB33BB"/>
    <w:rsid w:val="00DB3800"/>
    <w:rsid w:val="00DB4A5D"/>
    <w:rsid w:val="00DC125B"/>
    <w:rsid w:val="00DC58EE"/>
    <w:rsid w:val="00DC7F46"/>
    <w:rsid w:val="00DD2A36"/>
    <w:rsid w:val="00DD2D00"/>
    <w:rsid w:val="00DD390E"/>
    <w:rsid w:val="00DD4742"/>
    <w:rsid w:val="00DD5DE1"/>
    <w:rsid w:val="00DD6D14"/>
    <w:rsid w:val="00DF0063"/>
    <w:rsid w:val="00DF5A43"/>
    <w:rsid w:val="00DF709A"/>
    <w:rsid w:val="00DF7162"/>
    <w:rsid w:val="00DF7294"/>
    <w:rsid w:val="00E01205"/>
    <w:rsid w:val="00E04052"/>
    <w:rsid w:val="00E054C7"/>
    <w:rsid w:val="00E06B03"/>
    <w:rsid w:val="00E07D0A"/>
    <w:rsid w:val="00E145D9"/>
    <w:rsid w:val="00E15BC9"/>
    <w:rsid w:val="00E24DE5"/>
    <w:rsid w:val="00E24EA7"/>
    <w:rsid w:val="00E25373"/>
    <w:rsid w:val="00E269C7"/>
    <w:rsid w:val="00E27257"/>
    <w:rsid w:val="00E33040"/>
    <w:rsid w:val="00E36FB4"/>
    <w:rsid w:val="00E41819"/>
    <w:rsid w:val="00E452B5"/>
    <w:rsid w:val="00E522AC"/>
    <w:rsid w:val="00E52AB6"/>
    <w:rsid w:val="00E53B5A"/>
    <w:rsid w:val="00E542B6"/>
    <w:rsid w:val="00E55B6E"/>
    <w:rsid w:val="00E56F3B"/>
    <w:rsid w:val="00E60634"/>
    <w:rsid w:val="00E611BF"/>
    <w:rsid w:val="00E61B2A"/>
    <w:rsid w:val="00E65898"/>
    <w:rsid w:val="00E670ED"/>
    <w:rsid w:val="00E7328D"/>
    <w:rsid w:val="00E761A4"/>
    <w:rsid w:val="00E762BE"/>
    <w:rsid w:val="00E76962"/>
    <w:rsid w:val="00E80C55"/>
    <w:rsid w:val="00E84B4F"/>
    <w:rsid w:val="00E85A91"/>
    <w:rsid w:val="00E86AC3"/>
    <w:rsid w:val="00E870B2"/>
    <w:rsid w:val="00E87B96"/>
    <w:rsid w:val="00E93CA9"/>
    <w:rsid w:val="00E94A6A"/>
    <w:rsid w:val="00E954D5"/>
    <w:rsid w:val="00EA0CFB"/>
    <w:rsid w:val="00EA3FD0"/>
    <w:rsid w:val="00EA79B3"/>
    <w:rsid w:val="00EB16A5"/>
    <w:rsid w:val="00EB3427"/>
    <w:rsid w:val="00EB528F"/>
    <w:rsid w:val="00EB6FB5"/>
    <w:rsid w:val="00EB71ED"/>
    <w:rsid w:val="00EB7A58"/>
    <w:rsid w:val="00EC2F29"/>
    <w:rsid w:val="00EC464A"/>
    <w:rsid w:val="00EC540F"/>
    <w:rsid w:val="00EC6BC8"/>
    <w:rsid w:val="00ED05E4"/>
    <w:rsid w:val="00ED155A"/>
    <w:rsid w:val="00ED45D3"/>
    <w:rsid w:val="00ED51B4"/>
    <w:rsid w:val="00ED51D0"/>
    <w:rsid w:val="00ED74E4"/>
    <w:rsid w:val="00EE049D"/>
    <w:rsid w:val="00EE1796"/>
    <w:rsid w:val="00EE5D5F"/>
    <w:rsid w:val="00EF3A13"/>
    <w:rsid w:val="00EF636F"/>
    <w:rsid w:val="00EF70AE"/>
    <w:rsid w:val="00F13F57"/>
    <w:rsid w:val="00F16B7F"/>
    <w:rsid w:val="00F1704D"/>
    <w:rsid w:val="00F2206F"/>
    <w:rsid w:val="00F22BBD"/>
    <w:rsid w:val="00F27221"/>
    <w:rsid w:val="00F3041B"/>
    <w:rsid w:val="00F31C16"/>
    <w:rsid w:val="00F438B6"/>
    <w:rsid w:val="00F44C50"/>
    <w:rsid w:val="00F5173A"/>
    <w:rsid w:val="00F51F5B"/>
    <w:rsid w:val="00F61794"/>
    <w:rsid w:val="00F64A96"/>
    <w:rsid w:val="00F66CE0"/>
    <w:rsid w:val="00F6725B"/>
    <w:rsid w:val="00F67C97"/>
    <w:rsid w:val="00F72B51"/>
    <w:rsid w:val="00F742D4"/>
    <w:rsid w:val="00F76330"/>
    <w:rsid w:val="00F77EA1"/>
    <w:rsid w:val="00F915DA"/>
    <w:rsid w:val="00F947EF"/>
    <w:rsid w:val="00F94F52"/>
    <w:rsid w:val="00F9632B"/>
    <w:rsid w:val="00F96770"/>
    <w:rsid w:val="00FA39DE"/>
    <w:rsid w:val="00FA5A18"/>
    <w:rsid w:val="00FA7D5E"/>
    <w:rsid w:val="00FB2841"/>
    <w:rsid w:val="00FB335B"/>
    <w:rsid w:val="00FB3481"/>
    <w:rsid w:val="00FB4FAC"/>
    <w:rsid w:val="00FB7A32"/>
    <w:rsid w:val="00FC1D5A"/>
    <w:rsid w:val="00FC6218"/>
    <w:rsid w:val="00FD394D"/>
    <w:rsid w:val="00FD588E"/>
    <w:rsid w:val="00FE0F4E"/>
    <w:rsid w:val="00FE4FAC"/>
    <w:rsid w:val="00FE64FB"/>
    <w:rsid w:val="00FE7B61"/>
    <w:rsid w:val="00FF132C"/>
    <w:rsid w:val="00FF7AB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1E5818"/>
    <w:pPr>
      <w:suppressAutoHyphens/>
    </w:pPr>
    <w:rPr>
      <w:kern w:val="1"/>
      <w:sz w:val="24"/>
      <w:szCs w:val="24"/>
      <w:lang w:eastAsia="ar-SA"/>
    </w:rPr>
  </w:style>
  <w:style w:type="paragraph" w:styleId="Virsraksts3">
    <w:name w:val="heading 3"/>
    <w:basedOn w:val="Parastais"/>
    <w:next w:val="Pamatteksts"/>
    <w:qFormat/>
    <w:rsid w:val="001E5818"/>
    <w:pPr>
      <w:numPr>
        <w:ilvl w:val="2"/>
        <w:numId w:val="1"/>
      </w:numPr>
      <w:spacing w:before="280" w:after="280"/>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2z0">
    <w:name w:val="WW8Num2z0"/>
    <w:rsid w:val="001E5818"/>
    <w:rPr>
      <w:rFonts w:ascii="Symbol" w:hAnsi="Symbol" w:cs="OpenSymbol"/>
    </w:rPr>
  </w:style>
  <w:style w:type="character" w:customStyle="1" w:styleId="WW-DefaultParagraphFont">
    <w:name w:val="WW-Default Paragraph Font"/>
    <w:rsid w:val="001E5818"/>
  </w:style>
  <w:style w:type="character" w:customStyle="1" w:styleId="Absatz-Standardschriftart">
    <w:name w:val="Absatz-Standardschriftart"/>
    <w:rsid w:val="001E5818"/>
  </w:style>
  <w:style w:type="character" w:customStyle="1" w:styleId="WW-DefaultParagraphFont1">
    <w:name w:val="WW-Default Paragraph Font1"/>
    <w:rsid w:val="001E5818"/>
  </w:style>
  <w:style w:type="character" w:customStyle="1" w:styleId="WW-Absatz-Standardschriftart">
    <w:name w:val="WW-Absatz-Standardschriftart"/>
    <w:rsid w:val="001E5818"/>
  </w:style>
  <w:style w:type="character" w:customStyle="1" w:styleId="WW-Absatz-Standardschriftart1">
    <w:name w:val="WW-Absatz-Standardschriftart1"/>
    <w:rsid w:val="001E5818"/>
  </w:style>
  <w:style w:type="character" w:customStyle="1" w:styleId="WW-Absatz-Standardschriftart11">
    <w:name w:val="WW-Absatz-Standardschriftart11"/>
    <w:rsid w:val="001E5818"/>
  </w:style>
  <w:style w:type="character" w:customStyle="1" w:styleId="WW-Absatz-Standardschriftart111">
    <w:name w:val="WW-Absatz-Standardschriftart111"/>
    <w:rsid w:val="001E5818"/>
  </w:style>
  <w:style w:type="character" w:customStyle="1" w:styleId="WW-Absatz-Standardschriftart1111">
    <w:name w:val="WW-Absatz-Standardschriftart1111"/>
    <w:rsid w:val="001E5818"/>
  </w:style>
  <w:style w:type="character" w:customStyle="1" w:styleId="WW-Absatz-Standardschriftart11111">
    <w:name w:val="WW-Absatz-Standardschriftart11111"/>
    <w:rsid w:val="001E5818"/>
  </w:style>
  <w:style w:type="character" w:customStyle="1" w:styleId="WW-DefaultParagraphFont11">
    <w:name w:val="WW-Default Paragraph Font11"/>
    <w:rsid w:val="001E5818"/>
  </w:style>
  <w:style w:type="character" w:customStyle="1" w:styleId="WW8Num1z0">
    <w:name w:val="WW8Num1z0"/>
    <w:rsid w:val="001E5818"/>
    <w:rPr>
      <w:rFonts w:ascii="Symbol" w:hAnsi="Symbol" w:cs="OpenSymbol"/>
    </w:rPr>
  </w:style>
  <w:style w:type="character" w:customStyle="1" w:styleId="WW8Num3z0">
    <w:name w:val="WW8Num3z0"/>
    <w:rsid w:val="001E5818"/>
    <w:rPr>
      <w:rFonts w:ascii="Times New Roman" w:eastAsia="Times New Roman" w:hAnsi="Times New Roman" w:cs="Times New Roman"/>
    </w:rPr>
  </w:style>
  <w:style w:type="character" w:customStyle="1" w:styleId="WW8Num3z1">
    <w:name w:val="WW8Num3z1"/>
    <w:rsid w:val="001E5818"/>
    <w:rPr>
      <w:rFonts w:ascii="Courier New" w:hAnsi="Courier New" w:cs="Courier New"/>
    </w:rPr>
  </w:style>
  <w:style w:type="character" w:customStyle="1" w:styleId="WW8Num3z2">
    <w:name w:val="WW8Num3z2"/>
    <w:rsid w:val="001E5818"/>
    <w:rPr>
      <w:rFonts w:ascii="Wingdings" w:hAnsi="Wingdings"/>
    </w:rPr>
  </w:style>
  <w:style w:type="character" w:customStyle="1" w:styleId="WW8Num3z3">
    <w:name w:val="WW8Num3z3"/>
    <w:rsid w:val="001E5818"/>
    <w:rPr>
      <w:rFonts w:ascii="Symbol" w:hAnsi="Symbol"/>
    </w:rPr>
  </w:style>
  <w:style w:type="character" w:customStyle="1" w:styleId="WW8Num4z0">
    <w:name w:val="WW8Num4z0"/>
    <w:rsid w:val="001E5818"/>
    <w:rPr>
      <w:rFonts w:ascii="Times New Roman" w:eastAsia="Times New Roman" w:hAnsi="Times New Roman" w:cs="Times New Roman"/>
    </w:rPr>
  </w:style>
  <w:style w:type="character" w:customStyle="1" w:styleId="WW8Num4z1">
    <w:name w:val="WW8Num4z1"/>
    <w:rsid w:val="001E5818"/>
    <w:rPr>
      <w:rFonts w:ascii="Times New Roman" w:hAnsi="Times New Roman" w:cs="Times New Roman"/>
    </w:rPr>
  </w:style>
  <w:style w:type="character" w:customStyle="1" w:styleId="WW8Num4z2">
    <w:name w:val="WW8Num4z2"/>
    <w:rsid w:val="001E5818"/>
    <w:rPr>
      <w:rFonts w:ascii="Wingdings" w:hAnsi="Wingdings"/>
    </w:rPr>
  </w:style>
  <w:style w:type="character" w:customStyle="1" w:styleId="WW8Num4z3">
    <w:name w:val="WW8Num4z3"/>
    <w:rsid w:val="001E5818"/>
    <w:rPr>
      <w:rFonts w:ascii="Symbol" w:hAnsi="Symbol"/>
    </w:rPr>
  </w:style>
  <w:style w:type="character" w:customStyle="1" w:styleId="WW8Num4z4">
    <w:name w:val="WW8Num4z4"/>
    <w:rsid w:val="001E5818"/>
    <w:rPr>
      <w:rFonts w:ascii="Courier New" w:hAnsi="Courier New" w:cs="Courier New"/>
    </w:rPr>
  </w:style>
  <w:style w:type="character" w:customStyle="1" w:styleId="WW-DefaultParagraphFont111">
    <w:name w:val="WW-Default Paragraph Font111"/>
    <w:rsid w:val="001E5818"/>
  </w:style>
  <w:style w:type="character" w:styleId="Hipersaite">
    <w:name w:val="Hyperlink"/>
    <w:rsid w:val="001E5818"/>
    <w:rPr>
      <w:color w:val="0000FF"/>
      <w:u w:val="single"/>
    </w:rPr>
  </w:style>
  <w:style w:type="character" w:styleId="Lappusesnumurs">
    <w:name w:val="page number"/>
    <w:basedOn w:val="WW-DefaultParagraphFont1"/>
    <w:rsid w:val="001E5818"/>
  </w:style>
  <w:style w:type="paragraph" w:customStyle="1" w:styleId="Heading">
    <w:name w:val="Heading"/>
    <w:basedOn w:val="Parastais"/>
    <w:next w:val="Pamatteksts"/>
    <w:rsid w:val="001E5818"/>
    <w:pPr>
      <w:keepNext/>
      <w:spacing w:before="240" w:after="120"/>
    </w:pPr>
    <w:rPr>
      <w:rFonts w:ascii="Arial" w:eastAsia="Lucida Sans Unicode" w:hAnsi="Arial" w:cs="Tahoma"/>
      <w:sz w:val="28"/>
      <w:szCs w:val="28"/>
    </w:rPr>
  </w:style>
  <w:style w:type="paragraph" w:styleId="Pamatteksts">
    <w:name w:val="Body Text"/>
    <w:basedOn w:val="Parastais"/>
    <w:rsid w:val="001E5818"/>
    <w:pPr>
      <w:spacing w:after="120"/>
    </w:pPr>
  </w:style>
  <w:style w:type="paragraph" w:styleId="Saraksts">
    <w:name w:val="List"/>
    <w:basedOn w:val="Pamatteksts"/>
    <w:rsid w:val="001E5818"/>
    <w:rPr>
      <w:rFonts w:cs="Tahoma"/>
    </w:rPr>
  </w:style>
  <w:style w:type="paragraph" w:styleId="Parakstszemobjekta">
    <w:name w:val="caption"/>
    <w:basedOn w:val="Parastais"/>
    <w:qFormat/>
    <w:rsid w:val="001E5818"/>
    <w:pPr>
      <w:suppressLineNumbers/>
      <w:spacing w:before="120" w:after="120"/>
    </w:pPr>
    <w:rPr>
      <w:rFonts w:cs="Tahoma"/>
      <w:i/>
      <w:iCs/>
    </w:rPr>
  </w:style>
  <w:style w:type="paragraph" w:customStyle="1" w:styleId="Index">
    <w:name w:val="Index"/>
    <w:basedOn w:val="Parastais"/>
    <w:rsid w:val="001E5818"/>
    <w:pPr>
      <w:suppressLineNumbers/>
    </w:pPr>
    <w:rPr>
      <w:rFonts w:cs="Tahoma"/>
    </w:rPr>
  </w:style>
  <w:style w:type="paragraph" w:customStyle="1" w:styleId="naiskr">
    <w:name w:val="naiskr"/>
    <w:basedOn w:val="Parastais"/>
    <w:rsid w:val="001E5818"/>
    <w:pPr>
      <w:spacing w:before="280" w:after="280"/>
    </w:pPr>
  </w:style>
  <w:style w:type="paragraph" w:styleId="ParastaisWeb">
    <w:name w:val="Normal (Web)"/>
    <w:basedOn w:val="Parastais"/>
    <w:uiPriority w:val="99"/>
    <w:rsid w:val="001E5818"/>
    <w:pPr>
      <w:spacing w:before="280" w:after="119"/>
    </w:p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Parastais"/>
    <w:rsid w:val="001E5818"/>
    <w:pPr>
      <w:spacing w:after="160" w:line="240" w:lineRule="exact"/>
    </w:pPr>
    <w:rPr>
      <w:rFonts w:ascii="Tahoma" w:hAnsi="Tahoma"/>
      <w:sz w:val="20"/>
      <w:szCs w:val="20"/>
      <w:lang w:val="en-US"/>
    </w:rPr>
  </w:style>
  <w:style w:type="paragraph" w:styleId="Balonteksts">
    <w:name w:val="Balloon Text"/>
    <w:basedOn w:val="Parastais"/>
    <w:rsid w:val="001E5818"/>
    <w:rPr>
      <w:rFonts w:ascii="Tahoma" w:hAnsi="Tahoma" w:cs="Tahoma"/>
      <w:sz w:val="16"/>
      <w:szCs w:val="16"/>
    </w:rPr>
  </w:style>
  <w:style w:type="paragraph" w:styleId="Galvene">
    <w:name w:val="header"/>
    <w:basedOn w:val="Parastais"/>
    <w:link w:val="GalveneRakstz"/>
    <w:uiPriority w:val="99"/>
    <w:rsid w:val="001E5818"/>
    <w:pPr>
      <w:suppressLineNumbers/>
      <w:tabs>
        <w:tab w:val="center" w:pos="4535"/>
        <w:tab w:val="right" w:pos="9070"/>
      </w:tabs>
    </w:pPr>
  </w:style>
  <w:style w:type="paragraph" w:styleId="Kjene">
    <w:name w:val="footer"/>
    <w:basedOn w:val="Parastais"/>
    <w:rsid w:val="001E5818"/>
    <w:pPr>
      <w:suppressLineNumbers/>
      <w:tabs>
        <w:tab w:val="center" w:pos="4818"/>
        <w:tab w:val="right" w:pos="9637"/>
      </w:tabs>
    </w:pPr>
  </w:style>
  <w:style w:type="paragraph" w:customStyle="1" w:styleId="TableContents">
    <w:name w:val="Table Contents"/>
    <w:basedOn w:val="Parastais"/>
    <w:rsid w:val="001E5818"/>
    <w:pPr>
      <w:suppressLineNumbers/>
    </w:pPr>
  </w:style>
  <w:style w:type="paragraph" w:customStyle="1" w:styleId="TableHeading">
    <w:name w:val="Table Heading"/>
    <w:basedOn w:val="TableContents"/>
    <w:rsid w:val="001E5818"/>
    <w:pPr>
      <w:jc w:val="center"/>
    </w:pPr>
    <w:rPr>
      <w:b/>
      <w:bCs/>
    </w:rPr>
  </w:style>
  <w:style w:type="paragraph" w:customStyle="1" w:styleId="Framecontents">
    <w:name w:val="Frame contents"/>
    <w:basedOn w:val="Pamatteksts"/>
    <w:rsid w:val="001E5818"/>
  </w:style>
  <w:style w:type="character" w:styleId="Komentraatsauce">
    <w:name w:val="annotation reference"/>
    <w:semiHidden/>
    <w:rsid w:val="00753318"/>
    <w:rPr>
      <w:sz w:val="16"/>
      <w:szCs w:val="16"/>
    </w:rPr>
  </w:style>
  <w:style w:type="paragraph" w:styleId="Komentrateksts">
    <w:name w:val="annotation text"/>
    <w:basedOn w:val="Parastais"/>
    <w:semiHidden/>
    <w:rsid w:val="00753318"/>
    <w:rPr>
      <w:sz w:val="20"/>
      <w:szCs w:val="20"/>
    </w:rPr>
  </w:style>
  <w:style w:type="paragraph" w:styleId="Komentratma">
    <w:name w:val="annotation subject"/>
    <w:basedOn w:val="Komentrateksts"/>
    <w:next w:val="Komentrateksts"/>
    <w:semiHidden/>
    <w:rsid w:val="00753318"/>
    <w:rPr>
      <w:b/>
      <w:bCs/>
    </w:rPr>
  </w:style>
  <w:style w:type="paragraph" w:customStyle="1" w:styleId="naisf">
    <w:name w:val="naisf"/>
    <w:basedOn w:val="Parastais"/>
    <w:rsid w:val="00C14EC6"/>
    <w:pPr>
      <w:suppressAutoHyphens w:val="0"/>
      <w:spacing w:before="100" w:beforeAutospacing="1" w:after="100" w:afterAutospacing="1"/>
    </w:pPr>
    <w:rPr>
      <w:kern w:val="0"/>
      <w:lang w:eastAsia="en-US"/>
    </w:rPr>
  </w:style>
  <w:style w:type="paragraph" w:styleId="HTMLiepriekformattais">
    <w:name w:val="HTML Preformatted"/>
    <w:basedOn w:val="Parastais"/>
    <w:link w:val="HTMLiepriekformattaisRakstz"/>
    <w:uiPriority w:val="99"/>
    <w:unhideWhenUsed/>
    <w:rsid w:val="00B96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kern w:val="0"/>
      <w:sz w:val="20"/>
      <w:szCs w:val="20"/>
    </w:rPr>
  </w:style>
  <w:style w:type="character" w:customStyle="1" w:styleId="HTMLiepriekformattaisRakstz">
    <w:name w:val="HTML iepriekšformatētais Rakstz."/>
    <w:link w:val="HTMLiepriekformattais"/>
    <w:uiPriority w:val="99"/>
    <w:rsid w:val="00B961F7"/>
    <w:rPr>
      <w:rFonts w:ascii="Courier New" w:hAnsi="Courier New" w:cs="Courier New"/>
    </w:rPr>
  </w:style>
  <w:style w:type="table" w:styleId="Reatabula">
    <w:name w:val="Table Grid"/>
    <w:basedOn w:val="Parastatabula"/>
    <w:rsid w:val="002C377E"/>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link w:val="VrestekstsRakstz"/>
    <w:rsid w:val="002C377E"/>
    <w:rPr>
      <w:kern w:val="0"/>
      <w:sz w:val="20"/>
      <w:szCs w:val="20"/>
    </w:rPr>
  </w:style>
  <w:style w:type="character" w:customStyle="1" w:styleId="VrestekstsRakstz">
    <w:name w:val="Vēres teksts Rakstz."/>
    <w:link w:val="Vresteksts"/>
    <w:rsid w:val="002C377E"/>
    <w:rPr>
      <w:lang w:eastAsia="ar-SA"/>
    </w:rPr>
  </w:style>
  <w:style w:type="character" w:styleId="Vresatsauce">
    <w:name w:val="footnote reference"/>
    <w:rsid w:val="002C377E"/>
    <w:rPr>
      <w:vertAlign w:val="superscript"/>
    </w:rPr>
  </w:style>
  <w:style w:type="paragraph" w:styleId="Sarakstarindkopa">
    <w:name w:val="List Paragraph"/>
    <w:basedOn w:val="Parastais"/>
    <w:uiPriority w:val="34"/>
    <w:qFormat/>
    <w:rsid w:val="005A7687"/>
    <w:pPr>
      <w:ind w:left="720"/>
    </w:pPr>
  </w:style>
  <w:style w:type="paragraph" w:styleId="Vienkrsteksts">
    <w:name w:val="Plain Text"/>
    <w:basedOn w:val="Parastais"/>
    <w:link w:val="VienkrstekstsRakstz"/>
    <w:uiPriority w:val="99"/>
    <w:rsid w:val="009848C6"/>
    <w:pPr>
      <w:suppressAutoHyphens w:val="0"/>
      <w:snapToGrid w:val="0"/>
    </w:pPr>
    <w:rPr>
      <w:rFonts w:ascii="Courier New" w:hAnsi="Courier New"/>
      <w:kern w:val="0"/>
      <w:sz w:val="28"/>
      <w:szCs w:val="20"/>
      <w:lang w:eastAsia="en-US"/>
    </w:rPr>
  </w:style>
  <w:style w:type="character" w:customStyle="1" w:styleId="VienkrstekstsRakstz">
    <w:name w:val="Vienkāršs teksts Rakstz."/>
    <w:basedOn w:val="Noklusjumarindkopasfonts"/>
    <w:link w:val="Vienkrsteksts"/>
    <w:uiPriority w:val="99"/>
    <w:rsid w:val="009848C6"/>
    <w:rPr>
      <w:rFonts w:ascii="Courier New" w:hAnsi="Courier New"/>
      <w:sz w:val="28"/>
      <w:lang w:eastAsia="en-US"/>
    </w:rPr>
  </w:style>
  <w:style w:type="character" w:customStyle="1" w:styleId="GalveneRakstz">
    <w:name w:val="Galvene Rakstz."/>
    <w:basedOn w:val="Noklusjumarindkopasfonts"/>
    <w:link w:val="Galvene"/>
    <w:uiPriority w:val="99"/>
    <w:rsid w:val="00C67D21"/>
    <w:rPr>
      <w:kern w:val="1"/>
      <w:sz w:val="24"/>
      <w:szCs w:val="24"/>
      <w:lang w:eastAsia="ar-SA"/>
    </w:rPr>
  </w:style>
  <w:style w:type="character" w:customStyle="1" w:styleId="spelle">
    <w:name w:val="spelle"/>
    <w:basedOn w:val="Noklusjumarindkopasfonts"/>
    <w:rsid w:val="00094F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818"/>
    <w:pPr>
      <w:suppressAutoHyphens/>
    </w:pPr>
    <w:rPr>
      <w:kern w:val="1"/>
      <w:sz w:val="24"/>
      <w:szCs w:val="24"/>
      <w:lang w:eastAsia="ar-SA"/>
    </w:rPr>
  </w:style>
  <w:style w:type="paragraph" w:styleId="Heading3">
    <w:name w:val="heading 3"/>
    <w:basedOn w:val="Normal"/>
    <w:next w:val="BodyText"/>
    <w:qFormat/>
    <w:rsid w:val="001E5818"/>
    <w:pPr>
      <w:numPr>
        <w:ilvl w:val="2"/>
        <w:numId w:val="1"/>
      </w:numPr>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1E5818"/>
    <w:rPr>
      <w:rFonts w:ascii="Symbol" w:hAnsi="Symbol" w:cs="OpenSymbol"/>
    </w:rPr>
  </w:style>
  <w:style w:type="character" w:customStyle="1" w:styleId="WW-DefaultParagraphFont">
    <w:name w:val="WW-Default Paragraph Font"/>
    <w:rsid w:val="001E5818"/>
  </w:style>
  <w:style w:type="character" w:customStyle="1" w:styleId="Absatz-Standardschriftart">
    <w:name w:val="Absatz-Standardschriftart"/>
    <w:rsid w:val="001E5818"/>
  </w:style>
  <w:style w:type="character" w:customStyle="1" w:styleId="WW-DefaultParagraphFont1">
    <w:name w:val="WW-Default Paragraph Font1"/>
    <w:rsid w:val="001E5818"/>
  </w:style>
  <w:style w:type="character" w:customStyle="1" w:styleId="WW-Absatz-Standardschriftart">
    <w:name w:val="WW-Absatz-Standardschriftart"/>
    <w:rsid w:val="001E5818"/>
  </w:style>
  <w:style w:type="character" w:customStyle="1" w:styleId="WW-Absatz-Standardschriftart1">
    <w:name w:val="WW-Absatz-Standardschriftart1"/>
    <w:rsid w:val="001E5818"/>
  </w:style>
  <w:style w:type="character" w:customStyle="1" w:styleId="WW-Absatz-Standardschriftart11">
    <w:name w:val="WW-Absatz-Standardschriftart11"/>
    <w:rsid w:val="001E5818"/>
  </w:style>
  <w:style w:type="character" w:customStyle="1" w:styleId="WW-Absatz-Standardschriftart111">
    <w:name w:val="WW-Absatz-Standardschriftart111"/>
    <w:rsid w:val="001E5818"/>
  </w:style>
  <w:style w:type="character" w:customStyle="1" w:styleId="WW-Absatz-Standardschriftart1111">
    <w:name w:val="WW-Absatz-Standardschriftart1111"/>
    <w:rsid w:val="001E5818"/>
  </w:style>
  <w:style w:type="character" w:customStyle="1" w:styleId="WW-Absatz-Standardschriftart11111">
    <w:name w:val="WW-Absatz-Standardschriftart11111"/>
    <w:rsid w:val="001E5818"/>
  </w:style>
  <w:style w:type="character" w:customStyle="1" w:styleId="WW-DefaultParagraphFont11">
    <w:name w:val="WW-Default Paragraph Font11"/>
    <w:rsid w:val="001E5818"/>
  </w:style>
  <w:style w:type="character" w:customStyle="1" w:styleId="WW8Num1z0">
    <w:name w:val="WW8Num1z0"/>
    <w:rsid w:val="001E5818"/>
    <w:rPr>
      <w:rFonts w:ascii="Symbol" w:hAnsi="Symbol" w:cs="OpenSymbol"/>
    </w:rPr>
  </w:style>
  <w:style w:type="character" w:customStyle="1" w:styleId="WW8Num3z0">
    <w:name w:val="WW8Num3z0"/>
    <w:rsid w:val="001E5818"/>
    <w:rPr>
      <w:rFonts w:ascii="Times New Roman" w:eastAsia="Times New Roman" w:hAnsi="Times New Roman" w:cs="Times New Roman"/>
    </w:rPr>
  </w:style>
  <w:style w:type="character" w:customStyle="1" w:styleId="WW8Num3z1">
    <w:name w:val="WW8Num3z1"/>
    <w:rsid w:val="001E5818"/>
    <w:rPr>
      <w:rFonts w:ascii="Courier New" w:hAnsi="Courier New" w:cs="Courier New"/>
    </w:rPr>
  </w:style>
  <w:style w:type="character" w:customStyle="1" w:styleId="WW8Num3z2">
    <w:name w:val="WW8Num3z2"/>
    <w:rsid w:val="001E5818"/>
    <w:rPr>
      <w:rFonts w:ascii="Wingdings" w:hAnsi="Wingdings"/>
    </w:rPr>
  </w:style>
  <w:style w:type="character" w:customStyle="1" w:styleId="WW8Num3z3">
    <w:name w:val="WW8Num3z3"/>
    <w:rsid w:val="001E5818"/>
    <w:rPr>
      <w:rFonts w:ascii="Symbol" w:hAnsi="Symbol"/>
    </w:rPr>
  </w:style>
  <w:style w:type="character" w:customStyle="1" w:styleId="WW8Num4z0">
    <w:name w:val="WW8Num4z0"/>
    <w:rsid w:val="001E5818"/>
    <w:rPr>
      <w:rFonts w:ascii="Times New Roman" w:eastAsia="Times New Roman" w:hAnsi="Times New Roman" w:cs="Times New Roman"/>
    </w:rPr>
  </w:style>
  <w:style w:type="character" w:customStyle="1" w:styleId="WW8Num4z1">
    <w:name w:val="WW8Num4z1"/>
    <w:rsid w:val="001E5818"/>
    <w:rPr>
      <w:rFonts w:ascii="Times New Roman" w:hAnsi="Times New Roman" w:cs="Times New Roman"/>
    </w:rPr>
  </w:style>
  <w:style w:type="character" w:customStyle="1" w:styleId="WW8Num4z2">
    <w:name w:val="WW8Num4z2"/>
    <w:rsid w:val="001E5818"/>
    <w:rPr>
      <w:rFonts w:ascii="Wingdings" w:hAnsi="Wingdings"/>
    </w:rPr>
  </w:style>
  <w:style w:type="character" w:customStyle="1" w:styleId="WW8Num4z3">
    <w:name w:val="WW8Num4z3"/>
    <w:rsid w:val="001E5818"/>
    <w:rPr>
      <w:rFonts w:ascii="Symbol" w:hAnsi="Symbol"/>
    </w:rPr>
  </w:style>
  <w:style w:type="character" w:customStyle="1" w:styleId="WW8Num4z4">
    <w:name w:val="WW8Num4z4"/>
    <w:rsid w:val="001E5818"/>
    <w:rPr>
      <w:rFonts w:ascii="Courier New" w:hAnsi="Courier New" w:cs="Courier New"/>
    </w:rPr>
  </w:style>
  <w:style w:type="character" w:customStyle="1" w:styleId="WW-DefaultParagraphFont111">
    <w:name w:val="WW-Default Paragraph Font111"/>
    <w:rsid w:val="001E5818"/>
  </w:style>
  <w:style w:type="character" w:styleId="Hyperlink">
    <w:name w:val="Hyperlink"/>
    <w:rsid w:val="001E5818"/>
    <w:rPr>
      <w:color w:val="0000FF"/>
      <w:u w:val="single"/>
    </w:rPr>
  </w:style>
  <w:style w:type="character" w:styleId="PageNumber">
    <w:name w:val="page number"/>
    <w:basedOn w:val="WW-DefaultParagraphFont1"/>
    <w:rsid w:val="001E5818"/>
  </w:style>
  <w:style w:type="paragraph" w:customStyle="1" w:styleId="Heading">
    <w:name w:val="Heading"/>
    <w:basedOn w:val="Normal"/>
    <w:next w:val="BodyText"/>
    <w:rsid w:val="001E5818"/>
    <w:pPr>
      <w:keepNext/>
      <w:spacing w:before="240" w:after="120"/>
    </w:pPr>
    <w:rPr>
      <w:rFonts w:ascii="Arial" w:eastAsia="Lucida Sans Unicode" w:hAnsi="Arial" w:cs="Tahoma"/>
      <w:sz w:val="28"/>
      <w:szCs w:val="28"/>
    </w:rPr>
  </w:style>
  <w:style w:type="paragraph" w:styleId="BodyText">
    <w:name w:val="Body Text"/>
    <w:basedOn w:val="Normal"/>
    <w:rsid w:val="001E5818"/>
    <w:pPr>
      <w:spacing w:after="120"/>
    </w:pPr>
  </w:style>
  <w:style w:type="paragraph" w:styleId="List">
    <w:name w:val="List"/>
    <w:basedOn w:val="BodyText"/>
    <w:rsid w:val="001E5818"/>
    <w:rPr>
      <w:rFonts w:cs="Tahoma"/>
    </w:rPr>
  </w:style>
  <w:style w:type="paragraph" w:styleId="Caption">
    <w:name w:val="caption"/>
    <w:basedOn w:val="Normal"/>
    <w:qFormat/>
    <w:rsid w:val="001E5818"/>
    <w:pPr>
      <w:suppressLineNumbers/>
      <w:spacing w:before="120" w:after="120"/>
    </w:pPr>
    <w:rPr>
      <w:rFonts w:cs="Tahoma"/>
      <w:i/>
      <w:iCs/>
    </w:rPr>
  </w:style>
  <w:style w:type="paragraph" w:customStyle="1" w:styleId="Index">
    <w:name w:val="Index"/>
    <w:basedOn w:val="Normal"/>
    <w:rsid w:val="001E5818"/>
    <w:pPr>
      <w:suppressLineNumbers/>
    </w:pPr>
    <w:rPr>
      <w:rFonts w:cs="Tahoma"/>
    </w:rPr>
  </w:style>
  <w:style w:type="paragraph" w:customStyle="1" w:styleId="naiskr">
    <w:name w:val="naiskr"/>
    <w:basedOn w:val="Normal"/>
    <w:rsid w:val="001E5818"/>
    <w:pPr>
      <w:spacing w:before="280" w:after="280"/>
    </w:pPr>
  </w:style>
  <w:style w:type="paragraph" w:styleId="NormalWeb">
    <w:name w:val="Normal (Web)"/>
    <w:basedOn w:val="Normal"/>
    <w:uiPriority w:val="99"/>
    <w:rsid w:val="001E5818"/>
    <w:pPr>
      <w:spacing w:before="280" w:after="119"/>
    </w:p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Normal"/>
    <w:rsid w:val="001E5818"/>
    <w:pPr>
      <w:spacing w:after="160" w:line="240" w:lineRule="exact"/>
    </w:pPr>
    <w:rPr>
      <w:rFonts w:ascii="Tahoma" w:hAnsi="Tahoma"/>
      <w:sz w:val="20"/>
      <w:szCs w:val="20"/>
      <w:lang w:val="en-US"/>
    </w:rPr>
  </w:style>
  <w:style w:type="paragraph" w:styleId="BalloonText">
    <w:name w:val="Balloon Text"/>
    <w:basedOn w:val="Normal"/>
    <w:rsid w:val="001E5818"/>
    <w:rPr>
      <w:rFonts w:ascii="Tahoma" w:hAnsi="Tahoma" w:cs="Tahoma"/>
      <w:sz w:val="16"/>
      <w:szCs w:val="16"/>
    </w:rPr>
  </w:style>
  <w:style w:type="paragraph" w:styleId="Header">
    <w:name w:val="header"/>
    <w:basedOn w:val="Normal"/>
    <w:link w:val="HeaderChar"/>
    <w:uiPriority w:val="99"/>
    <w:rsid w:val="001E5818"/>
    <w:pPr>
      <w:suppressLineNumbers/>
      <w:tabs>
        <w:tab w:val="center" w:pos="4535"/>
        <w:tab w:val="right" w:pos="9070"/>
      </w:tabs>
    </w:pPr>
  </w:style>
  <w:style w:type="paragraph" w:styleId="Footer">
    <w:name w:val="footer"/>
    <w:basedOn w:val="Normal"/>
    <w:rsid w:val="001E5818"/>
    <w:pPr>
      <w:suppressLineNumbers/>
      <w:tabs>
        <w:tab w:val="center" w:pos="4818"/>
        <w:tab w:val="right" w:pos="9637"/>
      </w:tabs>
    </w:pPr>
  </w:style>
  <w:style w:type="paragraph" w:customStyle="1" w:styleId="TableContents">
    <w:name w:val="Table Contents"/>
    <w:basedOn w:val="Normal"/>
    <w:rsid w:val="001E5818"/>
    <w:pPr>
      <w:suppressLineNumbers/>
    </w:pPr>
  </w:style>
  <w:style w:type="paragraph" w:customStyle="1" w:styleId="TableHeading">
    <w:name w:val="Table Heading"/>
    <w:basedOn w:val="TableContents"/>
    <w:rsid w:val="001E5818"/>
    <w:pPr>
      <w:jc w:val="center"/>
    </w:pPr>
    <w:rPr>
      <w:b/>
      <w:bCs/>
    </w:rPr>
  </w:style>
  <w:style w:type="paragraph" w:customStyle="1" w:styleId="Framecontents">
    <w:name w:val="Frame contents"/>
    <w:basedOn w:val="BodyText"/>
    <w:rsid w:val="001E5818"/>
  </w:style>
  <w:style w:type="character" w:styleId="CommentReference">
    <w:name w:val="annotation reference"/>
    <w:semiHidden/>
    <w:rsid w:val="00753318"/>
    <w:rPr>
      <w:sz w:val="16"/>
      <w:szCs w:val="16"/>
    </w:rPr>
  </w:style>
  <w:style w:type="paragraph" w:styleId="CommentText">
    <w:name w:val="annotation text"/>
    <w:basedOn w:val="Normal"/>
    <w:semiHidden/>
    <w:rsid w:val="00753318"/>
    <w:rPr>
      <w:sz w:val="20"/>
      <w:szCs w:val="20"/>
    </w:rPr>
  </w:style>
  <w:style w:type="paragraph" w:styleId="CommentSubject">
    <w:name w:val="annotation subject"/>
    <w:basedOn w:val="CommentText"/>
    <w:next w:val="CommentText"/>
    <w:semiHidden/>
    <w:rsid w:val="00753318"/>
    <w:rPr>
      <w:b/>
      <w:bCs/>
    </w:rPr>
  </w:style>
  <w:style w:type="paragraph" w:customStyle="1" w:styleId="naisf">
    <w:name w:val="naisf"/>
    <w:basedOn w:val="Normal"/>
    <w:rsid w:val="00C14EC6"/>
    <w:pPr>
      <w:suppressAutoHyphens w:val="0"/>
      <w:spacing w:before="100" w:beforeAutospacing="1" w:after="100" w:afterAutospacing="1"/>
    </w:pPr>
    <w:rPr>
      <w:kern w:val="0"/>
      <w:lang w:eastAsia="en-US"/>
    </w:rPr>
  </w:style>
  <w:style w:type="paragraph" w:styleId="HTMLPreformatted">
    <w:name w:val="HTML Preformatted"/>
    <w:basedOn w:val="Normal"/>
    <w:link w:val="HTMLPreformattedChar"/>
    <w:uiPriority w:val="99"/>
    <w:unhideWhenUsed/>
    <w:rsid w:val="00B96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kern w:val="0"/>
      <w:sz w:val="20"/>
      <w:szCs w:val="20"/>
    </w:rPr>
  </w:style>
  <w:style w:type="character" w:customStyle="1" w:styleId="HTMLPreformattedChar">
    <w:name w:val="HTML Preformatted Char"/>
    <w:link w:val="HTMLPreformatted"/>
    <w:uiPriority w:val="99"/>
    <w:rsid w:val="00B961F7"/>
    <w:rPr>
      <w:rFonts w:ascii="Courier New" w:hAnsi="Courier New" w:cs="Courier New"/>
    </w:rPr>
  </w:style>
  <w:style w:type="table" w:styleId="TableGrid">
    <w:name w:val="Table Grid"/>
    <w:basedOn w:val="TableNormal"/>
    <w:rsid w:val="002C377E"/>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2C377E"/>
    <w:rPr>
      <w:kern w:val="0"/>
      <w:sz w:val="20"/>
      <w:szCs w:val="20"/>
    </w:rPr>
  </w:style>
  <w:style w:type="character" w:customStyle="1" w:styleId="FootnoteTextChar">
    <w:name w:val="Footnote Text Char"/>
    <w:link w:val="FootnoteText"/>
    <w:rsid w:val="002C377E"/>
    <w:rPr>
      <w:lang w:eastAsia="ar-SA"/>
    </w:rPr>
  </w:style>
  <w:style w:type="character" w:styleId="FootnoteReference">
    <w:name w:val="footnote reference"/>
    <w:rsid w:val="002C377E"/>
    <w:rPr>
      <w:vertAlign w:val="superscript"/>
    </w:rPr>
  </w:style>
  <w:style w:type="paragraph" w:styleId="ListParagraph">
    <w:name w:val="List Paragraph"/>
    <w:basedOn w:val="Normal"/>
    <w:uiPriority w:val="34"/>
    <w:qFormat/>
    <w:rsid w:val="005A7687"/>
    <w:pPr>
      <w:ind w:left="720"/>
    </w:pPr>
  </w:style>
  <w:style w:type="paragraph" w:styleId="PlainText">
    <w:name w:val="Plain Text"/>
    <w:basedOn w:val="Normal"/>
    <w:link w:val="PlainTextChar"/>
    <w:uiPriority w:val="99"/>
    <w:rsid w:val="009848C6"/>
    <w:pPr>
      <w:suppressAutoHyphens w:val="0"/>
      <w:snapToGrid w:val="0"/>
    </w:pPr>
    <w:rPr>
      <w:rFonts w:ascii="Courier New" w:hAnsi="Courier New"/>
      <w:kern w:val="0"/>
      <w:sz w:val="28"/>
      <w:szCs w:val="20"/>
      <w:lang w:eastAsia="en-US"/>
    </w:rPr>
  </w:style>
  <w:style w:type="character" w:customStyle="1" w:styleId="PlainTextChar">
    <w:name w:val="Plain Text Char"/>
    <w:basedOn w:val="DefaultParagraphFont"/>
    <w:link w:val="PlainText"/>
    <w:uiPriority w:val="99"/>
    <w:rsid w:val="009848C6"/>
    <w:rPr>
      <w:rFonts w:ascii="Courier New" w:hAnsi="Courier New"/>
      <w:sz w:val="28"/>
      <w:lang w:eastAsia="en-US"/>
    </w:rPr>
  </w:style>
  <w:style w:type="character" w:customStyle="1" w:styleId="HeaderChar">
    <w:name w:val="Header Char"/>
    <w:basedOn w:val="DefaultParagraphFont"/>
    <w:link w:val="Header"/>
    <w:uiPriority w:val="99"/>
    <w:rsid w:val="00C67D21"/>
    <w:rPr>
      <w:kern w:val="1"/>
      <w:sz w:val="24"/>
      <w:szCs w:val="24"/>
      <w:lang w:eastAsia="ar-SA"/>
    </w:rPr>
  </w:style>
  <w:style w:type="character" w:customStyle="1" w:styleId="spelle">
    <w:name w:val="spelle"/>
    <w:basedOn w:val="DefaultParagraphFont"/>
    <w:rsid w:val="00094F36"/>
  </w:style>
</w:styles>
</file>

<file path=word/webSettings.xml><?xml version="1.0" encoding="utf-8"?>
<w:webSettings xmlns:r="http://schemas.openxmlformats.org/officeDocument/2006/relationships" xmlns:w="http://schemas.openxmlformats.org/wordprocessingml/2006/main">
  <w:divs>
    <w:div w:id="282075430">
      <w:bodyDiv w:val="1"/>
      <w:marLeft w:val="0"/>
      <w:marRight w:val="0"/>
      <w:marTop w:val="0"/>
      <w:marBottom w:val="0"/>
      <w:divBdr>
        <w:top w:val="none" w:sz="0" w:space="0" w:color="auto"/>
        <w:left w:val="none" w:sz="0" w:space="0" w:color="auto"/>
        <w:bottom w:val="none" w:sz="0" w:space="0" w:color="auto"/>
        <w:right w:val="none" w:sz="0" w:space="0" w:color="auto"/>
      </w:divBdr>
    </w:div>
    <w:div w:id="296842790">
      <w:bodyDiv w:val="1"/>
      <w:marLeft w:val="0"/>
      <w:marRight w:val="0"/>
      <w:marTop w:val="0"/>
      <w:marBottom w:val="0"/>
      <w:divBdr>
        <w:top w:val="none" w:sz="0" w:space="0" w:color="auto"/>
        <w:left w:val="none" w:sz="0" w:space="0" w:color="auto"/>
        <w:bottom w:val="none" w:sz="0" w:space="0" w:color="auto"/>
        <w:right w:val="none" w:sz="0" w:space="0" w:color="auto"/>
      </w:divBdr>
    </w:div>
    <w:div w:id="851800194">
      <w:bodyDiv w:val="1"/>
      <w:marLeft w:val="0"/>
      <w:marRight w:val="0"/>
      <w:marTop w:val="0"/>
      <w:marBottom w:val="0"/>
      <w:divBdr>
        <w:top w:val="none" w:sz="0" w:space="0" w:color="auto"/>
        <w:left w:val="none" w:sz="0" w:space="0" w:color="auto"/>
        <w:bottom w:val="none" w:sz="0" w:space="0" w:color="auto"/>
        <w:right w:val="none" w:sz="0" w:space="0" w:color="auto"/>
      </w:divBdr>
    </w:div>
    <w:div w:id="923805030">
      <w:bodyDiv w:val="1"/>
      <w:marLeft w:val="0"/>
      <w:marRight w:val="0"/>
      <w:marTop w:val="0"/>
      <w:marBottom w:val="0"/>
      <w:divBdr>
        <w:top w:val="none" w:sz="0" w:space="0" w:color="auto"/>
        <w:left w:val="none" w:sz="0" w:space="0" w:color="auto"/>
        <w:bottom w:val="none" w:sz="0" w:space="0" w:color="auto"/>
        <w:right w:val="none" w:sz="0" w:space="0" w:color="auto"/>
      </w:divBdr>
    </w:div>
    <w:div w:id="1041396727">
      <w:bodyDiv w:val="1"/>
      <w:marLeft w:val="0"/>
      <w:marRight w:val="0"/>
      <w:marTop w:val="0"/>
      <w:marBottom w:val="0"/>
      <w:divBdr>
        <w:top w:val="none" w:sz="0" w:space="0" w:color="auto"/>
        <w:left w:val="none" w:sz="0" w:space="0" w:color="auto"/>
        <w:bottom w:val="none" w:sz="0" w:space="0" w:color="auto"/>
        <w:right w:val="none" w:sz="0" w:space="0" w:color="auto"/>
      </w:divBdr>
    </w:div>
    <w:div w:id="1499690743">
      <w:bodyDiv w:val="1"/>
      <w:marLeft w:val="0"/>
      <w:marRight w:val="0"/>
      <w:marTop w:val="0"/>
      <w:marBottom w:val="0"/>
      <w:divBdr>
        <w:top w:val="none" w:sz="0" w:space="0" w:color="auto"/>
        <w:left w:val="none" w:sz="0" w:space="0" w:color="auto"/>
        <w:bottom w:val="none" w:sz="0" w:space="0" w:color="auto"/>
        <w:right w:val="none" w:sz="0" w:space="0" w:color="auto"/>
      </w:divBdr>
      <w:divsChild>
        <w:div w:id="971131418">
          <w:marLeft w:val="0"/>
          <w:marRight w:val="0"/>
          <w:marTop w:val="0"/>
          <w:marBottom w:val="0"/>
          <w:divBdr>
            <w:top w:val="none" w:sz="0" w:space="0" w:color="auto"/>
            <w:left w:val="none" w:sz="0" w:space="0" w:color="auto"/>
            <w:bottom w:val="none" w:sz="0" w:space="0" w:color="auto"/>
            <w:right w:val="none" w:sz="0" w:space="0" w:color="auto"/>
          </w:divBdr>
        </w:div>
      </w:divsChild>
    </w:div>
    <w:div w:id="1535341114">
      <w:bodyDiv w:val="1"/>
      <w:marLeft w:val="0"/>
      <w:marRight w:val="0"/>
      <w:marTop w:val="0"/>
      <w:marBottom w:val="0"/>
      <w:divBdr>
        <w:top w:val="none" w:sz="0" w:space="0" w:color="auto"/>
        <w:left w:val="none" w:sz="0" w:space="0" w:color="auto"/>
        <w:bottom w:val="none" w:sz="0" w:space="0" w:color="auto"/>
        <w:right w:val="none" w:sz="0" w:space="0" w:color="auto"/>
      </w:divBdr>
    </w:div>
    <w:div w:id="1616476173">
      <w:bodyDiv w:val="1"/>
      <w:marLeft w:val="0"/>
      <w:marRight w:val="0"/>
      <w:marTop w:val="0"/>
      <w:marBottom w:val="0"/>
      <w:divBdr>
        <w:top w:val="none" w:sz="0" w:space="0" w:color="auto"/>
        <w:left w:val="none" w:sz="0" w:space="0" w:color="auto"/>
        <w:bottom w:val="none" w:sz="0" w:space="0" w:color="auto"/>
        <w:right w:val="none" w:sz="0" w:space="0" w:color="auto"/>
      </w:divBdr>
    </w:div>
    <w:div w:id="1620841676">
      <w:bodyDiv w:val="1"/>
      <w:marLeft w:val="0"/>
      <w:marRight w:val="0"/>
      <w:marTop w:val="0"/>
      <w:marBottom w:val="0"/>
      <w:divBdr>
        <w:top w:val="none" w:sz="0" w:space="0" w:color="auto"/>
        <w:left w:val="none" w:sz="0" w:space="0" w:color="auto"/>
        <w:bottom w:val="none" w:sz="0" w:space="0" w:color="auto"/>
        <w:right w:val="none" w:sz="0" w:space="0" w:color="auto"/>
      </w:divBdr>
    </w:div>
    <w:div w:id="1795177042">
      <w:bodyDiv w:val="1"/>
      <w:marLeft w:val="0"/>
      <w:marRight w:val="0"/>
      <w:marTop w:val="0"/>
      <w:marBottom w:val="0"/>
      <w:divBdr>
        <w:top w:val="none" w:sz="0" w:space="0" w:color="auto"/>
        <w:left w:val="none" w:sz="0" w:space="0" w:color="auto"/>
        <w:bottom w:val="none" w:sz="0" w:space="0" w:color="auto"/>
        <w:right w:val="none" w:sz="0" w:space="0" w:color="auto"/>
      </w:divBdr>
    </w:div>
    <w:div w:id="189565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nars.kosojs@vni.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ga.Gulbe@vni.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4BBE1-208D-4B38-A666-6B666FBA4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3165</Words>
  <Characters>22283</Characters>
  <Application>Microsoft Office Word</Application>
  <DocSecurity>0</DocSecurity>
  <Lines>655</Lines>
  <Paragraphs>276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Ministru kabineta 2011.gada 9.augusta sēdes protokollēmuma (prot. Nr.47 23.§) „Informatīvais ziņojums „Par turpmāko rīcību ar valsts akciju sabiedrības „Valsts nekustamie īpašumi” būvniecības projektiem”” 2.4.punktā dotā uzdevu</vt:lpstr>
      <vt:lpstr>Informatīvais ziņojums „Par Ministru kabineta 2011.gada 9.augusta sēdes protokollēmuma (prot. Nr.47 23.§) „Informatīvais ziņojums „Par turpmāko rīcību ar valsts akciju sabiedrības „Valsts nekustamie īpašumi” būvniecības projektiem”” 2.4.punktā dotā uzdevu</vt:lpstr>
    </vt:vector>
  </TitlesOfParts>
  <Company>Valsts policija</Company>
  <LinksUpToDate>false</LinksUpToDate>
  <CharactersWithSpaces>25172</CharactersWithSpaces>
  <SharedDoc>false</SharedDoc>
  <HLinks>
    <vt:vector size="6" baseType="variant">
      <vt:variant>
        <vt:i4>852031</vt:i4>
      </vt:variant>
      <vt:variant>
        <vt:i4>6</vt:i4>
      </vt:variant>
      <vt:variant>
        <vt:i4>0</vt:i4>
      </vt:variant>
      <vt:variant>
        <vt:i4>5</vt:i4>
      </vt:variant>
      <vt:variant>
        <vt:lpwstr>mailto:armands.mozeiko@vp.gov.lv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Ministru kabineta 2011.gada 9.augusta sēdes protokollēmuma (prot. Nr.47 23.§) „Informatīvais ziņojums „Par turpmāko rīcību ar valsts akciju sabiedrības „Valsts nekustamie īpašumi” būvniecības projektiem”” 2.4.punktā dotā uzdevuma izpildes gaitu”</dc:title>
  <dc:subject>Informatīvais ziņojums</dc:subject>
  <dc:creator>G.Kosojs;A.Gulbe</dc:creator>
  <dc:description>Tālr.: 67024941, e-pasts: gunars.kosojs@vni.lv;
Tālr.: 67024698; e-pasts: aiga.gulbe@vni.lv;</dc:description>
  <cp:lastModifiedBy>Gulbe</cp:lastModifiedBy>
  <cp:revision>3</cp:revision>
  <cp:lastPrinted>2012-03-27T07:59:00Z</cp:lastPrinted>
  <dcterms:created xsi:type="dcterms:W3CDTF">2012-03-27T08:25:00Z</dcterms:created>
  <dcterms:modified xsi:type="dcterms:W3CDTF">2012-04-16T09:20:00Z</dcterms:modified>
  <cp:contentStatus>PROJEKTS</cp:contentStatus>
</cp:coreProperties>
</file>