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51" w:rsidRPr="00D500AC" w:rsidRDefault="00166351" w:rsidP="00166351">
      <w:pPr>
        <w:pStyle w:val="BodyText"/>
        <w:rPr>
          <w:sz w:val="28"/>
          <w:szCs w:val="28"/>
        </w:rPr>
      </w:pPr>
    </w:p>
    <w:p w:rsidR="00166351" w:rsidRPr="00D500AC" w:rsidRDefault="00166351" w:rsidP="00166351">
      <w:pPr>
        <w:pStyle w:val="BodyText"/>
        <w:rPr>
          <w:sz w:val="28"/>
          <w:szCs w:val="28"/>
        </w:rPr>
      </w:pPr>
      <w:r w:rsidRPr="00D500AC">
        <w:rPr>
          <w:sz w:val="28"/>
          <w:szCs w:val="28"/>
        </w:rPr>
        <w:t xml:space="preserve">Informatīvais </w:t>
      </w:r>
      <w:smartTag w:uri="schemas-tilde-lv/tildestengine" w:element="veidnes">
        <w:smartTagPr>
          <w:attr w:name="baseform" w:val="ziņojum|s"/>
          <w:attr w:name="id" w:val="-1"/>
          <w:attr w:name="text" w:val="ziņojums"/>
        </w:smartTagPr>
        <w:r w:rsidRPr="00D500AC">
          <w:rPr>
            <w:sz w:val="28"/>
            <w:szCs w:val="28"/>
          </w:rPr>
          <w:t>ziņojums</w:t>
        </w:r>
      </w:smartTag>
      <w:r w:rsidRPr="00D500AC">
        <w:rPr>
          <w:sz w:val="28"/>
          <w:szCs w:val="28"/>
        </w:rPr>
        <w:t xml:space="preserve"> </w:t>
      </w:r>
    </w:p>
    <w:p w:rsidR="00166351" w:rsidRPr="00D500AC" w:rsidRDefault="00166351" w:rsidP="00166351">
      <w:pPr>
        <w:autoSpaceDE w:val="0"/>
        <w:autoSpaceDN w:val="0"/>
        <w:adjustRightInd w:val="0"/>
        <w:jc w:val="center"/>
        <w:rPr>
          <w:b/>
          <w:bCs/>
          <w:sz w:val="28"/>
          <w:szCs w:val="28"/>
        </w:rPr>
      </w:pPr>
      <w:r w:rsidRPr="00D500AC">
        <w:rPr>
          <w:b/>
          <w:bCs/>
          <w:sz w:val="28"/>
          <w:szCs w:val="28"/>
        </w:rPr>
        <w:t xml:space="preserve"> „</w:t>
      </w:r>
      <w:r w:rsidRPr="00D500AC">
        <w:rPr>
          <w:b/>
          <w:sz w:val="28"/>
          <w:szCs w:val="28"/>
          <w:lang w:val="lt-LT"/>
        </w:rPr>
        <w:t>Par Latvijas prioritātēm Eiropas Ekonomikas zonas finanšu instrumenta un Norvēģijas finanšu instrumenta 2009.-2014.gada plānošanas perioda ietvaros</w:t>
      </w:r>
      <w:r w:rsidRPr="00D500AC">
        <w:rPr>
          <w:b/>
          <w:bCs/>
          <w:sz w:val="28"/>
          <w:szCs w:val="28"/>
        </w:rPr>
        <w:t>”</w:t>
      </w:r>
    </w:p>
    <w:p w:rsidR="00166351" w:rsidRPr="00D500AC" w:rsidRDefault="00166351" w:rsidP="00166351">
      <w:pPr>
        <w:pStyle w:val="BodyText"/>
        <w:rPr>
          <w:sz w:val="28"/>
          <w:szCs w:val="28"/>
        </w:rPr>
      </w:pPr>
    </w:p>
    <w:p w:rsidR="00166351" w:rsidRPr="003F6A8B" w:rsidRDefault="00166351" w:rsidP="00166351">
      <w:pPr>
        <w:autoSpaceDE w:val="0"/>
        <w:autoSpaceDN w:val="0"/>
        <w:adjustRightInd w:val="0"/>
        <w:ind w:firstLine="720"/>
        <w:jc w:val="both"/>
        <w:rPr>
          <w:rStyle w:val="normalchar1"/>
          <w:b/>
          <w:sz w:val="28"/>
          <w:szCs w:val="28"/>
          <w:u w:val="single"/>
        </w:rPr>
      </w:pPr>
    </w:p>
    <w:p w:rsidR="00166351" w:rsidRPr="003F6A8B" w:rsidRDefault="00166351" w:rsidP="00166351">
      <w:pPr>
        <w:ind w:right="226" w:firstLine="720"/>
        <w:jc w:val="both"/>
        <w:rPr>
          <w:rFonts w:eastAsia="Calibri"/>
          <w:b/>
          <w:sz w:val="28"/>
          <w:szCs w:val="28"/>
          <w:u w:val="single"/>
          <w:lang w:eastAsia="en-US"/>
        </w:rPr>
      </w:pPr>
      <w:r w:rsidRPr="003F6A8B">
        <w:rPr>
          <w:rFonts w:eastAsia="Calibri"/>
          <w:b/>
          <w:sz w:val="28"/>
          <w:szCs w:val="28"/>
          <w:u w:val="single"/>
          <w:lang w:eastAsia="en-US"/>
        </w:rPr>
        <w:t>Situācijas izklāsts</w:t>
      </w:r>
    </w:p>
    <w:p w:rsidR="00166351" w:rsidRPr="00D500AC" w:rsidRDefault="00166351" w:rsidP="00166351">
      <w:pPr>
        <w:ind w:right="226"/>
        <w:jc w:val="both"/>
        <w:rPr>
          <w:rFonts w:eastAsia="Calibri"/>
          <w:sz w:val="28"/>
          <w:szCs w:val="28"/>
          <w:lang w:eastAsia="en-US"/>
        </w:rPr>
      </w:pPr>
    </w:p>
    <w:p w:rsidR="00166351" w:rsidRPr="00D500AC" w:rsidRDefault="00166351" w:rsidP="00166351">
      <w:pPr>
        <w:ind w:right="226" w:firstLine="284"/>
        <w:jc w:val="both"/>
        <w:rPr>
          <w:rFonts w:eastAsia="Calibri"/>
          <w:sz w:val="28"/>
          <w:szCs w:val="28"/>
          <w:lang w:eastAsia="en-US"/>
        </w:rPr>
      </w:pPr>
      <w:r w:rsidRPr="00D500AC">
        <w:rPr>
          <w:rFonts w:eastAsia="Calibri"/>
          <w:sz w:val="28"/>
          <w:szCs w:val="28"/>
          <w:lang w:eastAsia="en-US"/>
        </w:rPr>
        <w:t xml:space="preserve">2009.gada 18.decembrī Norvēģija, </w:t>
      </w:r>
      <w:proofErr w:type="spellStart"/>
      <w:r w:rsidRPr="00D500AC">
        <w:rPr>
          <w:rFonts w:eastAsia="Calibri"/>
          <w:sz w:val="28"/>
          <w:szCs w:val="28"/>
          <w:lang w:eastAsia="en-US"/>
        </w:rPr>
        <w:t>Īslande</w:t>
      </w:r>
      <w:proofErr w:type="spellEnd"/>
      <w:r w:rsidRPr="00D500AC">
        <w:rPr>
          <w:rFonts w:eastAsia="Calibri"/>
          <w:sz w:val="28"/>
          <w:szCs w:val="28"/>
          <w:lang w:eastAsia="en-US"/>
        </w:rPr>
        <w:t xml:space="preserve"> un Lihtenšteina (</w:t>
      </w:r>
      <w:proofErr w:type="spellStart"/>
      <w:r w:rsidRPr="00D500AC">
        <w:rPr>
          <w:rFonts w:eastAsia="Calibri"/>
          <w:sz w:val="28"/>
          <w:szCs w:val="28"/>
          <w:lang w:eastAsia="en-US"/>
        </w:rPr>
        <w:t>donorvalstis</w:t>
      </w:r>
      <w:proofErr w:type="spellEnd"/>
      <w:r w:rsidRPr="00D500AC">
        <w:rPr>
          <w:rFonts w:eastAsia="Calibri"/>
          <w:sz w:val="28"/>
          <w:szCs w:val="28"/>
          <w:lang w:eastAsia="en-US"/>
        </w:rPr>
        <w:t xml:space="preserve">) panāca vienošanos ar Eiropas Komisiju (EK) par Eiropas Ekonomikas zonas finanšu instrumenta (EEZ FI) un Norvēģijas finanšu instrumenta (NFI) ieviešanai paredzētā finansējuma piešķiršanu plānošanas periodā no 2009. līdz 2014.gadam, un </w:t>
      </w:r>
      <w:proofErr w:type="spellStart"/>
      <w:r w:rsidRPr="00D500AC">
        <w:rPr>
          <w:rFonts w:eastAsia="Calibri"/>
          <w:sz w:val="28"/>
          <w:szCs w:val="28"/>
          <w:lang w:eastAsia="en-US"/>
        </w:rPr>
        <w:t>š.g</w:t>
      </w:r>
      <w:proofErr w:type="spellEnd"/>
      <w:r w:rsidRPr="00D500AC">
        <w:rPr>
          <w:rFonts w:eastAsia="Calibri"/>
          <w:sz w:val="28"/>
          <w:szCs w:val="28"/>
          <w:lang w:eastAsia="en-US"/>
        </w:rPr>
        <w:t>. 28.jūlijā par minētā atbalsta piešķiršanu tika parakstīts līgums starp EK un Norvēģijas Karalisti par NFI un līgums starp EK un EEZ-EBTA</w:t>
      </w:r>
      <w:r w:rsidRPr="00D500AC">
        <w:rPr>
          <w:rStyle w:val="FootnoteReference"/>
          <w:rFonts w:eastAsia="Calibri"/>
          <w:sz w:val="28"/>
          <w:szCs w:val="28"/>
          <w:lang w:eastAsia="en-US"/>
        </w:rPr>
        <w:footnoteReference w:id="1"/>
      </w:r>
      <w:r w:rsidRPr="00D500AC">
        <w:rPr>
          <w:rFonts w:eastAsia="Calibri"/>
          <w:sz w:val="28"/>
          <w:szCs w:val="28"/>
          <w:lang w:eastAsia="en-US"/>
        </w:rPr>
        <w:t xml:space="preserve"> valstīm par EEZ FI.</w:t>
      </w:r>
      <w:r w:rsidRPr="00D500AC" w:rsidDel="008340F1">
        <w:rPr>
          <w:rFonts w:eastAsia="Calibri"/>
          <w:sz w:val="28"/>
          <w:szCs w:val="28"/>
          <w:lang w:eastAsia="en-US"/>
        </w:rPr>
        <w:t xml:space="preserve"> </w:t>
      </w:r>
      <w:r w:rsidRPr="00D500AC">
        <w:rPr>
          <w:rFonts w:eastAsia="Calibri"/>
          <w:sz w:val="28"/>
          <w:szCs w:val="28"/>
          <w:lang w:eastAsia="en-US"/>
        </w:rPr>
        <w:t xml:space="preserve">Latvijai paredzētā finanšu palīdzības daļa EEZ FI un NFI kopā ir EUR 72,95 </w:t>
      </w:r>
      <w:proofErr w:type="spellStart"/>
      <w:r w:rsidRPr="00D500AC">
        <w:rPr>
          <w:rFonts w:eastAsia="Calibri"/>
          <w:sz w:val="28"/>
          <w:szCs w:val="28"/>
          <w:lang w:eastAsia="en-US"/>
        </w:rPr>
        <w:t>milj</w:t>
      </w:r>
      <w:proofErr w:type="spellEnd"/>
      <w:r w:rsidRPr="00D500AC">
        <w:rPr>
          <w:rFonts w:eastAsia="Calibri"/>
          <w:sz w:val="28"/>
          <w:szCs w:val="28"/>
          <w:lang w:eastAsia="en-US"/>
        </w:rPr>
        <w:t xml:space="preserve">. jeb LVL 51,27 </w:t>
      </w:r>
      <w:proofErr w:type="spellStart"/>
      <w:r w:rsidRPr="00D500AC">
        <w:rPr>
          <w:rFonts w:eastAsia="Calibri"/>
          <w:sz w:val="28"/>
          <w:szCs w:val="28"/>
          <w:lang w:eastAsia="en-US"/>
        </w:rPr>
        <w:t>milj</w:t>
      </w:r>
      <w:proofErr w:type="spellEnd"/>
      <w:r w:rsidRPr="00D500AC">
        <w:rPr>
          <w:rFonts w:eastAsia="Calibri"/>
          <w:sz w:val="28"/>
          <w:szCs w:val="28"/>
          <w:lang w:eastAsia="en-US"/>
        </w:rPr>
        <w:t xml:space="preserve">. (EEZ FI ietvaros – EUR 34,55 </w:t>
      </w:r>
      <w:proofErr w:type="spellStart"/>
      <w:r w:rsidRPr="00D500AC">
        <w:rPr>
          <w:rFonts w:eastAsia="Calibri"/>
          <w:sz w:val="28"/>
          <w:szCs w:val="28"/>
          <w:lang w:eastAsia="en-US"/>
        </w:rPr>
        <w:t>milj</w:t>
      </w:r>
      <w:proofErr w:type="spellEnd"/>
      <w:r w:rsidRPr="00D500AC">
        <w:rPr>
          <w:rFonts w:eastAsia="Calibri"/>
          <w:sz w:val="28"/>
          <w:szCs w:val="28"/>
          <w:lang w:eastAsia="en-US"/>
        </w:rPr>
        <w:t xml:space="preserve">. jeb LVL 24,29 </w:t>
      </w:r>
      <w:proofErr w:type="spellStart"/>
      <w:r w:rsidRPr="00D500AC">
        <w:rPr>
          <w:rFonts w:eastAsia="Calibri"/>
          <w:sz w:val="28"/>
          <w:szCs w:val="28"/>
          <w:lang w:eastAsia="en-US"/>
        </w:rPr>
        <w:t>milj</w:t>
      </w:r>
      <w:proofErr w:type="spellEnd"/>
      <w:r w:rsidRPr="00D500AC">
        <w:rPr>
          <w:rFonts w:eastAsia="Calibri"/>
          <w:sz w:val="28"/>
          <w:szCs w:val="28"/>
          <w:lang w:eastAsia="en-US"/>
        </w:rPr>
        <w:t xml:space="preserve">. un  NFI ietvaros – EUR 38,4 </w:t>
      </w:r>
      <w:proofErr w:type="spellStart"/>
      <w:r w:rsidRPr="00D500AC">
        <w:rPr>
          <w:rFonts w:eastAsia="Calibri"/>
          <w:sz w:val="28"/>
          <w:szCs w:val="28"/>
          <w:lang w:eastAsia="en-US"/>
        </w:rPr>
        <w:t>milj</w:t>
      </w:r>
      <w:proofErr w:type="spellEnd"/>
      <w:r w:rsidRPr="00D500AC">
        <w:rPr>
          <w:rFonts w:eastAsia="Calibri"/>
          <w:sz w:val="28"/>
          <w:szCs w:val="28"/>
          <w:lang w:eastAsia="en-US"/>
        </w:rPr>
        <w:t xml:space="preserve">. eiro jeb LVL 26,98 </w:t>
      </w:r>
      <w:proofErr w:type="spellStart"/>
      <w:r w:rsidRPr="00D500AC">
        <w:rPr>
          <w:rFonts w:eastAsia="Calibri"/>
          <w:sz w:val="28"/>
          <w:szCs w:val="28"/>
          <w:lang w:eastAsia="en-US"/>
        </w:rPr>
        <w:t>milj</w:t>
      </w:r>
      <w:proofErr w:type="spellEnd"/>
      <w:r w:rsidRPr="00D500AC">
        <w:rPr>
          <w:rFonts w:eastAsia="Calibri"/>
          <w:sz w:val="28"/>
          <w:szCs w:val="28"/>
          <w:lang w:eastAsia="en-US"/>
        </w:rPr>
        <w:t xml:space="preserve">.). </w:t>
      </w:r>
    </w:p>
    <w:p w:rsidR="00166351" w:rsidRDefault="00166351" w:rsidP="00166351">
      <w:pPr>
        <w:ind w:right="226" w:firstLine="284"/>
        <w:jc w:val="both"/>
        <w:rPr>
          <w:rFonts w:eastAsia="Calibri"/>
          <w:sz w:val="28"/>
          <w:szCs w:val="28"/>
          <w:lang w:eastAsia="en-US"/>
        </w:rPr>
      </w:pPr>
      <w:r w:rsidRPr="00D500AC">
        <w:rPr>
          <w:rFonts w:eastAsia="Calibri"/>
          <w:sz w:val="28"/>
          <w:szCs w:val="28"/>
          <w:lang w:eastAsia="en-US"/>
        </w:rPr>
        <w:t xml:space="preserve">Turpmākā procedūra paredz, ka </w:t>
      </w:r>
      <w:proofErr w:type="spellStart"/>
      <w:r w:rsidRPr="00D500AC">
        <w:rPr>
          <w:rFonts w:eastAsia="Calibri"/>
          <w:sz w:val="28"/>
          <w:szCs w:val="28"/>
          <w:lang w:eastAsia="en-US"/>
        </w:rPr>
        <w:t>donorvalstis</w:t>
      </w:r>
      <w:proofErr w:type="spellEnd"/>
      <w:r w:rsidRPr="00D500AC">
        <w:rPr>
          <w:rFonts w:eastAsia="Calibri"/>
          <w:sz w:val="28"/>
          <w:szCs w:val="28"/>
          <w:lang w:eastAsia="en-US"/>
        </w:rPr>
        <w:t xml:space="preserve"> noslēgs saprašanās memorandus ar saņēmējvalsti (</w:t>
      </w:r>
      <w:proofErr w:type="spellStart"/>
      <w:r w:rsidRPr="00D500AC">
        <w:rPr>
          <w:rFonts w:eastAsia="Calibri"/>
          <w:sz w:val="28"/>
          <w:szCs w:val="28"/>
          <w:lang w:eastAsia="en-US"/>
        </w:rPr>
        <w:t>t.sk</w:t>
      </w:r>
      <w:proofErr w:type="spellEnd"/>
      <w:r w:rsidRPr="00D500AC">
        <w:rPr>
          <w:rFonts w:eastAsia="Calibri"/>
          <w:sz w:val="28"/>
          <w:szCs w:val="28"/>
          <w:lang w:eastAsia="en-US"/>
        </w:rPr>
        <w:t xml:space="preserve">. Latviju) par EEZ FI un NFI </w:t>
      </w:r>
      <w:r w:rsidRPr="00D500AC">
        <w:rPr>
          <w:rFonts w:eastAsia="Calibri"/>
          <w:iCs/>
          <w:sz w:val="28"/>
          <w:szCs w:val="28"/>
          <w:lang w:eastAsia="en-US"/>
        </w:rPr>
        <w:t>ieviešanu</w:t>
      </w:r>
      <w:r w:rsidRPr="00D500AC">
        <w:rPr>
          <w:rFonts w:eastAsia="Calibri"/>
          <w:sz w:val="28"/>
          <w:szCs w:val="28"/>
          <w:lang w:eastAsia="en-US"/>
        </w:rPr>
        <w:t xml:space="preserve">. Saprašanās memorandu ietvaros būs jāpanāk vienošanās par EEZ FI un NFI ieviešanas mehānismu, kā arī par konkrētām prioritātēm, kuras dalībvalsts izvēlas no </w:t>
      </w:r>
      <w:proofErr w:type="spellStart"/>
      <w:r w:rsidRPr="00D500AC">
        <w:rPr>
          <w:rFonts w:eastAsia="Calibri"/>
          <w:sz w:val="28"/>
          <w:szCs w:val="28"/>
          <w:lang w:eastAsia="en-US"/>
        </w:rPr>
        <w:t>donorvalstu</w:t>
      </w:r>
      <w:proofErr w:type="spellEnd"/>
      <w:r w:rsidRPr="00D500AC">
        <w:rPr>
          <w:rFonts w:eastAsia="Calibri"/>
          <w:sz w:val="28"/>
          <w:szCs w:val="28"/>
          <w:lang w:eastAsia="en-US"/>
        </w:rPr>
        <w:t xml:space="preserve"> piedāvātajām prioritātēm un tām paredzēto finansējuma apjomu. Finanšu ministrija ir EEZ FI un NFI vadošā iestāde, un tādējādi tās uzdevums ir vadīt saprašanās memorandu parakstīšanas procesu, tai skaitā, pārstāvēt Latvijas viedokli sarunās ar </w:t>
      </w:r>
      <w:proofErr w:type="spellStart"/>
      <w:r w:rsidRPr="00D500AC">
        <w:rPr>
          <w:rFonts w:eastAsia="Calibri"/>
          <w:sz w:val="28"/>
          <w:szCs w:val="28"/>
          <w:lang w:eastAsia="en-US"/>
        </w:rPr>
        <w:t>donorvalstīm</w:t>
      </w:r>
      <w:proofErr w:type="spellEnd"/>
      <w:r w:rsidRPr="00D500AC">
        <w:rPr>
          <w:rFonts w:eastAsia="Calibri"/>
          <w:sz w:val="28"/>
          <w:szCs w:val="28"/>
          <w:lang w:eastAsia="en-US"/>
        </w:rPr>
        <w:t xml:space="preserve"> par EEZ FI un NFI 2009.-2014.gada prioritātēm.</w:t>
      </w:r>
    </w:p>
    <w:p w:rsidR="00166351" w:rsidRPr="003F6A8B" w:rsidRDefault="00166351" w:rsidP="00166351">
      <w:pPr>
        <w:ind w:right="226" w:firstLine="284"/>
        <w:jc w:val="both"/>
        <w:rPr>
          <w:iCs/>
          <w:sz w:val="28"/>
          <w:szCs w:val="28"/>
        </w:rPr>
      </w:pPr>
      <w:r w:rsidRPr="00DE33E5">
        <w:rPr>
          <w:iCs/>
          <w:sz w:val="28"/>
          <w:szCs w:val="28"/>
        </w:rPr>
        <w:t>2011.gada 2.februārī Oslo, Norvēģijā, notiks atkārtotas sarunas</w:t>
      </w:r>
      <w:r>
        <w:rPr>
          <w:iCs/>
          <w:sz w:val="28"/>
          <w:szCs w:val="28"/>
        </w:rPr>
        <w:t xml:space="preserve"> </w:t>
      </w:r>
      <w:r w:rsidRPr="00DE33E5">
        <w:rPr>
          <w:sz w:val="28"/>
          <w:szCs w:val="28"/>
        </w:rPr>
        <w:t xml:space="preserve">ar </w:t>
      </w:r>
      <w:proofErr w:type="spellStart"/>
      <w:r w:rsidRPr="00DE33E5">
        <w:rPr>
          <w:sz w:val="28"/>
          <w:szCs w:val="28"/>
        </w:rPr>
        <w:t>donorvalstu</w:t>
      </w:r>
      <w:proofErr w:type="spellEnd"/>
      <w:r w:rsidRPr="00DE33E5">
        <w:rPr>
          <w:sz w:val="28"/>
          <w:szCs w:val="28"/>
        </w:rPr>
        <w:t xml:space="preserve"> pārstāvjiem pirms EEZ FI un NFI saprašanās memorandu noslēgšanas, kuru galvenais mērķis bija saskaņot Latvijas izvirzīto prioritāšu atbilstību </w:t>
      </w:r>
      <w:proofErr w:type="spellStart"/>
      <w:r w:rsidRPr="00DE33E5">
        <w:rPr>
          <w:sz w:val="28"/>
          <w:szCs w:val="28"/>
        </w:rPr>
        <w:t>donorvalstu</w:t>
      </w:r>
      <w:proofErr w:type="spellEnd"/>
      <w:r w:rsidRPr="00DE33E5">
        <w:rPr>
          <w:sz w:val="28"/>
          <w:szCs w:val="28"/>
        </w:rPr>
        <w:t xml:space="preserve"> izvirzītajiem nosacījumiem, saskaņot prioritāšu ietvaros iecerētos pasākumus un/vai atbalsta jomas, prioritātēm atvēlēto finansējumu, kā arī vienoties par atsevišķiem vispārīgiem jautājumiem, kas skar EEZ FI un NFI plānošanas un ieviešanas sistēmu</w:t>
      </w:r>
      <w:r w:rsidRPr="00DE33E5">
        <w:rPr>
          <w:iCs/>
          <w:sz w:val="28"/>
          <w:szCs w:val="28"/>
        </w:rPr>
        <w:t xml:space="preserve">, lai nodrošinātu </w:t>
      </w:r>
      <w:r w:rsidRPr="00DE33E5">
        <w:rPr>
          <w:sz w:val="28"/>
          <w:szCs w:val="28"/>
        </w:rPr>
        <w:t>EEZ FI un NFI saprašanās memorandu noslēgšanu</w:t>
      </w:r>
      <w:r>
        <w:rPr>
          <w:sz w:val="28"/>
          <w:szCs w:val="28"/>
        </w:rPr>
        <w:t>.</w:t>
      </w:r>
      <w:r w:rsidRPr="003F6A8B">
        <w:rPr>
          <w:rStyle w:val="normalchar1"/>
          <w:sz w:val="28"/>
          <w:szCs w:val="28"/>
        </w:rPr>
        <w:t xml:space="preserve"> </w:t>
      </w:r>
    </w:p>
    <w:p w:rsidR="00166351" w:rsidRPr="003F6A8B" w:rsidRDefault="00166351" w:rsidP="00166351">
      <w:pPr>
        <w:autoSpaceDE w:val="0"/>
        <w:autoSpaceDN w:val="0"/>
        <w:adjustRightInd w:val="0"/>
        <w:ind w:left="142" w:right="226" w:firstLine="578"/>
        <w:jc w:val="both"/>
        <w:rPr>
          <w:iCs/>
          <w:sz w:val="28"/>
          <w:szCs w:val="28"/>
        </w:rPr>
      </w:pPr>
    </w:p>
    <w:p w:rsidR="00166351" w:rsidRDefault="00166351" w:rsidP="00166351">
      <w:pPr>
        <w:autoSpaceDE w:val="0"/>
        <w:autoSpaceDN w:val="0"/>
        <w:adjustRightInd w:val="0"/>
        <w:ind w:left="142" w:right="226" w:firstLine="578"/>
        <w:rPr>
          <w:b/>
          <w:bCs/>
          <w:iCs/>
          <w:sz w:val="28"/>
          <w:szCs w:val="28"/>
          <w:u w:val="single"/>
        </w:rPr>
      </w:pPr>
      <w:r w:rsidRPr="003F6A8B">
        <w:rPr>
          <w:b/>
          <w:bCs/>
          <w:iCs/>
          <w:sz w:val="28"/>
          <w:szCs w:val="28"/>
          <w:u w:val="single"/>
        </w:rPr>
        <w:t>Latvijas pozīcija</w:t>
      </w:r>
    </w:p>
    <w:p w:rsidR="00166351" w:rsidRDefault="00166351" w:rsidP="00166351">
      <w:pPr>
        <w:autoSpaceDE w:val="0"/>
        <w:autoSpaceDN w:val="0"/>
        <w:adjustRightInd w:val="0"/>
        <w:ind w:left="142" w:right="226" w:firstLine="578"/>
        <w:rPr>
          <w:b/>
          <w:bCs/>
          <w:iCs/>
          <w:sz w:val="28"/>
          <w:szCs w:val="28"/>
          <w:u w:val="single"/>
        </w:rPr>
      </w:pPr>
    </w:p>
    <w:p w:rsidR="00166351" w:rsidRDefault="00166351" w:rsidP="00166351">
      <w:pPr>
        <w:numPr>
          <w:ilvl w:val="0"/>
          <w:numId w:val="2"/>
        </w:numPr>
        <w:tabs>
          <w:tab w:val="left" w:pos="284"/>
          <w:tab w:val="left" w:pos="993"/>
        </w:tabs>
        <w:autoSpaceDE w:val="0"/>
        <w:autoSpaceDN w:val="0"/>
        <w:adjustRightInd w:val="0"/>
        <w:ind w:left="0" w:right="226" w:firstLine="0"/>
        <w:jc w:val="both"/>
        <w:rPr>
          <w:bCs/>
          <w:iCs/>
          <w:sz w:val="28"/>
          <w:szCs w:val="28"/>
        </w:rPr>
      </w:pPr>
      <w:r w:rsidRPr="00D500AC">
        <w:rPr>
          <w:bCs/>
          <w:iCs/>
          <w:sz w:val="28"/>
          <w:szCs w:val="28"/>
        </w:rPr>
        <w:t>Atbalstāmās prioritātes</w:t>
      </w:r>
    </w:p>
    <w:p w:rsidR="00166351" w:rsidRDefault="00166351" w:rsidP="00166351">
      <w:pPr>
        <w:ind w:right="226" w:firstLine="284"/>
        <w:jc w:val="both"/>
        <w:rPr>
          <w:bCs/>
          <w:iCs/>
          <w:sz w:val="28"/>
          <w:szCs w:val="28"/>
        </w:rPr>
      </w:pPr>
      <w:r w:rsidRPr="00D500AC">
        <w:rPr>
          <w:bCs/>
          <w:iCs/>
          <w:sz w:val="28"/>
          <w:szCs w:val="28"/>
        </w:rPr>
        <w:t xml:space="preserve">EEZ FI un NFI ietvaros tiks atbalstītas sekojošas Latvijas prioritātes: </w:t>
      </w:r>
    </w:p>
    <w:p w:rsidR="00166351" w:rsidRPr="003F6A8B" w:rsidRDefault="00166351" w:rsidP="00166351">
      <w:pPr>
        <w:ind w:right="226" w:firstLine="284"/>
        <w:jc w:val="both"/>
        <w:rPr>
          <w:bCs/>
          <w:iCs/>
          <w:sz w:val="28"/>
          <w:szCs w:val="28"/>
        </w:rPr>
      </w:pPr>
      <w:r w:rsidRPr="003F6A8B">
        <w:rPr>
          <w:bCs/>
          <w:iCs/>
          <w:sz w:val="28"/>
          <w:szCs w:val="28"/>
        </w:rPr>
        <w:t>3.1. Klimata iz</w:t>
      </w:r>
      <w:r>
        <w:rPr>
          <w:bCs/>
          <w:iCs/>
          <w:sz w:val="28"/>
          <w:szCs w:val="28"/>
        </w:rPr>
        <w:t>maiņas un atjaunojamā enerģija;</w:t>
      </w:r>
    </w:p>
    <w:p w:rsidR="00166351" w:rsidRPr="003F6A8B" w:rsidRDefault="00166351" w:rsidP="00166351">
      <w:pPr>
        <w:ind w:right="226" w:firstLine="284"/>
        <w:jc w:val="both"/>
        <w:rPr>
          <w:bCs/>
          <w:iCs/>
          <w:sz w:val="28"/>
          <w:szCs w:val="28"/>
        </w:rPr>
      </w:pPr>
      <w:r>
        <w:rPr>
          <w:bCs/>
          <w:iCs/>
          <w:sz w:val="28"/>
          <w:szCs w:val="28"/>
        </w:rPr>
        <w:t xml:space="preserve">3.2. NVO fonds </w:t>
      </w:r>
      <w:r w:rsidRPr="003F6A8B">
        <w:rPr>
          <w:bCs/>
          <w:iCs/>
          <w:sz w:val="28"/>
          <w:szCs w:val="28"/>
        </w:rPr>
        <w:t xml:space="preserve">pilsoniskās sabiedrības attīstībai, ietverot </w:t>
      </w:r>
      <w:proofErr w:type="spellStart"/>
      <w:r w:rsidRPr="003F6A8B">
        <w:rPr>
          <w:bCs/>
          <w:iCs/>
          <w:sz w:val="28"/>
          <w:szCs w:val="28"/>
        </w:rPr>
        <w:t>cilvēkdrošību</w:t>
      </w:r>
      <w:proofErr w:type="spellEnd"/>
      <w:r w:rsidRPr="003F6A8B">
        <w:rPr>
          <w:bCs/>
          <w:iCs/>
          <w:sz w:val="28"/>
          <w:szCs w:val="28"/>
        </w:rPr>
        <w:t xml:space="preserve">, ilgtermiņa atbalstu sociālās atstumtības riskam pakļautajiem bērniem un </w:t>
      </w:r>
      <w:r w:rsidRPr="003F6A8B">
        <w:rPr>
          <w:bCs/>
          <w:iCs/>
          <w:sz w:val="28"/>
          <w:szCs w:val="28"/>
        </w:rPr>
        <w:lastRenderedPageBreak/>
        <w:t>jauniešiem, vietējās un reģionālās iniciatīvas, lai mazinātu nevienlīdzību un veicinātu sociālo iekļaušanu un dzimumu līdztiesības principa ievērošanu;</w:t>
      </w:r>
    </w:p>
    <w:p w:rsidR="00166351" w:rsidRPr="003F6A8B" w:rsidRDefault="00166351" w:rsidP="00166351">
      <w:pPr>
        <w:ind w:right="226" w:firstLine="284"/>
        <w:jc w:val="both"/>
        <w:rPr>
          <w:bCs/>
          <w:iCs/>
          <w:sz w:val="28"/>
          <w:szCs w:val="28"/>
        </w:rPr>
      </w:pPr>
      <w:r w:rsidRPr="003F6A8B">
        <w:rPr>
          <w:bCs/>
          <w:iCs/>
          <w:sz w:val="28"/>
          <w:szCs w:val="28"/>
        </w:rPr>
        <w:t xml:space="preserve">3.3. </w:t>
      </w:r>
      <w:r>
        <w:rPr>
          <w:bCs/>
          <w:iCs/>
          <w:sz w:val="28"/>
          <w:szCs w:val="28"/>
        </w:rPr>
        <w:t>Kultūras mantojuma aizsardzība;</w:t>
      </w:r>
    </w:p>
    <w:p w:rsidR="00166351" w:rsidRPr="003F6A8B" w:rsidRDefault="00166351" w:rsidP="00166351">
      <w:pPr>
        <w:ind w:right="226" w:firstLine="284"/>
        <w:jc w:val="both"/>
        <w:rPr>
          <w:bCs/>
          <w:iCs/>
          <w:sz w:val="28"/>
          <w:szCs w:val="28"/>
        </w:rPr>
      </w:pPr>
      <w:r w:rsidRPr="003F6A8B">
        <w:rPr>
          <w:bCs/>
          <w:iCs/>
          <w:sz w:val="28"/>
          <w:szCs w:val="28"/>
        </w:rPr>
        <w:t>3.4. Atbalsts zaļākai rūpniecībai – Viedo tehnoloģiju fonds</w:t>
      </w:r>
      <w:r>
        <w:rPr>
          <w:bCs/>
          <w:iCs/>
          <w:sz w:val="28"/>
          <w:szCs w:val="28"/>
        </w:rPr>
        <w:t>;</w:t>
      </w:r>
    </w:p>
    <w:p w:rsidR="00166351" w:rsidRDefault="00166351" w:rsidP="00166351">
      <w:pPr>
        <w:ind w:right="226" w:firstLine="284"/>
        <w:jc w:val="both"/>
        <w:rPr>
          <w:bCs/>
          <w:iCs/>
          <w:sz w:val="28"/>
          <w:szCs w:val="28"/>
        </w:rPr>
      </w:pPr>
      <w:r w:rsidRPr="003F6A8B">
        <w:rPr>
          <w:bCs/>
          <w:iCs/>
          <w:sz w:val="28"/>
          <w:szCs w:val="28"/>
        </w:rPr>
        <w:t>3.5. Bilaterālā pētniecības</w:t>
      </w:r>
      <w:r>
        <w:rPr>
          <w:bCs/>
          <w:iCs/>
          <w:sz w:val="28"/>
          <w:szCs w:val="28"/>
        </w:rPr>
        <w:t xml:space="preserve"> un stipendiju</w:t>
      </w:r>
      <w:r w:rsidRPr="003F6A8B">
        <w:rPr>
          <w:bCs/>
          <w:iCs/>
          <w:sz w:val="28"/>
          <w:szCs w:val="28"/>
        </w:rPr>
        <w:t xml:space="preserve"> programma</w:t>
      </w:r>
      <w:r>
        <w:rPr>
          <w:bCs/>
          <w:iCs/>
          <w:sz w:val="28"/>
          <w:szCs w:val="28"/>
        </w:rPr>
        <w:t>;</w:t>
      </w:r>
    </w:p>
    <w:p w:rsidR="00166351" w:rsidRPr="003F6A8B" w:rsidRDefault="00166351" w:rsidP="00166351">
      <w:pPr>
        <w:ind w:right="226" w:firstLine="284"/>
        <w:jc w:val="both"/>
        <w:rPr>
          <w:bCs/>
          <w:iCs/>
          <w:sz w:val="28"/>
          <w:szCs w:val="28"/>
        </w:rPr>
      </w:pPr>
      <w:r w:rsidRPr="003F6A8B">
        <w:rPr>
          <w:bCs/>
          <w:iCs/>
          <w:sz w:val="28"/>
          <w:szCs w:val="28"/>
        </w:rPr>
        <w:t>3.6. Tieslietas un iekšlietas, ietverot kriminālsodu izpildes pilnveidošanu un īslaicīgās a</w:t>
      </w:r>
      <w:r>
        <w:rPr>
          <w:bCs/>
          <w:iCs/>
          <w:sz w:val="28"/>
          <w:szCs w:val="28"/>
        </w:rPr>
        <w:t>izturēšanas apstākļu uzlabošanu;</w:t>
      </w:r>
    </w:p>
    <w:p w:rsidR="00166351" w:rsidRDefault="00166351" w:rsidP="00166351">
      <w:pPr>
        <w:ind w:right="226" w:firstLine="284"/>
        <w:jc w:val="both"/>
        <w:rPr>
          <w:bCs/>
          <w:iCs/>
          <w:sz w:val="28"/>
          <w:szCs w:val="28"/>
        </w:rPr>
      </w:pPr>
      <w:r w:rsidRPr="003F6A8B">
        <w:rPr>
          <w:bCs/>
          <w:iCs/>
          <w:sz w:val="28"/>
          <w:szCs w:val="28"/>
        </w:rPr>
        <w:t>3.7. Cienīga darba un trīs</w:t>
      </w:r>
      <w:r>
        <w:rPr>
          <w:bCs/>
          <w:iCs/>
          <w:sz w:val="28"/>
          <w:szCs w:val="28"/>
        </w:rPr>
        <w:t>pusējās sadarbības veicināšana.</w:t>
      </w:r>
    </w:p>
    <w:p w:rsidR="00166351" w:rsidRDefault="00166351" w:rsidP="00166351">
      <w:pPr>
        <w:tabs>
          <w:tab w:val="left" w:pos="851"/>
        </w:tabs>
        <w:ind w:right="226" w:firstLine="284"/>
        <w:jc w:val="both"/>
        <w:rPr>
          <w:bCs/>
          <w:iCs/>
          <w:sz w:val="28"/>
          <w:szCs w:val="28"/>
        </w:rPr>
      </w:pPr>
      <w:r>
        <w:rPr>
          <w:bCs/>
          <w:iCs/>
          <w:sz w:val="28"/>
          <w:szCs w:val="28"/>
        </w:rPr>
        <w:t xml:space="preserve">3.8. </w:t>
      </w:r>
      <w:r w:rsidRPr="00E22075">
        <w:rPr>
          <w:bCs/>
          <w:iCs/>
          <w:sz w:val="28"/>
          <w:szCs w:val="28"/>
        </w:rPr>
        <w:t>Kapacitātes celšana un institucionālā sadarbība ar Norvēģijas publiskajām institūcijām, vietēj</w:t>
      </w:r>
      <w:r>
        <w:rPr>
          <w:bCs/>
          <w:iCs/>
          <w:sz w:val="28"/>
          <w:szCs w:val="28"/>
        </w:rPr>
        <w:t>ām un reģionālām varas iestādēm.</w:t>
      </w:r>
    </w:p>
    <w:p w:rsidR="00166351" w:rsidRPr="00AE299B" w:rsidRDefault="00166351" w:rsidP="00166351">
      <w:pPr>
        <w:ind w:left="142" w:right="226" w:firstLine="578"/>
        <w:jc w:val="both"/>
        <w:rPr>
          <w:bCs/>
          <w:iCs/>
          <w:sz w:val="28"/>
          <w:szCs w:val="28"/>
        </w:rPr>
      </w:pPr>
    </w:p>
    <w:p w:rsidR="00166351" w:rsidRPr="00D500AC" w:rsidRDefault="00166351" w:rsidP="00166351">
      <w:pPr>
        <w:numPr>
          <w:ilvl w:val="0"/>
          <w:numId w:val="1"/>
        </w:numPr>
        <w:tabs>
          <w:tab w:val="left" w:pos="284"/>
          <w:tab w:val="left" w:pos="993"/>
        </w:tabs>
        <w:ind w:right="226" w:hanging="1350"/>
        <w:jc w:val="both"/>
        <w:rPr>
          <w:rFonts w:eastAsia="Calibri"/>
          <w:sz w:val="28"/>
          <w:szCs w:val="28"/>
          <w:lang w:eastAsia="en-US"/>
        </w:rPr>
      </w:pPr>
      <w:r w:rsidRPr="00D500AC">
        <w:rPr>
          <w:rFonts w:eastAsia="Calibri"/>
          <w:sz w:val="28"/>
          <w:szCs w:val="28"/>
          <w:lang w:eastAsia="en-US"/>
        </w:rPr>
        <w:t>Finansējums</w:t>
      </w:r>
    </w:p>
    <w:p w:rsidR="00166351" w:rsidRDefault="00166351" w:rsidP="00166351">
      <w:pPr>
        <w:ind w:right="226" w:firstLine="284"/>
        <w:jc w:val="both"/>
        <w:rPr>
          <w:rFonts w:eastAsia="Calibri"/>
          <w:sz w:val="28"/>
          <w:szCs w:val="28"/>
          <w:lang w:eastAsia="en-US"/>
        </w:rPr>
      </w:pPr>
      <w:r w:rsidRPr="00D500AC">
        <w:rPr>
          <w:rFonts w:eastAsia="Calibri"/>
          <w:sz w:val="28"/>
          <w:szCs w:val="28"/>
          <w:lang w:eastAsia="en-US"/>
        </w:rPr>
        <w:t>Latvijas nostāja ir, ka, ņemot vērā ierobežotos Latvijas nacionālā budžeta resursus, EEZ FI un NFI ietvaros tiks tēr</w:t>
      </w:r>
      <w:r w:rsidRPr="00AE745E">
        <w:rPr>
          <w:rFonts w:eastAsia="Calibri"/>
          <w:sz w:val="28"/>
          <w:szCs w:val="28"/>
          <w:lang w:eastAsia="en-US"/>
        </w:rPr>
        <w:t>ēts iespējami mazākais nacionālā līdzfinansējuma apjoms</w:t>
      </w:r>
      <w:r w:rsidRPr="003F6A8B">
        <w:rPr>
          <w:rFonts w:eastAsia="Calibri"/>
          <w:sz w:val="28"/>
          <w:szCs w:val="28"/>
          <w:lang w:eastAsia="en-US"/>
        </w:rPr>
        <w:t>.</w:t>
      </w:r>
    </w:p>
    <w:p w:rsidR="00166351" w:rsidRPr="003F6A8B" w:rsidRDefault="00166351" w:rsidP="00166351">
      <w:pPr>
        <w:ind w:left="142" w:right="226" w:firstLine="578"/>
        <w:jc w:val="both"/>
        <w:rPr>
          <w:rFonts w:eastAsia="Calibri"/>
          <w:sz w:val="28"/>
          <w:szCs w:val="28"/>
          <w:lang w:eastAsia="en-US"/>
        </w:rPr>
      </w:pPr>
    </w:p>
    <w:p w:rsidR="00166351" w:rsidRPr="00D500AC" w:rsidRDefault="00166351" w:rsidP="00166351">
      <w:pPr>
        <w:numPr>
          <w:ilvl w:val="0"/>
          <w:numId w:val="1"/>
        </w:numPr>
        <w:tabs>
          <w:tab w:val="left" w:pos="284"/>
          <w:tab w:val="left" w:pos="993"/>
        </w:tabs>
        <w:ind w:right="226" w:hanging="1350"/>
        <w:jc w:val="both"/>
        <w:rPr>
          <w:rFonts w:eastAsia="Calibri"/>
          <w:sz w:val="28"/>
          <w:szCs w:val="28"/>
          <w:lang w:eastAsia="en-US"/>
        </w:rPr>
      </w:pPr>
      <w:r w:rsidRPr="00D500AC">
        <w:rPr>
          <w:rFonts w:eastAsia="Calibri"/>
          <w:sz w:val="28"/>
          <w:szCs w:val="28"/>
          <w:lang w:eastAsia="en-US"/>
        </w:rPr>
        <w:t>Ieviešana</w:t>
      </w:r>
    </w:p>
    <w:p w:rsidR="00166351" w:rsidRPr="003F6A8B" w:rsidRDefault="00166351" w:rsidP="00166351">
      <w:pPr>
        <w:ind w:right="226" w:firstLine="284"/>
        <w:jc w:val="both"/>
        <w:rPr>
          <w:rFonts w:eastAsia="Calibri"/>
          <w:sz w:val="28"/>
          <w:szCs w:val="28"/>
          <w:lang w:eastAsia="en-US"/>
        </w:rPr>
      </w:pPr>
      <w:r w:rsidRPr="00D500AC">
        <w:rPr>
          <w:rFonts w:eastAsia="Calibri"/>
          <w:sz w:val="28"/>
          <w:szCs w:val="28"/>
          <w:lang w:eastAsia="en-US"/>
        </w:rPr>
        <w:t>Finanšu ministrija veiks vadošās iestādes funkcijas EEZ FI un NFI ieviešanā, bet par konkrēto prioritāšu ieviešanu atbildību uzņemsies nozaru ministrijas, kur</w:t>
      </w:r>
      <w:r w:rsidRPr="00AE745E">
        <w:rPr>
          <w:rFonts w:eastAsia="Calibri"/>
          <w:sz w:val="28"/>
          <w:szCs w:val="28"/>
          <w:lang w:eastAsia="en-US"/>
        </w:rPr>
        <w:t>u</w:t>
      </w:r>
      <w:r w:rsidRPr="003F6A8B">
        <w:rPr>
          <w:rFonts w:eastAsia="Calibri"/>
          <w:sz w:val="28"/>
          <w:szCs w:val="28"/>
          <w:lang w:eastAsia="en-US"/>
        </w:rPr>
        <w:t xml:space="preserve"> kompetencē ir politikas veidošana attiecīgajā nozarē (piezīme – prioritāti „NVO fonds” ieviesīs Sabiedrības integrācijas fonds).  </w:t>
      </w:r>
    </w:p>
    <w:p w:rsidR="00166351" w:rsidRPr="00AE299B" w:rsidRDefault="00166351" w:rsidP="00166351">
      <w:pPr>
        <w:autoSpaceDE w:val="0"/>
        <w:autoSpaceDN w:val="0"/>
        <w:adjustRightInd w:val="0"/>
        <w:rPr>
          <w:b/>
          <w:bCs/>
          <w:iCs/>
          <w:sz w:val="26"/>
          <w:szCs w:val="26"/>
          <w:u w:val="single"/>
        </w:rPr>
      </w:pPr>
    </w:p>
    <w:p w:rsidR="00166351" w:rsidRPr="00AE299B" w:rsidRDefault="00166351" w:rsidP="00166351">
      <w:pPr>
        <w:pStyle w:val="BodyText"/>
        <w:jc w:val="both"/>
        <w:rPr>
          <w:szCs w:val="28"/>
          <w:highlight w:val="yellow"/>
          <w:lang w:val="lv-LV"/>
        </w:rPr>
      </w:pPr>
    </w:p>
    <w:p w:rsidR="00166351" w:rsidRPr="00E22075" w:rsidRDefault="00166351" w:rsidP="00166351">
      <w:pPr>
        <w:pStyle w:val="BodyText2"/>
        <w:tabs>
          <w:tab w:val="left" w:pos="7230"/>
        </w:tabs>
        <w:jc w:val="left"/>
        <w:rPr>
          <w:sz w:val="28"/>
          <w:szCs w:val="28"/>
          <w:lang w:val="lv-LV"/>
        </w:rPr>
      </w:pPr>
      <w:r w:rsidRPr="00D500AC">
        <w:rPr>
          <w:sz w:val="28"/>
          <w:szCs w:val="28"/>
        </w:rPr>
        <w:t xml:space="preserve">Finanšu ministrs </w:t>
      </w:r>
      <w:r w:rsidRPr="00D500AC">
        <w:rPr>
          <w:sz w:val="28"/>
          <w:szCs w:val="28"/>
        </w:rPr>
        <w:softHyphen/>
      </w:r>
      <w:r w:rsidRPr="00D500AC">
        <w:rPr>
          <w:sz w:val="28"/>
          <w:szCs w:val="28"/>
        </w:rPr>
        <w:tab/>
      </w:r>
      <w:r>
        <w:rPr>
          <w:sz w:val="28"/>
          <w:szCs w:val="28"/>
          <w:lang w:val="lv-LV"/>
        </w:rPr>
        <w:t>A. Vilks</w:t>
      </w:r>
    </w:p>
    <w:p w:rsidR="00166351" w:rsidRPr="00AE299B" w:rsidRDefault="00166351" w:rsidP="00166351">
      <w:pPr>
        <w:pStyle w:val="BodyText"/>
        <w:jc w:val="both"/>
        <w:rPr>
          <w:szCs w:val="28"/>
        </w:rPr>
      </w:pPr>
    </w:p>
    <w:p w:rsidR="00166351" w:rsidRPr="00AE299B" w:rsidRDefault="00166351" w:rsidP="00166351">
      <w:pPr>
        <w:tabs>
          <w:tab w:val="left" w:pos="7230"/>
        </w:tabs>
        <w:rPr>
          <w:sz w:val="26"/>
          <w:szCs w:val="26"/>
        </w:rPr>
      </w:pPr>
    </w:p>
    <w:p w:rsidR="00166351" w:rsidRDefault="00166351" w:rsidP="00166351">
      <w:pPr>
        <w:pStyle w:val="BodyText"/>
        <w:jc w:val="both"/>
        <w:rPr>
          <w:b w:val="0"/>
          <w:bCs/>
          <w:sz w:val="16"/>
          <w:szCs w:val="16"/>
        </w:rPr>
      </w:pPr>
    </w:p>
    <w:p w:rsidR="00166351" w:rsidRPr="00AE299B" w:rsidRDefault="00166351" w:rsidP="00166351">
      <w:pPr>
        <w:pStyle w:val="BodyText"/>
        <w:jc w:val="both"/>
        <w:rPr>
          <w:b w:val="0"/>
          <w:bCs/>
          <w:i/>
          <w:sz w:val="20"/>
          <w:lang w:val="lv-LV"/>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Default="00166351" w:rsidP="00166351">
      <w:pPr>
        <w:jc w:val="both"/>
        <w:rPr>
          <w:bCs/>
          <w:lang w:val="en-GB" w:eastAsia="en-US"/>
        </w:rPr>
      </w:pPr>
    </w:p>
    <w:p w:rsidR="00166351" w:rsidRPr="00AE299B" w:rsidRDefault="00166351" w:rsidP="00166351">
      <w:pPr>
        <w:jc w:val="both"/>
        <w:rPr>
          <w:highlight w:val="yellow"/>
          <w:lang w:val="en-GB" w:eastAsia="en-US"/>
        </w:rPr>
      </w:pPr>
      <w:r>
        <w:rPr>
          <w:bCs/>
          <w:lang w:val="en-GB" w:eastAsia="en-US"/>
        </w:rPr>
        <w:t>21.01.2011. 12:32</w:t>
      </w:r>
      <w:bookmarkStart w:id="0" w:name="_GoBack"/>
      <w:bookmarkEnd w:id="0"/>
    </w:p>
    <w:p w:rsidR="00166351" w:rsidRPr="00AE299B" w:rsidRDefault="00166351" w:rsidP="00166351">
      <w:pPr>
        <w:jc w:val="both"/>
        <w:rPr>
          <w:bCs/>
          <w:lang w:val="en-GB" w:eastAsia="en-US"/>
        </w:rPr>
      </w:pPr>
      <w:r>
        <w:rPr>
          <w:bCs/>
          <w:lang w:val="en-GB" w:eastAsia="en-US"/>
        </w:rPr>
        <w:t>469</w:t>
      </w:r>
    </w:p>
    <w:p w:rsidR="00166351" w:rsidRPr="00C34C8C" w:rsidRDefault="00166351" w:rsidP="00166351">
      <w:r w:rsidRPr="00C34C8C">
        <w:t>Inta Liepa</w:t>
      </w:r>
    </w:p>
    <w:p w:rsidR="00166351" w:rsidRPr="00C34C8C" w:rsidRDefault="00166351" w:rsidP="00166351">
      <w:r w:rsidRPr="00C34C8C">
        <w:t>Finanšu ministrijas</w:t>
      </w:r>
    </w:p>
    <w:p w:rsidR="00166351" w:rsidRPr="00C34C8C" w:rsidRDefault="00166351" w:rsidP="00166351">
      <w:r w:rsidRPr="00C34C8C">
        <w:t>Eiropas Savienības fondu stratēģijas departamenta</w:t>
      </w:r>
    </w:p>
    <w:p w:rsidR="00166351" w:rsidRPr="00C34C8C" w:rsidRDefault="00166351" w:rsidP="00166351">
      <w:r>
        <w:t>direktora</w:t>
      </w:r>
      <w:r w:rsidRPr="00C34C8C">
        <w:t xml:space="preserve"> vietniece</w:t>
      </w:r>
    </w:p>
    <w:p w:rsidR="00166351" w:rsidRPr="00C34C8C" w:rsidRDefault="00166351" w:rsidP="00166351">
      <w:proofErr w:type="spellStart"/>
      <w:r w:rsidRPr="00C34C8C">
        <w:t>Tālr</w:t>
      </w:r>
      <w:proofErr w:type="spellEnd"/>
      <w:r w:rsidRPr="00C34C8C">
        <w:t>. 67095480, fakss 67095697</w:t>
      </w:r>
    </w:p>
    <w:p w:rsidR="00166351" w:rsidRPr="00444362" w:rsidRDefault="00166351" w:rsidP="00166351">
      <w:pPr>
        <w:rPr>
          <w:szCs w:val="28"/>
        </w:rPr>
      </w:pPr>
      <w:r w:rsidRPr="00C34C8C">
        <w:t>Inta.Liepa@fm.gov.lv</w:t>
      </w:r>
    </w:p>
    <w:p w:rsidR="00166351" w:rsidRPr="00EF71A7" w:rsidRDefault="00166351" w:rsidP="00166351">
      <w:pPr>
        <w:pStyle w:val="BodyText"/>
        <w:jc w:val="both"/>
        <w:rPr>
          <w:b w:val="0"/>
          <w:i/>
          <w:sz w:val="20"/>
        </w:rPr>
      </w:pPr>
    </w:p>
    <w:p w:rsidR="00764C31" w:rsidRPr="00166351" w:rsidRDefault="00764C31">
      <w:pPr>
        <w:rPr>
          <w:lang w:val="x-none"/>
        </w:rPr>
      </w:pPr>
    </w:p>
    <w:sectPr w:rsidR="00764C31" w:rsidRPr="00166351" w:rsidSect="00DD288E">
      <w:headerReference w:type="even" r:id="rId8"/>
      <w:headerReference w:type="default" r:id="rId9"/>
      <w:footerReference w:type="default" r:id="rId10"/>
      <w:footerReference w:type="first" r:id="rId11"/>
      <w:pgSz w:w="11906" w:h="16838" w:code="9"/>
      <w:pgMar w:top="851" w:right="1134" w:bottom="993"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51" w:rsidRDefault="00166351" w:rsidP="00166351">
      <w:r>
        <w:separator/>
      </w:r>
    </w:p>
  </w:endnote>
  <w:endnote w:type="continuationSeparator" w:id="0">
    <w:p w:rsidR="00166351" w:rsidRDefault="00166351" w:rsidP="001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AF" w:rsidRPr="00694612" w:rsidRDefault="00166351" w:rsidP="004231FE">
    <w:pPr>
      <w:pStyle w:val="BodyText"/>
      <w:jc w:val="both"/>
      <w:rPr>
        <w:b w:val="0"/>
        <w:sz w:val="20"/>
        <w:lang w:val="lv-LV"/>
      </w:rPr>
    </w:pPr>
    <w:r w:rsidRPr="00D65239">
      <w:rPr>
        <w:b w:val="0"/>
        <w:sz w:val="20"/>
      </w:rPr>
      <w:t>FMZino_2</w:t>
    </w:r>
    <w:r>
      <w:rPr>
        <w:b w:val="0"/>
        <w:sz w:val="20"/>
        <w:lang w:val="lv-LV"/>
      </w:rPr>
      <w:t>1</w:t>
    </w:r>
    <w:r>
      <w:rPr>
        <w:b w:val="0"/>
        <w:sz w:val="20"/>
        <w:lang w:val="lv-LV"/>
      </w:rPr>
      <w:t>01</w:t>
    </w:r>
    <w:r w:rsidRPr="00D65239">
      <w:rPr>
        <w:b w:val="0"/>
        <w:sz w:val="20"/>
      </w:rPr>
      <w:t>1</w:t>
    </w:r>
    <w:r>
      <w:rPr>
        <w:b w:val="0"/>
        <w:sz w:val="20"/>
        <w:lang w:val="lv-LV"/>
      </w:rPr>
      <w:t>1</w:t>
    </w:r>
    <w:r w:rsidRPr="00D65239">
      <w:rPr>
        <w:b w:val="0"/>
        <w:sz w:val="20"/>
      </w:rPr>
      <w:t xml:space="preserve">; Informatīvais </w:t>
    </w:r>
    <w:smartTag w:uri="schemas-tilde-lv/tildestengine" w:element="veidnes">
      <w:smartTagPr>
        <w:attr w:name="baseform" w:val="ziņojum|s"/>
        <w:attr w:name="id" w:val="-1"/>
        <w:attr w:name="text" w:val="ziņojums"/>
      </w:smartTagPr>
      <w:r w:rsidRPr="00D65239">
        <w:rPr>
          <w:b w:val="0"/>
          <w:sz w:val="20"/>
        </w:rPr>
        <w:t>ziņojums</w:t>
      </w:r>
    </w:smartTag>
    <w:r w:rsidRPr="00D65239">
      <w:rPr>
        <w:b w:val="0"/>
        <w:sz w:val="20"/>
      </w:rPr>
      <w:t xml:space="preserve"> </w:t>
    </w:r>
    <w:r w:rsidRPr="00D65239">
      <w:rPr>
        <w:b w:val="0"/>
        <w:bCs/>
        <w:sz w:val="20"/>
      </w:rPr>
      <w:t>„</w:t>
    </w:r>
    <w:r w:rsidRPr="00D65239">
      <w:rPr>
        <w:b w:val="0"/>
        <w:sz w:val="20"/>
        <w:lang w:val="lt-LT"/>
      </w:rPr>
      <w:t xml:space="preserve">Par </w:t>
    </w:r>
    <w:r w:rsidRPr="00D65239">
      <w:rPr>
        <w:b w:val="0"/>
        <w:sz w:val="20"/>
        <w:lang w:val="lt-LT"/>
      </w:rPr>
      <w:t>Latvijas prioritātēm Eiropas Ekonomikas zonas finanšu instrumenta un Norvēģijas finanšu instrumenta 2009</w:t>
    </w:r>
    <w:r w:rsidRPr="00D65239">
      <w:rPr>
        <w:b w:val="0"/>
        <w:sz w:val="20"/>
        <w:lang w:val="lt-LT"/>
      </w:rPr>
      <w:t>.-2014.gada plānošanas perioda ietvaros</w:t>
    </w:r>
    <w:r>
      <w:rPr>
        <w:b w:val="0"/>
        <w:sz w:val="20"/>
        <w:lang w:val="lt-L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AF" w:rsidRPr="008D0827" w:rsidRDefault="00166351" w:rsidP="008D0827">
    <w:pPr>
      <w:pStyle w:val="BodyText"/>
      <w:jc w:val="both"/>
      <w:rPr>
        <w:b w:val="0"/>
        <w:sz w:val="20"/>
      </w:rPr>
    </w:pPr>
    <w:r w:rsidRPr="0049129A">
      <w:rPr>
        <w:b w:val="0"/>
        <w:sz w:val="20"/>
      </w:rPr>
      <w:t>FMZino_2</w:t>
    </w:r>
    <w:r>
      <w:rPr>
        <w:b w:val="0"/>
        <w:sz w:val="20"/>
        <w:lang w:val="lv-LV"/>
      </w:rPr>
      <w:t>1</w:t>
    </w:r>
    <w:r>
      <w:rPr>
        <w:b w:val="0"/>
        <w:sz w:val="20"/>
        <w:lang w:val="lv-LV"/>
      </w:rPr>
      <w:t>01</w:t>
    </w:r>
    <w:r>
      <w:rPr>
        <w:b w:val="0"/>
        <w:sz w:val="20"/>
      </w:rPr>
      <w:t>1</w:t>
    </w:r>
    <w:r>
      <w:rPr>
        <w:b w:val="0"/>
        <w:sz w:val="20"/>
        <w:lang w:val="lv-LV"/>
      </w:rPr>
      <w:t>1</w:t>
    </w:r>
    <w:r w:rsidRPr="0049129A">
      <w:rPr>
        <w:b w:val="0"/>
        <w:sz w:val="20"/>
      </w:rPr>
      <w:t xml:space="preserve">; Informatīvais </w:t>
    </w:r>
    <w:smartTag w:uri="schemas-tilde-lv/tildestengine" w:element="veidnes">
      <w:smartTagPr>
        <w:attr w:name="text" w:val="ziņojums"/>
        <w:attr w:name="id" w:val="-1"/>
        <w:attr w:name="baseform" w:val="ziņojum|s"/>
      </w:smartTagPr>
      <w:r w:rsidRPr="0049129A">
        <w:rPr>
          <w:b w:val="0"/>
          <w:sz w:val="20"/>
        </w:rPr>
        <w:t>ziņojums</w:t>
      </w:r>
    </w:smartTag>
    <w:r w:rsidRPr="0049129A">
      <w:rPr>
        <w:b w:val="0"/>
        <w:sz w:val="20"/>
      </w:rPr>
      <w:t xml:space="preserve"> </w:t>
    </w:r>
    <w:r w:rsidRPr="0049129A">
      <w:rPr>
        <w:b w:val="0"/>
        <w:bCs/>
        <w:sz w:val="20"/>
      </w:rPr>
      <w:t>„</w:t>
    </w:r>
    <w:r w:rsidRPr="0049129A">
      <w:rPr>
        <w:b w:val="0"/>
        <w:sz w:val="20"/>
        <w:lang w:val="lt-LT"/>
      </w:rPr>
      <w:t xml:space="preserve">Par </w:t>
    </w:r>
    <w:r w:rsidRPr="0049129A">
      <w:rPr>
        <w:b w:val="0"/>
        <w:sz w:val="20"/>
        <w:lang w:val="lt-LT"/>
      </w:rPr>
      <w:t>Latvijas prioritātēm Eiropas Ekonomikas zonas finanšu instrumenta un Norvēģijas finanšu instrumenta 2009.-2014.gada plānošanas perioda ietvaros</w:t>
    </w:r>
    <w:r w:rsidRPr="0049129A">
      <w:rPr>
        <w:b w:val="0"/>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51" w:rsidRDefault="00166351" w:rsidP="00166351">
      <w:r>
        <w:separator/>
      </w:r>
    </w:p>
  </w:footnote>
  <w:footnote w:type="continuationSeparator" w:id="0">
    <w:p w:rsidR="00166351" w:rsidRDefault="00166351" w:rsidP="00166351">
      <w:r>
        <w:continuationSeparator/>
      </w:r>
    </w:p>
  </w:footnote>
  <w:footnote w:id="1">
    <w:p w:rsidR="00166351" w:rsidRDefault="00166351" w:rsidP="00166351">
      <w:pPr>
        <w:pStyle w:val="FootnoteText"/>
      </w:pPr>
      <w:r>
        <w:rPr>
          <w:rStyle w:val="FootnoteReference"/>
        </w:rPr>
        <w:footnoteRef/>
      </w:r>
      <w:r>
        <w:t xml:space="preserve"> Eiropas Ekonomikas Zonas – Eiropas Brīvās Tirdzniecības Asociācija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AF" w:rsidRDefault="001663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AAF" w:rsidRDefault="0016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AAF" w:rsidRDefault="001663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5AAF" w:rsidRDefault="00166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706C"/>
    <w:multiLevelType w:val="hybridMultilevel"/>
    <w:tmpl w:val="F2241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D2A1495"/>
    <w:multiLevelType w:val="hybridMultilevel"/>
    <w:tmpl w:val="0E52AED8"/>
    <w:lvl w:ilvl="0" w:tplc="1778D042">
      <w:start w:val="2"/>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51"/>
    <w:rsid w:val="00166351"/>
    <w:rsid w:val="00764C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51"/>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6351"/>
    <w:pPr>
      <w:jc w:val="center"/>
    </w:pPr>
    <w:rPr>
      <w:b/>
      <w:sz w:val="24"/>
      <w:lang w:val="x-none" w:eastAsia="x-none"/>
    </w:rPr>
  </w:style>
  <w:style w:type="character" w:customStyle="1" w:styleId="BodyTextChar">
    <w:name w:val="Body Text Char"/>
    <w:basedOn w:val="DefaultParagraphFont"/>
    <w:link w:val="BodyText"/>
    <w:semiHidden/>
    <w:rsid w:val="00166351"/>
    <w:rPr>
      <w:rFonts w:ascii="Times New Roman" w:eastAsia="Times New Roman" w:hAnsi="Times New Roman" w:cs="Times New Roman"/>
      <w:b/>
      <w:sz w:val="24"/>
      <w:szCs w:val="20"/>
      <w:lang w:val="x-none" w:eastAsia="x-none"/>
    </w:rPr>
  </w:style>
  <w:style w:type="paragraph" w:styleId="BodyText2">
    <w:name w:val="Body Text 2"/>
    <w:basedOn w:val="Normal"/>
    <w:link w:val="BodyText2Char"/>
    <w:semiHidden/>
    <w:rsid w:val="00166351"/>
    <w:pPr>
      <w:jc w:val="both"/>
    </w:pPr>
    <w:rPr>
      <w:sz w:val="24"/>
      <w:lang w:val="x-none" w:eastAsia="x-none"/>
    </w:rPr>
  </w:style>
  <w:style w:type="character" w:customStyle="1" w:styleId="BodyText2Char">
    <w:name w:val="Body Text 2 Char"/>
    <w:basedOn w:val="DefaultParagraphFont"/>
    <w:link w:val="BodyText2"/>
    <w:semiHidden/>
    <w:rsid w:val="00166351"/>
    <w:rPr>
      <w:rFonts w:ascii="Times New Roman" w:eastAsia="Times New Roman" w:hAnsi="Times New Roman" w:cs="Times New Roman"/>
      <w:sz w:val="24"/>
      <w:szCs w:val="20"/>
      <w:lang w:val="x-none" w:eastAsia="x-none"/>
    </w:rPr>
  </w:style>
  <w:style w:type="paragraph" w:styleId="Header">
    <w:name w:val="header"/>
    <w:basedOn w:val="Normal"/>
    <w:link w:val="HeaderChar"/>
    <w:semiHidden/>
    <w:rsid w:val="00166351"/>
    <w:pPr>
      <w:tabs>
        <w:tab w:val="center" w:pos="4153"/>
        <w:tab w:val="right" w:pos="8306"/>
      </w:tabs>
    </w:pPr>
  </w:style>
  <w:style w:type="character" w:customStyle="1" w:styleId="HeaderChar">
    <w:name w:val="Header Char"/>
    <w:basedOn w:val="DefaultParagraphFont"/>
    <w:link w:val="Header"/>
    <w:semiHidden/>
    <w:rsid w:val="00166351"/>
    <w:rPr>
      <w:rFonts w:ascii="Times New Roman" w:eastAsia="Times New Roman" w:hAnsi="Times New Roman" w:cs="Times New Roman"/>
      <w:sz w:val="20"/>
      <w:szCs w:val="20"/>
      <w:lang w:eastAsia="lv-LV"/>
    </w:rPr>
  </w:style>
  <w:style w:type="character" w:styleId="PageNumber">
    <w:name w:val="page number"/>
    <w:basedOn w:val="DefaultParagraphFont"/>
    <w:semiHidden/>
    <w:rsid w:val="00166351"/>
  </w:style>
  <w:style w:type="paragraph" w:styleId="FootnoteText">
    <w:name w:val="footnote text"/>
    <w:basedOn w:val="Normal"/>
    <w:link w:val="FootnoteTextChar"/>
    <w:semiHidden/>
    <w:rsid w:val="00166351"/>
    <w:rPr>
      <w:lang w:eastAsia="en-US"/>
    </w:rPr>
  </w:style>
  <w:style w:type="character" w:customStyle="1" w:styleId="FootnoteTextChar">
    <w:name w:val="Footnote Text Char"/>
    <w:basedOn w:val="DefaultParagraphFont"/>
    <w:link w:val="FootnoteText"/>
    <w:semiHidden/>
    <w:rsid w:val="00166351"/>
    <w:rPr>
      <w:rFonts w:ascii="Times New Roman" w:eastAsia="Times New Roman" w:hAnsi="Times New Roman" w:cs="Times New Roman"/>
      <w:sz w:val="20"/>
      <w:szCs w:val="20"/>
    </w:rPr>
  </w:style>
  <w:style w:type="character" w:styleId="FootnoteReference">
    <w:name w:val="footnote reference"/>
    <w:semiHidden/>
    <w:rsid w:val="00166351"/>
    <w:rPr>
      <w:vertAlign w:val="superscript"/>
    </w:rPr>
  </w:style>
  <w:style w:type="character" w:customStyle="1" w:styleId="normalchar1">
    <w:name w:val="normal__char1"/>
    <w:rsid w:val="00166351"/>
    <w:rPr>
      <w:rFonts w:ascii="Times New Roman" w:hAnsi="Times New Roman" w:cs="Times New Roman" w:hint="default"/>
      <w:strike w:val="0"/>
      <w:dstrike w:val="0"/>
      <w:sz w:val="20"/>
      <w:szCs w:val="20"/>
      <w:u w:val="none"/>
      <w:effect w:val="none"/>
    </w:rPr>
  </w:style>
  <w:style w:type="paragraph" w:styleId="Footer">
    <w:name w:val="footer"/>
    <w:basedOn w:val="Normal"/>
    <w:link w:val="FooterChar"/>
    <w:uiPriority w:val="99"/>
    <w:unhideWhenUsed/>
    <w:rsid w:val="00166351"/>
    <w:pPr>
      <w:tabs>
        <w:tab w:val="center" w:pos="4153"/>
        <w:tab w:val="right" w:pos="8306"/>
      </w:tabs>
    </w:pPr>
  </w:style>
  <w:style w:type="character" w:customStyle="1" w:styleId="FooterChar">
    <w:name w:val="Footer Char"/>
    <w:basedOn w:val="DefaultParagraphFont"/>
    <w:link w:val="Footer"/>
    <w:uiPriority w:val="99"/>
    <w:rsid w:val="00166351"/>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51"/>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66351"/>
    <w:pPr>
      <w:jc w:val="center"/>
    </w:pPr>
    <w:rPr>
      <w:b/>
      <w:sz w:val="24"/>
      <w:lang w:val="x-none" w:eastAsia="x-none"/>
    </w:rPr>
  </w:style>
  <w:style w:type="character" w:customStyle="1" w:styleId="BodyTextChar">
    <w:name w:val="Body Text Char"/>
    <w:basedOn w:val="DefaultParagraphFont"/>
    <w:link w:val="BodyText"/>
    <w:semiHidden/>
    <w:rsid w:val="00166351"/>
    <w:rPr>
      <w:rFonts w:ascii="Times New Roman" w:eastAsia="Times New Roman" w:hAnsi="Times New Roman" w:cs="Times New Roman"/>
      <w:b/>
      <w:sz w:val="24"/>
      <w:szCs w:val="20"/>
      <w:lang w:val="x-none" w:eastAsia="x-none"/>
    </w:rPr>
  </w:style>
  <w:style w:type="paragraph" w:styleId="BodyText2">
    <w:name w:val="Body Text 2"/>
    <w:basedOn w:val="Normal"/>
    <w:link w:val="BodyText2Char"/>
    <w:semiHidden/>
    <w:rsid w:val="00166351"/>
    <w:pPr>
      <w:jc w:val="both"/>
    </w:pPr>
    <w:rPr>
      <w:sz w:val="24"/>
      <w:lang w:val="x-none" w:eastAsia="x-none"/>
    </w:rPr>
  </w:style>
  <w:style w:type="character" w:customStyle="1" w:styleId="BodyText2Char">
    <w:name w:val="Body Text 2 Char"/>
    <w:basedOn w:val="DefaultParagraphFont"/>
    <w:link w:val="BodyText2"/>
    <w:semiHidden/>
    <w:rsid w:val="00166351"/>
    <w:rPr>
      <w:rFonts w:ascii="Times New Roman" w:eastAsia="Times New Roman" w:hAnsi="Times New Roman" w:cs="Times New Roman"/>
      <w:sz w:val="24"/>
      <w:szCs w:val="20"/>
      <w:lang w:val="x-none" w:eastAsia="x-none"/>
    </w:rPr>
  </w:style>
  <w:style w:type="paragraph" w:styleId="Header">
    <w:name w:val="header"/>
    <w:basedOn w:val="Normal"/>
    <w:link w:val="HeaderChar"/>
    <w:semiHidden/>
    <w:rsid w:val="00166351"/>
    <w:pPr>
      <w:tabs>
        <w:tab w:val="center" w:pos="4153"/>
        <w:tab w:val="right" w:pos="8306"/>
      </w:tabs>
    </w:pPr>
  </w:style>
  <w:style w:type="character" w:customStyle="1" w:styleId="HeaderChar">
    <w:name w:val="Header Char"/>
    <w:basedOn w:val="DefaultParagraphFont"/>
    <w:link w:val="Header"/>
    <w:semiHidden/>
    <w:rsid w:val="00166351"/>
    <w:rPr>
      <w:rFonts w:ascii="Times New Roman" w:eastAsia="Times New Roman" w:hAnsi="Times New Roman" w:cs="Times New Roman"/>
      <w:sz w:val="20"/>
      <w:szCs w:val="20"/>
      <w:lang w:eastAsia="lv-LV"/>
    </w:rPr>
  </w:style>
  <w:style w:type="character" w:styleId="PageNumber">
    <w:name w:val="page number"/>
    <w:basedOn w:val="DefaultParagraphFont"/>
    <w:semiHidden/>
    <w:rsid w:val="00166351"/>
  </w:style>
  <w:style w:type="paragraph" w:styleId="FootnoteText">
    <w:name w:val="footnote text"/>
    <w:basedOn w:val="Normal"/>
    <w:link w:val="FootnoteTextChar"/>
    <w:semiHidden/>
    <w:rsid w:val="00166351"/>
    <w:rPr>
      <w:lang w:eastAsia="en-US"/>
    </w:rPr>
  </w:style>
  <w:style w:type="character" w:customStyle="1" w:styleId="FootnoteTextChar">
    <w:name w:val="Footnote Text Char"/>
    <w:basedOn w:val="DefaultParagraphFont"/>
    <w:link w:val="FootnoteText"/>
    <w:semiHidden/>
    <w:rsid w:val="00166351"/>
    <w:rPr>
      <w:rFonts w:ascii="Times New Roman" w:eastAsia="Times New Roman" w:hAnsi="Times New Roman" w:cs="Times New Roman"/>
      <w:sz w:val="20"/>
      <w:szCs w:val="20"/>
    </w:rPr>
  </w:style>
  <w:style w:type="character" w:styleId="FootnoteReference">
    <w:name w:val="footnote reference"/>
    <w:semiHidden/>
    <w:rsid w:val="00166351"/>
    <w:rPr>
      <w:vertAlign w:val="superscript"/>
    </w:rPr>
  </w:style>
  <w:style w:type="character" w:customStyle="1" w:styleId="normalchar1">
    <w:name w:val="normal__char1"/>
    <w:rsid w:val="00166351"/>
    <w:rPr>
      <w:rFonts w:ascii="Times New Roman" w:hAnsi="Times New Roman" w:cs="Times New Roman" w:hint="default"/>
      <w:strike w:val="0"/>
      <w:dstrike w:val="0"/>
      <w:sz w:val="20"/>
      <w:szCs w:val="20"/>
      <w:u w:val="none"/>
      <w:effect w:val="none"/>
    </w:rPr>
  </w:style>
  <w:style w:type="paragraph" w:styleId="Footer">
    <w:name w:val="footer"/>
    <w:basedOn w:val="Normal"/>
    <w:link w:val="FooterChar"/>
    <w:uiPriority w:val="99"/>
    <w:unhideWhenUsed/>
    <w:rsid w:val="00166351"/>
    <w:pPr>
      <w:tabs>
        <w:tab w:val="center" w:pos="4153"/>
        <w:tab w:val="right" w:pos="8306"/>
      </w:tabs>
    </w:pPr>
  </w:style>
  <w:style w:type="character" w:customStyle="1" w:styleId="FooterChar">
    <w:name w:val="Footer Char"/>
    <w:basedOn w:val="DefaultParagraphFont"/>
    <w:link w:val="Footer"/>
    <w:uiPriority w:val="99"/>
    <w:rsid w:val="00166351"/>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3215</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fvd-liepa</dc:creator>
  <cp:keywords/>
  <dc:description/>
  <cp:lastModifiedBy>fvd-liepa</cp:lastModifiedBy>
  <cp:revision>1</cp:revision>
  <dcterms:created xsi:type="dcterms:W3CDTF">2011-01-21T10:31:00Z</dcterms:created>
  <dcterms:modified xsi:type="dcterms:W3CDTF">2011-01-21T10:32:00Z</dcterms:modified>
</cp:coreProperties>
</file>