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EB8" w:rsidRPr="008E6485" w:rsidRDefault="00937EB8" w:rsidP="00D61B5D">
      <w:pPr>
        <w:jc w:val="center"/>
        <w:rPr>
          <w:b/>
          <w:sz w:val="28"/>
          <w:szCs w:val="28"/>
        </w:rPr>
      </w:pPr>
      <w:bookmarkStart w:id="0" w:name="_GoBack"/>
      <w:bookmarkEnd w:id="0"/>
      <w:r w:rsidRPr="008E6485">
        <w:rPr>
          <w:b/>
          <w:sz w:val="28"/>
          <w:szCs w:val="28"/>
        </w:rPr>
        <w:t>Informatīv</w:t>
      </w:r>
      <w:r w:rsidR="002569B6" w:rsidRPr="008E6485">
        <w:rPr>
          <w:b/>
          <w:sz w:val="28"/>
          <w:szCs w:val="28"/>
        </w:rPr>
        <w:t>ai</w:t>
      </w:r>
      <w:r w:rsidRPr="008E6485">
        <w:rPr>
          <w:b/>
          <w:sz w:val="28"/>
          <w:szCs w:val="28"/>
        </w:rPr>
        <w:t>s ziņojums</w:t>
      </w:r>
    </w:p>
    <w:p w:rsidR="00937EB8" w:rsidRPr="008E6485" w:rsidRDefault="00937EB8" w:rsidP="00873178">
      <w:pPr>
        <w:jc w:val="center"/>
        <w:rPr>
          <w:b/>
          <w:sz w:val="28"/>
          <w:szCs w:val="28"/>
        </w:rPr>
      </w:pPr>
      <w:r w:rsidRPr="008E6485">
        <w:rPr>
          <w:b/>
          <w:sz w:val="28"/>
          <w:szCs w:val="28"/>
        </w:rPr>
        <w:t>par tiesību aizsardzības iestāžu veiktajiem uzdevumiem  un darba rezultātiem nelegālās akcīzes preču aprites apkarošanā</w:t>
      </w:r>
    </w:p>
    <w:p w:rsidR="00937EB8" w:rsidRPr="008E6485" w:rsidRDefault="00937EB8" w:rsidP="00937EB8">
      <w:pPr>
        <w:jc w:val="center"/>
        <w:rPr>
          <w:sz w:val="28"/>
          <w:szCs w:val="28"/>
        </w:rPr>
      </w:pPr>
    </w:p>
    <w:p w:rsidR="00937EB8" w:rsidRPr="008E6485" w:rsidRDefault="00937EB8" w:rsidP="00550623">
      <w:pPr>
        <w:ind w:firstLine="720"/>
        <w:rPr>
          <w:sz w:val="28"/>
          <w:szCs w:val="28"/>
        </w:rPr>
      </w:pPr>
      <w:r w:rsidRPr="008E6485">
        <w:rPr>
          <w:sz w:val="28"/>
          <w:szCs w:val="28"/>
        </w:rPr>
        <w:t xml:space="preserve">Ziņojumā apkopoti dati par Finanšu ministrijas un Iekšlietu ministrijas padotībā esošo tiesību aizsardzības iestāžu veiktajiem pasākumiem </w:t>
      </w:r>
      <w:r w:rsidR="00550623" w:rsidRPr="008E6485">
        <w:rPr>
          <w:sz w:val="28"/>
          <w:szCs w:val="28"/>
        </w:rPr>
        <w:t>“</w:t>
      </w:r>
      <w:r w:rsidRPr="008E6485">
        <w:rPr>
          <w:sz w:val="28"/>
          <w:szCs w:val="28"/>
        </w:rPr>
        <w:t xml:space="preserve">Valsts tiesību aizsardzības iestāžu rīcības plāna 2012.gadam, lai aktivizētu cīņu pret akcīzes preču nelikumīgu apriti Latvijā” (turpmāk </w:t>
      </w:r>
      <w:r w:rsidR="00550623" w:rsidRPr="008E6485">
        <w:rPr>
          <w:sz w:val="28"/>
          <w:szCs w:val="28"/>
        </w:rPr>
        <w:t xml:space="preserve">– </w:t>
      </w:r>
      <w:r w:rsidRPr="008E6485">
        <w:rPr>
          <w:sz w:val="28"/>
          <w:szCs w:val="28"/>
        </w:rPr>
        <w:t xml:space="preserve">Rīcības plāns) </w:t>
      </w:r>
      <w:r w:rsidR="00873178">
        <w:rPr>
          <w:sz w:val="28"/>
          <w:szCs w:val="28"/>
        </w:rPr>
        <w:t>īstenošanā</w:t>
      </w:r>
      <w:r w:rsidRPr="008E6485">
        <w:rPr>
          <w:sz w:val="28"/>
          <w:szCs w:val="28"/>
        </w:rPr>
        <w:t xml:space="preserve"> un darba rezultātiem nelegālās akcīzes preču aprites apkarošanā.</w:t>
      </w:r>
    </w:p>
    <w:p w:rsidR="00937EB8" w:rsidRPr="008E6485" w:rsidRDefault="00937EB8" w:rsidP="00550623">
      <w:pPr>
        <w:ind w:firstLine="720"/>
        <w:rPr>
          <w:sz w:val="28"/>
          <w:szCs w:val="28"/>
        </w:rPr>
      </w:pPr>
      <w:r w:rsidRPr="008E6485">
        <w:rPr>
          <w:sz w:val="28"/>
          <w:szCs w:val="28"/>
        </w:rPr>
        <w:t>Rīcības plāna īstenošanā ir iesaistītas šādas valsts pārvaldes iestādes:</w:t>
      </w:r>
    </w:p>
    <w:p w:rsidR="00937EB8" w:rsidRPr="008E6485" w:rsidRDefault="00937EB8" w:rsidP="0012309F">
      <w:pPr>
        <w:pStyle w:val="ListParagraph"/>
        <w:numPr>
          <w:ilvl w:val="0"/>
          <w:numId w:val="6"/>
        </w:numPr>
        <w:rPr>
          <w:sz w:val="28"/>
          <w:szCs w:val="28"/>
        </w:rPr>
      </w:pPr>
      <w:bookmarkStart w:id="1" w:name="_Ref327175987"/>
      <w:r w:rsidRPr="008E6485">
        <w:rPr>
          <w:sz w:val="28"/>
          <w:szCs w:val="28"/>
        </w:rPr>
        <w:t xml:space="preserve">Valsts ieņēmumu dienests (turpmāk – VID), </w:t>
      </w:r>
      <w:r w:rsidR="00035807" w:rsidRPr="008E6485">
        <w:rPr>
          <w:sz w:val="28"/>
          <w:szCs w:val="28"/>
        </w:rPr>
        <w:t xml:space="preserve">tā </w:t>
      </w:r>
      <w:r w:rsidRPr="008E6485">
        <w:rPr>
          <w:sz w:val="28"/>
          <w:szCs w:val="28"/>
        </w:rPr>
        <w:t>struktūrvienības:</w:t>
      </w:r>
      <w:bookmarkEnd w:id="1"/>
    </w:p>
    <w:p w:rsidR="00937EB8" w:rsidRPr="008E6485" w:rsidRDefault="00937EB8" w:rsidP="0012309F">
      <w:pPr>
        <w:ind w:firstLine="720"/>
        <w:rPr>
          <w:sz w:val="28"/>
          <w:szCs w:val="28"/>
        </w:rPr>
      </w:pPr>
      <w:r w:rsidRPr="008E6485">
        <w:rPr>
          <w:sz w:val="28"/>
          <w:szCs w:val="28"/>
        </w:rPr>
        <w:t>- VID Muitas pārvalde (turpmāk – MP)</w:t>
      </w:r>
      <w:r w:rsidR="00873178">
        <w:rPr>
          <w:sz w:val="28"/>
          <w:szCs w:val="28"/>
        </w:rPr>
        <w:t>;</w:t>
      </w:r>
    </w:p>
    <w:p w:rsidR="00937EB8" w:rsidRPr="008E6485" w:rsidRDefault="00937EB8" w:rsidP="0012309F">
      <w:pPr>
        <w:ind w:firstLine="720"/>
        <w:rPr>
          <w:sz w:val="28"/>
          <w:szCs w:val="28"/>
        </w:rPr>
      </w:pPr>
      <w:r w:rsidRPr="008E6485">
        <w:rPr>
          <w:sz w:val="28"/>
          <w:szCs w:val="28"/>
        </w:rPr>
        <w:t xml:space="preserve">- VID Muitas </w:t>
      </w:r>
      <w:proofErr w:type="spellStart"/>
      <w:r w:rsidRPr="008E6485">
        <w:rPr>
          <w:sz w:val="28"/>
          <w:szCs w:val="28"/>
        </w:rPr>
        <w:t>kriminālpārvalde</w:t>
      </w:r>
      <w:proofErr w:type="spellEnd"/>
      <w:r w:rsidRPr="008E6485">
        <w:rPr>
          <w:sz w:val="28"/>
          <w:szCs w:val="28"/>
        </w:rPr>
        <w:t xml:space="preserve"> (turpmāk – </w:t>
      </w:r>
      <w:proofErr w:type="spellStart"/>
      <w:r w:rsidRPr="008E6485">
        <w:rPr>
          <w:sz w:val="28"/>
          <w:szCs w:val="28"/>
        </w:rPr>
        <w:t>MKrP</w:t>
      </w:r>
      <w:proofErr w:type="spellEnd"/>
      <w:r w:rsidRPr="008E6485">
        <w:rPr>
          <w:sz w:val="28"/>
          <w:szCs w:val="28"/>
        </w:rPr>
        <w:t>)</w:t>
      </w:r>
      <w:r w:rsidR="00873178">
        <w:rPr>
          <w:sz w:val="28"/>
          <w:szCs w:val="28"/>
        </w:rPr>
        <w:t>;</w:t>
      </w:r>
    </w:p>
    <w:p w:rsidR="00937EB8" w:rsidRPr="008E6485" w:rsidRDefault="00937EB8" w:rsidP="0012309F">
      <w:pPr>
        <w:ind w:firstLine="720"/>
        <w:rPr>
          <w:sz w:val="28"/>
          <w:szCs w:val="28"/>
        </w:rPr>
      </w:pPr>
      <w:r w:rsidRPr="008E6485">
        <w:rPr>
          <w:sz w:val="28"/>
          <w:szCs w:val="28"/>
        </w:rPr>
        <w:t>- VID Akcīzes pārvalde (turpmāk – AP)</w:t>
      </w:r>
      <w:r w:rsidR="00873178">
        <w:rPr>
          <w:sz w:val="28"/>
          <w:szCs w:val="28"/>
        </w:rPr>
        <w:t>;</w:t>
      </w:r>
    </w:p>
    <w:p w:rsidR="00937EB8" w:rsidRPr="008E6485" w:rsidRDefault="00937EB8" w:rsidP="0012309F">
      <w:pPr>
        <w:ind w:firstLine="720"/>
        <w:rPr>
          <w:sz w:val="28"/>
          <w:szCs w:val="28"/>
        </w:rPr>
      </w:pPr>
      <w:r w:rsidRPr="008E6485">
        <w:rPr>
          <w:sz w:val="28"/>
          <w:szCs w:val="28"/>
        </w:rPr>
        <w:t>- VID Finanšu policijas pārvalde (turpmāk – FPP);</w:t>
      </w:r>
    </w:p>
    <w:p w:rsidR="00937EB8" w:rsidRPr="008E6485" w:rsidRDefault="00937EB8" w:rsidP="0012309F">
      <w:pPr>
        <w:pStyle w:val="ListParagraph"/>
        <w:numPr>
          <w:ilvl w:val="0"/>
          <w:numId w:val="6"/>
        </w:numPr>
        <w:rPr>
          <w:sz w:val="28"/>
          <w:szCs w:val="28"/>
        </w:rPr>
      </w:pPr>
      <w:r w:rsidRPr="008E6485">
        <w:rPr>
          <w:sz w:val="28"/>
          <w:szCs w:val="28"/>
        </w:rPr>
        <w:t>Valsts robežsardze (turpmāk – VRS);</w:t>
      </w:r>
    </w:p>
    <w:p w:rsidR="00937EB8" w:rsidRPr="008E6485" w:rsidRDefault="00937EB8" w:rsidP="0012309F">
      <w:pPr>
        <w:pStyle w:val="ListParagraph"/>
        <w:numPr>
          <w:ilvl w:val="0"/>
          <w:numId w:val="6"/>
        </w:numPr>
        <w:rPr>
          <w:sz w:val="28"/>
          <w:szCs w:val="28"/>
        </w:rPr>
      </w:pPr>
      <w:r w:rsidRPr="008E6485">
        <w:rPr>
          <w:sz w:val="28"/>
          <w:szCs w:val="28"/>
        </w:rPr>
        <w:t>Valsts policija (turpmāk – VP);</w:t>
      </w:r>
    </w:p>
    <w:p w:rsidR="00937EB8" w:rsidRPr="008E6485" w:rsidRDefault="00937EB8" w:rsidP="0012309F">
      <w:pPr>
        <w:pStyle w:val="ListParagraph"/>
        <w:numPr>
          <w:ilvl w:val="0"/>
          <w:numId w:val="6"/>
        </w:numPr>
        <w:rPr>
          <w:sz w:val="28"/>
          <w:szCs w:val="28"/>
        </w:rPr>
      </w:pPr>
      <w:r w:rsidRPr="008E6485">
        <w:rPr>
          <w:sz w:val="28"/>
          <w:szCs w:val="28"/>
        </w:rPr>
        <w:t>Drošības policija</w:t>
      </w:r>
      <w:r w:rsidR="00B5164B" w:rsidRPr="008E6485">
        <w:rPr>
          <w:sz w:val="28"/>
          <w:szCs w:val="28"/>
        </w:rPr>
        <w:t xml:space="preserve"> </w:t>
      </w:r>
      <w:r w:rsidRPr="008E6485">
        <w:rPr>
          <w:sz w:val="28"/>
          <w:szCs w:val="28"/>
        </w:rPr>
        <w:t xml:space="preserve">(turpmāk – DP); </w:t>
      </w:r>
    </w:p>
    <w:p w:rsidR="00937EB8" w:rsidRPr="008E6485" w:rsidRDefault="00937EB8" w:rsidP="0012309F">
      <w:pPr>
        <w:pStyle w:val="ListParagraph"/>
        <w:numPr>
          <w:ilvl w:val="0"/>
          <w:numId w:val="6"/>
        </w:numPr>
        <w:rPr>
          <w:sz w:val="28"/>
          <w:szCs w:val="28"/>
        </w:rPr>
      </w:pPr>
      <w:r w:rsidRPr="008E6485">
        <w:rPr>
          <w:sz w:val="28"/>
          <w:szCs w:val="28"/>
        </w:rPr>
        <w:t>Korupcijas novēršanas un apkarošanas birojs (turpmāk – KNAB).</w:t>
      </w:r>
    </w:p>
    <w:p w:rsidR="00937EB8" w:rsidRPr="008E6485" w:rsidRDefault="00937EB8" w:rsidP="00550623">
      <w:pPr>
        <w:ind w:firstLine="720"/>
        <w:rPr>
          <w:bCs/>
          <w:iCs/>
          <w:noProof/>
          <w:sz w:val="28"/>
          <w:szCs w:val="28"/>
        </w:rPr>
      </w:pPr>
      <w:r w:rsidRPr="008E6485">
        <w:rPr>
          <w:sz w:val="28"/>
          <w:szCs w:val="28"/>
        </w:rPr>
        <w:t xml:space="preserve">Rīcības plāns paredz samazināt </w:t>
      </w:r>
      <w:r w:rsidRPr="008E6485">
        <w:rPr>
          <w:bCs/>
          <w:iCs/>
          <w:noProof/>
          <w:sz w:val="28"/>
          <w:szCs w:val="28"/>
        </w:rPr>
        <w:t xml:space="preserve">akcīzes preču nelikumīgu apriti valstī, pilnveidojot tiesību aizsardzības iestāžu sadarbību likumpārkāpumu atklāšanas un novēršanas jomā, kā arī </w:t>
      </w:r>
      <w:r w:rsidR="00873178">
        <w:rPr>
          <w:bCs/>
          <w:iCs/>
          <w:noProof/>
          <w:sz w:val="28"/>
          <w:szCs w:val="28"/>
        </w:rPr>
        <w:t>īstenojot</w:t>
      </w:r>
      <w:r w:rsidRPr="008E6485">
        <w:rPr>
          <w:bCs/>
          <w:iCs/>
          <w:noProof/>
          <w:sz w:val="28"/>
          <w:szCs w:val="28"/>
        </w:rPr>
        <w:t xml:space="preserve"> pasākumus</w:t>
      </w:r>
      <w:r w:rsidR="00550623" w:rsidRPr="008E6485">
        <w:rPr>
          <w:bCs/>
          <w:iCs/>
          <w:noProof/>
          <w:sz w:val="28"/>
          <w:szCs w:val="28"/>
        </w:rPr>
        <w:t>,</w:t>
      </w:r>
      <w:r w:rsidRPr="008E6485">
        <w:rPr>
          <w:bCs/>
          <w:iCs/>
          <w:noProof/>
          <w:sz w:val="28"/>
          <w:szCs w:val="28"/>
        </w:rPr>
        <w:t xml:space="preserve"> noteiktus piecos virzienos:</w:t>
      </w:r>
    </w:p>
    <w:p w:rsidR="00937EB8" w:rsidRPr="008E6485" w:rsidRDefault="00937EB8" w:rsidP="00D61B5D">
      <w:pPr>
        <w:pStyle w:val="ListParagraph"/>
        <w:numPr>
          <w:ilvl w:val="0"/>
          <w:numId w:val="1"/>
        </w:numPr>
        <w:tabs>
          <w:tab w:val="left" w:pos="1134"/>
        </w:tabs>
        <w:ind w:left="0" w:firstLine="720"/>
        <w:rPr>
          <w:sz w:val="28"/>
          <w:szCs w:val="28"/>
        </w:rPr>
      </w:pPr>
      <w:r w:rsidRPr="008E6485">
        <w:rPr>
          <w:sz w:val="28"/>
          <w:szCs w:val="28"/>
        </w:rPr>
        <w:t>sadarbības pilnveidošanā;</w:t>
      </w:r>
    </w:p>
    <w:p w:rsidR="00937EB8" w:rsidRPr="008E6485" w:rsidRDefault="003D1D48" w:rsidP="00873178">
      <w:pPr>
        <w:pStyle w:val="ListParagraph"/>
        <w:ind w:left="0" w:firstLine="720"/>
        <w:rPr>
          <w:sz w:val="28"/>
          <w:szCs w:val="28"/>
        </w:rPr>
      </w:pPr>
      <w:r w:rsidRPr="008E6485">
        <w:rPr>
          <w:sz w:val="28"/>
          <w:szCs w:val="28"/>
        </w:rPr>
        <w:t>2</w:t>
      </w:r>
      <w:r w:rsidR="00873178">
        <w:rPr>
          <w:sz w:val="28"/>
          <w:szCs w:val="28"/>
        </w:rPr>
        <w:t>)</w:t>
      </w:r>
      <w:r w:rsidRPr="008E6485">
        <w:rPr>
          <w:sz w:val="28"/>
          <w:szCs w:val="28"/>
        </w:rPr>
        <w:t xml:space="preserve"> </w:t>
      </w:r>
      <w:r w:rsidR="00937EB8" w:rsidRPr="008E6485">
        <w:rPr>
          <w:sz w:val="28"/>
          <w:szCs w:val="28"/>
        </w:rPr>
        <w:t>informācijas apmaiņā, kopīgu kontroles pasākumu plānošanā un īstenošanā;</w:t>
      </w:r>
    </w:p>
    <w:p w:rsidR="00937EB8" w:rsidRPr="008E6485" w:rsidRDefault="00873178" w:rsidP="00D61B5D">
      <w:pPr>
        <w:pStyle w:val="ListParagraph"/>
        <w:ind w:left="0" w:firstLine="720"/>
        <w:rPr>
          <w:sz w:val="28"/>
          <w:szCs w:val="28"/>
        </w:rPr>
      </w:pPr>
      <w:r>
        <w:rPr>
          <w:sz w:val="28"/>
          <w:szCs w:val="28"/>
        </w:rPr>
        <w:t>3) </w:t>
      </w:r>
      <w:r w:rsidR="00937EB8" w:rsidRPr="008E6485">
        <w:rPr>
          <w:sz w:val="28"/>
          <w:szCs w:val="28"/>
        </w:rPr>
        <w:t>resursu optimizācijā un kapacitātes paaugstināšanā;</w:t>
      </w:r>
    </w:p>
    <w:p w:rsidR="00937EB8" w:rsidRPr="008E6485" w:rsidRDefault="00873178" w:rsidP="00D61B5D">
      <w:pPr>
        <w:pStyle w:val="ListParagraph"/>
        <w:ind w:left="0" w:firstLine="720"/>
        <w:rPr>
          <w:sz w:val="28"/>
          <w:szCs w:val="28"/>
        </w:rPr>
      </w:pPr>
      <w:r>
        <w:rPr>
          <w:sz w:val="28"/>
          <w:szCs w:val="28"/>
        </w:rPr>
        <w:t>4) </w:t>
      </w:r>
      <w:r w:rsidR="00937EB8" w:rsidRPr="008E6485">
        <w:rPr>
          <w:sz w:val="28"/>
          <w:szCs w:val="28"/>
        </w:rPr>
        <w:t>normatīvo aktu izmaiņu apzināšanā un izvērtēšanā;</w:t>
      </w:r>
    </w:p>
    <w:p w:rsidR="00937EB8" w:rsidRPr="008E6485" w:rsidRDefault="00873178" w:rsidP="00D61B5D">
      <w:pPr>
        <w:pStyle w:val="ListParagraph"/>
        <w:ind w:left="0" w:firstLine="720"/>
        <w:rPr>
          <w:sz w:val="28"/>
          <w:szCs w:val="28"/>
        </w:rPr>
      </w:pPr>
      <w:r>
        <w:rPr>
          <w:sz w:val="28"/>
          <w:szCs w:val="28"/>
        </w:rPr>
        <w:t>5) </w:t>
      </w:r>
      <w:r w:rsidR="00937EB8" w:rsidRPr="008E6485">
        <w:rPr>
          <w:sz w:val="28"/>
          <w:szCs w:val="28"/>
        </w:rPr>
        <w:t>sabiedrības informēšanā.</w:t>
      </w:r>
    </w:p>
    <w:p w:rsidR="00937EB8" w:rsidRPr="008E6485" w:rsidRDefault="00937EB8" w:rsidP="00937EB8">
      <w:pPr>
        <w:pStyle w:val="ListParagraph"/>
        <w:ind w:left="1080"/>
        <w:rPr>
          <w:b/>
          <w:sz w:val="28"/>
          <w:szCs w:val="28"/>
        </w:rPr>
      </w:pPr>
    </w:p>
    <w:p w:rsidR="00937EB8" w:rsidRPr="008E6485" w:rsidRDefault="00937EB8" w:rsidP="00D61B5D">
      <w:pPr>
        <w:pStyle w:val="ListParagraph"/>
        <w:numPr>
          <w:ilvl w:val="0"/>
          <w:numId w:val="4"/>
        </w:numPr>
        <w:ind w:left="0" w:firstLine="0"/>
        <w:rPr>
          <w:b/>
          <w:sz w:val="28"/>
          <w:szCs w:val="28"/>
        </w:rPr>
      </w:pPr>
      <w:r w:rsidRPr="008E6485">
        <w:rPr>
          <w:b/>
          <w:sz w:val="28"/>
          <w:szCs w:val="28"/>
        </w:rPr>
        <w:t>T</w:t>
      </w:r>
      <w:r w:rsidR="00550623" w:rsidRPr="008E6485">
        <w:rPr>
          <w:b/>
          <w:sz w:val="28"/>
          <w:szCs w:val="28"/>
        </w:rPr>
        <w:t xml:space="preserve">iesību aizsardzības iestāžu </w:t>
      </w:r>
      <w:r w:rsidRPr="008E6485">
        <w:rPr>
          <w:b/>
          <w:sz w:val="28"/>
          <w:szCs w:val="28"/>
        </w:rPr>
        <w:t xml:space="preserve">paveiktais atbilstoši Rīcības plāna virzieniem laika periodā no 2012.gada 1.janvāra līdz </w:t>
      </w:r>
      <w:r w:rsidR="00B80267" w:rsidRPr="008E6485">
        <w:rPr>
          <w:b/>
          <w:sz w:val="28"/>
          <w:szCs w:val="28"/>
        </w:rPr>
        <w:t>3</w:t>
      </w:r>
      <w:r w:rsidR="00F30D27">
        <w:rPr>
          <w:b/>
          <w:sz w:val="28"/>
          <w:szCs w:val="28"/>
        </w:rPr>
        <w:t>0</w:t>
      </w:r>
      <w:r w:rsidRPr="008E6485">
        <w:rPr>
          <w:b/>
          <w:sz w:val="28"/>
          <w:szCs w:val="28"/>
        </w:rPr>
        <w:t>.</w:t>
      </w:r>
      <w:r w:rsidR="007D4D2A">
        <w:rPr>
          <w:b/>
          <w:sz w:val="28"/>
          <w:szCs w:val="28"/>
        </w:rPr>
        <w:t>jūnijam</w:t>
      </w:r>
    </w:p>
    <w:p w:rsidR="00937EB8" w:rsidRPr="008E6485" w:rsidRDefault="00937EB8" w:rsidP="00937EB8">
      <w:pPr>
        <w:rPr>
          <w:b/>
          <w:sz w:val="28"/>
          <w:szCs w:val="28"/>
        </w:rPr>
      </w:pPr>
    </w:p>
    <w:p w:rsidR="00937EB8" w:rsidRPr="008E6485" w:rsidRDefault="00937EB8" w:rsidP="00937EB8">
      <w:pPr>
        <w:rPr>
          <w:b/>
          <w:sz w:val="28"/>
          <w:szCs w:val="28"/>
        </w:rPr>
      </w:pPr>
      <w:r w:rsidRPr="008E6485">
        <w:rPr>
          <w:b/>
          <w:sz w:val="28"/>
          <w:szCs w:val="28"/>
        </w:rPr>
        <w:t>1.1. Sadarbības pilnveidošana</w:t>
      </w:r>
    </w:p>
    <w:p w:rsidR="00755776" w:rsidRPr="008E6485" w:rsidRDefault="00755776" w:rsidP="00937EB8">
      <w:pPr>
        <w:rPr>
          <w:b/>
          <w:sz w:val="28"/>
          <w:szCs w:val="28"/>
        </w:rPr>
      </w:pPr>
    </w:p>
    <w:p w:rsidR="00937EB8" w:rsidRPr="008E6485" w:rsidRDefault="00937EB8" w:rsidP="00937EB8">
      <w:pPr>
        <w:ind w:firstLine="720"/>
        <w:rPr>
          <w:sz w:val="28"/>
          <w:szCs w:val="28"/>
        </w:rPr>
      </w:pPr>
      <w:r w:rsidRPr="008E6485">
        <w:rPr>
          <w:sz w:val="28"/>
          <w:szCs w:val="28"/>
        </w:rPr>
        <w:t>Tiesību aizsardzības iestādes (turpmāk – TAI) ir izstrādājušas un apstiprinājušas Rīcības plānu, izveidojušas vadības grupu un ievēlējušas tās vadītāju.</w:t>
      </w:r>
    </w:p>
    <w:p w:rsidR="00937EB8" w:rsidRPr="008E6485" w:rsidRDefault="00937EB8" w:rsidP="00937EB8">
      <w:pPr>
        <w:ind w:firstLine="720"/>
        <w:rPr>
          <w:sz w:val="28"/>
          <w:szCs w:val="28"/>
        </w:rPr>
      </w:pPr>
      <w:r w:rsidRPr="008E6485">
        <w:rPr>
          <w:sz w:val="28"/>
          <w:szCs w:val="28"/>
        </w:rPr>
        <w:t xml:space="preserve">Ir notikusi viena TAI pārstāvju sanāksme, divas TAI vadības grupas sanāksmes un viena TAI vadības grupas apspriede ar Latvijas Degvielas </w:t>
      </w:r>
      <w:r w:rsidR="00550623" w:rsidRPr="008E6485">
        <w:rPr>
          <w:sz w:val="28"/>
          <w:szCs w:val="28"/>
        </w:rPr>
        <w:t>t</w:t>
      </w:r>
      <w:r w:rsidRPr="008E6485">
        <w:rPr>
          <w:sz w:val="28"/>
          <w:szCs w:val="28"/>
        </w:rPr>
        <w:t xml:space="preserve">irgotāju </w:t>
      </w:r>
      <w:r w:rsidR="00550623" w:rsidRPr="008E6485">
        <w:rPr>
          <w:sz w:val="28"/>
          <w:szCs w:val="28"/>
        </w:rPr>
        <w:t>a</w:t>
      </w:r>
      <w:r w:rsidRPr="008E6485">
        <w:rPr>
          <w:sz w:val="28"/>
          <w:szCs w:val="28"/>
        </w:rPr>
        <w:t xml:space="preserve">sociācijas un SIA </w:t>
      </w:r>
      <w:proofErr w:type="spellStart"/>
      <w:r w:rsidRPr="008E6485">
        <w:rPr>
          <w:i/>
          <w:sz w:val="28"/>
          <w:szCs w:val="28"/>
        </w:rPr>
        <w:t>British</w:t>
      </w:r>
      <w:proofErr w:type="spellEnd"/>
      <w:r w:rsidRPr="008E6485">
        <w:rPr>
          <w:i/>
          <w:sz w:val="28"/>
          <w:szCs w:val="28"/>
        </w:rPr>
        <w:t xml:space="preserve"> </w:t>
      </w:r>
      <w:proofErr w:type="spellStart"/>
      <w:r w:rsidRPr="008E6485">
        <w:rPr>
          <w:i/>
          <w:sz w:val="28"/>
          <w:szCs w:val="28"/>
        </w:rPr>
        <w:t>American</w:t>
      </w:r>
      <w:proofErr w:type="spellEnd"/>
      <w:r w:rsidRPr="008E6485">
        <w:rPr>
          <w:i/>
          <w:sz w:val="28"/>
          <w:szCs w:val="28"/>
        </w:rPr>
        <w:t xml:space="preserve"> </w:t>
      </w:r>
      <w:proofErr w:type="spellStart"/>
      <w:r w:rsidRPr="008E6485">
        <w:rPr>
          <w:i/>
          <w:sz w:val="28"/>
          <w:szCs w:val="28"/>
        </w:rPr>
        <w:t>Tobacco</w:t>
      </w:r>
      <w:proofErr w:type="spellEnd"/>
      <w:r w:rsidRPr="008E6485">
        <w:rPr>
          <w:i/>
          <w:sz w:val="28"/>
          <w:szCs w:val="28"/>
        </w:rPr>
        <w:t xml:space="preserve"> </w:t>
      </w:r>
      <w:proofErr w:type="spellStart"/>
      <w:r w:rsidRPr="008E6485">
        <w:rPr>
          <w:i/>
          <w:sz w:val="28"/>
          <w:szCs w:val="28"/>
        </w:rPr>
        <w:t>Latvia</w:t>
      </w:r>
      <w:proofErr w:type="spellEnd"/>
      <w:r w:rsidRPr="008E6485">
        <w:rPr>
          <w:sz w:val="28"/>
          <w:szCs w:val="28"/>
        </w:rPr>
        <w:t xml:space="preserve"> pārstāvjiem.</w:t>
      </w:r>
    </w:p>
    <w:p w:rsidR="00937EB8" w:rsidRPr="008E6485" w:rsidRDefault="00937EB8" w:rsidP="00937EB8">
      <w:pPr>
        <w:ind w:firstLine="720"/>
        <w:rPr>
          <w:sz w:val="28"/>
          <w:szCs w:val="28"/>
        </w:rPr>
      </w:pPr>
      <w:r w:rsidRPr="008E6485">
        <w:rPr>
          <w:sz w:val="28"/>
          <w:szCs w:val="28"/>
        </w:rPr>
        <w:t xml:space="preserve">Sanāksmēs tika apspriestas aktualitātes saistībā ar Rīcības plāna </w:t>
      </w:r>
      <w:r w:rsidR="00873178">
        <w:rPr>
          <w:sz w:val="28"/>
          <w:szCs w:val="28"/>
        </w:rPr>
        <w:t>īstenošanu</w:t>
      </w:r>
      <w:r w:rsidRPr="008E6485">
        <w:rPr>
          <w:sz w:val="28"/>
          <w:szCs w:val="28"/>
        </w:rPr>
        <w:t>, vispārīgā situācija akcīzes preču tirgū, kā arī izstrādāta jauna darb</w:t>
      </w:r>
      <w:r w:rsidR="00035807" w:rsidRPr="008E6485">
        <w:rPr>
          <w:sz w:val="28"/>
          <w:szCs w:val="28"/>
        </w:rPr>
        <w:t>a</w:t>
      </w:r>
      <w:r w:rsidRPr="008E6485">
        <w:rPr>
          <w:sz w:val="28"/>
          <w:szCs w:val="28"/>
        </w:rPr>
        <w:t xml:space="preserve"> rezultātu uzskaites kārtība</w:t>
      </w:r>
      <w:r w:rsidR="00B63A4A" w:rsidRPr="008E6485">
        <w:rPr>
          <w:sz w:val="28"/>
          <w:szCs w:val="28"/>
        </w:rPr>
        <w:t>,</w:t>
      </w:r>
      <w:r w:rsidRPr="008E6485">
        <w:rPr>
          <w:sz w:val="28"/>
          <w:szCs w:val="28"/>
        </w:rPr>
        <w:t xml:space="preserve"> </w:t>
      </w:r>
      <w:r w:rsidR="00B63A4A" w:rsidRPr="008E6485">
        <w:rPr>
          <w:sz w:val="28"/>
          <w:szCs w:val="28"/>
        </w:rPr>
        <w:t xml:space="preserve">lai </w:t>
      </w:r>
      <w:r w:rsidRPr="008E6485">
        <w:rPr>
          <w:sz w:val="28"/>
          <w:szCs w:val="28"/>
        </w:rPr>
        <w:t>pastiprināt</w:t>
      </w:r>
      <w:r w:rsidR="00B63A4A" w:rsidRPr="008E6485">
        <w:rPr>
          <w:sz w:val="28"/>
          <w:szCs w:val="28"/>
        </w:rPr>
        <w:t>u</w:t>
      </w:r>
      <w:r w:rsidRPr="008E6485">
        <w:rPr>
          <w:sz w:val="28"/>
          <w:szCs w:val="28"/>
        </w:rPr>
        <w:t xml:space="preserve"> TAI sadarbības aspektu.</w:t>
      </w:r>
    </w:p>
    <w:p w:rsidR="00823EB9" w:rsidRDefault="00823EB9" w:rsidP="001F41B3">
      <w:pPr>
        <w:ind w:firstLine="720"/>
        <w:rPr>
          <w:sz w:val="28"/>
          <w:szCs w:val="28"/>
        </w:rPr>
      </w:pPr>
      <w:r>
        <w:rPr>
          <w:sz w:val="28"/>
          <w:szCs w:val="28"/>
        </w:rPr>
        <w:br w:type="page"/>
      </w:r>
    </w:p>
    <w:p w:rsidR="00937EB8" w:rsidRPr="008E6485" w:rsidRDefault="00937EB8" w:rsidP="001F41B3">
      <w:pPr>
        <w:ind w:firstLine="720"/>
        <w:rPr>
          <w:sz w:val="28"/>
          <w:szCs w:val="28"/>
        </w:rPr>
      </w:pPr>
      <w:r w:rsidRPr="008E6485">
        <w:rPr>
          <w:sz w:val="28"/>
          <w:szCs w:val="28"/>
        </w:rPr>
        <w:lastRenderedPageBreak/>
        <w:t>VID ir sagatavojis un nosūtījis visām Rīcības plānā iesaistītajām TAI šādus analītiskos produktus:</w:t>
      </w:r>
    </w:p>
    <w:p w:rsidR="00937EB8" w:rsidRPr="008E6485" w:rsidRDefault="001F41B3" w:rsidP="0012309F">
      <w:pPr>
        <w:ind w:firstLine="720"/>
        <w:rPr>
          <w:sz w:val="28"/>
          <w:szCs w:val="28"/>
        </w:rPr>
      </w:pPr>
      <w:r w:rsidRPr="008E6485">
        <w:rPr>
          <w:sz w:val="28"/>
          <w:szCs w:val="28"/>
        </w:rPr>
        <w:t>1)</w:t>
      </w:r>
      <w:r w:rsidR="00035807" w:rsidRPr="008E6485">
        <w:rPr>
          <w:sz w:val="28"/>
          <w:szCs w:val="28"/>
        </w:rPr>
        <w:t> </w:t>
      </w:r>
      <w:r w:rsidR="00937EB8" w:rsidRPr="008E6485">
        <w:rPr>
          <w:sz w:val="28"/>
          <w:szCs w:val="28"/>
        </w:rPr>
        <w:t>ikmēneša statistiskos pārskatus par TAI atklātajiem likumpārkāpumiem akcīzes preču apritē, izņemto preču un transportlīdzekļu daudzum</w:t>
      </w:r>
      <w:r w:rsidRPr="008E6485">
        <w:rPr>
          <w:sz w:val="28"/>
          <w:szCs w:val="28"/>
        </w:rPr>
        <w:t>u</w:t>
      </w:r>
      <w:r w:rsidR="00937EB8" w:rsidRPr="008E6485">
        <w:rPr>
          <w:sz w:val="28"/>
          <w:szCs w:val="28"/>
        </w:rPr>
        <w:t>, kā arī novērsto kaitējumu;</w:t>
      </w:r>
    </w:p>
    <w:p w:rsidR="00937EB8" w:rsidRPr="008E6485" w:rsidRDefault="001F41B3" w:rsidP="0012309F">
      <w:pPr>
        <w:pStyle w:val="ListParagraph"/>
        <w:ind w:left="0" w:firstLine="720"/>
        <w:rPr>
          <w:sz w:val="28"/>
          <w:szCs w:val="28"/>
        </w:rPr>
      </w:pPr>
      <w:r w:rsidRPr="008E6485">
        <w:rPr>
          <w:sz w:val="28"/>
          <w:szCs w:val="28"/>
        </w:rPr>
        <w:t xml:space="preserve">2) </w:t>
      </w:r>
      <w:r w:rsidR="00937EB8" w:rsidRPr="008E6485">
        <w:rPr>
          <w:sz w:val="28"/>
          <w:szCs w:val="28"/>
        </w:rPr>
        <w:t xml:space="preserve">kopsavilkuma ziņojumu par Rīcības plāna darbības rezultātiem  2012.gada pirmajā </w:t>
      </w:r>
      <w:r w:rsidR="005825D6">
        <w:rPr>
          <w:sz w:val="28"/>
          <w:szCs w:val="28"/>
        </w:rPr>
        <w:t>ceturksnī</w:t>
      </w:r>
      <w:r w:rsidR="005825D6" w:rsidRPr="008E6485">
        <w:rPr>
          <w:sz w:val="28"/>
          <w:szCs w:val="28"/>
        </w:rPr>
        <w:t xml:space="preserve"> </w:t>
      </w:r>
      <w:r w:rsidR="00937EB8" w:rsidRPr="008E6485">
        <w:rPr>
          <w:sz w:val="28"/>
          <w:szCs w:val="28"/>
        </w:rPr>
        <w:t>un tendencēm akcīzes preču apritē.</w:t>
      </w:r>
    </w:p>
    <w:p w:rsidR="00937EB8" w:rsidRPr="008E6485" w:rsidRDefault="00937EB8" w:rsidP="00937EB8">
      <w:pPr>
        <w:ind w:firstLine="720"/>
        <w:rPr>
          <w:noProof/>
          <w:sz w:val="28"/>
          <w:szCs w:val="28"/>
          <w:lang w:eastAsia="lv-LV"/>
        </w:rPr>
      </w:pPr>
      <w:r w:rsidRPr="008E6485">
        <w:rPr>
          <w:sz w:val="28"/>
          <w:szCs w:val="28"/>
        </w:rPr>
        <w:t>VRS, īstenojot sadarbības mehānismu pilnveidošanu, ir piedalījusies</w:t>
      </w:r>
      <w:r w:rsidRPr="008E6485">
        <w:rPr>
          <w:noProof/>
          <w:sz w:val="28"/>
          <w:szCs w:val="28"/>
          <w:lang w:eastAsia="lv-LV"/>
        </w:rPr>
        <w:t>:</w:t>
      </w:r>
    </w:p>
    <w:p w:rsidR="00937EB8" w:rsidRPr="008E6485" w:rsidRDefault="003D1CB0" w:rsidP="0012309F">
      <w:pPr>
        <w:ind w:firstLine="720"/>
        <w:rPr>
          <w:noProof/>
          <w:sz w:val="28"/>
          <w:szCs w:val="28"/>
          <w:lang w:eastAsia="lv-LV"/>
        </w:rPr>
      </w:pPr>
      <w:r w:rsidRPr="008E6485">
        <w:rPr>
          <w:noProof/>
          <w:sz w:val="28"/>
          <w:szCs w:val="28"/>
          <w:lang w:eastAsia="lv-LV"/>
        </w:rPr>
        <w:t xml:space="preserve">1) </w:t>
      </w:r>
      <w:r w:rsidR="00140E17">
        <w:rPr>
          <w:noProof/>
          <w:sz w:val="28"/>
          <w:szCs w:val="28"/>
          <w:lang w:eastAsia="lv-LV"/>
        </w:rPr>
        <w:t>deviņās</w:t>
      </w:r>
      <w:r w:rsidR="00140E17" w:rsidRPr="008E6485">
        <w:rPr>
          <w:noProof/>
          <w:sz w:val="28"/>
          <w:szCs w:val="28"/>
          <w:lang w:eastAsia="lv-LV"/>
        </w:rPr>
        <w:t xml:space="preserve"> </w:t>
      </w:r>
      <w:r w:rsidR="00937EB8" w:rsidRPr="008E6485">
        <w:rPr>
          <w:noProof/>
          <w:sz w:val="28"/>
          <w:szCs w:val="28"/>
          <w:lang w:eastAsia="lv-LV"/>
        </w:rPr>
        <w:t>starptautiska līmeņa  konferencēs, sanāksmēs un darba grupu apspriedēs par sadarbības pilnveidošanu likumpārkāpumu atklāšanas un novēršanas jomā, tajā skaitā arī akcīzes preču kontrabandas apkarošanā</w:t>
      </w:r>
      <w:r w:rsidRPr="008E6485">
        <w:rPr>
          <w:noProof/>
          <w:sz w:val="28"/>
          <w:szCs w:val="28"/>
          <w:lang w:eastAsia="lv-LV"/>
        </w:rPr>
        <w:t>,</w:t>
      </w:r>
      <w:r w:rsidR="00937EB8" w:rsidRPr="008E6485">
        <w:rPr>
          <w:noProof/>
          <w:sz w:val="28"/>
          <w:szCs w:val="28"/>
          <w:lang w:eastAsia="lv-LV"/>
        </w:rPr>
        <w:t xml:space="preserve"> ar Lietuvas, Igaunijas, Norvēģijas, Somijas, Zviedrijas, Krievijas un Baltkrievijas kompetentajiem dienestiem;</w:t>
      </w:r>
    </w:p>
    <w:p w:rsidR="00937EB8" w:rsidRPr="008E6485" w:rsidRDefault="003D1CB0" w:rsidP="0012309F">
      <w:pPr>
        <w:ind w:firstLine="720"/>
        <w:rPr>
          <w:b/>
          <w:color w:val="FF0000"/>
          <w:sz w:val="28"/>
          <w:szCs w:val="28"/>
        </w:rPr>
      </w:pPr>
      <w:r w:rsidRPr="008E6485">
        <w:rPr>
          <w:noProof/>
          <w:sz w:val="28"/>
          <w:szCs w:val="28"/>
          <w:lang w:eastAsia="lv-LV"/>
        </w:rPr>
        <w:t xml:space="preserve">2) </w:t>
      </w:r>
      <w:r w:rsidR="00937EB8" w:rsidRPr="008E6485">
        <w:rPr>
          <w:noProof/>
          <w:sz w:val="28"/>
          <w:szCs w:val="28"/>
          <w:lang w:eastAsia="lv-LV"/>
        </w:rPr>
        <w:t>vairākās kopējās operācijās uz valsts ārējās robežas ar Krievijas Federāciju.</w:t>
      </w:r>
      <w:bookmarkStart w:id="2" w:name="OLE_LINK64"/>
    </w:p>
    <w:p w:rsidR="00937EB8" w:rsidRPr="008E6485" w:rsidRDefault="00937EB8" w:rsidP="00937EB8">
      <w:pPr>
        <w:rPr>
          <w:b/>
          <w:sz w:val="28"/>
          <w:szCs w:val="28"/>
        </w:rPr>
      </w:pPr>
    </w:p>
    <w:p w:rsidR="00937EB8" w:rsidRPr="008E6485" w:rsidRDefault="00937EB8" w:rsidP="00D61B5D">
      <w:pPr>
        <w:pStyle w:val="ListParagraph"/>
        <w:numPr>
          <w:ilvl w:val="1"/>
          <w:numId w:val="4"/>
        </w:numPr>
        <w:ind w:left="0" w:firstLine="0"/>
        <w:rPr>
          <w:b/>
          <w:sz w:val="28"/>
          <w:szCs w:val="28"/>
        </w:rPr>
      </w:pPr>
      <w:r w:rsidRPr="008E6485">
        <w:rPr>
          <w:b/>
          <w:sz w:val="28"/>
          <w:szCs w:val="28"/>
        </w:rPr>
        <w:t>Informācijas apmaiņa, kopīgu kontroles pasākumu plānošana un īstenošana</w:t>
      </w:r>
    </w:p>
    <w:p w:rsidR="00937EB8" w:rsidRPr="008E6485" w:rsidRDefault="00937EB8" w:rsidP="00937EB8">
      <w:pPr>
        <w:ind w:firstLine="720"/>
        <w:rPr>
          <w:noProof/>
          <w:sz w:val="28"/>
          <w:szCs w:val="28"/>
        </w:rPr>
      </w:pPr>
    </w:p>
    <w:p w:rsidR="00937EB8" w:rsidRPr="008E6485" w:rsidRDefault="00937EB8" w:rsidP="003D1CB0">
      <w:pPr>
        <w:ind w:firstLine="720"/>
        <w:rPr>
          <w:sz w:val="28"/>
          <w:szCs w:val="28"/>
        </w:rPr>
      </w:pPr>
      <w:r w:rsidRPr="008E6485">
        <w:rPr>
          <w:sz w:val="28"/>
          <w:szCs w:val="28"/>
        </w:rPr>
        <w:t xml:space="preserve">VID un Lietuvas Republikas Muitas </w:t>
      </w:r>
      <w:proofErr w:type="spellStart"/>
      <w:r w:rsidRPr="008E6485">
        <w:rPr>
          <w:sz w:val="28"/>
          <w:szCs w:val="28"/>
        </w:rPr>
        <w:t>kriminālpārvaldei</w:t>
      </w:r>
      <w:proofErr w:type="spellEnd"/>
      <w:r w:rsidRPr="008E6485">
        <w:rPr>
          <w:sz w:val="28"/>
          <w:szCs w:val="28"/>
        </w:rPr>
        <w:t xml:space="preserve"> sadarbojoties</w:t>
      </w:r>
      <w:r w:rsidR="003D1CB0" w:rsidRPr="008E6485">
        <w:rPr>
          <w:sz w:val="28"/>
          <w:szCs w:val="28"/>
        </w:rPr>
        <w:t>,</w:t>
      </w:r>
      <w:r w:rsidRPr="008E6485">
        <w:rPr>
          <w:sz w:val="28"/>
          <w:szCs w:val="28"/>
        </w:rPr>
        <w:t xml:space="preserve"> ir atklāts organizētās noziedzības grupējums saistībā ar muitas krāpšanu akcīzes preču aprites jomā, kā rezultātā izņemt</w:t>
      </w:r>
      <w:r w:rsidR="00873178">
        <w:rPr>
          <w:sz w:val="28"/>
          <w:szCs w:val="28"/>
        </w:rPr>
        <w:t>i</w:t>
      </w:r>
      <w:r w:rsidRPr="008E6485">
        <w:rPr>
          <w:sz w:val="28"/>
          <w:szCs w:val="28"/>
        </w:rPr>
        <w:t xml:space="preserve"> 10 </w:t>
      </w:r>
      <w:proofErr w:type="spellStart"/>
      <w:r w:rsidRPr="008E6485">
        <w:rPr>
          <w:sz w:val="28"/>
          <w:szCs w:val="28"/>
        </w:rPr>
        <w:t>milj</w:t>
      </w:r>
      <w:proofErr w:type="spellEnd"/>
      <w:r w:rsidRPr="008E6485">
        <w:rPr>
          <w:sz w:val="28"/>
          <w:szCs w:val="28"/>
        </w:rPr>
        <w:t xml:space="preserve">. </w:t>
      </w:r>
      <w:proofErr w:type="spellStart"/>
      <w:r w:rsidRPr="008E6485">
        <w:rPr>
          <w:sz w:val="28"/>
          <w:szCs w:val="28"/>
        </w:rPr>
        <w:t>gab</w:t>
      </w:r>
      <w:proofErr w:type="spellEnd"/>
      <w:r w:rsidRPr="008E6485">
        <w:rPr>
          <w:sz w:val="28"/>
          <w:szCs w:val="28"/>
        </w:rPr>
        <w:t xml:space="preserve">. cigarešu Latvijā, vairāk nekā 50 </w:t>
      </w:r>
      <w:proofErr w:type="spellStart"/>
      <w:r w:rsidRPr="008E6485">
        <w:rPr>
          <w:sz w:val="28"/>
          <w:szCs w:val="28"/>
        </w:rPr>
        <w:t>milj</w:t>
      </w:r>
      <w:proofErr w:type="spellEnd"/>
      <w:r w:rsidRPr="008E6485">
        <w:rPr>
          <w:sz w:val="28"/>
          <w:szCs w:val="28"/>
        </w:rPr>
        <w:t xml:space="preserve">. </w:t>
      </w:r>
      <w:proofErr w:type="spellStart"/>
      <w:r w:rsidRPr="008E6485">
        <w:rPr>
          <w:sz w:val="28"/>
          <w:szCs w:val="28"/>
        </w:rPr>
        <w:t>gab</w:t>
      </w:r>
      <w:proofErr w:type="spellEnd"/>
      <w:r w:rsidRPr="008E6485">
        <w:rPr>
          <w:sz w:val="28"/>
          <w:szCs w:val="28"/>
        </w:rPr>
        <w:t>. cigarešu Lietuvā, kā arī apcietinātas vainīgās personas Lietuvā.</w:t>
      </w:r>
    </w:p>
    <w:p w:rsidR="00937EB8" w:rsidRPr="008E6485" w:rsidRDefault="00937EB8" w:rsidP="00937EB8">
      <w:pPr>
        <w:ind w:firstLine="720"/>
        <w:rPr>
          <w:iCs/>
          <w:sz w:val="28"/>
          <w:szCs w:val="28"/>
        </w:rPr>
      </w:pPr>
      <w:r w:rsidRPr="008E6485">
        <w:rPr>
          <w:sz w:val="28"/>
          <w:szCs w:val="28"/>
        </w:rPr>
        <w:t xml:space="preserve">DP sadarbībā ar VID atklājusi kontrabandas ceļā ievestu kravu un izņēmusi </w:t>
      </w:r>
      <w:r w:rsidRPr="008E6485">
        <w:rPr>
          <w:iCs/>
          <w:sz w:val="28"/>
          <w:szCs w:val="28"/>
        </w:rPr>
        <w:t xml:space="preserve">12,9 </w:t>
      </w:r>
      <w:proofErr w:type="spellStart"/>
      <w:r w:rsidRPr="008E6485">
        <w:rPr>
          <w:iCs/>
          <w:sz w:val="28"/>
          <w:szCs w:val="28"/>
        </w:rPr>
        <w:t>milj</w:t>
      </w:r>
      <w:proofErr w:type="spellEnd"/>
      <w:r w:rsidRPr="008E6485">
        <w:rPr>
          <w:iCs/>
          <w:sz w:val="28"/>
          <w:szCs w:val="28"/>
        </w:rPr>
        <w:t xml:space="preserve">. </w:t>
      </w:r>
      <w:proofErr w:type="spellStart"/>
      <w:r w:rsidRPr="008E6485">
        <w:rPr>
          <w:iCs/>
          <w:sz w:val="28"/>
          <w:szCs w:val="28"/>
        </w:rPr>
        <w:t>gab</w:t>
      </w:r>
      <w:proofErr w:type="spellEnd"/>
      <w:r w:rsidRPr="008E6485">
        <w:rPr>
          <w:iCs/>
          <w:sz w:val="28"/>
          <w:szCs w:val="28"/>
        </w:rPr>
        <w:t>. cigarešu, kriminālprocess uzsākts šī gada jūnijā.</w:t>
      </w:r>
    </w:p>
    <w:p w:rsidR="00937EB8" w:rsidRPr="008E6485" w:rsidRDefault="00140E17" w:rsidP="00937EB8">
      <w:pPr>
        <w:ind w:firstLine="720"/>
        <w:rPr>
          <w:sz w:val="28"/>
          <w:szCs w:val="28"/>
        </w:rPr>
      </w:pPr>
      <w:r w:rsidRPr="009D352B">
        <w:rPr>
          <w:sz w:val="28"/>
          <w:szCs w:val="28"/>
        </w:rPr>
        <w:t xml:space="preserve">VRS un VP sadarbības rezultātā ir atklāti pieci likumpārkāpumi un izņemti </w:t>
      </w:r>
      <w:smartTag w:uri="schemas-tilde-lv/tildestengine" w:element="metric2">
        <w:smartTagPr>
          <w:attr w:name="metric_text" w:val="litri"/>
          <w:attr w:name="metric_value" w:val="860"/>
        </w:smartTagPr>
        <w:r w:rsidRPr="009D352B">
          <w:rPr>
            <w:sz w:val="28"/>
            <w:szCs w:val="28"/>
          </w:rPr>
          <w:t>860 litri</w:t>
        </w:r>
      </w:smartTag>
      <w:r w:rsidRPr="009D352B">
        <w:rPr>
          <w:sz w:val="28"/>
          <w:szCs w:val="28"/>
        </w:rPr>
        <w:t xml:space="preserve"> degvielas, </w:t>
      </w:r>
      <w:smartTag w:uri="schemas-tilde-lv/tildestengine" w:element="metric2">
        <w:smartTagPr>
          <w:attr w:name="metric_text" w:val="litri"/>
          <w:attr w:name="metric_value" w:val="10"/>
        </w:smartTagPr>
        <w:r w:rsidRPr="009D352B">
          <w:rPr>
            <w:sz w:val="28"/>
            <w:szCs w:val="28"/>
          </w:rPr>
          <w:t>10 litri</w:t>
        </w:r>
      </w:smartTag>
      <w:r w:rsidRPr="009D352B">
        <w:rPr>
          <w:sz w:val="28"/>
          <w:szCs w:val="28"/>
        </w:rPr>
        <w:t xml:space="preserve"> alkohola</w:t>
      </w:r>
      <w:r w:rsidR="00873178">
        <w:rPr>
          <w:sz w:val="28"/>
          <w:szCs w:val="28"/>
        </w:rPr>
        <w:t>,</w:t>
      </w:r>
      <w:r w:rsidRPr="009D352B">
        <w:rPr>
          <w:sz w:val="28"/>
          <w:szCs w:val="28"/>
        </w:rPr>
        <w:t xml:space="preserve"> kā arī 5,7 </w:t>
      </w:r>
      <w:proofErr w:type="spellStart"/>
      <w:r w:rsidRPr="009D352B">
        <w:rPr>
          <w:sz w:val="28"/>
          <w:szCs w:val="28"/>
        </w:rPr>
        <w:t>tūkst</w:t>
      </w:r>
      <w:proofErr w:type="spellEnd"/>
      <w:r w:rsidR="00873178">
        <w:rPr>
          <w:sz w:val="28"/>
          <w:szCs w:val="28"/>
        </w:rPr>
        <w:t>.</w:t>
      </w:r>
      <w:r w:rsidRPr="009D352B">
        <w:rPr>
          <w:sz w:val="28"/>
          <w:szCs w:val="28"/>
        </w:rPr>
        <w:t xml:space="preserve"> </w:t>
      </w:r>
      <w:proofErr w:type="spellStart"/>
      <w:r w:rsidR="00873178">
        <w:rPr>
          <w:sz w:val="28"/>
          <w:szCs w:val="28"/>
        </w:rPr>
        <w:t>gab</w:t>
      </w:r>
      <w:proofErr w:type="spellEnd"/>
      <w:r w:rsidR="00873178">
        <w:rPr>
          <w:sz w:val="28"/>
          <w:szCs w:val="28"/>
        </w:rPr>
        <w:t xml:space="preserve">. </w:t>
      </w:r>
      <w:r w:rsidRPr="009D352B">
        <w:rPr>
          <w:sz w:val="28"/>
          <w:szCs w:val="28"/>
        </w:rPr>
        <w:t>cigarešu</w:t>
      </w:r>
      <w:r w:rsidR="00937EB8" w:rsidRPr="008E6485">
        <w:rPr>
          <w:sz w:val="28"/>
          <w:szCs w:val="28"/>
        </w:rPr>
        <w:t>.</w:t>
      </w:r>
    </w:p>
    <w:p w:rsidR="00937EB8" w:rsidRPr="008E6485" w:rsidRDefault="00140E17" w:rsidP="00937EB8">
      <w:pPr>
        <w:ind w:firstLine="720"/>
        <w:rPr>
          <w:sz w:val="28"/>
          <w:szCs w:val="28"/>
        </w:rPr>
      </w:pPr>
      <w:r w:rsidRPr="009D352B">
        <w:rPr>
          <w:sz w:val="28"/>
          <w:szCs w:val="28"/>
        </w:rPr>
        <w:t>VRS un VID struktūrvienību sadarbības rezultātā atklāti 42</w:t>
      </w:r>
      <w:r w:rsidR="00873178">
        <w:rPr>
          <w:sz w:val="28"/>
          <w:szCs w:val="28"/>
        </w:rPr>
        <w:t> </w:t>
      </w:r>
      <w:r w:rsidRPr="009D352B">
        <w:rPr>
          <w:sz w:val="28"/>
          <w:szCs w:val="28"/>
        </w:rPr>
        <w:t xml:space="preserve">likumpārkāpumi un izņemti </w:t>
      </w:r>
      <w:smartTag w:uri="schemas-tilde-lv/tildestengine" w:element="metric2">
        <w:smartTagPr>
          <w:attr w:name="metric_text" w:val="litri"/>
          <w:attr w:name="metric_value" w:val="1080"/>
        </w:smartTagPr>
        <w:r w:rsidRPr="009D352B">
          <w:rPr>
            <w:sz w:val="28"/>
            <w:szCs w:val="28"/>
          </w:rPr>
          <w:t>1080 litri</w:t>
        </w:r>
      </w:smartTag>
      <w:r w:rsidRPr="009D352B">
        <w:rPr>
          <w:sz w:val="28"/>
          <w:szCs w:val="28"/>
        </w:rPr>
        <w:t xml:space="preserve"> degvielas, </w:t>
      </w:r>
      <w:smartTag w:uri="schemas-tilde-lv/tildestengine" w:element="metric2">
        <w:smartTagPr>
          <w:attr w:name="metric_text" w:val="litri"/>
          <w:attr w:name="metric_value" w:val="57"/>
        </w:smartTagPr>
        <w:r w:rsidRPr="009D352B">
          <w:rPr>
            <w:sz w:val="28"/>
            <w:szCs w:val="28"/>
          </w:rPr>
          <w:t>57 litri</w:t>
        </w:r>
      </w:smartTag>
      <w:r w:rsidRPr="009D352B">
        <w:rPr>
          <w:sz w:val="28"/>
          <w:szCs w:val="28"/>
        </w:rPr>
        <w:t xml:space="preserve"> alkohola un 3,86</w:t>
      </w:r>
      <w:r w:rsidR="00873178">
        <w:rPr>
          <w:sz w:val="28"/>
          <w:szCs w:val="28"/>
        </w:rPr>
        <w:t> </w:t>
      </w:r>
      <w:r w:rsidRPr="009D352B">
        <w:rPr>
          <w:sz w:val="28"/>
          <w:szCs w:val="28"/>
        </w:rPr>
        <w:t>milj</w:t>
      </w:r>
      <w:r w:rsidR="00873178">
        <w:rPr>
          <w:sz w:val="28"/>
          <w:szCs w:val="28"/>
        </w:rPr>
        <w:t xml:space="preserve">. </w:t>
      </w:r>
      <w:proofErr w:type="spellStart"/>
      <w:r w:rsidR="00873178">
        <w:rPr>
          <w:sz w:val="28"/>
          <w:szCs w:val="28"/>
        </w:rPr>
        <w:t>gab</w:t>
      </w:r>
      <w:proofErr w:type="spellEnd"/>
      <w:r w:rsidR="00873178">
        <w:rPr>
          <w:sz w:val="28"/>
          <w:szCs w:val="28"/>
        </w:rPr>
        <w:t>.</w:t>
      </w:r>
      <w:r w:rsidRPr="009D352B">
        <w:rPr>
          <w:sz w:val="28"/>
          <w:szCs w:val="28"/>
        </w:rPr>
        <w:t xml:space="preserve"> cigarešu</w:t>
      </w:r>
      <w:r w:rsidR="00937EB8" w:rsidRPr="008E6485">
        <w:rPr>
          <w:sz w:val="28"/>
          <w:szCs w:val="28"/>
        </w:rPr>
        <w:t>.</w:t>
      </w:r>
    </w:p>
    <w:p w:rsidR="00937EB8" w:rsidRPr="008E6485" w:rsidRDefault="00937EB8" w:rsidP="00937EB8">
      <w:pPr>
        <w:ind w:firstLine="720"/>
        <w:rPr>
          <w:noProof/>
          <w:sz w:val="28"/>
          <w:szCs w:val="28"/>
        </w:rPr>
      </w:pPr>
      <w:r w:rsidRPr="008E6485">
        <w:rPr>
          <w:sz w:val="28"/>
          <w:szCs w:val="28"/>
        </w:rPr>
        <w:t xml:space="preserve">VID ir sniedzis atbalstu VP tās organizētajos kontroles pasākumos degvielas aprites jomā. Rezultātā izņemti aptuveni 63 </w:t>
      </w:r>
      <w:proofErr w:type="spellStart"/>
      <w:r w:rsidRPr="008E6485">
        <w:rPr>
          <w:sz w:val="28"/>
          <w:szCs w:val="28"/>
        </w:rPr>
        <w:t>tūkst</w:t>
      </w:r>
      <w:proofErr w:type="spellEnd"/>
      <w:r w:rsidR="00987E70" w:rsidRPr="008E6485">
        <w:rPr>
          <w:sz w:val="28"/>
          <w:szCs w:val="28"/>
        </w:rPr>
        <w:t>.</w:t>
      </w:r>
      <w:r w:rsidRPr="008E6485">
        <w:rPr>
          <w:sz w:val="28"/>
          <w:szCs w:val="28"/>
        </w:rPr>
        <w:t xml:space="preserve"> litru degvielas un divi transportlīdzekļi.</w:t>
      </w:r>
      <w:r w:rsidRPr="008E6485">
        <w:rPr>
          <w:noProof/>
          <w:sz w:val="28"/>
          <w:szCs w:val="28"/>
        </w:rPr>
        <w:t xml:space="preserve"> </w:t>
      </w:r>
    </w:p>
    <w:p w:rsidR="00937EB8" w:rsidRPr="008E6485" w:rsidRDefault="00937EB8" w:rsidP="00937EB8">
      <w:pPr>
        <w:ind w:firstLine="720"/>
        <w:rPr>
          <w:sz w:val="28"/>
          <w:szCs w:val="28"/>
        </w:rPr>
      </w:pPr>
      <w:r w:rsidRPr="008E6485">
        <w:rPr>
          <w:sz w:val="28"/>
          <w:szCs w:val="28"/>
        </w:rPr>
        <w:t xml:space="preserve">Starp VRS, VID un Pārtikas </w:t>
      </w:r>
      <w:r w:rsidR="00873178">
        <w:rPr>
          <w:sz w:val="28"/>
          <w:szCs w:val="28"/>
        </w:rPr>
        <w:t xml:space="preserve">un </w:t>
      </w:r>
      <w:r w:rsidRPr="008E6485">
        <w:rPr>
          <w:sz w:val="28"/>
          <w:szCs w:val="28"/>
        </w:rPr>
        <w:t>veterināro dienestu</w:t>
      </w:r>
      <w:r w:rsidRPr="008E6485">
        <w:rPr>
          <w:bCs/>
          <w:iCs/>
          <w:sz w:val="28"/>
          <w:szCs w:val="28"/>
        </w:rPr>
        <w:t xml:space="preserve"> ir noslēgta starpresoru vienošan</w:t>
      </w:r>
      <w:r w:rsidR="00987E70" w:rsidRPr="008E6485">
        <w:rPr>
          <w:bCs/>
          <w:iCs/>
          <w:sz w:val="28"/>
          <w:szCs w:val="28"/>
        </w:rPr>
        <w:t>ā</w:t>
      </w:r>
      <w:r w:rsidRPr="008E6485">
        <w:rPr>
          <w:bCs/>
          <w:iCs/>
          <w:sz w:val="28"/>
          <w:szCs w:val="28"/>
        </w:rPr>
        <w:t>s</w:t>
      </w:r>
      <w:r w:rsidRPr="008E6485">
        <w:rPr>
          <w:sz w:val="28"/>
          <w:szCs w:val="28"/>
        </w:rPr>
        <w:t xml:space="preserve"> par iestāžu darbības un sadarbības organizēšanu robežšķērsošanas vietās.</w:t>
      </w:r>
    </w:p>
    <w:p w:rsidR="00937EB8" w:rsidRPr="008E6485" w:rsidRDefault="00937EB8" w:rsidP="00937EB8">
      <w:pPr>
        <w:ind w:firstLine="720"/>
        <w:rPr>
          <w:noProof/>
          <w:sz w:val="28"/>
          <w:szCs w:val="28"/>
        </w:rPr>
      </w:pPr>
      <w:r w:rsidRPr="008E6485">
        <w:rPr>
          <w:iCs/>
          <w:noProof/>
          <w:sz w:val="28"/>
          <w:szCs w:val="28"/>
        </w:rPr>
        <w:t>Ir parakstīta starpresoru vienošanās par informācijas apmaiņu starp VID MP un VRS atsevišķu akcīzes preču pārvietošanas kontrolē.</w:t>
      </w:r>
    </w:p>
    <w:p w:rsidR="00937EB8" w:rsidRPr="008E6485" w:rsidRDefault="00937EB8" w:rsidP="00937EB8">
      <w:pPr>
        <w:ind w:firstLine="720"/>
        <w:rPr>
          <w:noProof/>
          <w:sz w:val="28"/>
          <w:szCs w:val="28"/>
        </w:rPr>
      </w:pPr>
      <w:r w:rsidRPr="008E6485">
        <w:rPr>
          <w:noProof/>
          <w:sz w:val="28"/>
          <w:szCs w:val="28"/>
        </w:rPr>
        <w:t>VID MP sadarbībā ar VID MKrP ir veikusi trīs kontroles pasākumus no Krievijas iebraucošos pasažieru vilcienos, kuru rezultātā ir atklāts viens cigarešu kontrabandas gadījums – at</w:t>
      </w:r>
      <w:r w:rsidR="00B5164B" w:rsidRPr="008E6485">
        <w:rPr>
          <w:noProof/>
          <w:sz w:val="28"/>
          <w:szCs w:val="28"/>
        </w:rPr>
        <w:t>rasta</w:t>
      </w:r>
      <w:r w:rsidRPr="008E6485">
        <w:rPr>
          <w:noProof/>
          <w:sz w:val="28"/>
          <w:szCs w:val="28"/>
        </w:rPr>
        <w:t xml:space="preserve"> slēptuve vilciena kupejas apkures sistēmā.</w:t>
      </w:r>
    </w:p>
    <w:p w:rsidR="00140E17" w:rsidRDefault="00140E17" w:rsidP="001F7115">
      <w:pPr>
        <w:ind w:firstLine="709"/>
        <w:rPr>
          <w:sz w:val="28"/>
          <w:szCs w:val="28"/>
        </w:rPr>
      </w:pPr>
      <w:r w:rsidRPr="008E6485">
        <w:rPr>
          <w:sz w:val="28"/>
          <w:szCs w:val="28"/>
        </w:rPr>
        <w:t xml:space="preserve">VID AP, sadarbojoties ar VID MKrP, ir atklājusi nelikumīgu alkoholisko dzērienu tirdzniecību un izņēmusi 48 litrus </w:t>
      </w:r>
      <w:r>
        <w:rPr>
          <w:sz w:val="28"/>
          <w:szCs w:val="28"/>
        </w:rPr>
        <w:t>alkoholisko dzērienu</w:t>
      </w:r>
      <w:r w:rsidRPr="008E6485">
        <w:rPr>
          <w:sz w:val="28"/>
          <w:szCs w:val="28"/>
        </w:rPr>
        <w:t>.</w:t>
      </w:r>
      <w:r>
        <w:rPr>
          <w:sz w:val="28"/>
          <w:szCs w:val="28"/>
        </w:rPr>
        <w:t xml:space="preserve"> </w:t>
      </w:r>
    </w:p>
    <w:p w:rsidR="00140E17" w:rsidRDefault="00140E17" w:rsidP="001F7115">
      <w:pPr>
        <w:ind w:firstLine="709"/>
        <w:rPr>
          <w:sz w:val="28"/>
          <w:szCs w:val="28"/>
        </w:rPr>
      </w:pPr>
      <w:r w:rsidRPr="008E6485">
        <w:rPr>
          <w:sz w:val="28"/>
          <w:szCs w:val="28"/>
        </w:rPr>
        <w:lastRenderedPageBreak/>
        <w:t xml:space="preserve">VID AP, sadarbojoties ar </w:t>
      </w:r>
      <w:r>
        <w:rPr>
          <w:sz w:val="28"/>
          <w:szCs w:val="28"/>
        </w:rPr>
        <w:t xml:space="preserve">VP, </w:t>
      </w:r>
      <w:r w:rsidRPr="008E6485">
        <w:rPr>
          <w:sz w:val="28"/>
          <w:szCs w:val="28"/>
        </w:rPr>
        <w:t>ir atklājusi nelikumīgu alkoholisko dzērienu</w:t>
      </w:r>
      <w:r w:rsidRPr="00AC21D5">
        <w:rPr>
          <w:sz w:val="28"/>
          <w:szCs w:val="28"/>
        </w:rPr>
        <w:t xml:space="preserve"> </w:t>
      </w:r>
      <w:r>
        <w:rPr>
          <w:sz w:val="28"/>
          <w:szCs w:val="28"/>
        </w:rPr>
        <w:t>un tabakas izstrādājumu</w:t>
      </w:r>
      <w:r w:rsidRPr="008E6485">
        <w:rPr>
          <w:sz w:val="28"/>
          <w:szCs w:val="28"/>
        </w:rPr>
        <w:t xml:space="preserve"> tirdzniecību</w:t>
      </w:r>
      <w:r>
        <w:rPr>
          <w:sz w:val="28"/>
          <w:szCs w:val="28"/>
        </w:rPr>
        <w:t xml:space="preserve"> un uzglabāšanu</w:t>
      </w:r>
      <w:r w:rsidRPr="008E6485">
        <w:rPr>
          <w:sz w:val="28"/>
          <w:szCs w:val="28"/>
        </w:rPr>
        <w:t xml:space="preserve"> un izņēmusi </w:t>
      </w:r>
      <w:r>
        <w:rPr>
          <w:sz w:val="28"/>
          <w:szCs w:val="28"/>
        </w:rPr>
        <w:t>379 litrus alkoholisko dzērienu un 4880</w:t>
      </w:r>
      <w:r w:rsidRPr="00AC21D5">
        <w:rPr>
          <w:sz w:val="28"/>
          <w:szCs w:val="28"/>
        </w:rPr>
        <w:t xml:space="preserve"> </w:t>
      </w:r>
      <w:proofErr w:type="spellStart"/>
      <w:r w:rsidR="00873178">
        <w:rPr>
          <w:sz w:val="28"/>
          <w:szCs w:val="28"/>
        </w:rPr>
        <w:t>gab</w:t>
      </w:r>
      <w:proofErr w:type="spellEnd"/>
      <w:r w:rsidR="00873178">
        <w:rPr>
          <w:sz w:val="28"/>
          <w:szCs w:val="28"/>
        </w:rPr>
        <w:t xml:space="preserve">. </w:t>
      </w:r>
      <w:r>
        <w:rPr>
          <w:sz w:val="28"/>
          <w:szCs w:val="28"/>
        </w:rPr>
        <w:t>cigare</w:t>
      </w:r>
      <w:r w:rsidR="00873178">
        <w:rPr>
          <w:sz w:val="28"/>
          <w:szCs w:val="28"/>
        </w:rPr>
        <w:t>šu</w:t>
      </w:r>
      <w:r>
        <w:rPr>
          <w:sz w:val="28"/>
          <w:szCs w:val="28"/>
        </w:rPr>
        <w:t xml:space="preserve">. </w:t>
      </w:r>
    </w:p>
    <w:p w:rsidR="00140E17" w:rsidRDefault="00140E17" w:rsidP="00140E17">
      <w:pPr>
        <w:pStyle w:val="ListParagraph"/>
        <w:ind w:left="0" w:firstLine="720"/>
        <w:rPr>
          <w:sz w:val="28"/>
          <w:szCs w:val="28"/>
        </w:rPr>
      </w:pPr>
      <w:r w:rsidRPr="008E6485">
        <w:rPr>
          <w:sz w:val="28"/>
          <w:szCs w:val="28"/>
        </w:rPr>
        <w:t>VID AP, sadarbojoties ar</w:t>
      </w:r>
      <w:r>
        <w:rPr>
          <w:sz w:val="28"/>
          <w:szCs w:val="28"/>
        </w:rPr>
        <w:t xml:space="preserve"> </w:t>
      </w:r>
      <w:r w:rsidR="00873178">
        <w:rPr>
          <w:sz w:val="28"/>
          <w:szCs w:val="28"/>
        </w:rPr>
        <w:t xml:space="preserve">VID </w:t>
      </w:r>
      <w:r>
        <w:rPr>
          <w:sz w:val="28"/>
          <w:szCs w:val="28"/>
        </w:rPr>
        <w:t xml:space="preserve">FPP, ir </w:t>
      </w:r>
      <w:r w:rsidRPr="008E6485">
        <w:rPr>
          <w:sz w:val="28"/>
          <w:szCs w:val="28"/>
        </w:rPr>
        <w:t>atklājusi nelikumīgu</w:t>
      </w:r>
      <w:r>
        <w:rPr>
          <w:sz w:val="28"/>
          <w:szCs w:val="28"/>
        </w:rPr>
        <w:t xml:space="preserve"> naftas produktu</w:t>
      </w:r>
      <w:r w:rsidRPr="00DA3737">
        <w:rPr>
          <w:sz w:val="28"/>
          <w:szCs w:val="28"/>
        </w:rPr>
        <w:t xml:space="preserve"> </w:t>
      </w:r>
      <w:r>
        <w:rPr>
          <w:sz w:val="28"/>
          <w:szCs w:val="28"/>
        </w:rPr>
        <w:t>uzglabāšanu un izņēmusi 9500 litrus naftas produktu.</w:t>
      </w:r>
    </w:p>
    <w:p w:rsidR="00140E17" w:rsidRPr="00694A64" w:rsidRDefault="00140E17" w:rsidP="00140E17">
      <w:pPr>
        <w:pStyle w:val="NormalWeb"/>
        <w:spacing w:before="0" w:beforeAutospacing="0" w:after="0" w:afterAutospacing="0"/>
        <w:ind w:firstLine="720"/>
        <w:jc w:val="both"/>
        <w:rPr>
          <w:sz w:val="28"/>
          <w:szCs w:val="28"/>
        </w:rPr>
      </w:pPr>
      <w:r>
        <w:rPr>
          <w:sz w:val="28"/>
          <w:szCs w:val="28"/>
        </w:rPr>
        <w:t xml:space="preserve">Ņemot vērā, ka </w:t>
      </w:r>
      <w:r w:rsidRPr="00847F1B">
        <w:rPr>
          <w:sz w:val="28"/>
          <w:szCs w:val="28"/>
        </w:rPr>
        <w:t xml:space="preserve">naftas produkti ar </w:t>
      </w:r>
      <w:r w:rsidRPr="00A20D7E">
        <w:rPr>
          <w:sz w:val="28"/>
          <w:szCs w:val="28"/>
        </w:rPr>
        <w:t xml:space="preserve">Kombinētās nomenklatūras kodu </w:t>
      </w:r>
      <w:r w:rsidRPr="00847F1B">
        <w:rPr>
          <w:sz w:val="28"/>
          <w:szCs w:val="28"/>
        </w:rPr>
        <w:t>27101999 un 27101991</w:t>
      </w:r>
      <w:r>
        <w:rPr>
          <w:sz w:val="28"/>
          <w:szCs w:val="28"/>
        </w:rPr>
        <w:t xml:space="preserve"> ir viens no nelegālo naftas produktu avotiem Latvijas Republikas teritorijā, kā arī</w:t>
      </w:r>
      <w:r w:rsidRPr="007C1F57">
        <w:rPr>
          <w:sz w:val="28"/>
          <w:szCs w:val="28"/>
        </w:rPr>
        <w:t xml:space="preserve"> </w:t>
      </w:r>
      <w:r>
        <w:rPr>
          <w:sz w:val="28"/>
          <w:szCs w:val="28"/>
        </w:rPr>
        <w:t>Eiropas Savienības teritorijā, ir veikti grozījumi</w:t>
      </w:r>
      <w:r w:rsidRPr="00694A64">
        <w:rPr>
          <w:sz w:val="28"/>
          <w:szCs w:val="28"/>
        </w:rPr>
        <w:t xml:space="preserve"> likum</w:t>
      </w:r>
      <w:r>
        <w:rPr>
          <w:sz w:val="28"/>
          <w:szCs w:val="28"/>
        </w:rPr>
        <w:t>ā</w:t>
      </w:r>
      <w:r w:rsidRPr="00694A64">
        <w:rPr>
          <w:sz w:val="28"/>
          <w:szCs w:val="28"/>
        </w:rPr>
        <w:t xml:space="preserve"> </w:t>
      </w:r>
      <w:r w:rsidR="00873178">
        <w:rPr>
          <w:sz w:val="28"/>
          <w:szCs w:val="28"/>
        </w:rPr>
        <w:t>“</w:t>
      </w:r>
      <w:r w:rsidRPr="00694A64">
        <w:rPr>
          <w:sz w:val="28"/>
          <w:szCs w:val="28"/>
        </w:rPr>
        <w:t>Par akcīzes nodokli</w:t>
      </w:r>
      <w:r w:rsidR="00873178">
        <w:rPr>
          <w:sz w:val="28"/>
          <w:szCs w:val="28"/>
        </w:rPr>
        <w:t>”</w:t>
      </w:r>
      <w:r w:rsidRPr="00694A64">
        <w:rPr>
          <w:sz w:val="28"/>
          <w:szCs w:val="28"/>
        </w:rPr>
        <w:t xml:space="preserve">, </w:t>
      </w:r>
      <w:r>
        <w:rPr>
          <w:sz w:val="28"/>
          <w:szCs w:val="28"/>
        </w:rPr>
        <w:t>pamatojoties uz kuriem ar</w:t>
      </w:r>
      <w:r w:rsidRPr="00694A64">
        <w:rPr>
          <w:sz w:val="28"/>
          <w:szCs w:val="28"/>
        </w:rPr>
        <w:t xml:space="preserve"> 2012.gada 1.februāri naftas produkti ar </w:t>
      </w:r>
      <w:r w:rsidRPr="00A20D7E">
        <w:rPr>
          <w:sz w:val="28"/>
          <w:szCs w:val="28"/>
        </w:rPr>
        <w:t xml:space="preserve">Kombinētās nomenklatūras kodu </w:t>
      </w:r>
      <w:r w:rsidRPr="007C1F57">
        <w:rPr>
          <w:sz w:val="28"/>
          <w:szCs w:val="28"/>
        </w:rPr>
        <w:t xml:space="preserve">27101999 un 27101991 ir apliekami ar akcīzes nodokli saskaņā ar likumā noteiktajām </w:t>
      </w:r>
      <w:r>
        <w:rPr>
          <w:sz w:val="28"/>
          <w:szCs w:val="28"/>
        </w:rPr>
        <w:t xml:space="preserve">nodokļa </w:t>
      </w:r>
      <w:r w:rsidRPr="00A20D7E">
        <w:rPr>
          <w:sz w:val="28"/>
          <w:szCs w:val="28"/>
        </w:rPr>
        <w:t xml:space="preserve">likmēm. </w:t>
      </w:r>
    </w:p>
    <w:p w:rsidR="00140E17" w:rsidRPr="00504CAD" w:rsidRDefault="00140E17" w:rsidP="00140E17">
      <w:pPr>
        <w:ind w:firstLine="720"/>
        <w:rPr>
          <w:sz w:val="28"/>
          <w:szCs w:val="28"/>
        </w:rPr>
      </w:pPr>
      <w:r>
        <w:rPr>
          <w:sz w:val="28"/>
          <w:szCs w:val="28"/>
        </w:rPr>
        <w:t xml:space="preserve">Tādējādi operatīvās darbības vajadzībām nelegālo naftas produktu apkarošanai Latvijas teritorijā VID AP sniegusi VP amatpersonām  Polijas sniegto informāciju par nosūtītiem naftas produktiem ar Kombinētās nomenklatūras kodu 27101999 un 27101991 Latvijas </w:t>
      </w:r>
      <w:r w:rsidRPr="00504CAD">
        <w:rPr>
          <w:sz w:val="28"/>
          <w:szCs w:val="28"/>
        </w:rPr>
        <w:t>komersantiem</w:t>
      </w:r>
      <w:r w:rsidR="00504CAD" w:rsidRPr="00504CAD">
        <w:rPr>
          <w:sz w:val="28"/>
          <w:szCs w:val="28"/>
        </w:rPr>
        <w:t>,</w:t>
      </w:r>
      <w:r w:rsidRPr="00504CAD">
        <w:rPr>
          <w:sz w:val="28"/>
          <w:szCs w:val="28"/>
        </w:rPr>
        <w:t xml:space="preserve"> </w:t>
      </w:r>
      <w:r w:rsidR="00504CAD" w:rsidRPr="00504CAD">
        <w:rPr>
          <w:sz w:val="28"/>
          <w:szCs w:val="28"/>
        </w:rPr>
        <w:t xml:space="preserve">kuriem nav izsniegta speciālā atļauja (licence) komercdarbībai ar naftas produktiem, </w:t>
      </w:r>
      <w:r w:rsidRPr="00504CAD">
        <w:rPr>
          <w:sz w:val="28"/>
          <w:szCs w:val="28"/>
        </w:rPr>
        <w:t>vai arī norādītām šo produktu saņemšanas vietām Latvijas teritorijā.</w:t>
      </w:r>
    </w:p>
    <w:p w:rsidR="00937EB8" w:rsidRPr="008E6485" w:rsidRDefault="00937EB8" w:rsidP="003D1CB0">
      <w:pPr>
        <w:ind w:firstLine="720"/>
        <w:rPr>
          <w:noProof/>
          <w:sz w:val="28"/>
          <w:szCs w:val="28"/>
        </w:rPr>
      </w:pPr>
      <w:r w:rsidRPr="008E6485">
        <w:rPr>
          <w:iCs/>
          <w:noProof/>
          <w:sz w:val="28"/>
          <w:szCs w:val="28"/>
        </w:rPr>
        <w:t xml:space="preserve">Lai izveidotu Fizisko personu kontroles sistēmu, VID MP ir izstrādājusi un saskaņojusi programmatūras prasību specifikāciju. Līdz Fizisko personu kontroles sistēmas izveidei </w:t>
      </w:r>
      <w:r w:rsidRPr="008E6485">
        <w:rPr>
          <w:noProof/>
          <w:sz w:val="28"/>
          <w:szCs w:val="28"/>
        </w:rPr>
        <w:t xml:space="preserve">VID MP </w:t>
      </w:r>
      <w:r w:rsidR="00823EB9">
        <w:rPr>
          <w:noProof/>
          <w:sz w:val="28"/>
          <w:szCs w:val="28"/>
        </w:rPr>
        <w:t>a</w:t>
      </w:r>
      <w:r w:rsidRPr="008E6485">
        <w:rPr>
          <w:noProof/>
          <w:sz w:val="28"/>
          <w:szCs w:val="28"/>
        </w:rPr>
        <w:t>ustrumu robežas muitas kontroles punktos ir ieviesusi jaunu pagaidu elektronisku uzskaites sistēmu, lai nodrošinātu pāri E</w:t>
      </w:r>
      <w:r w:rsidR="009B233D" w:rsidRPr="008E6485">
        <w:rPr>
          <w:noProof/>
          <w:sz w:val="28"/>
          <w:szCs w:val="28"/>
        </w:rPr>
        <w:t xml:space="preserve">iropas Savienības </w:t>
      </w:r>
      <w:r w:rsidRPr="008E6485">
        <w:rPr>
          <w:noProof/>
          <w:sz w:val="28"/>
          <w:szCs w:val="28"/>
        </w:rPr>
        <w:t>robežai legāli pārvietoto akcīzes preču uzskaiti. Šajā sistēmā datus ievada no 2012.gada 1.aprīļa, kā rezultātā ir atvieglota un paātrināta robežš</w:t>
      </w:r>
      <w:r w:rsidR="009B233D" w:rsidRPr="008E6485">
        <w:rPr>
          <w:noProof/>
          <w:sz w:val="28"/>
          <w:szCs w:val="28"/>
        </w:rPr>
        <w:t>ķ</w:t>
      </w:r>
      <w:r w:rsidRPr="008E6485">
        <w:rPr>
          <w:noProof/>
          <w:sz w:val="28"/>
          <w:szCs w:val="28"/>
        </w:rPr>
        <w:t xml:space="preserve">ērsojošo personu kontrole, </w:t>
      </w:r>
      <w:r w:rsidR="00035807" w:rsidRPr="008E6485">
        <w:rPr>
          <w:noProof/>
          <w:sz w:val="28"/>
          <w:szCs w:val="28"/>
        </w:rPr>
        <w:t xml:space="preserve">turklāt </w:t>
      </w:r>
      <w:r w:rsidRPr="008E6485">
        <w:rPr>
          <w:noProof/>
          <w:sz w:val="28"/>
          <w:szCs w:val="28"/>
        </w:rPr>
        <w:t xml:space="preserve">daudz efektīvāk var identificēt personas, kuras regulāri nodarbojas ar legālu akcīzes preču ievešanu. VID MP ir sniegusi informāciju VID MKrP, VID FPP, VID Nodokļu kontroles pārvaldei un VP </w:t>
      </w:r>
      <w:r w:rsidRPr="007D4D2A">
        <w:rPr>
          <w:noProof/>
          <w:sz w:val="28"/>
          <w:szCs w:val="28"/>
        </w:rPr>
        <w:t xml:space="preserve">par </w:t>
      </w:r>
      <w:r w:rsidR="000C0D57" w:rsidRPr="007D4D2A">
        <w:rPr>
          <w:noProof/>
          <w:sz w:val="28"/>
          <w:szCs w:val="28"/>
        </w:rPr>
        <w:t>678</w:t>
      </w:r>
      <w:r w:rsidRPr="007D4D2A">
        <w:rPr>
          <w:noProof/>
          <w:sz w:val="28"/>
          <w:szCs w:val="28"/>
        </w:rPr>
        <w:t xml:space="preserve"> fizisk</w:t>
      </w:r>
      <w:r w:rsidR="000C0D57" w:rsidRPr="007D4D2A">
        <w:rPr>
          <w:noProof/>
          <w:sz w:val="28"/>
          <w:szCs w:val="28"/>
        </w:rPr>
        <w:t>ām</w:t>
      </w:r>
      <w:r w:rsidRPr="007D4D2A">
        <w:rPr>
          <w:noProof/>
          <w:sz w:val="28"/>
          <w:szCs w:val="28"/>
        </w:rPr>
        <w:t xml:space="preserve"> person</w:t>
      </w:r>
      <w:r w:rsidR="000C0D57" w:rsidRPr="007D4D2A">
        <w:rPr>
          <w:noProof/>
          <w:sz w:val="28"/>
          <w:szCs w:val="28"/>
        </w:rPr>
        <w:t>ām</w:t>
      </w:r>
      <w:r w:rsidRPr="007D4D2A">
        <w:rPr>
          <w:noProof/>
          <w:sz w:val="28"/>
          <w:szCs w:val="28"/>
        </w:rPr>
        <w:t>, kuras</w:t>
      </w:r>
      <w:r w:rsidRPr="008E6485">
        <w:rPr>
          <w:noProof/>
          <w:sz w:val="28"/>
          <w:szCs w:val="28"/>
        </w:rPr>
        <w:t xml:space="preserve"> regulāri ieved akcīzes preces, norādot uz paaugstinātu nelikumīgas komercdarbības risku šīm personām.</w:t>
      </w:r>
    </w:p>
    <w:p w:rsidR="00937EB8" w:rsidRPr="008E6485" w:rsidRDefault="00937EB8" w:rsidP="00937EB8">
      <w:pPr>
        <w:ind w:firstLine="720"/>
        <w:rPr>
          <w:sz w:val="28"/>
          <w:szCs w:val="28"/>
        </w:rPr>
      </w:pPr>
      <w:r w:rsidRPr="008E6485">
        <w:rPr>
          <w:iCs/>
          <w:sz w:val="28"/>
          <w:szCs w:val="28"/>
        </w:rPr>
        <w:t xml:space="preserve">Sadarbojoties VID MP </w:t>
      </w:r>
      <w:r w:rsidRPr="008E6485">
        <w:rPr>
          <w:sz w:val="28"/>
          <w:szCs w:val="28"/>
        </w:rPr>
        <w:t>un VID MKrP, Grebņevas muitas kontrol</w:t>
      </w:r>
      <w:r w:rsidR="00823EB9">
        <w:rPr>
          <w:sz w:val="28"/>
          <w:szCs w:val="28"/>
        </w:rPr>
        <w:t xml:space="preserve">es </w:t>
      </w:r>
      <w:r w:rsidRPr="008E6485">
        <w:rPr>
          <w:sz w:val="28"/>
          <w:szCs w:val="28"/>
        </w:rPr>
        <w:t xml:space="preserve">punktā (turpmāk </w:t>
      </w:r>
      <w:r w:rsidR="009B233D" w:rsidRPr="008E6485">
        <w:rPr>
          <w:sz w:val="28"/>
          <w:szCs w:val="28"/>
        </w:rPr>
        <w:t xml:space="preserve">– </w:t>
      </w:r>
      <w:r w:rsidRPr="008E6485">
        <w:rPr>
          <w:sz w:val="28"/>
          <w:szCs w:val="28"/>
        </w:rPr>
        <w:t>MKP) atklāts kontrabandas cigarešu ievešanas gadījums un izņemt</w:t>
      </w:r>
      <w:r w:rsidR="00823EB9">
        <w:rPr>
          <w:sz w:val="28"/>
          <w:szCs w:val="28"/>
        </w:rPr>
        <w:t>i</w:t>
      </w:r>
      <w:r w:rsidRPr="008E6485">
        <w:rPr>
          <w:sz w:val="28"/>
          <w:szCs w:val="28"/>
        </w:rPr>
        <w:t xml:space="preserve"> 3,7 </w:t>
      </w:r>
      <w:proofErr w:type="spellStart"/>
      <w:r w:rsidRPr="008E6485">
        <w:rPr>
          <w:sz w:val="28"/>
          <w:szCs w:val="28"/>
        </w:rPr>
        <w:t>milj</w:t>
      </w:r>
      <w:proofErr w:type="spellEnd"/>
      <w:r w:rsidRPr="008E6485">
        <w:rPr>
          <w:sz w:val="28"/>
          <w:szCs w:val="28"/>
        </w:rPr>
        <w:t xml:space="preserve">. </w:t>
      </w:r>
      <w:proofErr w:type="spellStart"/>
      <w:r w:rsidRPr="008E6485">
        <w:rPr>
          <w:sz w:val="28"/>
          <w:szCs w:val="28"/>
        </w:rPr>
        <w:t>gab</w:t>
      </w:r>
      <w:proofErr w:type="spellEnd"/>
      <w:r w:rsidRPr="008E6485">
        <w:rPr>
          <w:sz w:val="28"/>
          <w:szCs w:val="28"/>
        </w:rPr>
        <w:t xml:space="preserve">. cigarešu. </w:t>
      </w:r>
    </w:p>
    <w:p w:rsidR="00937EB8" w:rsidRPr="008E6485" w:rsidRDefault="00937EB8" w:rsidP="00937EB8">
      <w:pPr>
        <w:ind w:firstLine="720"/>
        <w:rPr>
          <w:sz w:val="28"/>
          <w:szCs w:val="28"/>
        </w:rPr>
      </w:pPr>
      <w:r w:rsidRPr="008E6485">
        <w:rPr>
          <w:sz w:val="28"/>
          <w:szCs w:val="28"/>
        </w:rPr>
        <w:t>Par diviem minētajiem likumpārkāpumiem (DP sadarbībā ar VID –  izņemt</w:t>
      </w:r>
      <w:r w:rsidR="00823EB9">
        <w:rPr>
          <w:sz w:val="28"/>
          <w:szCs w:val="28"/>
        </w:rPr>
        <w:t>i</w:t>
      </w:r>
      <w:r w:rsidRPr="008E6485">
        <w:rPr>
          <w:sz w:val="28"/>
          <w:szCs w:val="28"/>
        </w:rPr>
        <w:t xml:space="preserve"> 12,9 </w:t>
      </w:r>
      <w:proofErr w:type="spellStart"/>
      <w:r w:rsidRPr="008E6485">
        <w:rPr>
          <w:sz w:val="28"/>
          <w:szCs w:val="28"/>
        </w:rPr>
        <w:t>milj</w:t>
      </w:r>
      <w:proofErr w:type="spellEnd"/>
      <w:r w:rsidRPr="008E6485">
        <w:rPr>
          <w:sz w:val="28"/>
          <w:szCs w:val="28"/>
        </w:rPr>
        <w:t xml:space="preserve">. </w:t>
      </w:r>
      <w:proofErr w:type="spellStart"/>
      <w:r w:rsidRPr="008E6485">
        <w:rPr>
          <w:sz w:val="28"/>
          <w:szCs w:val="28"/>
        </w:rPr>
        <w:t>gab</w:t>
      </w:r>
      <w:proofErr w:type="spellEnd"/>
      <w:r w:rsidRPr="008E6485">
        <w:rPr>
          <w:sz w:val="28"/>
          <w:szCs w:val="28"/>
        </w:rPr>
        <w:t>. cigarešu</w:t>
      </w:r>
      <w:r w:rsidR="00755776" w:rsidRPr="008E6485">
        <w:rPr>
          <w:sz w:val="28"/>
          <w:szCs w:val="28"/>
        </w:rPr>
        <w:t>,</w:t>
      </w:r>
      <w:r w:rsidRPr="008E6485">
        <w:rPr>
          <w:sz w:val="28"/>
          <w:szCs w:val="28"/>
        </w:rPr>
        <w:t xml:space="preserve"> </w:t>
      </w:r>
      <w:r w:rsidRPr="008E6485">
        <w:rPr>
          <w:iCs/>
          <w:sz w:val="28"/>
          <w:szCs w:val="28"/>
        </w:rPr>
        <w:t xml:space="preserve">VID MP sadarbībā ar </w:t>
      </w:r>
      <w:r w:rsidRPr="008E6485">
        <w:rPr>
          <w:sz w:val="28"/>
          <w:szCs w:val="28"/>
        </w:rPr>
        <w:t>VID MKrP –  izņemt</w:t>
      </w:r>
      <w:r w:rsidR="00823EB9">
        <w:rPr>
          <w:sz w:val="28"/>
          <w:szCs w:val="28"/>
        </w:rPr>
        <w:t>i</w:t>
      </w:r>
      <w:r w:rsidRPr="008E6485">
        <w:rPr>
          <w:sz w:val="28"/>
          <w:szCs w:val="28"/>
        </w:rPr>
        <w:t xml:space="preserve"> 3,7</w:t>
      </w:r>
      <w:r w:rsidR="00823EB9">
        <w:rPr>
          <w:sz w:val="28"/>
          <w:szCs w:val="28"/>
        </w:rPr>
        <w:t> </w:t>
      </w:r>
      <w:r w:rsidRPr="008E6485">
        <w:rPr>
          <w:sz w:val="28"/>
          <w:szCs w:val="28"/>
        </w:rPr>
        <w:t xml:space="preserve">milj. </w:t>
      </w:r>
      <w:proofErr w:type="spellStart"/>
      <w:r w:rsidRPr="008E6485">
        <w:rPr>
          <w:sz w:val="28"/>
          <w:szCs w:val="28"/>
        </w:rPr>
        <w:t>gab</w:t>
      </w:r>
      <w:proofErr w:type="spellEnd"/>
      <w:r w:rsidRPr="008E6485">
        <w:rPr>
          <w:sz w:val="28"/>
          <w:szCs w:val="28"/>
        </w:rPr>
        <w:t xml:space="preserve">. cigarešu), kuri izdarīti </w:t>
      </w:r>
      <w:r w:rsidR="009B233D" w:rsidRPr="008E6485">
        <w:rPr>
          <w:sz w:val="28"/>
          <w:szCs w:val="28"/>
        </w:rPr>
        <w:t xml:space="preserve">pārskata </w:t>
      </w:r>
      <w:r w:rsidRPr="008E6485">
        <w:rPr>
          <w:sz w:val="28"/>
          <w:szCs w:val="28"/>
        </w:rPr>
        <w:t>periodā šī gada maijā, bet par kuriem kriminālprocesi uzsākti jūnijā, dati statistikas rādītājos par TAI darba rezultātiem tiks iekļauti 2012.gada jūnija pārskatā.</w:t>
      </w:r>
    </w:p>
    <w:p w:rsidR="00937EB8" w:rsidRPr="008E6485" w:rsidRDefault="00937EB8" w:rsidP="00937EB8">
      <w:pPr>
        <w:ind w:firstLine="720"/>
        <w:rPr>
          <w:noProof/>
          <w:sz w:val="28"/>
          <w:szCs w:val="28"/>
        </w:rPr>
      </w:pPr>
      <w:r w:rsidRPr="008E6485">
        <w:rPr>
          <w:noProof/>
          <w:sz w:val="28"/>
          <w:szCs w:val="28"/>
        </w:rPr>
        <w:t>VID MP muitas noliktavās, preču pagaidu uzglabāšanas vietās un brīvajās zonās ir veikusi 98 plānveida tematiskās pārbaudes, kā rezultātā 10</w:t>
      </w:r>
      <w:r w:rsidR="00755776" w:rsidRPr="008E6485">
        <w:rPr>
          <w:noProof/>
          <w:sz w:val="28"/>
          <w:szCs w:val="28"/>
        </w:rPr>
        <w:t> </w:t>
      </w:r>
      <w:r w:rsidRPr="008E6485">
        <w:rPr>
          <w:noProof/>
          <w:sz w:val="28"/>
          <w:szCs w:val="28"/>
        </w:rPr>
        <w:t>gadījumos tika konstatēti pārkāpumi, kuri lielākoties saistīti ar preču uzskaiti.</w:t>
      </w:r>
    </w:p>
    <w:p w:rsidR="00937EB8" w:rsidRPr="008E6485" w:rsidRDefault="00140E17" w:rsidP="00937EB8">
      <w:pPr>
        <w:ind w:firstLine="720"/>
        <w:rPr>
          <w:b/>
          <w:sz w:val="28"/>
          <w:szCs w:val="28"/>
        </w:rPr>
      </w:pPr>
      <w:r w:rsidRPr="009D352B">
        <w:rPr>
          <w:sz w:val="28"/>
          <w:szCs w:val="28"/>
        </w:rPr>
        <w:t>VRS ir ieviesusi drošu ziņošanas mehānismu, kas sniedz iespēju gan VRS amatpersonām un darbiniekiem, gan robežu šķērsojošām personām anonīmi informēt VRS kriminālizmeklēšanas struktūrvienības par amatpersonu un darbinieku iespējamo saistību ar akcīzes preču kontrabandu</w:t>
      </w:r>
      <w:r w:rsidR="00937EB8" w:rsidRPr="008E6485">
        <w:rPr>
          <w:sz w:val="28"/>
          <w:szCs w:val="28"/>
        </w:rPr>
        <w:t>.</w:t>
      </w:r>
      <w:r w:rsidR="00937EB8" w:rsidRPr="008E6485" w:rsidDel="00006FAD">
        <w:rPr>
          <w:b/>
          <w:sz w:val="28"/>
          <w:szCs w:val="28"/>
        </w:rPr>
        <w:t xml:space="preserve"> </w:t>
      </w:r>
    </w:p>
    <w:p w:rsidR="00937EB8" w:rsidRPr="008E6485" w:rsidRDefault="00937EB8" w:rsidP="00937EB8">
      <w:pPr>
        <w:ind w:firstLine="720"/>
        <w:rPr>
          <w:bCs/>
          <w:iCs/>
          <w:sz w:val="28"/>
          <w:szCs w:val="28"/>
        </w:rPr>
      </w:pPr>
      <w:r w:rsidRPr="008E6485">
        <w:rPr>
          <w:bCs/>
          <w:iCs/>
          <w:sz w:val="28"/>
          <w:szCs w:val="28"/>
        </w:rPr>
        <w:t xml:space="preserve">Atbilstoši Ministru </w:t>
      </w:r>
      <w:r w:rsidR="001E2556" w:rsidRPr="008E6485">
        <w:rPr>
          <w:bCs/>
          <w:iCs/>
          <w:sz w:val="28"/>
          <w:szCs w:val="28"/>
        </w:rPr>
        <w:t>k</w:t>
      </w:r>
      <w:r w:rsidRPr="008E6485">
        <w:rPr>
          <w:bCs/>
          <w:iCs/>
          <w:sz w:val="28"/>
          <w:szCs w:val="28"/>
        </w:rPr>
        <w:t xml:space="preserve">abineta 2010.gada 5.maija instrukcijai Nr.5 </w:t>
      </w:r>
      <w:r w:rsidR="00755776" w:rsidRPr="008E6485">
        <w:rPr>
          <w:bCs/>
          <w:iCs/>
          <w:sz w:val="28"/>
          <w:szCs w:val="28"/>
        </w:rPr>
        <w:t>“</w:t>
      </w:r>
      <w:r w:rsidRPr="008E6485">
        <w:rPr>
          <w:sz w:val="28"/>
          <w:szCs w:val="28"/>
        </w:rPr>
        <w:t>Kārtība, kādā valsts pārvaldes iestādes sadarbojas valsts robežas drošības jautājumos”</w:t>
      </w:r>
      <w:r w:rsidRPr="008E6485">
        <w:rPr>
          <w:b/>
          <w:sz w:val="28"/>
          <w:szCs w:val="28"/>
        </w:rPr>
        <w:t xml:space="preserve"> </w:t>
      </w:r>
      <w:r w:rsidRPr="008E6485">
        <w:rPr>
          <w:sz w:val="28"/>
          <w:szCs w:val="28"/>
        </w:rPr>
        <w:lastRenderedPageBreak/>
        <w:t>p</w:t>
      </w:r>
      <w:r w:rsidRPr="008E6485">
        <w:rPr>
          <w:bCs/>
          <w:iCs/>
          <w:sz w:val="28"/>
          <w:szCs w:val="28"/>
        </w:rPr>
        <w:t>ārskata periodā ir notikušas divas reģionālās sadarbības grupu sanāksmes, kurās ir izskatīti jautājumi par riska informācijas apmaiņas pilnveidošanas iespējām starp TAI.</w:t>
      </w:r>
    </w:p>
    <w:p w:rsidR="00937EB8" w:rsidRPr="008E6485" w:rsidRDefault="00FC680D" w:rsidP="00937EB8">
      <w:pPr>
        <w:ind w:firstLine="720"/>
        <w:rPr>
          <w:sz w:val="28"/>
          <w:szCs w:val="28"/>
        </w:rPr>
      </w:pPr>
      <w:r w:rsidRPr="008E6485">
        <w:rPr>
          <w:sz w:val="28"/>
          <w:szCs w:val="28"/>
        </w:rPr>
        <w:t>L</w:t>
      </w:r>
      <w:r w:rsidR="00937EB8" w:rsidRPr="008E6485">
        <w:rPr>
          <w:sz w:val="28"/>
          <w:szCs w:val="28"/>
        </w:rPr>
        <w:t xml:space="preserve">ai mazinātu akcīzes preču kontrabandu un to nelikumīgu izplatīšanu, </w:t>
      </w:r>
      <w:r w:rsidRPr="008E6485">
        <w:rPr>
          <w:sz w:val="28"/>
          <w:szCs w:val="28"/>
        </w:rPr>
        <w:t xml:space="preserve">DP ir veikusi operatīvās darbības pasākumus, </w:t>
      </w:r>
      <w:r w:rsidR="00937EB8" w:rsidRPr="008E6485">
        <w:rPr>
          <w:sz w:val="28"/>
          <w:szCs w:val="28"/>
        </w:rPr>
        <w:t>kuru rezultātā 30</w:t>
      </w:r>
      <w:r w:rsidR="00755776" w:rsidRPr="008E6485">
        <w:rPr>
          <w:sz w:val="28"/>
          <w:szCs w:val="28"/>
        </w:rPr>
        <w:t> </w:t>
      </w:r>
      <w:r w:rsidR="00937EB8" w:rsidRPr="008E6485">
        <w:rPr>
          <w:sz w:val="28"/>
          <w:szCs w:val="28"/>
        </w:rPr>
        <w:t>informatīvie materiāli pēc piekritības ir nosūtīti citām tiesību aizsardzības institūcijām, ta</w:t>
      </w:r>
      <w:r w:rsidR="00CA507D" w:rsidRPr="008E6485">
        <w:rPr>
          <w:sz w:val="28"/>
          <w:szCs w:val="28"/>
        </w:rPr>
        <w:t>jā</w:t>
      </w:r>
      <w:r w:rsidR="00937EB8" w:rsidRPr="008E6485">
        <w:rPr>
          <w:sz w:val="28"/>
          <w:szCs w:val="28"/>
        </w:rPr>
        <w:t xml:space="preserve"> skaitā VID.</w:t>
      </w:r>
    </w:p>
    <w:p w:rsidR="00937EB8" w:rsidRPr="008E6485" w:rsidRDefault="00937EB8" w:rsidP="00937EB8">
      <w:pPr>
        <w:ind w:firstLine="720"/>
        <w:rPr>
          <w:bCs/>
          <w:sz w:val="28"/>
          <w:szCs w:val="28"/>
        </w:rPr>
      </w:pPr>
      <w:r w:rsidRPr="008E6485">
        <w:rPr>
          <w:bCs/>
          <w:sz w:val="28"/>
          <w:szCs w:val="28"/>
        </w:rPr>
        <w:t>Pārskata periodā VP ir veikusi un turpina veikt interneta vides monitoringu, kā rezultātā atklāti vairāki likumpārkāpumi akcīzes preču (degviela</w:t>
      </w:r>
      <w:r w:rsidR="00823EB9">
        <w:rPr>
          <w:bCs/>
          <w:sz w:val="28"/>
          <w:szCs w:val="28"/>
        </w:rPr>
        <w:t>s</w:t>
      </w:r>
      <w:r w:rsidRPr="008E6485">
        <w:rPr>
          <w:bCs/>
          <w:sz w:val="28"/>
          <w:szCs w:val="28"/>
        </w:rPr>
        <w:t>, alkohol</w:t>
      </w:r>
      <w:r w:rsidR="00823EB9">
        <w:rPr>
          <w:bCs/>
          <w:sz w:val="28"/>
          <w:szCs w:val="28"/>
        </w:rPr>
        <w:t>a</w:t>
      </w:r>
      <w:r w:rsidRPr="008E6485">
        <w:rPr>
          <w:bCs/>
          <w:sz w:val="28"/>
          <w:szCs w:val="28"/>
        </w:rPr>
        <w:t xml:space="preserve">) apritē. </w:t>
      </w:r>
    </w:p>
    <w:p w:rsidR="00826473" w:rsidRPr="008E6485" w:rsidRDefault="00826473" w:rsidP="00937EB8">
      <w:pPr>
        <w:rPr>
          <w:b/>
          <w:sz w:val="28"/>
          <w:szCs w:val="28"/>
        </w:rPr>
      </w:pPr>
    </w:p>
    <w:p w:rsidR="00937EB8" w:rsidRPr="008E6485" w:rsidRDefault="00937EB8" w:rsidP="00937EB8">
      <w:pPr>
        <w:rPr>
          <w:b/>
          <w:sz w:val="28"/>
          <w:szCs w:val="28"/>
        </w:rPr>
      </w:pPr>
      <w:r w:rsidRPr="008E6485">
        <w:rPr>
          <w:b/>
          <w:sz w:val="28"/>
          <w:szCs w:val="28"/>
        </w:rPr>
        <w:t>1.3. Resursu optimizācija un kapacitātes paaugstināšana</w:t>
      </w:r>
      <w:bookmarkEnd w:id="2"/>
    </w:p>
    <w:p w:rsidR="00755776" w:rsidRPr="008E6485" w:rsidRDefault="00755776" w:rsidP="00937EB8">
      <w:pPr>
        <w:rPr>
          <w:b/>
          <w:sz w:val="28"/>
          <w:szCs w:val="28"/>
        </w:rPr>
      </w:pPr>
    </w:p>
    <w:p w:rsidR="00937EB8" w:rsidRPr="008E6485" w:rsidRDefault="000F6826" w:rsidP="00937EB8">
      <w:pPr>
        <w:ind w:firstLine="720"/>
        <w:rPr>
          <w:sz w:val="28"/>
          <w:szCs w:val="28"/>
        </w:rPr>
      </w:pPr>
      <w:r w:rsidRPr="008E6485">
        <w:rPr>
          <w:sz w:val="28"/>
          <w:szCs w:val="28"/>
        </w:rPr>
        <w:t xml:space="preserve">Lai </w:t>
      </w:r>
      <w:r w:rsidR="00937EB8" w:rsidRPr="008E6485">
        <w:rPr>
          <w:sz w:val="28"/>
          <w:szCs w:val="28"/>
        </w:rPr>
        <w:t>pastiprināt</w:t>
      </w:r>
      <w:r w:rsidRPr="008E6485">
        <w:rPr>
          <w:sz w:val="28"/>
          <w:szCs w:val="28"/>
        </w:rPr>
        <w:t>u</w:t>
      </w:r>
      <w:r w:rsidR="00937EB8" w:rsidRPr="008E6485">
        <w:rPr>
          <w:sz w:val="28"/>
          <w:szCs w:val="28"/>
        </w:rPr>
        <w:t xml:space="preserve"> izlūkošanas un izmeklēšanas resursu kapacitāti</w:t>
      </w:r>
      <w:r w:rsidRPr="008E6485">
        <w:rPr>
          <w:sz w:val="28"/>
          <w:szCs w:val="28"/>
        </w:rPr>
        <w:t>, ir uzsākts darbs pie VID MKrP reorganizācijas</w:t>
      </w:r>
      <w:r w:rsidR="00937EB8" w:rsidRPr="008E6485">
        <w:rPr>
          <w:sz w:val="28"/>
          <w:szCs w:val="28"/>
        </w:rPr>
        <w:t xml:space="preserve">. </w:t>
      </w:r>
    </w:p>
    <w:p w:rsidR="00674009" w:rsidRPr="008E6485" w:rsidRDefault="00937EB8" w:rsidP="00937EB8">
      <w:pPr>
        <w:ind w:firstLine="720"/>
        <w:rPr>
          <w:sz w:val="28"/>
          <w:szCs w:val="28"/>
        </w:rPr>
      </w:pPr>
      <w:r w:rsidRPr="008E6485">
        <w:rPr>
          <w:sz w:val="28"/>
          <w:szCs w:val="28"/>
        </w:rPr>
        <w:t>VID</w:t>
      </w:r>
      <w:r w:rsidRPr="008E6485">
        <w:rPr>
          <w:noProof/>
          <w:sz w:val="28"/>
          <w:szCs w:val="28"/>
        </w:rPr>
        <w:t xml:space="preserve"> regulāri apzina un novērtē muitai nepieciešamo tehnisko aprīkojumu un atkarībā no pieejamā finansējuma veic t</w:t>
      </w:r>
      <w:r w:rsidR="001E2556" w:rsidRPr="008E6485">
        <w:rPr>
          <w:noProof/>
          <w:sz w:val="28"/>
          <w:szCs w:val="28"/>
        </w:rPr>
        <w:t>ā</w:t>
      </w:r>
      <w:r w:rsidRPr="008E6485">
        <w:rPr>
          <w:noProof/>
          <w:sz w:val="28"/>
          <w:szCs w:val="28"/>
        </w:rPr>
        <w:t xml:space="preserve"> iegādi. Pārskata periodā ir iegādāts aprīkojums </w:t>
      </w:r>
      <w:r w:rsidR="00823EB9">
        <w:rPr>
          <w:noProof/>
          <w:sz w:val="28"/>
          <w:szCs w:val="28"/>
        </w:rPr>
        <w:t>MKP</w:t>
      </w:r>
      <w:r w:rsidRPr="008E6485">
        <w:rPr>
          <w:noProof/>
          <w:sz w:val="28"/>
          <w:szCs w:val="28"/>
        </w:rPr>
        <w:t xml:space="preserve"> vajadzībām, </w:t>
      </w:r>
      <w:r w:rsidR="00823EB9">
        <w:rPr>
          <w:noProof/>
          <w:sz w:val="28"/>
          <w:szCs w:val="28"/>
        </w:rPr>
        <w:t>pavisam</w:t>
      </w:r>
      <w:r w:rsidRPr="008E6485">
        <w:rPr>
          <w:noProof/>
          <w:sz w:val="28"/>
          <w:szCs w:val="28"/>
        </w:rPr>
        <w:t xml:space="preserve"> 29 dažādas vienības, par 52</w:t>
      </w:r>
      <w:r w:rsidR="00755776" w:rsidRPr="008E6485">
        <w:rPr>
          <w:noProof/>
          <w:sz w:val="28"/>
          <w:szCs w:val="28"/>
        </w:rPr>
        <w:t>,</w:t>
      </w:r>
      <w:r w:rsidRPr="008E6485">
        <w:rPr>
          <w:noProof/>
          <w:sz w:val="28"/>
          <w:szCs w:val="28"/>
        </w:rPr>
        <w:t>7</w:t>
      </w:r>
      <w:r w:rsidR="00755776" w:rsidRPr="008E6485">
        <w:rPr>
          <w:noProof/>
          <w:sz w:val="28"/>
          <w:szCs w:val="28"/>
        </w:rPr>
        <w:t xml:space="preserve"> tūkst</w:t>
      </w:r>
      <w:r w:rsidR="00674009" w:rsidRPr="008E6485">
        <w:rPr>
          <w:noProof/>
          <w:sz w:val="28"/>
          <w:szCs w:val="28"/>
        </w:rPr>
        <w:t>.</w:t>
      </w:r>
      <w:r w:rsidR="00755776" w:rsidRPr="008E6485">
        <w:rPr>
          <w:noProof/>
          <w:sz w:val="28"/>
          <w:szCs w:val="28"/>
        </w:rPr>
        <w:t xml:space="preserve"> latu.</w:t>
      </w:r>
      <w:r w:rsidRPr="008E6485">
        <w:rPr>
          <w:noProof/>
          <w:sz w:val="28"/>
          <w:szCs w:val="28"/>
        </w:rPr>
        <w:t xml:space="preserve"> </w:t>
      </w:r>
    </w:p>
    <w:p w:rsidR="00937EB8" w:rsidRPr="008E6485" w:rsidRDefault="00937EB8" w:rsidP="00937EB8">
      <w:pPr>
        <w:ind w:firstLine="720"/>
        <w:rPr>
          <w:sz w:val="28"/>
          <w:szCs w:val="28"/>
        </w:rPr>
      </w:pPr>
      <w:r w:rsidRPr="008E6485">
        <w:rPr>
          <w:sz w:val="28"/>
          <w:szCs w:val="28"/>
        </w:rPr>
        <w:t>Ir noslēgts līgums par Transportlīdzekļu un konteineru automātiskās identificēšanas sistēmas (TLKAIS) uzturēšanu un pilnveidošanu.</w:t>
      </w:r>
    </w:p>
    <w:p w:rsidR="00937EB8" w:rsidRPr="008E6485" w:rsidRDefault="00937EB8" w:rsidP="00937EB8">
      <w:pPr>
        <w:ind w:firstLine="720"/>
        <w:rPr>
          <w:sz w:val="28"/>
          <w:szCs w:val="28"/>
        </w:rPr>
      </w:pPr>
      <w:r w:rsidRPr="008E6485">
        <w:rPr>
          <w:sz w:val="28"/>
          <w:szCs w:val="28"/>
        </w:rPr>
        <w:t>Ir uzsākts darbs pie iepirkuma dokumentācijas sagatavošanas un iepirkuma izsludināšanas:</w:t>
      </w:r>
    </w:p>
    <w:p w:rsidR="00937EB8" w:rsidRPr="008E6485" w:rsidRDefault="00937EB8" w:rsidP="0012309F">
      <w:pPr>
        <w:ind w:firstLine="720"/>
        <w:rPr>
          <w:sz w:val="28"/>
          <w:szCs w:val="28"/>
        </w:rPr>
      </w:pPr>
      <w:r w:rsidRPr="008E6485">
        <w:rPr>
          <w:sz w:val="28"/>
          <w:szCs w:val="28"/>
        </w:rPr>
        <w:t xml:space="preserve">1) sešu automobiļu ass svaru nomaiņai Terehovas, Pāternieku </w:t>
      </w:r>
      <w:r w:rsidR="00437844" w:rsidRPr="008E6485">
        <w:rPr>
          <w:sz w:val="28"/>
          <w:szCs w:val="28"/>
        </w:rPr>
        <w:t xml:space="preserve">un </w:t>
      </w:r>
      <w:r w:rsidRPr="008E6485">
        <w:rPr>
          <w:sz w:val="28"/>
          <w:szCs w:val="28"/>
        </w:rPr>
        <w:t xml:space="preserve">Silenes MKP; </w:t>
      </w:r>
    </w:p>
    <w:p w:rsidR="00937EB8" w:rsidRPr="008E6485" w:rsidRDefault="00937EB8" w:rsidP="00937EB8">
      <w:pPr>
        <w:ind w:firstLine="720"/>
        <w:rPr>
          <w:sz w:val="28"/>
          <w:szCs w:val="28"/>
        </w:rPr>
      </w:pPr>
      <w:r w:rsidRPr="008E6485">
        <w:rPr>
          <w:sz w:val="28"/>
          <w:szCs w:val="28"/>
        </w:rPr>
        <w:t xml:space="preserve">2) </w:t>
      </w:r>
      <w:r w:rsidRPr="008E6485">
        <w:rPr>
          <w:sz w:val="28"/>
          <w:szCs w:val="28"/>
          <w:lang w:eastAsia="lv-LV"/>
        </w:rPr>
        <w:t xml:space="preserve">neatkarīga </w:t>
      </w:r>
      <w:proofErr w:type="spellStart"/>
      <w:r w:rsidRPr="008E6485">
        <w:rPr>
          <w:sz w:val="28"/>
          <w:szCs w:val="28"/>
          <w:lang w:eastAsia="lv-LV"/>
        </w:rPr>
        <w:t>elektrobarošanas</w:t>
      </w:r>
      <w:proofErr w:type="spellEnd"/>
      <w:r w:rsidRPr="008E6485">
        <w:rPr>
          <w:sz w:val="28"/>
          <w:szCs w:val="28"/>
          <w:lang w:eastAsia="lv-LV"/>
        </w:rPr>
        <w:t xml:space="preserve"> avota uzstādīšanai Zilupes MKP;</w:t>
      </w:r>
    </w:p>
    <w:p w:rsidR="00937EB8" w:rsidRPr="008E6485" w:rsidRDefault="00937EB8" w:rsidP="0012309F">
      <w:pPr>
        <w:ind w:firstLine="720"/>
        <w:rPr>
          <w:b/>
          <w:bCs/>
          <w:kern w:val="32"/>
          <w:sz w:val="28"/>
          <w:szCs w:val="28"/>
          <w:lang w:eastAsia="lv-LV"/>
        </w:rPr>
      </w:pPr>
      <w:r w:rsidRPr="008E6485">
        <w:rPr>
          <w:sz w:val="28"/>
          <w:szCs w:val="28"/>
        </w:rPr>
        <w:t>3)</w:t>
      </w:r>
      <w:r w:rsidR="00755776" w:rsidRPr="008E6485">
        <w:rPr>
          <w:sz w:val="28"/>
          <w:szCs w:val="28"/>
        </w:rPr>
        <w:t> </w:t>
      </w:r>
      <w:r w:rsidRPr="008E6485">
        <w:rPr>
          <w:sz w:val="28"/>
          <w:szCs w:val="28"/>
        </w:rPr>
        <w:t>Grebņevas un Zilupes MKP k</w:t>
      </w:r>
      <w:r w:rsidRPr="008E6485">
        <w:rPr>
          <w:rFonts w:eastAsia="Calibri"/>
          <w:sz w:val="28"/>
          <w:szCs w:val="28"/>
          <w:lang w:eastAsia="lv-LV"/>
        </w:rPr>
        <w:t xml:space="preserve">ravu kontroles rentgena iekārtu </w:t>
      </w:r>
      <w:r w:rsidRPr="008E6485">
        <w:rPr>
          <w:i/>
          <w:sz w:val="28"/>
          <w:szCs w:val="28"/>
          <w:lang w:eastAsia="lv-LV"/>
        </w:rPr>
        <w:t xml:space="preserve"> </w:t>
      </w:r>
      <w:r w:rsidRPr="008E6485">
        <w:rPr>
          <w:rFonts w:eastAsia="Calibri"/>
          <w:sz w:val="28"/>
          <w:szCs w:val="28"/>
          <w:lang w:eastAsia="lv-LV"/>
        </w:rPr>
        <w:t>uzturēšana</w:t>
      </w:r>
      <w:r w:rsidRPr="008E6485">
        <w:rPr>
          <w:sz w:val="28"/>
          <w:szCs w:val="28"/>
          <w:lang w:eastAsia="lv-LV"/>
        </w:rPr>
        <w:t>i.</w:t>
      </w:r>
      <w:r w:rsidRPr="008E6485">
        <w:rPr>
          <w:sz w:val="28"/>
          <w:szCs w:val="28"/>
        </w:rPr>
        <w:t xml:space="preserve"> </w:t>
      </w:r>
    </w:p>
    <w:p w:rsidR="00937EB8" w:rsidRPr="008E6485" w:rsidRDefault="00937EB8" w:rsidP="00755776">
      <w:pPr>
        <w:ind w:firstLine="720"/>
        <w:rPr>
          <w:rFonts w:eastAsia="Calibri"/>
          <w:sz w:val="28"/>
          <w:szCs w:val="28"/>
          <w:lang w:eastAsia="lv-LV"/>
        </w:rPr>
      </w:pPr>
      <w:r w:rsidRPr="008E6485">
        <w:rPr>
          <w:sz w:val="28"/>
          <w:szCs w:val="28"/>
        </w:rPr>
        <w:t>Ir sekmīgi noslēdzies konkurss</w:t>
      </w:r>
      <w:r w:rsidRPr="008E6485">
        <w:rPr>
          <w:sz w:val="28"/>
          <w:szCs w:val="28"/>
          <w:lang w:eastAsia="lv-LV"/>
        </w:rPr>
        <w:t xml:space="preserve"> par</w:t>
      </w:r>
      <w:r w:rsidRPr="008E6485">
        <w:rPr>
          <w:sz w:val="28"/>
          <w:szCs w:val="28"/>
        </w:rPr>
        <w:t xml:space="preserve"> jauna </w:t>
      </w:r>
      <w:r w:rsidRPr="008E6485">
        <w:rPr>
          <w:rFonts w:eastAsia="Calibri"/>
          <w:sz w:val="28"/>
          <w:szCs w:val="28"/>
          <w:lang w:eastAsia="lv-LV"/>
        </w:rPr>
        <w:t>kravas</w:t>
      </w:r>
      <w:r w:rsidRPr="008E6485">
        <w:rPr>
          <w:sz w:val="28"/>
          <w:szCs w:val="28"/>
        </w:rPr>
        <w:t xml:space="preserve"> </w:t>
      </w:r>
      <w:r w:rsidRPr="008E6485">
        <w:rPr>
          <w:rFonts w:eastAsia="Calibri"/>
          <w:sz w:val="28"/>
          <w:szCs w:val="28"/>
          <w:lang w:eastAsia="lv-LV"/>
        </w:rPr>
        <w:t>skenera iegādi Rīgas brīvostas MKP un esošā</w:t>
      </w:r>
      <w:r w:rsidRPr="008E6485">
        <w:rPr>
          <w:rFonts w:eastAsia="Calibri"/>
          <w:sz w:val="28"/>
          <w:szCs w:val="28"/>
        </w:rPr>
        <w:t xml:space="preserve"> mobilā skenera </w:t>
      </w:r>
      <w:r w:rsidRPr="008E6485">
        <w:rPr>
          <w:i/>
          <w:color w:val="000000"/>
          <w:sz w:val="28"/>
          <w:szCs w:val="28"/>
        </w:rPr>
        <w:t xml:space="preserve">HCV </w:t>
      </w:r>
      <w:proofErr w:type="spellStart"/>
      <w:r w:rsidRPr="008E6485">
        <w:rPr>
          <w:i/>
          <w:color w:val="000000"/>
          <w:sz w:val="28"/>
          <w:szCs w:val="28"/>
        </w:rPr>
        <w:t>Mobile</w:t>
      </w:r>
      <w:proofErr w:type="spellEnd"/>
      <w:r w:rsidRPr="008E6485">
        <w:rPr>
          <w:i/>
          <w:color w:val="000000"/>
          <w:sz w:val="28"/>
          <w:szCs w:val="28"/>
        </w:rPr>
        <w:t xml:space="preserve"> 2,5 </w:t>
      </w:r>
      <w:proofErr w:type="spellStart"/>
      <w:r w:rsidRPr="008E6485">
        <w:rPr>
          <w:i/>
          <w:color w:val="000000"/>
          <w:sz w:val="28"/>
          <w:szCs w:val="28"/>
        </w:rPr>
        <w:t>MeV</w:t>
      </w:r>
      <w:proofErr w:type="spellEnd"/>
      <w:r w:rsidRPr="008E6485">
        <w:rPr>
          <w:rFonts w:eastAsia="Calibri"/>
          <w:sz w:val="28"/>
          <w:szCs w:val="28"/>
          <w:lang w:eastAsia="lv-LV"/>
        </w:rPr>
        <w:t xml:space="preserve"> remontu.</w:t>
      </w:r>
    </w:p>
    <w:p w:rsidR="00937EB8" w:rsidRPr="008E6485" w:rsidRDefault="00937EB8" w:rsidP="00937EB8">
      <w:pPr>
        <w:ind w:firstLine="720"/>
        <w:rPr>
          <w:bCs/>
          <w:iCs/>
          <w:sz w:val="28"/>
          <w:szCs w:val="28"/>
        </w:rPr>
      </w:pPr>
      <w:r w:rsidRPr="008E6485">
        <w:rPr>
          <w:bCs/>
          <w:iCs/>
          <w:sz w:val="28"/>
          <w:szCs w:val="28"/>
        </w:rPr>
        <w:t>VRS</w:t>
      </w:r>
      <w:r w:rsidRPr="008E6485">
        <w:rPr>
          <w:bCs/>
          <w:i/>
          <w:iCs/>
          <w:sz w:val="28"/>
          <w:szCs w:val="28"/>
        </w:rPr>
        <w:t xml:space="preserve"> </w:t>
      </w:r>
      <w:r w:rsidRPr="008E6485">
        <w:rPr>
          <w:bCs/>
          <w:iCs/>
          <w:sz w:val="28"/>
          <w:szCs w:val="28"/>
        </w:rPr>
        <w:t>vērsusies Finanšu ministrijā (</w:t>
      </w:r>
      <w:r w:rsidR="00885413" w:rsidRPr="008E6485">
        <w:rPr>
          <w:bCs/>
          <w:iCs/>
          <w:sz w:val="28"/>
          <w:szCs w:val="28"/>
        </w:rPr>
        <w:t xml:space="preserve">divas </w:t>
      </w:r>
      <w:r w:rsidRPr="008E6485">
        <w:rPr>
          <w:bCs/>
          <w:iCs/>
          <w:sz w:val="28"/>
          <w:szCs w:val="28"/>
        </w:rPr>
        <w:t>vēstules) ar lūgumu piešķirt finansējumu atbilstoši k</w:t>
      </w:r>
      <w:r w:rsidRPr="008E6485">
        <w:rPr>
          <w:color w:val="000000"/>
          <w:sz w:val="28"/>
          <w:szCs w:val="28"/>
        </w:rPr>
        <w:t xml:space="preserve">ontrabandas un viltojumu apkarošanas </w:t>
      </w:r>
      <w:r w:rsidRPr="008E6485">
        <w:rPr>
          <w:bCs/>
          <w:iCs/>
          <w:sz w:val="28"/>
          <w:szCs w:val="28"/>
        </w:rPr>
        <w:t xml:space="preserve">sadarbības līgumiem </w:t>
      </w:r>
      <w:r w:rsidRPr="008E6485">
        <w:rPr>
          <w:sz w:val="28"/>
          <w:szCs w:val="28"/>
        </w:rPr>
        <w:t xml:space="preserve">starp Eiropas Savienību un iesaistītajām dalībvalstīm ar </w:t>
      </w:r>
      <w:r w:rsidR="00885413" w:rsidRPr="008E6485">
        <w:rPr>
          <w:sz w:val="28"/>
          <w:szCs w:val="28"/>
        </w:rPr>
        <w:t>t</w:t>
      </w:r>
      <w:r w:rsidRPr="008E6485">
        <w:rPr>
          <w:sz w:val="28"/>
          <w:szCs w:val="28"/>
        </w:rPr>
        <w:t xml:space="preserve">abakas kompānijām </w:t>
      </w:r>
      <w:proofErr w:type="spellStart"/>
      <w:r w:rsidRPr="008E6485">
        <w:rPr>
          <w:i/>
          <w:sz w:val="28"/>
          <w:szCs w:val="28"/>
        </w:rPr>
        <w:t>Japan</w:t>
      </w:r>
      <w:proofErr w:type="spellEnd"/>
      <w:r w:rsidRPr="008E6485">
        <w:rPr>
          <w:i/>
          <w:sz w:val="28"/>
          <w:szCs w:val="28"/>
        </w:rPr>
        <w:t xml:space="preserve"> </w:t>
      </w:r>
      <w:proofErr w:type="spellStart"/>
      <w:r w:rsidRPr="008E6485">
        <w:rPr>
          <w:i/>
          <w:sz w:val="28"/>
          <w:szCs w:val="28"/>
        </w:rPr>
        <w:t>Tobacco</w:t>
      </w:r>
      <w:proofErr w:type="spellEnd"/>
      <w:r w:rsidRPr="008E6485">
        <w:rPr>
          <w:i/>
          <w:sz w:val="28"/>
          <w:szCs w:val="28"/>
        </w:rPr>
        <w:t xml:space="preserve"> </w:t>
      </w:r>
      <w:proofErr w:type="spellStart"/>
      <w:r w:rsidRPr="008E6485">
        <w:rPr>
          <w:i/>
          <w:sz w:val="28"/>
          <w:szCs w:val="28"/>
        </w:rPr>
        <w:t>International</w:t>
      </w:r>
      <w:proofErr w:type="spellEnd"/>
      <w:r w:rsidRPr="008E6485">
        <w:rPr>
          <w:sz w:val="28"/>
          <w:szCs w:val="28"/>
        </w:rPr>
        <w:t xml:space="preserve">, </w:t>
      </w:r>
      <w:proofErr w:type="spellStart"/>
      <w:r w:rsidRPr="008E6485">
        <w:rPr>
          <w:i/>
          <w:sz w:val="28"/>
          <w:szCs w:val="28"/>
        </w:rPr>
        <w:t>Philip</w:t>
      </w:r>
      <w:proofErr w:type="spellEnd"/>
      <w:r w:rsidRPr="008E6485">
        <w:rPr>
          <w:i/>
          <w:sz w:val="28"/>
          <w:szCs w:val="28"/>
        </w:rPr>
        <w:t xml:space="preserve"> </w:t>
      </w:r>
      <w:proofErr w:type="spellStart"/>
      <w:r w:rsidRPr="008E6485">
        <w:rPr>
          <w:i/>
          <w:sz w:val="28"/>
          <w:szCs w:val="28"/>
        </w:rPr>
        <w:t>Morris</w:t>
      </w:r>
      <w:proofErr w:type="spellEnd"/>
      <w:r w:rsidRPr="008E6485">
        <w:rPr>
          <w:i/>
          <w:sz w:val="28"/>
          <w:szCs w:val="28"/>
        </w:rPr>
        <w:t xml:space="preserve"> </w:t>
      </w:r>
      <w:proofErr w:type="spellStart"/>
      <w:r w:rsidRPr="008E6485">
        <w:rPr>
          <w:i/>
          <w:sz w:val="28"/>
          <w:szCs w:val="28"/>
        </w:rPr>
        <w:t>International</w:t>
      </w:r>
      <w:proofErr w:type="spellEnd"/>
      <w:r w:rsidRPr="008E6485">
        <w:rPr>
          <w:sz w:val="28"/>
          <w:szCs w:val="28"/>
        </w:rPr>
        <w:t xml:space="preserve">, </w:t>
      </w:r>
      <w:proofErr w:type="spellStart"/>
      <w:r w:rsidRPr="008E6485">
        <w:rPr>
          <w:i/>
          <w:sz w:val="28"/>
          <w:szCs w:val="28"/>
        </w:rPr>
        <w:t>British</w:t>
      </w:r>
      <w:proofErr w:type="spellEnd"/>
      <w:r w:rsidRPr="008E6485">
        <w:rPr>
          <w:i/>
          <w:sz w:val="28"/>
          <w:szCs w:val="28"/>
        </w:rPr>
        <w:t xml:space="preserve"> </w:t>
      </w:r>
      <w:proofErr w:type="spellStart"/>
      <w:r w:rsidRPr="008E6485">
        <w:rPr>
          <w:i/>
          <w:sz w:val="28"/>
          <w:szCs w:val="28"/>
        </w:rPr>
        <w:t>American</w:t>
      </w:r>
      <w:proofErr w:type="spellEnd"/>
      <w:r w:rsidRPr="008E6485">
        <w:rPr>
          <w:i/>
          <w:sz w:val="28"/>
          <w:szCs w:val="28"/>
        </w:rPr>
        <w:t xml:space="preserve"> </w:t>
      </w:r>
      <w:proofErr w:type="spellStart"/>
      <w:r w:rsidRPr="008E6485">
        <w:rPr>
          <w:i/>
          <w:sz w:val="28"/>
          <w:szCs w:val="28"/>
        </w:rPr>
        <w:t>Tobacco</w:t>
      </w:r>
      <w:proofErr w:type="spellEnd"/>
      <w:r w:rsidRPr="008E6485">
        <w:rPr>
          <w:sz w:val="28"/>
          <w:szCs w:val="28"/>
        </w:rPr>
        <w:t xml:space="preserve"> un </w:t>
      </w:r>
      <w:proofErr w:type="spellStart"/>
      <w:r w:rsidRPr="008E6485">
        <w:rPr>
          <w:i/>
          <w:sz w:val="28"/>
          <w:szCs w:val="28"/>
        </w:rPr>
        <w:t>Imperial</w:t>
      </w:r>
      <w:proofErr w:type="spellEnd"/>
      <w:r w:rsidRPr="008E6485">
        <w:rPr>
          <w:i/>
          <w:sz w:val="28"/>
          <w:szCs w:val="28"/>
        </w:rPr>
        <w:t xml:space="preserve"> </w:t>
      </w:r>
      <w:proofErr w:type="spellStart"/>
      <w:r w:rsidR="00885413" w:rsidRPr="008E6485">
        <w:rPr>
          <w:i/>
          <w:sz w:val="28"/>
          <w:szCs w:val="28"/>
        </w:rPr>
        <w:t>T</w:t>
      </w:r>
      <w:r w:rsidRPr="008E6485">
        <w:rPr>
          <w:i/>
          <w:sz w:val="28"/>
          <w:szCs w:val="28"/>
        </w:rPr>
        <w:t>obacco</w:t>
      </w:r>
      <w:proofErr w:type="spellEnd"/>
      <w:r w:rsidRPr="008E6485">
        <w:rPr>
          <w:sz w:val="28"/>
          <w:szCs w:val="28"/>
        </w:rPr>
        <w:t>.</w:t>
      </w:r>
    </w:p>
    <w:p w:rsidR="001F7115" w:rsidRPr="008E6485" w:rsidRDefault="001F7115" w:rsidP="00937EB8">
      <w:pPr>
        <w:rPr>
          <w:bCs/>
          <w:iCs/>
          <w:sz w:val="28"/>
          <w:szCs w:val="28"/>
        </w:rPr>
      </w:pPr>
    </w:p>
    <w:p w:rsidR="00937EB8" w:rsidRPr="008E6485" w:rsidRDefault="00937EB8" w:rsidP="00937EB8">
      <w:pPr>
        <w:rPr>
          <w:b/>
          <w:sz w:val="28"/>
          <w:szCs w:val="28"/>
        </w:rPr>
      </w:pPr>
      <w:r w:rsidRPr="008E6485">
        <w:rPr>
          <w:b/>
          <w:sz w:val="28"/>
          <w:szCs w:val="28"/>
        </w:rPr>
        <w:t>1.4. Normatīvo aktu izmaiņu apzināšana un izvērtēšana</w:t>
      </w:r>
    </w:p>
    <w:p w:rsidR="00755776" w:rsidRPr="008E6485" w:rsidRDefault="00755776" w:rsidP="00937EB8">
      <w:pPr>
        <w:rPr>
          <w:b/>
          <w:sz w:val="28"/>
          <w:szCs w:val="28"/>
        </w:rPr>
      </w:pPr>
    </w:p>
    <w:p w:rsidR="00937EB8" w:rsidRPr="008E6485" w:rsidRDefault="00937EB8" w:rsidP="0012309F">
      <w:pPr>
        <w:pStyle w:val="CommentText"/>
        <w:ind w:firstLine="720"/>
        <w:rPr>
          <w:sz w:val="28"/>
          <w:szCs w:val="28"/>
        </w:rPr>
      </w:pPr>
      <w:r w:rsidRPr="008E6485">
        <w:rPr>
          <w:sz w:val="28"/>
          <w:szCs w:val="28"/>
        </w:rPr>
        <w:t xml:space="preserve"> TAI </w:t>
      </w:r>
      <w:r w:rsidR="00823EB9">
        <w:rPr>
          <w:sz w:val="28"/>
          <w:szCs w:val="28"/>
        </w:rPr>
        <w:t>atbilstoši</w:t>
      </w:r>
      <w:r w:rsidRPr="008E6485">
        <w:rPr>
          <w:sz w:val="28"/>
          <w:szCs w:val="28"/>
        </w:rPr>
        <w:t xml:space="preserve"> kompetence</w:t>
      </w:r>
      <w:r w:rsidR="00823EB9">
        <w:rPr>
          <w:sz w:val="28"/>
          <w:szCs w:val="28"/>
        </w:rPr>
        <w:t>i</w:t>
      </w:r>
      <w:r w:rsidRPr="008E6485">
        <w:rPr>
          <w:sz w:val="28"/>
          <w:szCs w:val="28"/>
        </w:rPr>
        <w:t xml:space="preserve"> veic akcīzes preču apriti reglamentējošu normatīvo aktu darbības efektivitātes izvērtēšanu.</w:t>
      </w:r>
    </w:p>
    <w:p w:rsidR="00937EB8" w:rsidRPr="008E6485" w:rsidRDefault="00937EB8" w:rsidP="00937EB8">
      <w:pPr>
        <w:pStyle w:val="CommentText"/>
        <w:ind w:firstLine="720"/>
        <w:rPr>
          <w:sz w:val="28"/>
          <w:szCs w:val="28"/>
        </w:rPr>
      </w:pPr>
      <w:r w:rsidRPr="008E6485">
        <w:rPr>
          <w:sz w:val="28"/>
          <w:szCs w:val="28"/>
        </w:rPr>
        <w:t xml:space="preserve">Šobrīd ir apzinātas </w:t>
      </w:r>
      <w:r w:rsidR="00863337" w:rsidRPr="008E6485">
        <w:rPr>
          <w:sz w:val="28"/>
          <w:szCs w:val="28"/>
        </w:rPr>
        <w:t>šād</w:t>
      </w:r>
      <w:r w:rsidRPr="008E6485">
        <w:rPr>
          <w:sz w:val="28"/>
          <w:szCs w:val="28"/>
        </w:rPr>
        <w:t xml:space="preserve">as likumpārkāpumu izdarīšanu veicinošas riska jomas: </w:t>
      </w:r>
    </w:p>
    <w:p w:rsidR="00937EB8" w:rsidRPr="008E6485" w:rsidRDefault="00863337" w:rsidP="0012309F">
      <w:pPr>
        <w:pStyle w:val="CommentText"/>
        <w:ind w:firstLine="720"/>
        <w:rPr>
          <w:sz w:val="28"/>
          <w:szCs w:val="28"/>
        </w:rPr>
      </w:pPr>
      <w:r w:rsidRPr="008E6485">
        <w:rPr>
          <w:sz w:val="28"/>
          <w:szCs w:val="28"/>
        </w:rPr>
        <w:t xml:space="preserve">- </w:t>
      </w:r>
      <w:r w:rsidR="00937EB8" w:rsidRPr="008E6485">
        <w:rPr>
          <w:sz w:val="28"/>
          <w:szCs w:val="28"/>
        </w:rPr>
        <w:t>akcīzes preču uzskaites normatīvais regulējums;</w:t>
      </w:r>
    </w:p>
    <w:p w:rsidR="00937EB8" w:rsidRPr="008E6485" w:rsidRDefault="00863337" w:rsidP="0012309F">
      <w:pPr>
        <w:pStyle w:val="CommentText"/>
        <w:ind w:firstLine="720"/>
        <w:rPr>
          <w:sz w:val="28"/>
          <w:szCs w:val="28"/>
        </w:rPr>
      </w:pPr>
      <w:r w:rsidRPr="008E6485">
        <w:rPr>
          <w:sz w:val="28"/>
          <w:szCs w:val="28"/>
        </w:rPr>
        <w:t>-</w:t>
      </w:r>
      <w:r w:rsidR="00CA507D" w:rsidRPr="008E6485">
        <w:rPr>
          <w:sz w:val="28"/>
          <w:szCs w:val="28"/>
        </w:rPr>
        <w:t> </w:t>
      </w:r>
      <w:r w:rsidR="00937EB8" w:rsidRPr="008E6485">
        <w:rPr>
          <w:sz w:val="28"/>
          <w:szCs w:val="28"/>
        </w:rPr>
        <w:t>sankcijas un atbildība par telpu izmantošanu alkoholisko dzērienu nelikumīgai ražošanai, uzglabāšanai vai realizācijai.</w:t>
      </w:r>
    </w:p>
    <w:p w:rsidR="00937EB8" w:rsidRPr="008E6485" w:rsidRDefault="00937EB8" w:rsidP="00937EB8">
      <w:pPr>
        <w:pStyle w:val="CommentText"/>
        <w:ind w:firstLine="720"/>
        <w:rPr>
          <w:sz w:val="28"/>
          <w:szCs w:val="28"/>
        </w:rPr>
      </w:pPr>
      <w:r w:rsidRPr="008E6485">
        <w:rPr>
          <w:sz w:val="28"/>
          <w:szCs w:val="28"/>
        </w:rPr>
        <w:lastRenderedPageBreak/>
        <w:t xml:space="preserve">Tiek </w:t>
      </w:r>
      <w:r w:rsidR="00863337" w:rsidRPr="008E6485">
        <w:rPr>
          <w:sz w:val="28"/>
          <w:szCs w:val="28"/>
        </w:rPr>
        <w:t xml:space="preserve">sagatavoti </w:t>
      </w:r>
      <w:r w:rsidRPr="008E6485">
        <w:rPr>
          <w:sz w:val="28"/>
          <w:szCs w:val="28"/>
        </w:rPr>
        <w:t>priekšlikum</w:t>
      </w:r>
      <w:r w:rsidR="00863337" w:rsidRPr="008E6485">
        <w:rPr>
          <w:sz w:val="28"/>
          <w:szCs w:val="28"/>
        </w:rPr>
        <w:t>i</w:t>
      </w:r>
      <w:r w:rsidRPr="008E6485">
        <w:rPr>
          <w:sz w:val="28"/>
          <w:szCs w:val="28"/>
        </w:rPr>
        <w:t>, kur</w:t>
      </w:r>
      <w:r w:rsidR="00CA507D" w:rsidRPr="008E6485">
        <w:rPr>
          <w:sz w:val="28"/>
          <w:szCs w:val="28"/>
        </w:rPr>
        <w:t>us</w:t>
      </w:r>
      <w:r w:rsidRPr="008E6485">
        <w:rPr>
          <w:sz w:val="28"/>
          <w:szCs w:val="28"/>
        </w:rPr>
        <w:t xml:space="preserve"> apsprie</w:t>
      </w:r>
      <w:r w:rsidR="00CA507D" w:rsidRPr="008E6485">
        <w:rPr>
          <w:sz w:val="28"/>
          <w:szCs w:val="28"/>
        </w:rPr>
        <w:t>dī</w:t>
      </w:r>
      <w:r w:rsidRPr="008E6485">
        <w:rPr>
          <w:sz w:val="28"/>
          <w:szCs w:val="28"/>
        </w:rPr>
        <w:t xml:space="preserve">s tuvākajās TAI vadības grupas sanāksmēs. </w:t>
      </w:r>
    </w:p>
    <w:p w:rsidR="00937EB8" w:rsidRPr="008E6485" w:rsidRDefault="00937EB8" w:rsidP="00937EB8">
      <w:pPr>
        <w:rPr>
          <w:b/>
          <w:sz w:val="28"/>
          <w:szCs w:val="28"/>
        </w:rPr>
      </w:pPr>
    </w:p>
    <w:p w:rsidR="00937EB8" w:rsidRPr="008E6485" w:rsidRDefault="00937EB8" w:rsidP="00937EB8">
      <w:pPr>
        <w:rPr>
          <w:b/>
          <w:sz w:val="28"/>
          <w:szCs w:val="28"/>
        </w:rPr>
      </w:pPr>
      <w:r w:rsidRPr="008E6485">
        <w:rPr>
          <w:b/>
          <w:sz w:val="28"/>
          <w:szCs w:val="28"/>
        </w:rPr>
        <w:t>1.5. Sabiedrības informēšana</w:t>
      </w:r>
    </w:p>
    <w:p w:rsidR="00755776" w:rsidRPr="008E6485" w:rsidRDefault="00755776" w:rsidP="00937EB8">
      <w:pPr>
        <w:rPr>
          <w:b/>
          <w:sz w:val="28"/>
          <w:szCs w:val="28"/>
        </w:rPr>
      </w:pPr>
    </w:p>
    <w:p w:rsidR="00937EB8" w:rsidRPr="008E6485" w:rsidRDefault="00937EB8" w:rsidP="00937EB8">
      <w:pPr>
        <w:ind w:firstLine="720"/>
        <w:rPr>
          <w:noProof/>
          <w:sz w:val="28"/>
          <w:szCs w:val="28"/>
        </w:rPr>
      </w:pPr>
      <w:r w:rsidRPr="008E6485">
        <w:rPr>
          <w:noProof/>
          <w:sz w:val="28"/>
          <w:szCs w:val="28"/>
        </w:rPr>
        <w:t>VID regulāri informē sabiedrību par aktuālajiem darba rezultātiem, tajā skaitā arī par akcīzes preču kontrabandu un to nelikumīgu apriti, izmantojot dažādus komunikācijas kanālus un līdzekļus:  </w:t>
      </w:r>
    </w:p>
    <w:p w:rsidR="00937EB8" w:rsidRPr="008E6485" w:rsidRDefault="00863337" w:rsidP="0012309F">
      <w:pPr>
        <w:ind w:firstLine="720"/>
        <w:rPr>
          <w:noProof/>
          <w:sz w:val="28"/>
          <w:szCs w:val="28"/>
        </w:rPr>
      </w:pPr>
      <w:r w:rsidRPr="008E6485">
        <w:rPr>
          <w:noProof/>
          <w:sz w:val="28"/>
          <w:szCs w:val="28"/>
        </w:rPr>
        <w:t>-</w:t>
      </w:r>
      <w:r w:rsidR="00CA507D" w:rsidRPr="008E6485">
        <w:rPr>
          <w:noProof/>
          <w:sz w:val="28"/>
          <w:szCs w:val="28"/>
        </w:rPr>
        <w:t> </w:t>
      </w:r>
      <w:r w:rsidR="00937EB8" w:rsidRPr="008E6485">
        <w:rPr>
          <w:noProof/>
          <w:sz w:val="28"/>
          <w:szCs w:val="28"/>
        </w:rPr>
        <w:t xml:space="preserve">2012.gada </w:t>
      </w:r>
      <w:r w:rsidR="00CA507D" w:rsidRPr="008E6485">
        <w:rPr>
          <w:noProof/>
          <w:sz w:val="28"/>
          <w:szCs w:val="28"/>
        </w:rPr>
        <w:t xml:space="preserve">pirmajos </w:t>
      </w:r>
      <w:r w:rsidR="00F30D27">
        <w:rPr>
          <w:noProof/>
          <w:sz w:val="28"/>
          <w:szCs w:val="28"/>
        </w:rPr>
        <w:t>sešos</w:t>
      </w:r>
      <w:r w:rsidR="00F30D27" w:rsidRPr="008E6485">
        <w:rPr>
          <w:noProof/>
          <w:sz w:val="28"/>
          <w:szCs w:val="28"/>
        </w:rPr>
        <w:t xml:space="preserve"> </w:t>
      </w:r>
      <w:r w:rsidR="00937EB8" w:rsidRPr="008E6485">
        <w:rPr>
          <w:noProof/>
          <w:sz w:val="28"/>
          <w:szCs w:val="28"/>
        </w:rPr>
        <w:t xml:space="preserve">mēnešos par akcīzes preču pārvietošanas nosacījumiem un likumpārkāpumiem VID muitas amatpersonas </w:t>
      </w:r>
      <w:r w:rsidR="00CA507D" w:rsidRPr="008E6485">
        <w:rPr>
          <w:noProof/>
          <w:sz w:val="28"/>
          <w:szCs w:val="28"/>
        </w:rPr>
        <w:t xml:space="preserve">sniedza </w:t>
      </w:r>
      <w:r w:rsidR="002C27CA">
        <w:rPr>
          <w:noProof/>
          <w:sz w:val="28"/>
          <w:szCs w:val="28"/>
        </w:rPr>
        <w:t>septiņas</w:t>
      </w:r>
      <w:r w:rsidR="002C27CA" w:rsidRPr="008E6485">
        <w:rPr>
          <w:noProof/>
          <w:sz w:val="28"/>
          <w:szCs w:val="28"/>
        </w:rPr>
        <w:t xml:space="preserve"> </w:t>
      </w:r>
      <w:r w:rsidR="00CA507D" w:rsidRPr="008E6485">
        <w:rPr>
          <w:noProof/>
          <w:sz w:val="28"/>
          <w:szCs w:val="28"/>
        </w:rPr>
        <w:t xml:space="preserve">intervijas </w:t>
      </w:r>
      <w:r w:rsidRPr="008E6485">
        <w:rPr>
          <w:noProof/>
          <w:sz w:val="28"/>
          <w:szCs w:val="28"/>
        </w:rPr>
        <w:t xml:space="preserve">plašsaziņas līdzekļiem </w:t>
      </w:r>
      <w:r w:rsidR="00937EB8" w:rsidRPr="008E6485">
        <w:rPr>
          <w:noProof/>
          <w:sz w:val="28"/>
          <w:szCs w:val="28"/>
        </w:rPr>
        <w:t>(LTV, LNT, Latvijas Radio, Baltkom Radio, laikrakst</w:t>
      </w:r>
      <w:r w:rsidR="00823EB9">
        <w:rPr>
          <w:noProof/>
          <w:sz w:val="28"/>
          <w:szCs w:val="28"/>
        </w:rPr>
        <w:t>am</w:t>
      </w:r>
      <w:r w:rsidR="00937EB8" w:rsidRPr="008E6485">
        <w:rPr>
          <w:noProof/>
          <w:sz w:val="28"/>
          <w:szCs w:val="28"/>
        </w:rPr>
        <w:t xml:space="preserve"> </w:t>
      </w:r>
      <w:r w:rsidR="00823EB9">
        <w:rPr>
          <w:noProof/>
          <w:sz w:val="28"/>
          <w:szCs w:val="28"/>
        </w:rPr>
        <w:t>“</w:t>
      </w:r>
      <w:r w:rsidR="00937EB8" w:rsidRPr="008E6485">
        <w:rPr>
          <w:noProof/>
          <w:sz w:val="28"/>
          <w:szCs w:val="28"/>
        </w:rPr>
        <w:t>Diena”);</w:t>
      </w:r>
    </w:p>
    <w:p w:rsidR="00937EB8" w:rsidRPr="008E6485" w:rsidRDefault="00863337" w:rsidP="0012309F">
      <w:pPr>
        <w:ind w:firstLine="720"/>
        <w:rPr>
          <w:noProof/>
          <w:sz w:val="28"/>
          <w:szCs w:val="28"/>
        </w:rPr>
      </w:pPr>
      <w:r w:rsidRPr="008E6485">
        <w:rPr>
          <w:noProof/>
          <w:sz w:val="28"/>
          <w:szCs w:val="28"/>
        </w:rPr>
        <w:t xml:space="preserve">- </w:t>
      </w:r>
      <w:r w:rsidR="00937EB8" w:rsidRPr="008E6485">
        <w:rPr>
          <w:noProof/>
          <w:sz w:val="28"/>
          <w:szCs w:val="28"/>
        </w:rPr>
        <w:t xml:space="preserve">plašsaziņas līdzekļiem regulāri tiek nosūtītas preses relīzes gan par nosacījumiem, kas jāievēro, pārvietojot pāri robežai akcīzes preces, gan par konstatētajiem pārkāpumiem. 2012.gada </w:t>
      </w:r>
      <w:r w:rsidR="00CA507D" w:rsidRPr="007D4D2A">
        <w:rPr>
          <w:noProof/>
          <w:sz w:val="28"/>
          <w:szCs w:val="28"/>
        </w:rPr>
        <w:t xml:space="preserve">pirmajos </w:t>
      </w:r>
      <w:r w:rsidR="00FE3A7C" w:rsidRPr="007D4D2A">
        <w:rPr>
          <w:noProof/>
          <w:sz w:val="28"/>
          <w:szCs w:val="28"/>
        </w:rPr>
        <w:t>seš</w:t>
      </w:r>
      <w:r w:rsidR="00937EB8" w:rsidRPr="007D4D2A">
        <w:rPr>
          <w:noProof/>
          <w:sz w:val="28"/>
          <w:szCs w:val="28"/>
        </w:rPr>
        <w:t>os</w:t>
      </w:r>
      <w:r w:rsidR="00937EB8" w:rsidRPr="008E6485">
        <w:rPr>
          <w:noProof/>
          <w:sz w:val="28"/>
          <w:szCs w:val="28"/>
        </w:rPr>
        <w:t xml:space="preserve"> mēnešos ziņu portālos, reģionālajos un dienas laikrakstos par akcīzes preču ievešanas ierobežojumiem sagatavotas </w:t>
      </w:r>
      <w:r w:rsidR="00BE0310">
        <w:rPr>
          <w:noProof/>
          <w:sz w:val="28"/>
          <w:szCs w:val="28"/>
        </w:rPr>
        <w:t>37</w:t>
      </w:r>
      <w:r w:rsidR="00937EB8" w:rsidRPr="008E6485">
        <w:rPr>
          <w:noProof/>
          <w:sz w:val="28"/>
          <w:szCs w:val="28"/>
        </w:rPr>
        <w:t xml:space="preserve"> publikācijas.</w:t>
      </w:r>
    </w:p>
    <w:p w:rsidR="00937EB8" w:rsidRPr="008E6485" w:rsidRDefault="00937EB8" w:rsidP="00937EB8">
      <w:pPr>
        <w:rPr>
          <w:noProof/>
          <w:sz w:val="28"/>
          <w:szCs w:val="28"/>
        </w:rPr>
      </w:pPr>
    </w:p>
    <w:p w:rsidR="00937EB8" w:rsidRPr="008E6485" w:rsidRDefault="00863337" w:rsidP="00863337">
      <w:pPr>
        <w:tabs>
          <w:tab w:val="left" w:pos="0"/>
        </w:tabs>
        <w:rPr>
          <w:b/>
          <w:sz w:val="28"/>
          <w:szCs w:val="28"/>
        </w:rPr>
      </w:pPr>
      <w:r w:rsidRPr="008E6485">
        <w:rPr>
          <w:b/>
          <w:sz w:val="28"/>
          <w:szCs w:val="28"/>
        </w:rPr>
        <w:t xml:space="preserve">2. </w:t>
      </w:r>
      <w:r w:rsidR="00937EB8" w:rsidRPr="008E6485">
        <w:rPr>
          <w:b/>
          <w:sz w:val="28"/>
          <w:szCs w:val="28"/>
        </w:rPr>
        <w:t xml:space="preserve">TAI darba rezultāti 2012.gada </w:t>
      </w:r>
      <w:r w:rsidR="00E61576" w:rsidRPr="008E6485">
        <w:rPr>
          <w:b/>
          <w:sz w:val="28"/>
          <w:szCs w:val="28"/>
        </w:rPr>
        <w:t xml:space="preserve">pirmajos </w:t>
      </w:r>
      <w:r w:rsidR="00F30D27">
        <w:rPr>
          <w:b/>
          <w:sz w:val="28"/>
          <w:szCs w:val="28"/>
        </w:rPr>
        <w:t>sešos</w:t>
      </w:r>
      <w:r w:rsidR="00F30D27" w:rsidRPr="008E6485">
        <w:rPr>
          <w:b/>
          <w:sz w:val="28"/>
          <w:szCs w:val="28"/>
        </w:rPr>
        <w:t xml:space="preserve"> </w:t>
      </w:r>
      <w:r w:rsidR="00937EB8" w:rsidRPr="008E6485">
        <w:rPr>
          <w:b/>
          <w:sz w:val="28"/>
          <w:szCs w:val="28"/>
        </w:rPr>
        <w:t>mēnešos</w:t>
      </w:r>
    </w:p>
    <w:p w:rsidR="0068378E" w:rsidRPr="008E6485" w:rsidRDefault="0068378E" w:rsidP="00863337">
      <w:pPr>
        <w:tabs>
          <w:tab w:val="left" w:pos="0"/>
        </w:tabs>
        <w:rPr>
          <w:b/>
          <w:sz w:val="28"/>
          <w:szCs w:val="28"/>
        </w:rPr>
      </w:pPr>
    </w:p>
    <w:tbl>
      <w:tblPr>
        <w:tblpPr w:leftFromText="180" w:rightFromText="180" w:vertAnchor="text" w:horzAnchor="margin" w:tblpXSpec="center" w:tblpY="141"/>
        <w:tblW w:w="8146" w:type="dxa"/>
        <w:tblLook w:val="04A0" w:firstRow="1" w:lastRow="0" w:firstColumn="1" w:lastColumn="0" w:noHBand="0" w:noVBand="1"/>
      </w:tblPr>
      <w:tblGrid>
        <w:gridCol w:w="3970"/>
        <w:gridCol w:w="1632"/>
        <w:gridCol w:w="1552"/>
        <w:gridCol w:w="992"/>
      </w:tblGrid>
      <w:tr w:rsidR="00937EB8" w:rsidRPr="008E6485" w:rsidTr="004B43EF">
        <w:trPr>
          <w:trHeight w:val="418"/>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EB8" w:rsidRPr="008E6485" w:rsidRDefault="00937EB8" w:rsidP="00131235">
            <w:pPr>
              <w:jc w:val="center"/>
              <w:rPr>
                <w:color w:val="000000"/>
                <w:sz w:val="28"/>
                <w:szCs w:val="28"/>
                <w:lang w:eastAsia="lv-LV"/>
              </w:rPr>
            </w:pPr>
          </w:p>
        </w:tc>
        <w:tc>
          <w:tcPr>
            <w:tcW w:w="1632" w:type="dxa"/>
            <w:tcBorders>
              <w:top w:val="single" w:sz="4" w:space="0" w:color="auto"/>
              <w:left w:val="nil"/>
              <w:bottom w:val="single" w:sz="4" w:space="0" w:color="auto"/>
              <w:right w:val="single" w:sz="4" w:space="0" w:color="auto"/>
            </w:tcBorders>
            <w:shd w:val="clear" w:color="auto" w:fill="auto"/>
            <w:hideMark/>
          </w:tcPr>
          <w:p w:rsidR="00937EB8" w:rsidRPr="008E6485" w:rsidRDefault="00937EB8" w:rsidP="00723EE3">
            <w:pPr>
              <w:jc w:val="left"/>
              <w:rPr>
                <w:color w:val="000000"/>
                <w:sz w:val="28"/>
                <w:szCs w:val="28"/>
                <w:lang w:eastAsia="lv-LV"/>
              </w:rPr>
            </w:pPr>
            <w:r w:rsidRPr="008E6485">
              <w:rPr>
                <w:color w:val="000000"/>
                <w:sz w:val="28"/>
                <w:szCs w:val="28"/>
                <w:lang w:eastAsia="lv-LV"/>
              </w:rPr>
              <w:t>VID</w:t>
            </w:r>
          </w:p>
        </w:tc>
        <w:tc>
          <w:tcPr>
            <w:tcW w:w="1552" w:type="dxa"/>
            <w:tcBorders>
              <w:top w:val="single" w:sz="4" w:space="0" w:color="auto"/>
              <w:left w:val="nil"/>
              <w:bottom w:val="single" w:sz="4" w:space="0" w:color="auto"/>
              <w:right w:val="single" w:sz="4" w:space="0" w:color="auto"/>
            </w:tcBorders>
            <w:shd w:val="clear" w:color="auto" w:fill="auto"/>
            <w:hideMark/>
          </w:tcPr>
          <w:p w:rsidR="00937EB8" w:rsidRPr="008E6485" w:rsidRDefault="00937EB8" w:rsidP="00723EE3">
            <w:pPr>
              <w:jc w:val="left"/>
              <w:rPr>
                <w:color w:val="000000"/>
                <w:sz w:val="28"/>
                <w:szCs w:val="28"/>
                <w:lang w:eastAsia="lv-LV"/>
              </w:rPr>
            </w:pPr>
            <w:r w:rsidRPr="008E6485">
              <w:rPr>
                <w:color w:val="000000"/>
                <w:sz w:val="28"/>
                <w:szCs w:val="28"/>
                <w:lang w:eastAsia="lv-LV"/>
              </w:rPr>
              <w:t>VRS</w:t>
            </w:r>
          </w:p>
        </w:tc>
        <w:tc>
          <w:tcPr>
            <w:tcW w:w="992" w:type="dxa"/>
            <w:tcBorders>
              <w:top w:val="single" w:sz="4" w:space="0" w:color="auto"/>
              <w:left w:val="nil"/>
              <w:bottom w:val="single" w:sz="4" w:space="0" w:color="auto"/>
              <w:right w:val="single" w:sz="4" w:space="0" w:color="auto"/>
            </w:tcBorders>
            <w:shd w:val="clear" w:color="auto" w:fill="auto"/>
            <w:hideMark/>
          </w:tcPr>
          <w:p w:rsidR="00937EB8" w:rsidRPr="008E6485" w:rsidRDefault="00937EB8" w:rsidP="00723EE3">
            <w:pPr>
              <w:jc w:val="left"/>
              <w:rPr>
                <w:color w:val="000000"/>
                <w:sz w:val="28"/>
                <w:szCs w:val="28"/>
                <w:lang w:eastAsia="lv-LV"/>
              </w:rPr>
            </w:pPr>
            <w:r w:rsidRPr="008E6485">
              <w:rPr>
                <w:color w:val="000000"/>
                <w:sz w:val="28"/>
                <w:szCs w:val="28"/>
                <w:lang w:eastAsia="lv-LV"/>
              </w:rPr>
              <w:t>VP</w:t>
            </w:r>
          </w:p>
        </w:tc>
      </w:tr>
      <w:tr w:rsidR="004B43EF" w:rsidRPr="008E6485" w:rsidTr="004B43EF">
        <w:trPr>
          <w:trHeight w:val="37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4B43EF" w:rsidRPr="008E6485" w:rsidRDefault="004B43EF" w:rsidP="004B43EF">
            <w:pPr>
              <w:jc w:val="left"/>
              <w:rPr>
                <w:color w:val="000000"/>
                <w:sz w:val="28"/>
                <w:szCs w:val="28"/>
                <w:lang w:eastAsia="lv-LV"/>
              </w:rPr>
            </w:pPr>
            <w:r w:rsidRPr="008E6485">
              <w:rPr>
                <w:color w:val="000000"/>
                <w:sz w:val="28"/>
                <w:szCs w:val="28"/>
                <w:lang w:eastAsia="lv-LV"/>
              </w:rPr>
              <w:t>Sastādīto administratīvo pārkāpumu protokolu skaits</w:t>
            </w:r>
          </w:p>
        </w:tc>
        <w:tc>
          <w:tcPr>
            <w:tcW w:w="1632" w:type="dxa"/>
            <w:tcBorders>
              <w:top w:val="nil"/>
              <w:left w:val="nil"/>
              <w:bottom w:val="single" w:sz="4" w:space="0" w:color="auto"/>
              <w:right w:val="single" w:sz="4" w:space="0" w:color="auto"/>
            </w:tcBorders>
            <w:shd w:val="clear" w:color="auto" w:fill="auto"/>
            <w:noWrap/>
            <w:vAlign w:val="bottom"/>
            <w:hideMark/>
          </w:tcPr>
          <w:p w:rsidR="004B43EF" w:rsidRPr="008E6485" w:rsidRDefault="004B43EF" w:rsidP="004B43EF">
            <w:pPr>
              <w:jc w:val="left"/>
              <w:rPr>
                <w:color w:val="000000"/>
                <w:sz w:val="28"/>
                <w:szCs w:val="28"/>
                <w:lang w:eastAsia="lv-LV"/>
              </w:rPr>
            </w:pPr>
            <w:r>
              <w:rPr>
                <w:color w:val="000000"/>
                <w:sz w:val="28"/>
                <w:szCs w:val="28"/>
                <w:lang w:eastAsia="lv-LV"/>
              </w:rPr>
              <w:t>557</w:t>
            </w:r>
          </w:p>
        </w:tc>
        <w:tc>
          <w:tcPr>
            <w:tcW w:w="1552" w:type="dxa"/>
            <w:tcBorders>
              <w:top w:val="nil"/>
              <w:left w:val="nil"/>
              <w:bottom w:val="single" w:sz="4" w:space="0" w:color="auto"/>
              <w:right w:val="single" w:sz="4" w:space="0" w:color="auto"/>
            </w:tcBorders>
            <w:shd w:val="clear" w:color="auto" w:fill="auto"/>
            <w:noWrap/>
            <w:vAlign w:val="bottom"/>
            <w:hideMark/>
          </w:tcPr>
          <w:p w:rsidR="004B43EF" w:rsidRPr="008E6485" w:rsidRDefault="004B43EF" w:rsidP="004B43EF">
            <w:pPr>
              <w:jc w:val="left"/>
              <w:rPr>
                <w:color w:val="000000"/>
                <w:sz w:val="28"/>
                <w:szCs w:val="28"/>
                <w:lang w:eastAsia="lv-LV"/>
              </w:rPr>
            </w:pPr>
            <w:r>
              <w:rPr>
                <w:color w:val="000000"/>
                <w:sz w:val="28"/>
                <w:szCs w:val="28"/>
                <w:lang w:eastAsia="lv-LV"/>
              </w:rPr>
              <w:t>30</w:t>
            </w:r>
          </w:p>
        </w:tc>
        <w:tc>
          <w:tcPr>
            <w:tcW w:w="992" w:type="dxa"/>
            <w:tcBorders>
              <w:top w:val="nil"/>
              <w:left w:val="nil"/>
              <w:bottom w:val="single" w:sz="4" w:space="0" w:color="auto"/>
              <w:right w:val="single" w:sz="4" w:space="0" w:color="auto"/>
            </w:tcBorders>
            <w:shd w:val="clear" w:color="auto" w:fill="auto"/>
            <w:noWrap/>
            <w:vAlign w:val="bottom"/>
            <w:hideMark/>
          </w:tcPr>
          <w:p w:rsidR="004B43EF" w:rsidRPr="008E6485" w:rsidRDefault="004B43EF" w:rsidP="00C27865">
            <w:pPr>
              <w:jc w:val="left"/>
              <w:rPr>
                <w:color w:val="000000"/>
                <w:sz w:val="28"/>
                <w:szCs w:val="28"/>
                <w:lang w:eastAsia="lv-LV"/>
              </w:rPr>
            </w:pPr>
            <w:r>
              <w:rPr>
                <w:color w:val="000000"/>
                <w:sz w:val="28"/>
                <w:szCs w:val="28"/>
                <w:lang w:eastAsia="lv-LV"/>
              </w:rPr>
              <w:t>194</w:t>
            </w:r>
            <w:r w:rsidR="00C27865">
              <w:rPr>
                <w:color w:val="000000"/>
                <w:sz w:val="28"/>
                <w:szCs w:val="28"/>
                <w:lang w:eastAsia="lv-LV"/>
              </w:rPr>
              <w:t>9</w:t>
            </w:r>
          </w:p>
        </w:tc>
      </w:tr>
      <w:tr w:rsidR="004B43EF" w:rsidRPr="008E6485" w:rsidTr="004B43EF">
        <w:trPr>
          <w:trHeight w:val="37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4B43EF" w:rsidRPr="008E6485" w:rsidRDefault="004B43EF" w:rsidP="004B43EF">
            <w:pPr>
              <w:jc w:val="left"/>
              <w:rPr>
                <w:color w:val="000000"/>
                <w:sz w:val="28"/>
                <w:szCs w:val="28"/>
                <w:lang w:eastAsia="lv-LV"/>
              </w:rPr>
            </w:pPr>
            <w:r w:rsidRPr="008E6485">
              <w:rPr>
                <w:color w:val="000000"/>
                <w:sz w:val="28"/>
                <w:szCs w:val="28"/>
                <w:lang w:eastAsia="lv-LV"/>
              </w:rPr>
              <w:t>Uzsākto kriminālprocesu skaits</w:t>
            </w:r>
          </w:p>
        </w:tc>
        <w:tc>
          <w:tcPr>
            <w:tcW w:w="1632" w:type="dxa"/>
            <w:tcBorders>
              <w:top w:val="nil"/>
              <w:left w:val="nil"/>
              <w:bottom w:val="single" w:sz="4" w:space="0" w:color="auto"/>
              <w:right w:val="single" w:sz="4" w:space="0" w:color="auto"/>
            </w:tcBorders>
            <w:shd w:val="clear" w:color="auto" w:fill="auto"/>
            <w:noWrap/>
            <w:vAlign w:val="bottom"/>
            <w:hideMark/>
          </w:tcPr>
          <w:p w:rsidR="004B43EF" w:rsidRPr="008E6485" w:rsidRDefault="004B43EF" w:rsidP="004B43EF">
            <w:pPr>
              <w:jc w:val="left"/>
              <w:rPr>
                <w:color w:val="000000"/>
                <w:sz w:val="28"/>
                <w:szCs w:val="28"/>
                <w:lang w:eastAsia="lv-LV"/>
              </w:rPr>
            </w:pPr>
            <w:r>
              <w:rPr>
                <w:color w:val="000000"/>
                <w:sz w:val="28"/>
                <w:szCs w:val="28"/>
                <w:lang w:eastAsia="lv-LV"/>
              </w:rPr>
              <w:t>23</w:t>
            </w:r>
          </w:p>
        </w:tc>
        <w:tc>
          <w:tcPr>
            <w:tcW w:w="1552" w:type="dxa"/>
            <w:tcBorders>
              <w:top w:val="nil"/>
              <w:left w:val="nil"/>
              <w:bottom w:val="single" w:sz="4" w:space="0" w:color="auto"/>
              <w:right w:val="single" w:sz="4" w:space="0" w:color="auto"/>
            </w:tcBorders>
            <w:shd w:val="clear" w:color="auto" w:fill="auto"/>
            <w:noWrap/>
            <w:vAlign w:val="bottom"/>
            <w:hideMark/>
          </w:tcPr>
          <w:p w:rsidR="004B43EF" w:rsidRPr="008E6485" w:rsidRDefault="004B43EF" w:rsidP="004B43EF">
            <w:pPr>
              <w:jc w:val="left"/>
              <w:rPr>
                <w:color w:val="000000"/>
                <w:sz w:val="28"/>
                <w:szCs w:val="28"/>
                <w:lang w:eastAsia="lv-LV"/>
              </w:rPr>
            </w:pPr>
            <w:r w:rsidRPr="008E6485">
              <w:rPr>
                <w:color w:val="000000"/>
                <w:sz w:val="28"/>
                <w:szCs w:val="28"/>
                <w:lang w:eastAsia="lv-LV"/>
              </w:rPr>
              <w:t>3</w:t>
            </w:r>
          </w:p>
        </w:tc>
        <w:tc>
          <w:tcPr>
            <w:tcW w:w="992" w:type="dxa"/>
            <w:tcBorders>
              <w:top w:val="nil"/>
              <w:left w:val="nil"/>
              <w:bottom w:val="single" w:sz="4" w:space="0" w:color="auto"/>
              <w:right w:val="single" w:sz="4" w:space="0" w:color="auto"/>
            </w:tcBorders>
            <w:shd w:val="clear" w:color="auto" w:fill="auto"/>
            <w:noWrap/>
            <w:vAlign w:val="bottom"/>
            <w:hideMark/>
          </w:tcPr>
          <w:p w:rsidR="004B43EF" w:rsidRPr="008E6485" w:rsidRDefault="004B43EF" w:rsidP="004B43EF">
            <w:pPr>
              <w:jc w:val="left"/>
              <w:rPr>
                <w:color w:val="000000"/>
                <w:sz w:val="28"/>
                <w:szCs w:val="28"/>
                <w:lang w:eastAsia="lv-LV"/>
              </w:rPr>
            </w:pPr>
            <w:r>
              <w:rPr>
                <w:color w:val="000000"/>
                <w:sz w:val="28"/>
                <w:szCs w:val="28"/>
                <w:lang w:eastAsia="lv-LV"/>
              </w:rPr>
              <w:t>325</w:t>
            </w:r>
          </w:p>
        </w:tc>
      </w:tr>
      <w:tr w:rsidR="004B43EF" w:rsidRPr="008E6485" w:rsidTr="004B43EF">
        <w:trPr>
          <w:trHeight w:val="37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4B43EF" w:rsidRPr="008E6485" w:rsidRDefault="004B43EF" w:rsidP="004B43EF">
            <w:pPr>
              <w:jc w:val="left"/>
              <w:rPr>
                <w:color w:val="000000"/>
                <w:sz w:val="28"/>
                <w:szCs w:val="28"/>
                <w:lang w:eastAsia="lv-LV"/>
              </w:rPr>
            </w:pPr>
            <w:r w:rsidRPr="008E6485">
              <w:rPr>
                <w:color w:val="000000"/>
                <w:sz w:val="28"/>
                <w:szCs w:val="28"/>
                <w:lang w:eastAsia="lv-LV"/>
              </w:rPr>
              <w:t>Izņemtās cigaretes (</w:t>
            </w:r>
            <w:proofErr w:type="spellStart"/>
            <w:r w:rsidRPr="008E6485">
              <w:rPr>
                <w:color w:val="000000"/>
                <w:sz w:val="28"/>
                <w:szCs w:val="28"/>
                <w:lang w:eastAsia="lv-LV"/>
              </w:rPr>
              <w:t>milj</w:t>
            </w:r>
            <w:proofErr w:type="spellEnd"/>
            <w:r w:rsidRPr="008E6485">
              <w:rPr>
                <w:color w:val="000000"/>
                <w:sz w:val="28"/>
                <w:szCs w:val="28"/>
                <w:lang w:eastAsia="lv-LV"/>
              </w:rPr>
              <w:t xml:space="preserve">. </w:t>
            </w:r>
            <w:proofErr w:type="spellStart"/>
            <w:r w:rsidRPr="008E6485">
              <w:rPr>
                <w:color w:val="000000"/>
                <w:sz w:val="28"/>
                <w:szCs w:val="28"/>
                <w:lang w:eastAsia="lv-LV"/>
              </w:rPr>
              <w:t>gab</w:t>
            </w:r>
            <w:proofErr w:type="spellEnd"/>
            <w:r w:rsidRPr="008E6485">
              <w:rPr>
                <w:color w:val="000000"/>
                <w:sz w:val="28"/>
                <w:szCs w:val="28"/>
                <w:lang w:eastAsia="lv-LV"/>
              </w:rPr>
              <w:t>.)</w:t>
            </w:r>
          </w:p>
        </w:tc>
        <w:tc>
          <w:tcPr>
            <w:tcW w:w="1632" w:type="dxa"/>
            <w:tcBorders>
              <w:top w:val="nil"/>
              <w:left w:val="nil"/>
              <w:bottom w:val="single" w:sz="4" w:space="0" w:color="auto"/>
              <w:right w:val="single" w:sz="4" w:space="0" w:color="auto"/>
            </w:tcBorders>
            <w:shd w:val="clear" w:color="auto" w:fill="auto"/>
            <w:noWrap/>
            <w:vAlign w:val="bottom"/>
            <w:hideMark/>
          </w:tcPr>
          <w:p w:rsidR="004B43EF" w:rsidRPr="008E6485" w:rsidRDefault="004B43EF" w:rsidP="004B43EF">
            <w:pPr>
              <w:jc w:val="left"/>
              <w:rPr>
                <w:color w:val="000000"/>
                <w:sz w:val="28"/>
                <w:szCs w:val="28"/>
                <w:lang w:eastAsia="lv-LV"/>
              </w:rPr>
            </w:pPr>
            <w:r>
              <w:rPr>
                <w:color w:val="000000"/>
                <w:sz w:val="28"/>
                <w:szCs w:val="28"/>
                <w:lang w:eastAsia="lv-LV"/>
              </w:rPr>
              <w:t>60,76</w:t>
            </w:r>
          </w:p>
        </w:tc>
        <w:tc>
          <w:tcPr>
            <w:tcW w:w="1552" w:type="dxa"/>
            <w:tcBorders>
              <w:top w:val="nil"/>
              <w:left w:val="nil"/>
              <w:bottom w:val="single" w:sz="4" w:space="0" w:color="auto"/>
              <w:right w:val="single" w:sz="4" w:space="0" w:color="auto"/>
            </w:tcBorders>
            <w:shd w:val="clear" w:color="auto" w:fill="auto"/>
            <w:noWrap/>
            <w:vAlign w:val="bottom"/>
            <w:hideMark/>
          </w:tcPr>
          <w:p w:rsidR="004B43EF" w:rsidRPr="008E6485" w:rsidRDefault="004B43EF" w:rsidP="004B43EF">
            <w:pPr>
              <w:jc w:val="left"/>
              <w:rPr>
                <w:color w:val="000000"/>
                <w:sz w:val="28"/>
                <w:szCs w:val="28"/>
                <w:lang w:eastAsia="lv-LV"/>
              </w:rPr>
            </w:pPr>
            <w:r>
              <w:rPr>
                <w:color w:val="000000"/>
                <w:sz w:val="28"/>
                <w:szCs w:val="28"/>
                <w:lang w:eastAsia="lv-LV"/>
              </w:rPr>
              <w:t>4</w:t>
            </w:r>
            <w:r w:rsidR="00823EB9">
              <w:rPr>
                <w:color w:val="000000"/>
                <w:sz w:val="28"/>
                <w:szCs w:val="28"/>
                <w:lang w:eastAsia="lv-LV"/>
              </w:rPr>
              <w:t>,</w:t>
            </w:r>
            <w:r>
              <w:rPr>
                <w:color w:val="000000"/>
                <w:sz w:val="28"/>
                <w:szCs w:val="28"/>
                <w:lang w:eastAsia="lv-LV"/>
              </w:rPr>
              <w:t>25</w:t>
            </w:r>
          </w:p>
        </w:tc>
        <w:tc>
          <w:tcPr>
            <w:tcW w:w="992" w:type="dxa"/>
            <w:tcBorders>
              <w:top w:val="nil"/>
              <w:left w:val="nil"/>
              <w:bottom w:val="single" w:sz="4" w:space="0" w:color="auto"/>
              <w:right w:val="single" w:sz="4" w:space="0" w:color="auto"/>
            </w:tcBorders>
            <w:shd w:val="clear" w:color="auto" w:fill="auto"/>
            <w:noWrap/>
            <w:vAlign w:val="bottom"/>
            <w:hideMark/>
          </w:tcPr>
          <w:p w:rsidR="004B43EF" w:rsidRPr="008E6485" w:rsidRDefault="004B43EF" w:rsidP="004B43EF">
            <w:pPr>
              <w:jc w:val="left"/>
              <w:rPr>
                <w:color w:val="000000"/>
                <w:sz w:val="28"/>
                <w:szCs w:val="28"/>
                <w:lang w:eastAsia="lv-LV"/>
              </w:rPr>
            </w:pPr>
            <w:r w:rsidRPr="007D4D2A">
              <w:rPr>
                <w:color w:val="000000"/>
                <w:sz w:val="28"/>
                <w:szCs w:val="28"/>
                <w:lang w:eastAsia="lv-LV"/>
              </w:rPr>
              <w:t>12,72</w:t>
            </w:r>
          </w:p>
        </w:tc>
      </w:tr>
      <w:tr w:rsidR="004B43EF" w:rsidRPr="008E6485" w:rsidTr="004B43EF">
        <w:trPr>
          <w:trHeight w:val="37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4B43EF" w:rsidRPr="008E6485" w:rsidRDefault="004B43EF" w:rsidP="004B43EF">
            <w:pPr>
              <w:jc w:val="left"/>
              <w:rPr>
                <w:color w:val="000000"/>
                <w:sz w:val="28"/>
                <w:szCs w:val="28"/>
                <w:lang w:eastAsia="lv-LV"/>
              </w:rPr>
            </w:pPr>
            <w:r w:rsidRPr="008E6485">
              <w:rPr>
                <w:color w:val="000000"/>
                <w:sz w:val="28"/>
                <w:szCs w:val="28"/>
                <w:lang w:eastAsia="lv-LV"/>
              </w:rPr>
              <w:t>Izņemtais alkohols (</w:t>
            </w:r>
            <w:proofErr w:type="spellStart"/>
            <w:r w:rsidRPr="008E6485">
              <w:rPr>
                <w:color w:val="000000"/>
                <w:sz w:val="28"/>
                <w:szCs w:val="28"/>
                <w:lang w:eastAsia="lv-LV"/>
              </w:rPr>
              <w:t>tūkst</w:t>
            </w:r>
            <w:proofErr w:type="spellEnd"/>
            <w:r w:rsidRPr="008E6485">
              <w:rPr>
                <w:color w:val="000000"/>
                <w:sz w:val="28"/>
                <w:szCs w:val="28"/>
                <w:lang w:eastAsia="lv-LV"/>
              </w:rPr>
              <w:t>. litru)</w:t>
            </w:r>
          </w:p>
        </w:tc>
        <w:tc>
          <w:tcPr>
            <w:tcW w:w="1632" w:type="dxa"/>
            <w:tcBorders>
              <w:top w:val="nil"/>
              <w:left w:val="nil"/>
              <w:bottom w:val="single" w:sz="4" w:space="0" w:color="auto"/>
              <w:right w:val="single" w:sz="4" w:space="0" w:color="auto"/>
            </w:tcBorders>
            <w:shd w:val="clear" w:color="auto" w:fill="auto"/>
            <w:noWrap/>
            <w:vAlign w:val="bottom"/>
            <w:hideMark/>
          </w:tcPr>
          <w:p w:rsidR="004B43EF" w:rsidRPr="008E6485" w:rsidRDefault="004B43EF" w:rsidP="004B43EF">
            <w:pPr>
              <w:jc w:val="left"/>
              <w:rPr>
                <w:color w:val="000000"/>
                <w:sz w:val="28"/>
                <w:szCs w:val="28"/>
                <w:lang w:eastAsia="lv-LV"/>
              </w:rPr>
            </w:pPr>
            <w:r>
              <w:rPr>
                <w:color w:val="000000"/>
                <w:sz w:val="28"/>
                <w:szCs w:val="28"/>
                <w:lang w:eastAsia="lv-LV"/>
              </w:rPr>
              <w:t>0,75</w:t>
            </w:r>
          </w:p>
        </w:tc>
        <w:tc>
          <w:tcPr>
            <w:tcW w:w="1552" w:type="dxa"/>
            <w:tcBorders>
              <w:top w:val="nil"/>
              <w:left w:val="nil"/>
              <w:bottom w:val="single" w:sz="4" w:space="0" w:color="auto"/>
              <w:right w:val="single" w:sz="4" w:space="0" w:color="auto"/>
            </w:tcBorders>
            <w:shd w:val="clear" w:color="auto" w:fill="auto"/>
            <w:noWrap/>
            <w:vAlign w:val="bottom"/>
            <w:hideMark/>
          </w:tcPr>
          <w:p w:rsidR="004B43EF" w:rsidRPr="008E6485" w:rsidRDefault="004B43EF" w:rsidP="004B43EF">
            <w:pPr>
              <w:jc w:val="left"/>
              <w:rPr>
                <w:color w:val="000000"/>
                <w:sz w:val="28"/>
                <w:szCs w:val="28"/>
                <w:lang w:eastAsia="lv-LV"/>
              </w:rPr>
            </w:pPr>
            <w:r w:rsidRPr="008E6485">
              <w:rPr>
                <w:color w:val="000000"/>
                <w:sz w:val="28"/>
                <w:szCs w:val="28"/>
                <w:lang w:eastAsia="lv-LV"/>
              </w:rPr>
              <w:t>0,6</w:t>
            </w:r>
          </w:p>
        </w:tc>
        <w:tc>
          <w:tcPr>
            <w:tcW w:w="992" w:type="dxa"/>
            <w:tcBorders>
              <w:top w:val="nil"/>
              <w:left w:val="nil"/>
              <w:bottom w:val="single" w:sz="4" w:space="0" w:color="auto"/>
              <w:right w:val="single" w:sz="4" w:space="0" w:color="auto"/>
            </w:tcBorders>
            <w:shd w:val="clear" w:color="auto" w:fill="auto"/>
            <w:noWrap/>
            <w:vAlign w:val="bottom"/>
            <w:hideMark/>
          </w:tcPr>
          <w:p w:rsidR="004B43EF" w:rsidRPr="008E6485" w:rsidRDefault="004B43EF" w:rsidP="004B43EF">
            <w:pPr>
              <w:jc w:val="left"/>
              <w:rPr>
                <w:color w:val="000000"/>
                <w:sz w:val="28"/>
                <w:szCs w:val="28"/>
                <w:lang w:eastAsia="lv-LV"/>
              </w:rPr>
            </w:pPr>
            <w:r>
              <w:rPr>
                <w:color w:val="000000"/>
                <w:sz w:val="28"/>
                <w:szCs w:val="28"/>
                <w:lang w:eastAsia="lv-LV"/>
              </w:rPr>
              <w:t>88,01</w:t>
            </w:r>
          </w:p>
        </w:tc>
      </w:tr>
      <w:tr w:rsidR="004B43EF" w:rsidRPr="008E6485" w:rsidTr="004B43EF">
        <w:trPr>
          <w:trHeight w:val="37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4B43EF" w:rsidRPr="008E6485" w:rsidRDefault="004B43EF" w:rsidP="004B43EF">
            <w:pPr>
              <w:jc w:val="left"/>
              <w:rPr>
                <w:color w:val="000000"/>
                <w:sz w:val="28"/>
                <w:szCs w:val="28"/>
                <w:lang w:eastAsia="lv-LV"/>
              </w:rPr>
            </w:pPr>
            <w:r w:rsidRPr="008E6485">
              <w:rPr>
                <w:color w:val="000000"/>
                <w:sz w:val="28"/>
                <w:szCs w:val="28"/>
                <w:lang w:eastAsia="lv-LV"/>
              </w:rPr>
              <w:t>Izņemtā degviela (</w:t>
            </w:r>
            <w:proofErr w:type="spellStart"/>
            <w:r w:rsidRPr="008E6485">
              <w:rPr>
                <w:color w:val="000000"/>
                <w:sz w:val="28"/>
                <w:szCs w:val="28"/>
                <w:lang w:eastAsia="lv-LV"/>
              </w:rPr>
              <w:t>tūkst</w:t>
            </w:r>
            <w:proofErr w:type="spellEnd"/>
            <w:r w:rsidRPr="008E6485">
              <w:rPr>
                <w:color w:val="000000"/>
                <w:sz w:val="28"/>
                <w:szCs w:val="28"/>
                <w:lang w:eastAsia="lv-LV"/>
              </w:rPr>
              <w:t>. litru)</w:t>
            </w:r>
          </w:p>
        </w:tc>
        <w:tc>
          <w:tcPr>
            <w:tcW w:w="1632" w:type="dxa"/>
            <w:tcBorders>
              <w:top w:val="nil"/>
              <w:left w:val="nil"/>
              <w:bottom w:val="single" w:sz="4" w:space="0" w:color="auto"/>
              <w:right w:val="single" w:sz="4" w:space="0" w:color="auto"/>
            </w:tcBorders>
            <w:shd w:val="clear" w:color="auto" w:fill="auto"/>
            <w:noWrap/>
            <w:vAlign w:val="bottom"/>
            <w:hideMark/>
          </w:tcPr>
          <w:p w:rsidR="004B43EF" w:rsidRPr="008E6485" w:rsidRDefault="004B43EF" w:rsidP="004B43EF">
            <w:pPr>
              <w:jc w:val="left"/>
              <w:rPr>
                <w:color w:val="000000"/>
                <w:sz w:val="28"/>
                <w:szCs w:val="28"/>
                <w:lang w:eastAsia="lv-LV"/>
              </w:rPr>
            </w:pPr>
            <w:r>
              <w:rPr>
                <w:color w:val="000000"/>
                <w:sz w:val="28"/>
                <w:szCs w:val="28"/>
                <w:lang w:eastAsia="lv-LV"/>
              </w:rPr>
              <w:t>27,01</w:t>
            </w:r>
          </w:p>
        </w:tc>
        <w:tc>
          <w:tcPr>
            <w:tcW w:w="1552" w:type="dxa"/>
            <w:tcBorders>
              <w:top w:val="nil"/>
              <w:left w:val="nil"/>
              <w:bottom w:val="single" w:sz="4" w:space="0" w:color="auto"/>
              <w:right w:val="single" w:sz="4" w:space="0" w:color="auto"/>
            </w:tcBorders>
            <w:shd w:val="clear" w:color="auto" w:fill="auto"/>
            <w:noWrap/>
            <w:vAlign w:val="bottom"/>
            <w:hideMark/>
          </w:tcPr>
          <w:p w:rsidR="004B43EF" w:rsidRPr="008E6485" w:rsidRDefault="004B43EF" w:rsidP="004B43EF">
            <w:pPr>
              <w:jc w:val="left"/>
              <w:rPr>
                <w:color w:val="000000"/>
                <w:sz w:val="28"/>
                <w:szCs w:val="28"/>
                <w:lang w:eastAsia="lv-LV"/>
              </w:rPr>
            </w:pPr>
            <w:r w:rsidRPr="008E6485">
              <w:rPr>
                <w:color w:val="000000"/>
                <w:sz w:val="28"/>
                <w:szCs w:val="28"/>
                <w:lang w:eastAsia="lv-LV"/>
              </w:rPr>
              <w:t>1,1</w:t>
            </w:r>
          </w:p>
        </w:tc>
        <w:tc>
          <w:tcPr>
            <w:tcW w:w="992" w:type="dxa"/>
            <w:tcBorders>
              <w:top w:val="nil"/>
              <w:left w:val="nil"/>
              <w:bottom w:val="single" w:sz="4" w:space="0" w:color="auto"/>
              <w:right w:val="single" w:sz="4" w:space="0" w:color="auto"/>
            </w:tcBorders>
            <w:shd w:val="clear" w:color="auto" w:fill="auto"/>
            <w:noWrap/>
            <w:vAlign w:val="bottom"/>
            <w:hideMark/>
          </w:tcPr>
          <w:p w:rsidR="004B43EF" w:rsidRPr="008E6485" w:rsidRDefault="004B43EF" w:rsidP="004B43EF">
            <w:pPr>
              <w:jc w:val="left"/>
              <w:rPr>
                <w:color w:val="000000"/>
                <w:sz w:val="28"/>
                <w:szCs w:val="28"/>
                <w:lang w:eastAsia="lv-LV"/>
              </w:rPr>
            </w:pPr>
            <w:r>
              <w:rPr>
                <w:color w:val="000000"/>
                <w:sz w:val="28"/>
                <w:szCs w:val="28"/>
                <w:lang w:eastAsia="lv-LV"/>
              </w:rPr>
              <w:t>187,38</w:t>
            </w:r>
          </w:p>
        </w:tc>
      </w:tr>
      <w:tr w:rsidR="004B43EF" w:rsidRPr="008E6485" w:rsidTr="004B43EF">
        <w:trPr>
          <w:trHeight w:val="37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4B43EF" w:rsidRPr="008E6485" w:rsidRDefault="004B43EF" w:rsidP="004B43EF">
            <w:pPr>
              <w:jc w:val="left"/>
              <w:rPr>
                <w:color w:val="000000"/>
                <w:sz w:val="28"/>
                <w:szCs w:val="28"/>
                <w:lang w:eastAsia="lv-LV"/>
              </w:rPr>
            </w:pPr>
            <w:r w:rsidRPr="008E6485">
              <w:rPr>
                <w:color w:val="000000"/>
                <w:sz w:val="28"/>
                <w:szCs w:val="28"/>
                <w:lang w:eastAsia="lv-LV"/>
              </w:rPr>
              <w:t>Novērstie zaudējumi (</w:t>
            </w:r>
            <w:proofErr w:type="spellStart"/>
            <w:r w:rsidRPr="008E6485">
              <w:rPr>
                <w:color w:val="000000"/>
                <w:sz w:val="28"/>
                <w:szCs w:val="28"/>
                <w:lang w:eastAsia="lv-LV"/>
              </w:rPr>
              <w:t>milj</w:t>
            </w:r>
            <w:proofErr w:type="spellEnd"/>
            <w:r w:rsidRPr="008E6485">
              <w:rPr>
                <w:color w:val="000000"/>
                <w:sz w:val="28"/>
                <w:szCs w:val="28"/>
                <w:lang w:eastAsia="lv-LV"/>
              </w:rPr>
              <w:t>. latu)</w:t>
            </w:r>
          </w:p>
        </w:tc>
        <w:tc>
          <w:tcPr>
            <w:tcW w:w="1632" w:type="dxa"/>
            <w:tcBorders>
              <w:top w:val="nil"/>
              <w:left w:val="nil"/>
              <w:bottom w:val="single" w:sz="4" w:space="0" w:color="auto"/>
              <w:right w:val="single" w:sz="4" w:space="0" w:color="auto"/>
            </w:tcBorders>
            <w:shd w:val="clear" w:color="auto" w:fill="auto"/>
            <w:noWrap/>
            <w:vAlign w:val="bottom"/>
            <w:hideMark/>
          </w:tcPr>
          <w:p w:rsidR="004B43EF" w:rsidRPr="008E6485" w:rsidRDefault="004B43EF" w:rsidP="004B43EF">
            <w:pPr>
              <w:jc w:val="left"/>
              <w:rPr>
                <w:color w:val="000000"/>
                <w:sz w:val="28"/>
                <w:szCs w:val="28"/>
                <w:lang w:eastAsia="lv-LV"/>
              </w:rPr>
            </w:pPr>
            <w:r>
              <w:rPr>
                <w:color w:val="000000"/>
                <w:sz w:val="28"/>
                <w:szCs w:val="28"/>
                <w:lang w:eastAsia="lv-LV"/>
              </w:rPr>
              <w:t>6</w:t>
            </w:r>
            <w:r w:rsidR="00823EB9">
              <w:rPr>
                <w:color w:val="000000"/>
                <w:sz w:val="28"/>
                <w:szCs w:val="28"/>
                <w:lang w:eastAsia="lv-LV"/>
              </w:rPr>
              <w:t>,</w:t>
            </w:r>
            <w:r>
              <w:rPr>
                <w:color w:val="000000"/>
                <w:sz w:val="28"/>
                <w:szCs w:val="28"/>
                <w:lang w:eastAsia="lv-LV"/>
              </w:rPr>
              <w:t>42</w:t>
            </w:r>
          </w:p>
        </w:tc>
        <w:tc>
          <w:tcPr>
            <w:tcW w:w="1552" w:type="dxa"/>
            <w:tcBorders>
              <w:top w:val="nil"/>
              <w:left w:val="nil"/>
              <w:bottom w:val="single" w:sz="4" w:space="0" w:color="auto"/>
              <w:right w:val="single" w:sz="4" w:space="0" w:color="auto"/>
            </w:tcBorders>
            <w:shd w:val="clear" w:color="auto" w:fill="auto"/>
            <w:noWrap/>
            <w:vAlign w:val="bottom"/>
            <w:hideMark/>
          </w:tcPr>
          <w:p w:rsidR="004B43EF" w:rsidRPr="008E6485" w:rsidRDefault="004B43EF" w:rsidP="004B43EF">
            <w:pPr>
              <w:jc w:val="left"/>
              <w:rPr>
                <w:color w:val="000000"/>
                <w:sz w:val="28"/>
                <w:szCs w:val="28"/>
                <w:lang w:eastAsia="lv-LV"/>
              </w:rPr>
            </w:pPr>
            <w:r w:rsidRPr="008E6485">
              <w:rPr>
                <w:color w:val="000000"/>
                <w:sz w:val="28"/>
                <w:szCs w:val="28"/>
                <w:lang w:eastAsia="lv-LV"/>
              </w:rPr>
              <w:t>0,4</w:t>
            </w:r>
            <w:r>
              <w:rPr>
                <w:color w:val="000000"/>
                <w:sz w:val="28"/>
                <w:szCs w:val="28"/>
                <w:lang w:eastAsia="lv-LV"/>
              </w:rPr>
              <w:t>7</w:t>
            </w:r>
          </w:p>
        </w:tc>
        <w:tc>
          <w:tcPr>
            <w:tcW w:w="992" w:type="dxa"/>
            <w:tcBorders>
              <w:top w:val="nil"/>
              <w:left w:val="nil"/>
              <w:bottom w:val="single" w:sz="4" w:space="0" w:color="auto"/>
              <w:right w:val="single" w:sz="4" w:space="0" w:color="auto"/>
            </w:tcBorders>
            <w:shd w:val="clear" w:color="auto" w:fill="auto"/>
            <w:noWrap/>
            <w:vAlign w:val="bottom"/>
            <w:hideMark/>
          </w:tcPr>
          <w:p w:rsidR="004B43EF" w:rsidRPr="008E6485" w:rsidRDefault="004B43EF" w:rsidP="004B43EF">
            <w:pPr>
              <w:jc w:val="left"/>
              <w:rPr>
                <w:color w:val="000000"/>
                <w:sz w:val="28"/>
                <w:szCs w:val="28"/>
                <w:lang w:eastAsia="lv-LV"/>
              </w:rPr>
            </w:pPr>
            <w:r>
              <w:rPr>
                <w:color w:val="000000"/>
                <w:sz w:val="28"/>
                <w:szCs w:val="28"/>
                <w:lang w:eastAsia="lv-LV"/>
              </w:rPr>
              <w:t>1,75</w:t>
            </w:r>
          </w:p>
        </w:tc>
      </w:tr>
    </w:tbl>
    <w:p w:rsidR="00937EB8" w:rsidRPr="008E6485" w:rsidRDefault="00937EB8" w:rsidP="00937EB8">
      <w:pPr>
        <w:tabs>
          <w:tab w:val="left" w:pos="0"/>
        </w:tabs>
        <w:jc w:val="center"/>
        <w:rPr>
          <w:sz w:val="28"/>
          <w:szCs w:val="28"/>
        </w:rPr>
      </w:pPr>
    </w:p>
    <w:p w:rsidR="00937EB8" w:rsidRPr="008E6485" w:rsidRDefault="00937EB8" w:rsidP="0012309F">
      <w:pPr>
        <w:tabs>
          <w:tab w:val="left" w:pos="0"/>
        </w:tabs>
        <w:ind w:firstLine="720"/>
        <w:rPr>
          <w:sz w:val="28"/>
          <w:szCs w:val="28"/>
        </w:rPr>
      </w:pPr>
      <w:r w:rsidRPr="008E6485">
        <w:rPr>
          <w:sz w:val="28"/>
          <w:szCs w:val="28"/>
        </w:rPr>
        <w:t xml:space="preserve">Par likumpārkāpumiem akcīzes preču apritē TAI kopā ir uzsākušas </w:t>
      </w:r>
      <w:r w:rsidR="00B65898">
        <w:rPr>
          <w:sz w:val="28"/>
          <w:szCs w:val="28"/>
        </w:rPr>
        <w:t>351</w:t>
      </w:r>
      <w:r w:rsidR="00B65898" w:rsidRPr="008E6485">
        <w:rPr>
          <w:bCs/>
          <w:sz w:val="28"/>
          <w:szCs w:val="28"/>
        </w:rPr>
        <w:t> </w:t>
      </w:r>
      <w:r w:rsidRPr="008E6485">
        <w:rPr>
          <w:sz w:val="28"/>
          <w:szCs w:val="28"/>
        </w:rPr>
        <w:t xml:space="preserve">kriminālprocesu un sastādījušas </w:t>
      </w:r>
      <w:r w:rsidR="00B65898">
        <w:rPr>
          <w:sz w:val="28"/>
          <w:szCs w:val="28"/>
        </w:rPr>
        <w:t>253</w:t>
      </w:r>
      <w:r w:rsidR="00F30D27">
        <w:rPr>
          <w:sz w:val="28"/>
          <w:szCs w:val="28"/>
        </w:rPr>
        <w:t>6</w:t>
      </w:r>
      <w:r w:rsidR="00B65898" w:rsidRPr="008E6485">
        <w:rPr>
          <w:bCs/>
          <w:sz w:val="28"/>
          <w:szCs w:val="28"/>
        </w:rPr>
        <w:t xml:space="preserve"> </w:t>
      </w:r>
      <w:r w:rsidRPr="008E6485">
        <w:rPr>
          <w:sz w:val="28"/>
          <w:szCs w:val="28"/>
        </w:rPr>
        <w:t xml:space="preserve">administratīvo pārkāpumu protokolus. </w:t>
      </w:r>
    </w:p>
    <w:p w:rsidR="00937EB8" w:rsidRPr="008E6485" w:rsidRDefault="00937EB8" w:rsidP="00937EB8">
      <w:pPr>
        <w:rPr>
          <w:sz w:val="28"/>
          <w:szCs w:val="28"/>
        </w:rPr>
      </w:pPr>
      <w:r w:rsidRPr="008E6485">
        <w:rPr>
          <w:sz w:val="28"/>
          <w:szCs w:val="28"/>
        </w:rPr>
        <w:tab/>
        <w:t xml:space="preserve">No nelikumīgas aprites ir izņemti </w:t>
      </w:r>
      <w:r w:rsidR="00B65898">
        <w:rPr>
          <w:sz w:val="28"/>
          <w:szCs w:val="28"/>
        </w:rPr>
        <w:t>77,73</w:t>
      </w:r>
      <w:r w:rsidRPr="008E6485">
        <w:rPr>
          <w:sz w:val="28"/>
          <w:szCs w:val="28"/>
        </w:rPr>
        <w:t xml:space="preserve"> </w:t>
      </w:r>
      <w:proofErr w:type="spellStart"/>
      <w:r w:rsidRPr="008E6485">
        <w:rPr>
          <w:sz w:val="28"/>
          <w:szCs w:val="28"/>
        </w:rPr>
        <w:t>milj</w:t>
      </w:r>
      <w:proofErr w:type="spellEnd"/>
      <w:r w:rsidRPr="008E6485">
        <w:rPr>
          <w:sz w:val="28"/>
          <w:szCs w:val="28"/>
        </w:rPr>
        <w:t xml:space="preserve">. </w:t>
      </w:r>
      <w:proofErr w:type="spellStart"/>
      <w:r w:rsidRPr="008E6485">
        <w:rPr>
          <w:sz w:val="28"/>
          <w:szCs w:val="28"/>
        </w:rPr>
        <w:t>gab</w:t>
      </w:r>
      <w:proofErr w:type="spellEnd"/>
      <w:r w:rsidR="0068378E" w:rsidRPr="008E6485">
        <w:rPr>
          <w:sz w:val="28"/>
          <w:szCs w:val="28"/>
        </w:rPr>
        <w:t>.</w:t>
      </w:r>
      <w:r w:rsidRPr="008E6485">
        <w:rPr>
          <w:sz w:val="28"/>
          <w:szCs w:val="28"/>
        </w:rPr>
        <w:t xml:space="preserve"> cigarešu,</w:t>
      </w:r>
      <w:r w:rsidR="004D11E2" w:rsidRPr="008E6485">
        <w:rPr>
          <w:sz w:val="28"/>
          <w:szCs w:val="28"/>
        </w:rPr>
        <w:t xml:space="preserve"> </w:t>
      </w:r>
      <w:r w:rsidR="00B65898">
        <w:rPr>
          <w:sz w:val="28"/>
          <w:szCs w:val="28"/>
        </w:rPr>
        <w:t>89,36</w:t>
      </w:r>
      <w:r w:rsidR="0068378E" w:rsidRPr="008E6485">
        <w:rPr>
          <w:sz w:val="28"/>
          <w:szCs w:val="28"/>
        </w:rPr>
        <w:t> </w:t>
      </w:r>
      <w:r w:rsidRPr="008E6485">
        <w:rPr>
          <w:sz w:val="28"/>
          <w:szCs w:val="28"/>
        </w:rPr>
        <w:t>tūkst.</w:t>
      </w:r>
      <w:r w:rsidR="0068378E" w:rsidRPr="008E6485">
        <w:rPr>
          <w:sz w:val="28"/>
          <w:szCs w:val="28"/>
        </w:rPr>
        <w:t> </w:t>
      </w:r>
      <w:r w:rsidRPr="008E6485">
        <w:rPr>
          <w:sz w:val="28"/>
          <w:szCs w:val="28"/>
        </w:rPr>
        <w:t xml:space="preserve">litru alkohola un </w:t>
      </w:r>
      <w:r w:rsidR="00B65898">
        <w:rPr>
          <w:sz w:val="28"/>
          <w:szCs w:val="28"/>
        </w:rPr>
        <w:t>215</w:t>
      </w:r>
      <w:r w:rsidR="00B65898" w:rsidRPr="008E6485">
        <w:rPr>
          <w:sz w:val="28"/>
          <w:szCs w:val="28"/>
        </w:rPr>
        <w:t xml:space="preserve"> </w:t>
      </w:r>
      <w:proofErr w:type="spellStart"/>
      <w:r w:rsidRPr="008E6485">
        <w:rPr>
          <w:sz w:val="28"/>
          <w:szCs w:val="28"/>
        </w:rPr>
        <w:t>tūkst</w:t>
      </w:r>
      <w:proofErr w:type="spellEnd"/>
      <w:r w:rsidRPr="008E6485">
        <w:rPr>
          <w:sz w:val="28"/>
          <w:szCs w:val="28"/>
        </w:rPr>
        <w:t>. litru degvielas.</w:t>
      </w:r>
    </w:p>
    <w:p w:rsidR="00937EB8" w:rsidRPr="008E6485" w:rsidRDefault="00937EB8" w:rsidP="00937EB8">
      <w:pPr>
        <w:tabs>
          <w:tab w:val="left" w:pos="0"/>
        </w:tabs>
        <w:rPr>
          <w:sz w:val="28"/>
          <w:szCs w:val="28"/>
        </w:rPr>
      </w:pPr>
      <w:r w:rsidRPr="008E6485">
        <w:rPr>
          <w:sz w:val="28"/>
          <w:szCs w:val="28"/>
        </w:rPr>
        <w:tab/>
        <w:t>Kopējā novērsto zaudējumu summa</w:t>
      </w:r>
      <w:r w:rsidR="004D11E2" w:rsidRPr="008E6485">
        <w:rPr>
          <w:sz w:val="28"/>
          <w:szCs w:val="28"/>
        </w:rPr>
        <w:t xml:space="preserve"> – </w:t>
      </w:r>
      <w:r w:rsidR="00B65898">
        <w:rPr>
          <w:sz w:val="28"/>
          <w:szCs w:val="28"/>
        </w:rPr>
        <w:t>8,</w:t>
      </w:r>
      <w:r w:rsidR="0099445E">
        <w:rPr>
          <w:sz w:val="28"/>
          <w:szCs w:val="28"/>
        </w:rPr>
        <w:t>64</w:t>
      </w:r>
      <w:r w:rsidRPr="008E6485">
        <w:rPr>
          <w:sz w:val="28"/>
          <w:szCs w:val="28"/>
        </w:rPr>
        <w:t xml:space="preserve"> </w:t>
      </w:r>
      <w:proofErr w:type="spellStart"/>
      <w:r w:rsidRPr="008E6485">
        <w:rPr>
          <w:sz w:val="28"/>
          <w:szCs w:val="28"/>
        </w:rPr>
        <w:t>milj</w:t>
      </w:r>
      <w:proofErr w:type="spellEnd"/>
      <w:r w:rsidRPr="008E6485">
        <w:rPr>
          <w:sz w:val="28"/>
          <w:szCs w:val="28"/>
        </w:rPr>
        <w:t>.</w:t>
      </w:r>
      <w:r w:rsidR="0068378E" w:rsidRPr="008E6485">
        <w:rPr>
          <w:sz w:val="28"/>
          <w:szCs w:val="28"/>
        </w:rPr>
        <w:t xml:space="preserve"> latu</w:t>
      </w:r>
      <w:r w:rsidRPr="008E6485">
        <w:rPr>
          <w:sz w:val="28"/>
          <w:szCs w:val="28"/>
        </w:rPr>
        <w:t xml:space="preserve">, no kuriem </w:t>
      </w:r>
      <w:r w:rsidR="00B65898">
        <w:rPr>
          <w:sz w:val="28"/>
          <w:szCs w:val="28"/>
        </w:rPr>
        <w:t>8</w:t>
      </w:r>
      <w:r w:rsidR="00B65898" w:rsidRPr="008E6485">
        <w:rPr>
          <w:sz w:val="28"/>
          <w:szCs w:val="28"/>
        </w:rPr>
        <w:t xml:space="preserve"> </w:t>
      </w:r>
      <w:proofErr w:type="spellStart"/>
      <w:r w:rsidRPr="008E6485">
        <w:rPr>
          <w:sz w:val="28"/>
          <w:szCs w:val="28"/>
        </w:rPr>
        <w:t>milj</w:t>
      </w:r>
      <w:proofErr w:type="spellEnd"/>
      <w:r w:rsidRPr="008E6485">
        <w:rPr>
          <w:sz w:val="28"/>
          <w:szCs w:val="28"/>
        </w:rPr>
        <w:t xml:space="preserve">. </w:t>
      </w:r>
      <w:r w:rsidR="0068378E" w:rsidRPr="008E6485">
        <w:rPr>
          <w:sz w:val="28"/>
          <w:szCs w:val="28"/>
        </w:rPr>
        <w:t xml:space="preserve">latu </w:t>
      </w:r>
      <w:r w:rsidRPr="008E6485">
        <w:rPr>
          <w:sz w:val="28"/>
          <w:szCs w:val="28"/>
        </w:rPr>
        <w:t>jeb 9</w:t>
      </w:r>
      <w:r w:rsidR="00B65898">
        <w:rPr>
          <w:sz w:val="28"/>
          <w:szCs w:val="28"/>
        </w:rPr>
        <w:t>4</w:t>
      </w:r>
      <w:r w:rsidR="0099445E">
        <w:rPr>
          <w:sz w:val="28"/>
          <w:szCs w:val="28"/>
        </w:rPr>
        <w:t>,6</w:t>
      </w:r>
      <w:r w:rsidRPr="008E6485">
        <w:rPr>
          <w:sz w:val="28"/>
          <w:szCs w:val="28"/>
        </w:rPr>
        <w:t>%</w:t>
      </w:r>
      <w:r w:rsidR="0068378E" w:rsidRPr="008E6485">
        <w:rPr>
          <w:sz w:val="28"/>
          <w:szCs w:val="28"/>
        </w:rPr>
        <w:t xml:space="preserve"> – </w:t>
      </w:r>
      <w:r w:rsidRPr="008E6485">
        <w:rPr>
          <w:sz w:val="28"/>
          <w:szCs w:val="28"/>
        </w:rPr>
        <w:t>par likumpārkāpumiem saistībā ar tabakas izstrādājumu apriti.</w:t>
      </w:r>
    </w:p>
    <w:p w:rsidR="00EB381B" w:rsidRPr="008E6485" w:rsidRDefault="00EB381B" w:rsidP="00937EB8">
      <w:pPr>
        <w:tabs>
          <w:tab w:val="left" w:pos="0"/>
        </w:tabs>
        <w:rPr>
          <w:sz w:val="28"/>
          <w:szCs w:val="28"/>
        </w:rPr>
      </w:pPr>
    </w:p>
    <w:p w:rsidR="00EB381B" w:rsidRPr="008E6485" w:rsidRDefault="00EB381B" w:rsidP="00937EB8">
      <w:pPr>
        <w:tabs>
          <w:tab w:val="left" w:pos="0"/>
        </w:tabs>
        <w:rPr>
          <w:sz w:val="28"/>
          <w:szCs w:val="28"/>
        </w:rPr>
      </w:pPr>
    </w:p>
    <w:p w:rsidR="00937EB8" w:rsidRPr="008E6485" w:rsidRDefault="00C56271" w:rsidP="00D61B5D">
      <w:pPr>
        <w:rPr>
          <w:sz w:val="26"/>
          <w:szCs w:val="26"/>
        </w:rPr>
      </w:pPr>
      <w:r w:rsidRPr="008E6485">
        <w:rPr>
          <w:sz w:val="28"/>
          <w:szCs w:val="28"/>
        </w:rPr>
        <w:t xml:space="preserve">Finanšu </w:t>
      </w:r>
      <w:r w:rsidR="00937EB8" w:rsidRPr="008E6485">
        <w:rPr>
          <w:sz w:val="28"/>
          <w:szCs w:val="28"/>
        </w:rPr>
        <w:t>ministr</w:t>
      </w:r>
      <w:r w:rsidRPr="008E6485">
        <w:rPr>
          <w:sz w:val="28"/>
          <w:szCs w:val="28"/>
        </w:rPr>
        <w:t>s</w:t>
      </w:r>
      <w:r w:rsidR="00937EB8" w:rsidRPr="008E6485">
        <w:rPr>
          <w:sz w:val="28"/>
          <w:szCs w:val="28"/>
        </w:rPr>
        <w:t xml:space="preserve">                                               </w:t>
      </w:r>
      <w:r w:rsidR="00B1293D" w:rsidRPr="008E6485">
        <w:rPr>
          <w:sz w:val="28"/>
          <w:szCs w:val="28"/>
        </w:rPr>
        <w:tab/>
      </w:r>
      <w:r w:rsidR="00B1293D" w:rsidRPr="008E6485">
        <w:rPr>
          <w:sz w:val="28"/>
          <w:szCs w:val="28"/>
        </w:rPr>
        <w:tab/>
      </w:r>
      <w:r w:rsidR="00937EB8" w:rsidRPr="008E6485">
        <w:rPr>
          <w:sz w:val="28"/>
          <w:szCs w:val="28"/>
        </w:rPr>
        <w:t xml:space="preserve">      </w:t>
      </w:r>
      <w:r w:rsidRPr="008E6485">
        <w:rPr>
          <w:sz w:val="28"/>
          <w:szCs w:val="28"/>
        </w:rPr>
        <w:t>A.Vilks</w:t>
      </w:r>
    </w:p>
    <w:p w:rsidR="00937EB8" w:rsidRPr="008E6485" w:rsidRDefault="00937EB8" w:rsidP="00937EB8">
      <w:pPr>
        <w:rPr>
          <w:szCs w:val="24"/>
        </w:rPr>
      </w:pPr>
    </w:p>
    <w:p w:rsidR="00937EB8" w:rsidRPr="008E6485" w:rsidRDefault="00937EB8" w:rsidP="00937EB8">
      <w:pPr>
        <w:rPr>
          <w:szCs w:val="24"/>
        </w:rPr>
      </w:pPr>
    </w:p>
    <w:p w:rsidR="00937EB8" w:rsidRPr="00D61B5D" w:rsidRDefault="0068378E" w:rsidP="00937EB8">
      <w:pPr>
        <w:rPr>
          <w:szCs w:val="24"/>
        </w:rPr>
      </w:pPr>
      <w:r w:rsidRPr="00D61B5D">
        <w:rPr>
          <w:szCs w:val="24"/>
        </w:rPr>
        <w:t>2</w:t>
      </w:r>
      <w:r w:rsidR="00823EB9" w:rsidRPr="00D61B5D">
        <w:rPr>
          <w:szCs w:val="24"/>
        </w:rPr>
        <w:t>1</w:t>
      </w:r>
      <w:r w:rsidRPr="00D61B5D">
        <w:rPr>
          <w:szCs w:val="24"/>
        </w:rPr>
        <w:t>.0</w:t>
      </w:r>
      <w:r w:rsidR="001F7115" w:rsidRPr="00D61B5D">
        <w:rPr>
          <w:szCs w:val="24"/>
        </w:rPr>
        <w:t>8</w:t>
      </w:r>
      <w:r w:rsidRPr="00D61B5D">
        <w:rPr>
          <w:szCs w:val="24"/>
        </w:rPr>
        <w:t>.</w:t>
      </w:r>
      <w:r w:rsidR="00B1293D" w:rsidRPr="00D61B5D">
        <w:rPr>
          <w:szCs w:val="24"/>
        </w:rPr>
        <w:t xml:space="preserve">2012. </w:t>
      </w:r>
      <w:r w:rsidRPr="00D61B5D">
        <w:rPr>
          <w:szCs w:val="24"/>
        </w:rPr>
        <w:t>1</w:t>
      </w:r>
      <w:r w:rsidR="001F7115" w:rsidRPr="00D61B5D">
        <w:rPr>
          <w:szCs w:val="24"/>
        </w:rPr>
        <w:t>6</w:t>
      </w:r>
      <w:r w:rsidR="008C502E" w:rsidRPr="00D61B5D">
        <w:rPr>
          <w:szCs w:val="24"/>
        </w:rPr>
        <w:t>.</w:t>
      </w:r>
      <w:r w:rsidR="00AA7065">
        <w:rPr>
          <w:szCs w:val="24"/>
        </w:rPr>
        <w:t>43</w:t>
      </w:r>
    </w:p>
    <w:p w:rsidR="003B72DC" w:rsidRPr="00D61B5D" w:rsidRDefault="001F7115" w:rsidP="00937EB8">
      <w:pPr>
        <w:rPr>
          <w:szCs w:val="24"/>
        </w:rPr>
      </w:pPr>
      <w:r w:rsidRPr="00D61B5D">
        <w:rPr>
          <w:szCs w:val="24"/>
        </w:rPr>
        <w:t>15</w:t>
      </w:r>
      <w:r w:rsidR="00504CAD">
        <w:rPr>
          <w:szCs w:val="24"/>
        </w:rPr>
        <w:t>2</w:t>
      </w:r>
      <w:r w:rsidR="00823EB9" w:rsidRPr="00D61B5D">
        <w:rPr>
          <w:szCs w:val="24"/>
        </w:rPr>
        <w:t>0</w:t>
      </w:r>
      <w:r w:rsidRPr="00D61B5D">
        <w:rPr>
          <w:szCs w:val="24"/>
        </w:rPr>
        <w:t xml:space="preserve"> </w:t>
      </w:r>
    </w:p>
    <w:p w:rsidR="00B1293D" w:rsidRPr="00D61B5D" w:rsidRDefault="00DA4ED4" w:rsidP="00937EB8">
      <w:pPr>
        <w:rPr>
          <w:szCs w:val="24"/>
        </w:rPr>
      </w:pPr>
      <w:r w:rsidRPr="00D61B5D">
        <w:rPr>
          <w:szCs w:val="24"/>
        </w:rPr>
        <w:t>G.Bērziņš</w:t>
      </w:r>
    </w:p>
    <w:p w:rsidR="00AD3513" w:rsidRPr="00D61B5D" w:rsidRDefault="00937EB8">
      <w:pPr>
        <w:rPr>
          <w:szCs w:val="24"/>
        </w:rPr>
      </w:pPr>
      <w:r w:rsidRPr="00D61B5D">
        <w:rPr>
          <w:szCs w:val="24"/>
        </w:rPr>
        <w:t>67357</w:t>
      </w:r>
      <w:r w:rsidR="00B1293D" w:rsidRPr="00D61B5D">
        <w:rPr>
          <w:szCs w:val="24"/>
        </w:rPr>
        <w:t xml:space="preserve">208, </w:t>
      </w:r>
      <w:hyperlink r:id="rId9" w:history="1">
        <w:r w:rsidR="00AC7488" w:rsidRPr="00D61B5D">
          <w:rPr>
            <w:rStyle w:val="Hyperlink"/>
            <w:szCs w:val="24"/>
          </w:rPr>
          <w:t>Guntis.Berzins@vid.gov.lv</w:t>
        </w:r>
      </w:hyperlink>
    </w:p>
    <w:sectPr w:rsidR="00AD3513" w:rsidRPr="00D61B5D" w:rsidSect="00B63A4A">
      <w:headerReference w:type="even" r:id="rId10"/>
      <w:headerReference w:type="default" r:id="rId11"/>
      <w:footerReference w:type="default" r:id="rId12"/>
      <w:footerReference w:type="first" r:id="rId13"/>
      <w:pgSz w:w="11907" w:h="16840" w:code="9"/>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E9B" w:rsidRDefault="00A24E9B" w:rsidP="00937EB8">
      <w:r>
        <w:separator/>
      </w:r>
    </w:p>
  </w:endnote>
  <w:endnote w:type="continuationSeparator" w:id="0">
    <w:p w:rsidR="00A24E9B" w:rsidRDefault="00A24E9B" w:rsidP="0093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3D" w:rsidRDefault="00EB381B" w:rsidP="00D61B5D">
    <w:pPr>
      <w:pStyle w:val="Footer"/>
    </w:pPr>
    <w:r w:rsidRPr="00570AD0">
      <w:rPr>
        <w:sz w:val="20"/>
      </w:rPr>
      <w:t>FMZino_2</w:t>
    </w:r>
    <w:r w:rsidR="00873178">
      <w:rPr>
        <w:sz w:val="20"/>
      </w:rPr>
      <w:t>1</w:t>
    </w:r>
    <w:r w:rsidRPr="00570AD0">
      <w:rPr>
        <w:sz w:val="20"/>
      </w:rPr>
      <w:t>0</w:t>
    </w:r>
    <w:r w:rsidR="001F7115">
      <w:rPr>
        <w:sz w:val="20"/>
      </w:rPr>
      <w:t>8</w:t>
    </w:r>
    <w:r w:rsidRPr="00570AD0">
      <w:rPr>
        <w:sz w:val="20"/>
      </w:rPr>
      <w:t>12_VIDkontr.doc.</w:t>
    </w:r>
    <w:r w:rsidR="00957F78">
      <w:rPr>
        <w:sz w:val="20"/>
      </w:rPr>
      <w:t>;</w:t>
    </w:r>
    <w:r w:rsidR="008C502E" w:rsidRPr="00570AD0">
      <w:rPr>
        <w:sz w:val="20"/>
      </w:rPr>
      <w:t>_Informatīvais</w:t>
    </w:r>
    <w:r w:rsidR="008C502E">
      <w:rPr>
        <w:sz w:val="20"/>
      </w:rPr>
      <w:t xml:space="preserve"> ziņojums p</w:t>
    </w:r>
    <w:r w:rsidRPr="00EB381B">
      <w:rPr>
        <w:sz w:val="20"/>
      </w:rPr>
      <w:t>ar tiesību aizsardzības iestāžu veiktajiem uzdevumiem un darba rezultātiem nelegālās akcīzes preču aprites apkarošanā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0D" w:rsidRPr="00EB381B" w:rsidRDefault="008C502E" w:rsidP="00EB381B">
    <w:pPr>
      <w:pStyle w:val="Footer"/>
    </w:pPr>
    <w:r w:rsidRPr="008C502E">
      <w:rPr>
        <w:sz w:val="20"/>
      </w:rPr>
      <w:t>FMZino_2</w:t>
    </w:r>
    <w:r w:rsidR="00873178">
      <w:rPr>
        <w:sz w:val="20"/>
      </w:rPr>
      <w:t>1</w:t>
    </w:r>
    <w:r w:rsidRPr="008C502E">
      <w:rPr>
        <w:sz w:val="20"/>
      </w:rPr>
      <w:t>0</w:t>
    </w:r>
    <w:r w:rsidR="007D4D2A">
      <w:rPr>
        <w:sz w:val="20"/>
      </w:rPr>
      <w:t>8</w:t>
    </w:r>
    <w:r w:rsidRPr="008C502E">
      <w:rPr>
        <w:sz w:val="20"/>
      </w:rPr>
      <w:t>12_VIDkontr.doc</w:t>
    </w:r>
    <w:r w:rsidR="00E77E10">
      <w:rPr>
        <w:sz w:val="20"/>
      </w:rPr>
      <w:t>x</w:t>
    </w:r>
    <w:r w:rsidRPr="008C502E">
      <w:rPr>
        <w:sz w:val="20"/>
      </w:rPr>
      <w:t>.</w:t>
    </w:r>
    <w:r w:rsidR="00957F78">
      <w:rPr>
        <w:sz w:val="20"/>
      </w:rPr>
      <w:t>;</w:t>
    </w:r>
    <w:r w:rsidRPr="008C502E">
      <w:rPr>
        <w:sz w:val="20"/>
      </w:rPr>
      <w:t>_Informatīvais ziņojums par tiesību aizsardzības iestāžu veiktajiem uzdevumiem un darba rezultātiem nelegālās akcīzes preču aprites apkarošanā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E9B" w:rsidRDefault="00A24E9B" w:rsidP="00937EB8">
      <w:r>
        <w:separator/>
      </w:r>
    </w:p>
  </w:footnote>
  <w:footnote w:type="continuationSeparator" w:id="0">
    <w:p w:rsidR="00A24E9B" w:rsidRDefault="00A24E9B" w:rsidP="00937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35" w:rsidRDefault="00CA03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4D81">
      <w:rPr>
        <w:rStyle w:val="PageNumber"/>
        <w:noProof/>
      </w:rPr>
      <w:t>5</w:t>
    </w:r>
    <w:r>
      <w:rPr>
        <w:rStyle w:val="PageNumber"/>
      </w:rPr>
      <w:fldChar w:fldCharType="end"/>
    </w:r>
  </w:p>
  <w:p w:rsidR="00131235" w:rsidRDefault="001312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35" w:rsidRDefault="00CA0376" w:rsidP="00D61B5D">
    <w:pPr>
      <w:pStyle w:val="Header"/>
      <w:jc w:val="center"/>
    </w:pPr>
    <w:r w:rsidRPr="00575050">
      <w:rPr>
        <w:sz w:val="24"/>
        <w:szCs w:val="24"/>
      </w:rPr>
      <w:fldChar w:fldCharType="begin"/>
    </w:r>
    <w:r w:rsidRPr="00575050">
      <w:rPr>
        <w:sz w:val="24"/>
        <w:szCs w:val="24"/>
      </w:rPr>
      <w:instrText xml:space="preserve"> PAGE   \* MERGEFORMAT </w:instrText>
    </w:r>
    <w:r w:rsidRPr="00575050">
      <w:rPr>
        <w:sz w:val="24"/>
        <w:szCs w:val="24"/>
      </w:rPr>
      <w:fldChar w:fldCharType="separate"/>
    </w:r>
    <w:r w:rsidR="00324036">
      <w:rPr>
        <w:noProof/>
        <w:sz w:val="24"/>
        <w:szCs w:val="24"/>
      </w:rPr>
      <w:t>5</w:t>
    </w:r>
    <w:r w:rsidRPr="00575050">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3A71"/>
    <w:multiLevelType w:val="hybridMultilevel"/>
    <w:tmpl w:val="21900524"/>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371A1D4D"/>
    <w:multiLevelType w:val="hybridMultilevel"/>
    <w:tmpl w:val="5D30770C"/>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7627944"/>
    <w:multiLevelType w:val="hybridMultilevel"/>
    <w:tmpl w:val="CAA4817C"/>
    <w:lvl w:ilvl="0" w:tplc="598005C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4F733FCB"/>
    <w:multiLevelType w:val="hybridMultilevel"/>
    <w:tmpl w:val="9514CF9C"/>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571F19DC"/>
    <w:multiLevelType w:val="hybridMultilevel"/>
    <w:tmpl w:val="878A3A0C"/>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5">
    <w:nsid w:val="5B4B18DD"/>
    <w:multiLevelType w:val="multilevel"/>
    <w:tmpl w:val="497EEAD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E236A2C"/>
    <w:multiLevelType w:val="hybridMultilevel"/>
    <w:tmpl w:val="AB66E6D4"/>
    <w:lvl w:ilvl="0" w:tplc="1904190E">
      <w:start w:val="1"/>
      <w:numFmt w:val="decimal"/>
      <w:lvlText w:val="%1)"/>
      <w:lvlJc w:val="left"/>
      <w:pPr>
        <w:ind w:left="1189" w:hanging="48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4"/>
  </w:num>
  <w:num w:numId="3">
    <w:abstractNumId w:val="6"/>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B8"/>
    <w:rsid w:val="00027FC5"/>
    <w:rsid w:val="00035807"/>
    <w:rsid w:val="00056B90"/>
    <w:rsid w:val="000620DE"/>
    <w:rsid w:val="00067033"/>
    <w:rsid w:val="00084B50"/>
    <w:rsid w:val="00087CC0"/>
    <w:rsid w:val="000C0894"/>
    <w:rsid w:val="000C0D57"/>
    <w:rsid w:val="000F3205"/>
    <w:rsid w:val="000F4288"/>
    <w:rsid w:val="000F6826"/>
    <w:rsid w:val="00114448"/>
    <w:rsid w:val="00117EC4"/>
    <w:rsid w:val="00120635"/>
    <w:rsid w:val="0012309F"/>
    <w:rsid w:val="00131235"/>
    <w:rsid w:val="00140E17"/>
    <w:rsid w:val="001E2556"/>
    <w:rsid w:val="001F41B3"/>
    <w:rsid w:val="001F7115"/>
    <w:rsid w:val="0023220D"/>
    <w:rsid w:val="00234519"/>
    <w:rsid w:val="0025038C"/>
    <w:rsid w:val="002569B6"/>
    <w:rsid w:val="002B2286"/>
    <w:rsid w:val="002C27CA"/>
    <w:rsid w:val="002E0D28"/>
    <w:rsid w:val="00324036"/>
    <w:rsid w:val="00351912"/>
    <w:rsid w:val="00373D6A"/>
    <w:rsid w:val="0039027D"/>
    <w:rsid w:val="003B020D"/>
    <w:rsid w:val="003B2410"/>
    <w:rsid w:val="003B72DC"/>
    <w:rsid w:val="003C7CAB"/>
    <w:rsid w:val="003D1CB0"/>
    <w:rsid w:val="003D1D48"/>
    <w:rsid w:val="003D72AE"/>
    <w:rsid w:val="00437844"/>
    <w:rsid w:val="00437F42"/>
    <w:rsid w:val="00446787"/>
    <w:rsid w:val="00474CB7"/>
    <w:rsid w:val="004970B3"/>
    <w:rsid w:val="004B31DF"/>
    <w:rsid w:val="004B3F40"/>
    <w:rsid w:val="004B43EF"/>
    <w:rsid w:val="004D11E2"/>
    <w:rsid w:val="004E4A36"/>
    <w:rsid w:val="004F0554"/>
    <w:rsid w:val="00504CAD"/>
    <w:rsid w:val="00520500"/>
    <w:rsid w:val="00550623"/>
    <w:rsid w:val="00570AD0"/>
    <w:rsid w:val="005825D6"/>
    <w:rsid w:val="005835D6"/>
    <w:rsid w:val="005A3FFA"/>
    <w:rsid w:val="005C2BE6"/>
    <w:rsid w:val="005E43C9"/>
    <w:rsid w:val="005F043A"/>
    <w:rsid w:val="00635570"/>
    <w:rsid w:val="006553B3"/>
    <w:rsid w:val="00656159"/>
    <w:rsid w:val="00667873"/>
    <w:rsid w:val="00674009"/>
    <w:rsid w:val="0068378E"/>
    <w:rsid w:val="006C342A"/>
    <w:rsid w:val="00723EE3"/>
    <w:rsid w:val="007253B0"/>
    <w:rsid w:val="00753F37"/>
    <w:rsid w:val="00755776"/>
    <w:rsid w:val="00792330"/>
    <w:rsid w:val="007C1C93"/>
    <w:rsid w:val="007D4D2A"/>
    <w:rsid w:val="007E026A"/>
    <w:rsid w:val="007F2AA3"/>
    <w:rsid w:val="00823EB9"/>
    <w:rsid w:val="00826473"/>
    <w:rsid w:val="00863337"/>
    <w:rsid w:val="00873178"/>
    <w:rsid w:val="00875D28"/>
    <w:rsid w:val="00885413"/>
    <w:rsid w:val="008B01BE"/>
    <w:rsid w:val="008B0D41"/>
    <w:rsid w:val="008C502E"/>
    <w:rsid w:val="008C58D0"/>
    <w:rsid w:val="008D413F"/>
    <w:rsid w:val="008E6485"/>
    <w:rsid w:val="0090570D"/>
    <w:rsid w:val="009174C4"/>
    <w:rsid w:val="0093789E"/>
    <w:rsid w:val="00937EB8"/>
    <w:rsid w:val="00957F78"/>
    <w:rsid w:val="00987E70"/>
    <w:rsid w:val="00993551"/>
    <w:rsid w:val="0099445E"/>
    <w:rsid w:val="009A4DFF"/>
    <w:rsid w:val="009B233D"/>
    <w:rsid w:val="009F6DDD"/>
    <w:rsid w:val="00A24E9B"/>
    <w:rsid w:val="00A606F8"/>
    <w:rsid w:val="00A74FDC"/>
    <w:rsid w:val="00A765D6"/>
    <w:rsid w:val="00AA7065"/>
    <w:rsid w:val="00AC2C5D"/>
    <w:rsid w:val="00AC7488"/>
    <w:rsid w:val="00AD3513"/>
    <w:rsid w:val="00B1293D"/>
    <w:rsid w:val="00B5164B"/>
    <w:rsid w:val="00B56AC0"/>
    <w:rsid w:val="00B63A4A"/>
    <w:rsid w:val="00B65898"/>
    <w:rsid w:val="00B80267"/>
    <w:rsid w:val="00BD7019"/>
    <w:rsid w:val="00BD7EC3"/>
    <w:rsid w:val="00BE0310"/>
    <w:rsid w:val="00C15766"/>
    <w:rsid w:val="00C27865"/>
    <w:rsid w:val="00C516F8"/>
    <w:rsid w:val="00C5603C"/>
    <w:rsid w:val="00C56271"/>
    <w:rsid w:val="00C658B0"/>
    <w:rsid w:val="00CA0376"/>
    <w:rsid w:val="00CA4F11"/>
    <w:rsid w:val="00CA507D"/>
    <w:rsid w:val="00CB7D25"/>
    <w:rsid w:val="00CC4CF9"/>
    <w:rsid w:val="00CC757C"/>
    <w:rsid w:val="00CE0427"/>
    <w:rsid w:val="00CF6DE3"/>
    <w:rsid w:val="00D02630"/>
    <w:rsid w:val="00D33B59"/>
    <w:rsid w:val="00D50F4E"/>
    <w:rsid w:val="00D57294"/>
    <w:rsid w:val="00D61B5D"/>
    <w:rsid w:val="00DA4ED4"/>
    <w:rsid w:val="00DE3F42"/>
    <w:rsid w:val="00E17BDD"/>
    <w:rsid w:val="00E21CC5"/>
    <w:rsid w:val="00E34B65"/>
    <w:rsid w:val="00E57D57"/>
    <w:rsid w:val="00E61576"/>
    <w:rsid w:val="00E77E10"/>
    <w:rsid w:val="00EB381B"/>
    <w:rsid w:val="00ED391A"/>
    <w:rsid w:val="00F30D27"/>
    <w:rsid w:val="00F44F9A"/>
    <w:rsid w:val="00F95F25"/>
    <w:rsid w:val="00FA4D81"/>
    <w:rsid w:val="00FB6E3D"/>
    <w:rsid w:val="00FC680D"/>
    <w:rsid w:val="00FE3A7C"/>
    <w:rsid w:val="00FF61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B8"/>
    <w:pPr>
      <w:jc w:val="both"/>
    </w:pPr>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EB8"/>
    <w:pPr>
      <w:tabs>
        <w:tab w:val="center" w:pos="4153"/>
        <w:tab w:val="right" w:pos="8306"/>
      </w:tabs>
    </w:pPr>
    <w:rPr>
      <w:sz w:val="18"/>
    </w:rPr>
  </w:style>
  <w:style w:type="character" w:customStyle="1" w:styleId="HeaderChar">
    <w:name w:val="Header Char"/>
    <w:link w:val="Header"/>
    <w:uiPriority w:val="99"/>
    <w:rsid w:val="00937EB8"/>
    <w:rPr>
      <w:rFonts w:ascii="Times New Roman" w:eastAsia="Times New Roman" w:hAnsi="Times New Roman" w:cs="Times New Roman"/>
      <w:sz w:val="18"/>
      <w:szCs w:val="20"/>
    </w:rPr>
  </w:style>
  <w:style w:type="character" w:styleId="PageNumber">
    <w:name w:val="page number"/>
    <w:rsid w:val="00937EB8"/>
    <w:rPr>
      <w:rFonts w:ascii="Times New Roman" w:hAnsi="Times New Roman"/>
    </w:rPr>
  </w:style>
  <w:style w:type="character" w:styleId="Hyperlink">
    <w:name w:val="Hyperlink"/>
    <w:rsid w:val="00937EB8"/>
    <w:rPr>
      <w:color w:val="0000FF"/>
      <w:u w:val="single"/>
    </w:rPr>
  </w:style>
  <w:style w:type="paragraph" w:styleId="CommentText">
    <w:name w:val="annotation text"/>
    <w:basedOn w:val="Normal"/>
    <w:link w:val="CommentTextChar"/>
    <w:uiPriority w:val="99"/>
    <w:semiHidden/>
    <w:unhideWhenUsed/>
    <w:rsid w:val="00937EB8"/>
    <w:rPr>
      <w:sz w:val="20"/>
    </w:rPr>
  </w:style>
  <w:style w:type="character" w:customStyle="1" w:styleId="CommentTextChar">
    <w:name w:val="Comment Text Char"/>
    <w:link w:val="CommentText"/>
    <w:uiPriority w:val="99"/>
    <w:semiHidden/>
    <w:rsid w:val="00937EB8"/>
    <w:rPr>
      <w:rFonts w:ascii="Times New Roman" w:eastAsia="Times New Roman" w:hAnsi="Times New Roman" w:cs="Times New Roman"/>
      <w:sz w:val="20"/>
      <w:szCs w:val="20"/>
    </w:rPr>
  </w:style>
  <w:style w:type="paragraph" w:styleId="ListParagraph">
    <w:name w:val="List Paragraph"/>
    <w:basedOn w:val="Normal"/>
    <w:uiPriority w:val="34"/>
    <w:qFormat/>
    <w:rsid w:val="00937EB8"/>
    <w:pPr>
      <w:ind w:left="720"/>
      <w:contextualSpacing/>
    </w:pPr>
  </w:style>
  <w:style w:type="paragraph" w:styleId="Footer">
    <w:name w:val="footer"/>
    <w:basedOn w:val="Normal"/>
    <w:link w:val="FooterChar"/>
    <w:uiPriority w:val="99"/>
    <w:unhideWhenUsed/>
    <w:rsid w:val="00937EB8"/>
    <w:pPr>
      <w:tabs>
        <w:tab w:val="center" w:pos="4153"/>
        <w:tab w:val="right" w:pos="8306"/>
      </w:tabs>
    </w:pPr>
  </w:style>
  <w:style w:type="character" w:customStyle="1" w:styleId="FooterChar">
    <w:name w:val="Footer Char"/>
    <w:link w:val="Footer"/>
    <w:uiPriority w:val="99"/>
    <w:rsid w:val="00937EB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3220D"/>
    <w:rPr>
      <w:rFonts w:ascii="Tahoma" w:hAnsi="Tahoma" w:cs="Tahoma"/>
      <w:sz w:val="16"/>
      <w:szCs w:val="16"/>
    </w:rPr>
  </w:style>
  <w:style w:type="character" w:customStyle="1" w:styleId="BalloonTextChar">
    <w:name w:val="Balloon Text Char"/>
    <w:link w:val="BalloonText"/>
    <w:uiPriority w:val="99"/>
    <w:semiHidden/>
    <w:rsid w:val="0023220D"/>
    <w:rPr>
      <w:rFonts w:ascii="Tahoma" w:eastAsia="Times New Roman" w:hAnsi="Tahoma" w:cs="Tahoma"/>
      <w:sz w:val="16"/>
      <w:szCs w:val="16"/>
    </w:rPr>
  </w:style>
  <w:style w:type="character" w:styleId="CommentReference">
    <w:name w:val="annotation reference"/>
    <w:uiPriority w:val="99"/>
    <w:semiHidden/>
    <w:unhideWhenUsed/>
    <w:rsid w:val="001E2556"/>
    <w:rPr>
      <w:sz w:val="16"/>
      <w:szCs w:val="16"/>
    </w:rPr>
  </w:style>
  <w:style w:type="paragraph" w:styleId="CommentSubject">
    <w:name w:val="annotation subject"/>
    <w:basedOn w:val="CommentText"/>
    <w:next w:val="CommentText"/>
    <w:link w:val="CommentSubjectChar"/>
    <w:uiPriority w:val="99"/>
    <w:semiHidden/>
    <w:unhideWhenUsed/>
    <w:rsid w:val="001E2556"/>
    <w:rPr>
      <w:b/>
      <w:bCs/>
    </w:rPr>
  </w:style>
  <w:style w:type="character" w:customStyle="1" w:styleId="CommentSubjectChar">
    <w:name w:val="Comment Subject Char"/>
    <w:link w:val="CommentSubject"/>
    <w:uiPriority w:val="99"/>
    <w:semiHidden/>
    <w:rsid w:val="001E255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40E17"/>
    <w:pPr>
      <w:spacing w:before="100" w:beforeAutospacing="1" w:after="100" w:afterAutospacing="1"/>
      <w:jc w:val="left"/>
    </w:pPr>
    <w:rPr>
      <w:rFonts w:eastAsia="Calibri"/>
      <w:sz w:val="21"/>
      <w:szCs w:val="21"/>
      <w:lang w:eastAsia="lv-LV"/>
    </w:rPr>
  </w:style>
  <w:style w:type="paragraph" w:customStyle="1" w:styleId="CharCharCharCharCharChar">
    <w:name w:val="Char Char Char Char Char Char"/>
    <w:basedOn w:val="Normal"/>
    <w:next w:val="Normal"/>
    <w:rsid w:val="00140E17"/>
    <w:pPr>
      <w:spacing w:after="160" w:line="240" w:lineRule="exact"/>
      <w:jc w:val="left"/>
    </w:pPr>
    <w:rPr>
      <w:rFonts w:ascii="Tahoma" w:hAnsi="Tahom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B8"/>
    <w:pPr>
      <w:jc w:val="both"/>
    </w:pPr>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EB8"/>
    <w:pPr>
      <w:tabs>
        <w:tab w:val="center" w:pos="4153"/>
        <w:tab w:val="right" w:pos="8306"/>
      </w:tabs>
    </w:pPr>
    <w:rPr>
      <w:sz w:val="18"/>
    </w:rPr>
  </w:style>
  <w:style w:type="character" w:customStyle="1" w:styleId="HeaderChar">
    <w:name w:val="Header Char"/>
    <w:link w:val="Header"/>
    <w:uiPriority w:val="99"/>
    <w:rsid w:val="00937EB8"/>
    <w:rPr>
      <w:rFonts w:ascii="Times New Roman" w:eastAsia="Times New Roman" w:hAnsi="Times New Roman" w:cs="Times New Roman"/>
      <w:sz w:val="18"/>
      <w:szCs w:val="20"/>
    </w:rPr>
  </w:style>
  <w:style w:type="character" w:styleId="PageNumber">
    <w:name w:val="page number"/>
    <w:rsid w:val="00937EB8"/>
    <w:rPr>
      <w:rFonts w:ascii="Times New Roman" w:hAnsi="Times New Roman"/>
    </w:rPr>
  </w:style>
  <w:style w:type="character" w:styleId="Hyperlink">
    <w:name w:val="Hyperlink"/>
    <w:rsid w:val="00937EB8"/>
    <w:rPr>
      <w:color w:val="0000FF"/>
      <w:u w:val="single"/>
    </w:rPr>
  </w:style>
  <w:style w:type="paragraph" w:styleId="CommentText">
    <w:name w:val="annotation text"/>
    <w:basedOn w:val="Normal"/>
    <w:link w:val="CommentTextChar"/>
    <w:uiPriority w:val="99"/>
    <w:semiHidden/>
    <w:unhideWhenUsed/>
    <w:rsid w:val="00937EB8"/>
    <w:rPr>
      <w:sz w:val="20"/>
    </w:rPr>
  </w:style>
  <w:style w:type="character" w:customStyle="1" w:styleId="CommentTextChar">
    <w:name w:val="Comment Text Char"/>
    <w:link w:val="CommentText"/>
    <w:uiPriority w:val="99"/>
    <w:semiHidden/>
    <w:rsid w:val="00937EB8"/>
    <w:rPr>
      <w:rFonts w:ascii="Times New Roman" w:eastAsia="Times New Roman" w:hAnsi="Times New Roman" w:cs="Times New Roman"/>
      <w:sz w:val="20"/>
      <w:szCs w:val="20"/>
    </w:rPr>
  </w:style>
  <w:style w:type="paragraph" w:styleId="ListParagraph">
    <w:name w:val="List Paragraph"/>
    <w:basedOn w:val="Normal"/>
    <w:uiPriority w:val="34"/>
    <w:qFormat/>
    <w:rsid w:val="00937EB8"/>
    <w:pPr>
      <w:ind w:left="720"/>
      <w:contextualSpacing/>
    </w:pPr>
  </w:style>
  <w:style w:type="paragraph" w:styleId="Footer">
    <w:name w:val="footer"/>
    <w:basedOn w:val="Normal"/>
    <w:link w:val="FooterChar"/>
    <w:uiPriority w:val="99"/>
    <w:unhideWhenUsed/>
    <w:rsid w:val="00937EB8"/>
    <w:pPr>
      <w:tabs>
        <w:tab w:val="center" w:pos="4153"/>
        <w:tab w:val="right" w:pos="8306"/>
      </w:tabs>
    </w:pPr>
  </w:style>
  <w:style w:type="character" w:customStyle="1" w:styleId="FooterChar">
    <w:name w:val="Footer Char"/>
    <w:link w:val="Footer"/>
    <w:uiPriority w:val="99"/>
    <w:rsid w:val="00937EB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3220D"/>
    <w:rPr>
      <w:rFonts w:ascii="Tahoma" w:hAnsi="Tahoma" w:cs="Tahoma"/>
      <w:sz w:val="16"/>
      <w:szCs w:val="16"/>
    </w:rPr>
  </w:style>
  <w:style w:type="character" w:customStyle="1" w:styleId="BalloonTextChar">
    <w:name w:val="Balloon Text Char"/>
    <w:link w:val="BalloonText"/>
    <w:uiPriority w:val="99"/>
    <w:semiHidden/>
    <w:rsid w:val="0023220D"/>
    <w:rPr>
      <w:rFonts w:ascii="Tahoma" w:eastAsia="Times New Roman" w:hAnsi="Tahoma" w:cs="Tahoma"/>
      <w:sz w:val="16"/>
      <w:szCs w:val="16"/>
    </w:rPr>
  </w:style>
  <w:style w:type="character" w:styleId="CommentReference">
    <w:name w:val="annotation reference"/>
    <w:uiPriority w:val="99"/>
    <w:semiHidden/>
    <w:unhideWhenUsed/>
    <w:rsid w:val="001E2556"/>
    <w:rPr>
      <w:sz w:val="16"/>
      <w:szCs w:val="16"/>
    </w:rPr>
  </w:style>
  <w:style w:type="paragraph" w:styleId="CommentSubject">
    <w:name w:val="annotation subject"/>
    <w:basedOn w:val="CommentText"/>
    <w:next w:val="CommentText"/>
    <w:link w:val="CommentSubjectChar"/>
    <w:uiPriority w:val="99"/>
    <w:semiHidden/>
    <w:unhideWhenUsed/>
    <w:rsid w:val="001E2556"/>
    <w:rPr>
      <w:b/>
      <w:bCs/>
    </w:rPr>
  </w:style>
  <w:style w:type="character" w:customStyle="1" w:styleId="CommentSubjectChar">
    <w:name w:val="Comment Subject Char"/>
    <w:link w:val="CommentSubject"/>
    <w:uiPriority w:val="99"/>
    <w:semiHidden/>
    <w:rsid w:val="001E255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40E17"/>
    <w:pPr>
      <w:spacing w:before="100" w:beforeAutospacing="1" w:after="100" w:afterAutospacing="1"/>
      <w:jc w:val="left"/>
    </w:pPr>
    <w:rPr>
      <w:rFonts w:eastAsia="Calibri"/>
      <w:sz w:val="21"/>
      <w:szCs w:val="21"/>
      <w:lang w:eastAsia="lv-LV"/>
    </w:rPr>
  </w:style>
  <w:style w:type="paragraph" w:customStyle="1" w:styleId="CharCharCharCharCharChar">
    <w:name w:val="Char Char Char Char Char Char"/>
    <w:basedOn w:val="Normal"/>
    <w:next w:val="Normal"/>
    <w:rsid w:val="00140E17"/>
    <w:pPr>
      <w:spacing w:after="160" w:line="240" w:lineRule="exact"/>
      <w:jc w:val="left"/>
    </w:pPr>
    <w:rPr>
      <w:rFonts w:ascii="Tahoma" w:hAnsi="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untis.Berzins@vi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F65EE-2986-475D-A24D-C15A9264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7696</Words>
  <Characters>4388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Informatīvais ziņojums par tiesību aizsardzības iestāžu veiktajiem uzdevumiem un darba rezultātiem nelegālās akcīzes preču aprites apkarošanā</vt:lpstr>
    </vt:vector>
  </TitlesOfParts>
  <Company>Valsts ieņēmumu dienests</Company>
  <LinksUpToDate>false</LinksUpToDate>
  <CharactersWithSpaces>12060</CharactersWithSpaces>
  <SharedDoc>false</SharedDoc>
  <HLinks>
    <vt:vector size="6" baseType="variant">
      <vt:variant>
        <vt:i4>7143517</vt:i4>
      </vt:variant>
      <vt:variant>
        <vt:i4>0</vt:i4>
      </vt:variant>
      <vt:variant>
        <vt:i4>0</vt:i4>
      </vt:variant>
      <vt:variant>
        <vt:i4>5</vt:i4>
      </vt:variant>
      <vt:variant>
        <vt:lpwstr>mailto:Guntis.Berzins@vid.gov.lv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tiesību aizsardzības iestāžu veiktajiem uzdevumiem un darba rezultātiem nelegālās akcīzes preču aprites apkarošanā</dc:title>
  <dc:subject>Informatīvais ziņojums</dc:subject>
  <dc:creator>Guntis Bērziņš</dc:creator>
  <cp:lastModifiedBy>Marija Radeiko</cp:lastModifiedBy>
  <cp:revision>2</cp:revision>
  <cp:lastPrinted>2012-08-30T07:58:00Z</cp:lastPrinted>
  <dcterms:created xsi:type="dcterms:W3CDTF">2012-08-31T06:44:00Z</dcterms:created>
  <dcterms:modified xsi:type="dcterms:W3CDTF">2012-08-31T06:44:00Z</dcterms:modified>
</cp:coreProperties>
</file>