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93" w:rsidRDefault="00897D93" w:rsidP="00AB3714">
      <w:pPr>
        <w:spacing w:after="0"/>
        <w:jc w:val="center"/>
        <w:rPr>
          <w:rFonts w:ascii="Times New Roman" w:hAnsi="Times New Roman" w:cs="Times New Roman"/>
          <w:b/>
          <w:caps/>
          <w:sz w:val="32"/>
          <w:szCs w:val="32"/>
        </w:rPr>
      </w:pPr>
    </w:p>
    <w:p w:rsidR="00B51381" w:rsidRDefault="00B51381" w:rsidP="00897D93">
      <w:pPr>
        <w:spacing w:after="120"/>
        <w:jc w:val="center"/>
        <w:rPr>
          <w:rFonts w:ascii="Times New Roman" w:hAnsi="Times New Roman" w:cs="Times New Roman"/>
          <w:b/>
          <w:caps/>
          <w:sz w:val="44"/>
          <w:szCs w:val="44"/>
        </w:rPr>
      </w:pPr>
    </w:p>
    <w:p w:rsidR="00B51381" w:rsidRDefault="00B51381" w:rsidP="00897D93">
      <w:pPr>
        <w:spacing w:after="120"/>
        <w:jc w:val="center"/>
        <w:rPr>
          <w:rFonts w:ascii="Times New Roman" w:hAnsi="Times New Roman" w:cs="Times New Roman"/>
          <w:b/>
          <w:caps/>
          <w:sz w:val="44"/>
          <w:szCs w:val="44"/>
        </w:rPr>
      </w:pPr>
    </w:p>
    <w:p w:rsidR="00B51381" w:rsidRDefault="00B51381" w:rsidP="00897D93">
      <w:pPr>
        <w:spacing w:after="120"/>
        <w:jc w:val="center"/>
        <w:rPr>
          <w:rFonts w:ascii="Times New Roman" w:hAnsi="Times New Roman" w:cs="Times New Roman"/>
          <w:b/>
          <w:caps/>
          <w:sz w:val="44"/>
          <w:szCs w:val="44"/>
        </w:rPr>
      </w:pPr>
    </w:p>
    <w:p w:rsidR="00B51381" w:rsidRDefault="00B51381" w:rsidP="00897D93">
      <w:pPr>
        <w:spacing w:after="120"/>
        <w:jc w:val="center"/>
        <w:rPr>
          <w:rFonts w:ascii="Times New Roman" w:hAnsi="Times New Roman" w:cs="Times New Roman"/>
          <w:b/>
          <w:caps/>
          <w:sz w:val="44"/>
          <w:szCs w:val="44"/>
        </w:rPr>
      </w:pPr>
    </w:p>
    <w:p w:rsidR="00B51381" w:rsidRDefault="00B51381" w:rsidP="00897D93">
      <w:pPr>
        <w:spacing w:after="120"/>
        <w:jc w:val="center"/>
        <w:rPr>
          <w:rFonts w:ascii="Times New Roman" w:hAnsi="Times New Roman" w:cs="Times New Roman"/>
          <w:b/>
          <w:caps/>
          <w:sz w:val="44"/>
          <w:szCs w:val="44"/>
        </w:rPr>
      </w:pPr>
    </w:p>
    <w:p w:rsidR="00B51381" w:rsidRDefault="00B51381" w:rsidP="00897D93">
      <w:pPr>
        <w:spacing w:after="120"/>
        <w:jc w:val="center"/>
        <w:rPr>
          <w:rFonts w:ascii="Times New Roman" w:hAnsi="Times New Roman" w:cs="Times New Roman"/>
          <w:b/>
          <w:caps/>
          <w:sz w:val="44"/>
          <w:szCs w:val="44"/>
        </w:rPr>
      </w:pPr>
    </w:p>
    <w:p w:rsidR="00AB3714" w:rsidRPr="00B51381" w:rsidRDefault="00AB3714" w:rsidP="00897D93">
      <w:pPr>
        <w:spacing w:after="120"/>
        <w:jc w:val="center"/>
        <w:rPr>
          <w:rFonts w:ascii="Times New Roman" w:hAnsi="Times New Roman" w:cs="Times New Roman"/>
          <w:b/>
          <w:caps/>
          <w:sz w:val="44"/>
          <w:szCs w:val="44"/>
        </w:rPr>
      </w:pPr>
      <w:r w:rsidRPr="00B51381">
        <w:rPr>
          <w:rFonts w:ascii="Times New Roman" w:hAnsi="Times New Roman" w:cs="Times New Roman"/>
          <w:b/>
          <w:caps/>
          <w:sz w:val="44"/>
          <w:szCs w:val="44"/>
        </w:rPr>
        <w:t xml:space="preserve">Informatīvais ziņojums </w:t>
      </w:r>
    </w:p>
    <w:p w:rsidR="00EE40ED" w:rsidRPr="00B51381" w:rsidRDefault="00AB3714" w:rsidP="00B51381">
      <w:pPr>
        <w:spacing w:after="0" w:line="240" w:lineRule="auto"/>
        <w:jc w:val="center"/>
        <w:rPr>
          <w:rFonts w:ascii="Times New Roman Bold" w:hAnsi="Times New Roman Bold" w:cs="Times New Roman"/>
          <w:smallCaps/>
          <w:color w:val="000000"/>
          <w:sz w:val="36"/>
          <w:szCs w:val="36"/>
        </w:rPr>
      </w:pPr>
      <w:r w:rsidRPr="00B51381">
        <w:rPr>
          <w:rFonts w:ascii="Times New Roman Bold" w:hAnsi="Times New Roman Bold" w:cs="Times New Roman"/>
          <w:smallCaps/>
          <w:sz w:val="36"/>
          <w:szCs w:val="36"/>
        </w:rPr>
        <w:t>„</w:t>
      </w:r>
      <w:r w:rsidR="00321ABF">
        <w:rPr>
          <w:rFonts w:ascii="Times New Roman Bold" w:hAnsi="Times New Roman Bold" w:cs="Times New Roman"/>
          <w:smallCaps/>
          <w:sz w:val="36"/>
          <w:szCs w:val="36"/>
        </w:rPr>
        <w:t>P</w:t>
      </w:r>
      <w:r w:rsidR="006F3397">
        <w:rPr>
          <w:rFonts w:ascii="Times New Roman Bold" w:hAnsi="Times New Roman Bold" w:cs="Times New Roman"/>
          <w:smallCaps/>
          <w:sz w:val="36"/>
          <w:szCs w:val="36"/>
        </w:rPr>
        <w:t>riekšlikum</w:t>
      </w:r>
      <w:r w:rsidR="00321ABF">
        <w:rPr>
          <w:rFonts w:ascii="Times New Roman Bold" w:hAnsi="Times New Roman Bold" w:cs="Times New Roman"/>
          <w:smallCaps/>
          <w:sz w:val="36"/>
          <w:szCs w:val="36"/>
        </w:rPr>
        <w:t xml:space="preserve">i </w:t>
      </w:r>
      <w:r w:rsidR="00DD5F21">
        <w:rPr>
          <w:rFonts w:ascii="Times New Roman Bold" w:hAnsi="Times New Roman Bold" w:cs="Times New Roman"/>
          <w:smallCaps/>
          <w:sz w:val="36"/>
          <w:szCs w:val="36"/>
        </w:rPr>
        <w:t>i</w:t>
      </w:r>
      <w:r w:rsidR="00C20AFB">
        <w:rPr>
          <w:rFonts w:ascii="Times New Roman Bold" w:hAnsi="Times New Roman Bold" w:cs="Times New Roman"/>
          <w:smallCaps/>
          <w:sz w:val="36"/>
          <w:szCs w:val="36"/>
        </w:rPr>
        <w:t>enākumu</w:t>
      </w:r>
      <w:r w:rsidR="006F3397">
        <w:rPr>
          <w:rFonts w:ascii="Times New Roman Bold" w:hAnsi="Times New Roman Bold" w:cs="Times New Roman"/>
          <w:smallCaps/>
          <w:sz w:val="36"/>
          <w:szCs w:val="36"/>
        </w:rPr>
        <w:t xml:space="preserve"> nevienlīdzības mazināšanai</w:t>
      </w:r>
      <w:r w:rsidRPr="00B51381">
        <w:rPr>
          <w:rFonts w:ascii="Times New Roman Bold" w:hAnsi="Times New Roman Bold" w:cs="Times New Roman"/>
          <w:smallCaps/>
          <w:sz w:val="36"/>
          <w:szCs w:val="36"/>
        </w:rPr>
        <w:t xml:space="preserve">” </w:t>
      </w:r>
    </w:p>
    <w:p w:rsidR="00FE6D19" w:rsidRPr="00B51381" w:rsidRDefault="00FE6D19" w:rsidP="00897D93">
      <w:pPr>
        <w:spacing w:line="240" w:lineRule="auto"/>
        <w:jc w:val="center"/>
        <w:rPr>
          <w:rFonts w:ascii="Times New Roman Bold" w:hAnsi="Times New Roman Bold" w:cs="Times New Roman"/>
          <w:b/>
          <w:caps/>
          <w:sz w:val="36"/>
          <w:szCs w:val="36"/>
        </w:rPr>
      </w:pPr>
    </w:p>
    <w:p w:rsidR="00E71ACE" w:rsidRPr="00050309" w:rsidRDefault="00E71ACE" w:rsidP="0041744A">
      <w:pPr>
        <w:spacing w:after="120" w:line="20" w:lineRule="atLeast"/>
        <w:ind w:firstLine="709"/>
        <w:jc w:val="both"/>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B51381" w:rsidRDefault="00B51381" w:rsidP="00B51381">
      <w:pPr>
        <w:spacing w:after="0"/>
        <w:jc w:val="center"/>
        <w:rPr>
          <w:rFonts w:ascii="Times New Roman" w:hAnsi="Times New Roman" w:cs="Times New Roman"/>
          <w:sz w:val="28"/>
          <w:szCs w:val="28"/>
        </w:rPr>
      </w:pPr>
    </w:p>
    <w:p w:rsidR="002710E0" w:rsidRDefault="002710E0" w:rsidP="00B51381">
      <w:pPr>
        <w:spacing w:after="0"/>
        <w:jc w:val="center"/>
        <w:rPr>
          <w:rFonts w:ascii="Times New Roman" w:hAnsi="Times New Roman" w:cs="Times New Roman"/>
          <w:sz w:val="28"/>
          <w:szCs w:val="28"/>
        </w:rPr>
      </w:pPr>
    </w:p>
    <w:p w:rsidR="00B51381" w:rsidRPr="00B51381" w:rsidRDefault="00B51381" w:rsidP="00B51381">
      <w:pPr>
        <w:spacing w:after="0"/>
        <w:jc w:val="center"/>
        <w:rPr>
          <w:rFonts w:ascii="Times New Roman" w:hAnsi="Times New Roman" w:cs="Times New Roman"/>
          <w:sz w:val="28"/>
          <w:szCs w:val="28"/>
        </w:rPr>
      </w:pPr>
      <w:r w:rsidRPr="00B51381">
        <w:rPr>
          <w:rFonts w:ascii="Times New Roman" w:hAnsi="Times New Roman" w:cs="Times New Roman"/>
          <w:sz w:val="28"/>
          <w:szCs w:val="28"/>
        </w:rPr>
        <w:t>Finanšu ministrija</w:t>
      </w:r>
      <w:r>
        <w:rPr>
          <w:rFonts w:ascii="Times New Roman" w:hAnsi="Times New Roman" w:cs="Times New Roman"/>
          <w:sz w:val="28"/>
          <w:szCs w:val="28"/>
        </w:rPr>
        <w:t>,</w:t>
      </w:r>
      <w:r w:rsidRPr="00B51381">
        <w:rPr>
          <w:rFonts w:ascii="Times New Roman" w:hAnsi="Times New Roman" w:cs="Times New Roman"/>
          <w:sz w:val="28"/>
          <w:szCs w:val="28"/>
        </w:rPr>
        <w:t xml:space="preserve"> </w:t>
      </w:r>
    </w:p>
    <w:p w:rsidR="00B51381" w:rsidRPr="00B51381" w:rsidRDefault="00B51381" w:rsidP="00B51381">
      <w:pPr>
        <w:spacing w:after="0" w:line="240" w:lineRule="auto"/>
        <w:jc w:val="center"/>
        <w:rPr>
          <w:rFonts w:ascii="Times New Roman" w:hAnsi="Times New Roman" w:cs="Times New Roman"/>
          <w:sz w:val="28"/>
          <w:szCs w:val="28"/>
        </w:rPr>
      </w:pPr>
      <w:r w:rsidRPr="00B51381">
        <w:rPr>
          <w:rFonts w:ascii="Times New Roman" w:hAnsi="Times New Roman" w:cs="Times New Roman"/>
          <w:sz w:val="28"/>
          <w:szCs w:val="28"/>
        </w:rPr>
        <w:t>201</w:t>
      </w:r>
      <w:r w:rsidR="006F3397">
        <w:rPr>
          <w:rFonts w:ascii="Times New Roman" w:hAnsi="Times New Roman" w:cs="Times New Roman"/>
          <w:sz w:val="28"/>
          <w:szCs w:val="28"/>
        </w:rPr>
        <w:t>3</w:t>
      </w:r>
      <w:r w:rsidRPr="00B51381">
        <w:rPr>
          <w:rFonts w:ascii="Times New Roman" w:hAnsi="Times New Roman" w:cs="Times New Roman"/>
          <w:sz w:val="28"/>
          <w:szCs w:val="28"/>
        </w:rPr>
        <w:t xml:space="preserve">.gada </w:t>
      </w:r>
      <w:r w:rsidR="00321ABF">
        <w:rPr>
          <w:rFonts w:ascii="Times New Roman" w:hAnsi="Times New Roman" w:cs="Times New Roman"/>
          <w:sz w:val="28"/>
          <w:szCs w:val="28"/>
        </w:rPr>
        <w:t>_______</w:t>
      </w:r>
    </w:p>
    <w:p w:rsidR="00B51381" w:rsidRPr="00B51381" w:rsidRDefault="00B51381">
      <w:pPr>
        <w:rPr>
          <w:rFonts w:ascii="Times New Roman" w:hAnsi="Times New Roman" w:cs="Times New Roman"/>
          <w:sz w:val="28"/>
          <w:szCs w:val="28"/>
        </w:rPr>
      </w:pPr>
    </w:p>
    <w:p w:rsidR="00060A1F" w:rsidRDefault="00060A1F" w:rsidP="00060A1F">
      <w:pPr>
        <w:jc w:val="center"/>
        <w:rPr>
          <w:rFonts w:ascii="Times New Roman" w:hAnsi="Times New Roman" w:cs="Times New Roman"/>
          <w:b/>
          <w:smallCaps/>
          <w:sz w:val="32"/>
          <w:szCs w:val="32"/>
        </w:rPr>
      </w:pPr>
    </w:p>
    <w:p w:rsidR="00321ABF" w:rsidRDefault="00321ABF">
      <w:pPr>
        <w:rPr>
          <w:rFonts w:ascii="Times New Roman" w:hAnsi="Times New Roman" w:cs="Times New Roman"/>
          <w:b/>
          <w:smallCaps/>
          <w:sz w:val="32"/>
          <w:szCs w:val="32"/>
        </w:rPr>
      </w:pPr>
      <w:r>
        <w:rPr>
          <w:rFonts w:ascii="Times New Roman" w:hAnsi="Times New Roman" w:cs="Times New Roman"/>
          <w:b/>
          <w:smallCaps/>
          <w:sz w:val="32"/>
          <w:szCs w:val="32"/>
        </w:rPr>
        <w:br w:type="page"/>
      </w:r>
    </w:p>
    <w:p w:rsidR="007F64CF" w:rsidRDefault="007F64CF" w:rsidP="007F64CF">
      <w:pPr>
        <w:jc w:val="center"/>
        <w:rPr>
          <w:rFonts w:ascii="Times New Roman" w:hAnsi="Times New Roman" w:cs="Times New Roman"/>
          <w:b/>
          <w:smallCaps/>
          <w:sz w:val="32"/>
          <w:szCs w:val="32"/>
        </w:rPr>
      </w:pPr>
      <w:r>
        <w:rPr>
          <w:rFonts w:ascii="Times New Roman" w:hAnsi="Times New Roman" w:cs="Times New Roman"/>
          <w:b/>
          <w:smallCaps/>
          <w:sz w:val="32"/>
          <w:szCs w:val="32"/>
        </w:rPr>
        <w:lastRenderedPageBreak/>
        <w:t>Saturs</w:t>
      </w:r>
    </w:p>
    <w:p w:rsidR="003D59DD" w:rsidRDefault="00DB6768">
      <w:pPr>
        <w:pStyle w:val="TOC1"/>
        <w:rPr>
          <w:rFonts w:asciiTheme="minorHAnsi" w:eastAsiaTheme="minorEastAsia" w:hAnsiTheme="minorHAnsi" w:cstheme="minorBidi"/>
          <w:b w:val="0"/>
          <w:smallCaps w:val="0"/>
          <w:sz w:val="22"/>
          <w:szCs w:val="22"/>
          <w:lang w:eastAsia="lv-LV"/>
        </w:rPr>
      </w:pPr>
      <w:r w:rsidRPr="00DC6C64">
        <w:fldChar w:fldCharType="begin"/>
      </w:r>
      <w:r w:rsidRPr="00DC6C64">
        <w:instrText xml:space="preserve"> TOC \o "1-3" \h \z \u </w:instrText>
      </w:r>
      <w:r w:rsidRPr="00DC6C64">
        <w:fldChar w:fldCharType="separate"/>
      </w:r>
      <w:hyperlink w:anchor="_Toc357009509" w:history="1">
        <w:r w:rsidR="003D59DD" w:rsidRPr="00E8176C">
          <w:rPr>
            <w:rStyle w:val="Hyperlink"/>
            <w:rFonts w:ascii="Times New Roman Bold" w:hAnsi="Times New Roman Bold"/>
          </w:rPr>
          <w:t>Tekstā lietotie saīsinājumi</w:t>
        </w:r>
        <w:r w:rsidR="003D59DD">
          <w:rPr>
            <w:webHidden/>
          </w:rPr>
          <w:tab/>
        </w:r>
        <w:r w:rsidR="003D59DD">
          <w:rPr>
            <w:webHidden/>
          </w:rPr>
          <w:fldChar w:fldCharType="begin"/>
        </w:r>
        <w:r w:rsidR="003D59DD">
          <w:rPr>
            <w:webHidden/>
          </w:rPr>
          <w:instrText xml:space="preserve"> PAGEREF _Toc357009509 \h </w:instrText>
        </w:r>
        <w:r w:rsidR="003D59DD">
          <w:rPr>
            <w:webHidden/>
          </w:rPr>
        </w:r>
        <w:r w:rsidR="003D59DD">
          <w:rPr>
            <w:webHidden/>
          </w:rPr>
          <w:fldChar w:fldCharType="separate"/>
        </w:r>
        <w:r w:rsidR="00360C2A">
          <w:rPr>
            <w:webHidden/>
          </w:rPr>
          <w:t>3</w:t>
        </w:r>
        <w:r w:rsidR="003D59DD">
          <w:rPr>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0" w:history="1">
        <w:r w:rsidR="003D59DD" w:rsidRPr="00E8176C">
          <w:rPr>
            <w:rStyle w:val="Hyperlink"/>
            <w:rFonts w:ascii="Times New Roman Bold" w:hAnsi="Times New Roman Bold"/>
          </w:rPr>
          <w:t>Terminu definīcijas</w:t>
        </w:r>
        <w:r w:rsidR="003D59DD">
          <w:rPr>
            <w:webHidden/>
          </w:rPr>
          <w:tab/>
        </w:r>
        <w:r w:rsidR="003D59DD">
          <w:rPr>
            <w:webHidden/>
          </w:rPr>
          <w:fldChar w:fldCharType="begin"/>
        </w:r>
        <w:r w:rsidR="003D59DD">
          <w:rPr>
            <w:webHidden/>
          </w:rPr>
          <w:instrText xml:space="preserve"> PAGEREF _Toc357009510 \h </w:instrText>
        </w:r>
        <w:r w:rsidR="003D59DD">
          <w:rPr>
            <w:webHidden/>
          </w:rPr>
        </w:r>
        <w:r w:rsidR="003D59DD">
          <w:rPr>
            <w:webHidden/>
          </w:rPr>
          <w:fldChar w:fldCharType="separate"/>
        </w:r>
        <w:r>
          <w:rPr>
            <w:webHidden/>
          </w:rPr>
          <w:t>4</w:t>
        </w:r>
        <w:r w:rsidR="003D59DD">
          <w:rPr>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1" w:history="1">
        <w:r w:rsidR="003D59DD" w:rsidRPr="00E8176C">
          <w:rPr>
            <w:rStyle w:val="Hyperlink"/>
          </w:rPr>
          <w:t>Ievads</w:t>
        </w:r>
        <w:r w:rsidR="003D59DD">
          <w:rPr>
            <w:webHidden/>
          </w:rPr>
          <w:tab/>
        </w:r>
        <w:r w:rsidR="003D59DD">
          <w:rPr>
            <w:webHidden/>
          </w:rPr>
          <w:fldChar w:fldCharType="begin"/>
        </w:r>
        <w:r w:rsidR="003D59DD">
          <w:rPr>
            <w:webHidden/>
          </w:rPr>
          <w:instrText xml:space="preserve"> PAGEREF _Toc357009511 \h </w:instrText>
        </w:r>
        <w:r w:rsidR="003D59DD">
          <w:rPr>
            <w:webHidden/>
          </w:rPr>
        </w:r>
        <w:r w:rsidR="003D59DD">
          <w:rPr>
            <w:webHidden/>
          </w:rPr>
          <w:fldChar w:fldCharType="separate"/>
        </w:r>
        <w:r>
          <w:rPr>
            <w:webHidden/>
          </w:rPr>
          <w:t>5</w:t>
        </w:r>
        <w:r w:rsidR="003D59DD">
          <w:rPr>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2" w:history="1">
        <w:r w:rsidR="003D59DD" w:rsidRPr="00E8176C">
          <w:rPr>
            <w:rStyle w:val="Hyperlink"/>
            <w:rFonts w:ascii="Times New Roman Bold" w:hAnsi="Times New Roman Bold"/>
          </w:rPr>
          <w:t>1.</w:t>
        </w:r>
        <w:r w:rsidR="003D59DD">
          <w:rPr>
            <w:rFonts w:asciiTheme="minorHAnsi" w:eastAsiaTheme="minorEastAsia" w:hAnsiTheme="minorHAnsi" w:cstheme="minorBidi"/>
            <w:b w:val="0"/>
            <w:smallCaps w:val="0"/>
            <w:sz w:val="22"/>
            <w:szCs w:val="22"/>
            <w:lang w:eastAsia="lv-LV"/>
          </w:rPr>
          <w:tab/>
        </w:r>
        <w:r w:rsidR="003D59DD" w:rsidRPr="00E8176C">
          <w:rPr>
            <w:rStyle w:val="Hyperlink"/>
            <w:rFonts w:ascii="Times New Roman Bold" w:hAnsi="Times New Roman Bold"/>
          </w:rPr>
          <w:t>Priekšlikumi ienākumu nevienlīdzības mazināšanai</w:t>
        </w:r>
        <w:r w:rsidR="003D59DD">
          <w:rPr>
            <w:webHidden/>
          </w:rPr>
          <w:tab/>
        </w:r>
        <w:r w:rsidR="003D59DD">
          <w:rPr>
            <w:webHidden/>
          </w:rPr>
          <w:fldChar w:fldCharType="begin"/>
        </w:r>
        <w:r w:rsidR="003D59DD">
          <w:rPr>
            <w:webHidden/>
          </w:rPr>
          <w:instrText xml:space="preserve"> PAGEREF _Toc357009512 \h </w:instrText>
        </w:r>
        <w:r w:rsidR="003D59DD">
          <w:rPr>
            <w:webHidden/>
          </w:rPr>
        </w:r>
        <w:r w:rsidR="003D59DD">
          <w:rPr>
            <w:webHidden/>
          </w:rPr>
          <w:fldChar w:fldCharType="separate"/>
        </w:r>
        <w:r>
          <w:rPr>
            <w:webHidden/>
          </w:rPr>
          <w:t>7</w:t>
        </w:r>
        <w:r w:rsidR="003D59DD">
          <w:rPr>
            <w:webHidden/>
          </w:rPr>
          <w:fldChar w:fldCharType="end"/>
        </w:r>
      </w:hyperlink>
    </w:p>
    <w:p w:rsidR="003D59DD" w:rsidRDefault="00360C2A">
      <w:pPr>
        <w:pStyle w:val="TOC2"/>
        <w:rPr>
          <w:rFonts w:eastAsiaTheme="minorEastAsia"/>
          <w:noProof/>
          <w:lang w:eastAsia="lv-LV"/>
        </w:rPr>
      </w:pPr>
      <w:hyperlink w:anchor="_Toc357009513" w:history="1">
        <w:r w:rsidR="003D59DD" w:rsidRPr="00E8176C">
          <w:rPr>
            <w:rStyle w:val="Hyperlink"/>
            <w:rFonts w:ascii="Times New Roman" w:hAnsi="Times New Roman" w:cs="Times New Roman"/>
            <w:i/>
            <w:noProof/>
          </w:rPr>
          <w:t>1.1.</w:t>
        </w:r>
        <w:r w:rsidR="003D59DD">
          <w:rPr>
            <w:rFonts w:eastAsiaTheme="minorEastAsia"/>
            <w:noProof/>
            <w:lang w:eastAsia="lv-LV"/>
          </w:rPr>
          <w:tab/>
        </w:r>
        <w:r w:rsidR="003D59DD" w:rsidRPr="00E8176C">
          <w:rPr>
            <w:rStyle w:val="Hyperlink"/>
            <w:rFonts w:ascii="Times New Roman" w:hAnsi="Times New Roman" w:cs="Times New Roman"/>
            <w:i/>
            <w:noProof/>
          </w:rPr>
          <w:t>Minimālās mēneša darba algas paaugstināšana</w:t>
        </w:r>
        <w:r w:rsidR="003D59DD">
          <w:rPr>
            <w:noProof/>
            <w:webHidden/>
          </w:rPr>
          <w:tab/>
        </w:r>
        <w:r w:rsidR="003D59DD">
          <w:rPr>
            <w:noProof/>
            <w:webHidden/>
          </w:rPr>
          <w:fldChar w:fldCharType="begin"/>
        </w:r>
        <w:r w:rsidR="003D59DD">
          <w:rPr>
            <w:noProof/>
            <w:webHidden/>
          </w:rPr>
          <w:instrText xml:space="preserve"> PAGEREF _Toc357009513 \h </w:instrText>
        </w:r>
        <w:r w:rsidR="003D59DD">
          <w:rPr>
            <w:noProof/>
            <w:webHidden/>
          </w:rPr>
        </w:r>
        <w:r w:rsidR="003D59DD">
          <w:rPr>
            <w:noProof/>
            <w:webHidden/>
          </w:rPr>
          <w:fldChar w:fldCharType="separate"/>
        </w:r>
        <w:r>
          <w:rPr>
            <w:noProof/>
            <w:webHidden/>
          </w:rPr>
          <w:t>8</w:t>
        </w:r>
        <w:r w:rsidR="003D59DD">
          <w:rPr>
            <w:noProof/>
            <w:webHidden/>
          </w:rPr>
          <w:fldChar w:fldCharType="end"/>
        </w:r>
      </w:hyperlink>
    </w:p>
    <w:p w:rsidR="003D59DD" w:rsidRDefault="00360C2A">
      <w:pPr>
        <w:pStyle w:val="TOC2"/>
        <w:rPr>
          <w:rFonts w:eastAsiaTheme="minorEastAsia"/>
          <w:noProof/>
          <w:lang w:eastAsia="lv-LV"/>
        </w:rPr>
      </w:pPr>
      <w:hyperlink w:anchor="_Toc357009514" w:history="1">
        <w:r w:rsidR="003D59DD" w:rsidRPr="00E8176C">
          <w:rPr>
            <w:rStyle w:val="Hyperlink"/>
            <w:rFonts w:ascii="Times New Roman" w:hAnsi="Times New Roman" w:cs="Times New Roman"/>
            <w:i/>
            <w:noProof/>
          </w:rPr>
          <w:t>1.2.</w:t>
        </w:r>
        <w:r w:rsidR="003D59DD">
          <w:rPr>
            <w:rFonts w:eastAsiaTheme="minorEastAsia"/>
            <w:noProof/>
            <w:lang w:eastAsia="lv-LV"/>
          </w:rPr>
          <w:tab/>
        </w:r>
        <w:r w:rsidR="003D59DD" w:rsidRPr="00E8176C">
          <w:rPr>
            <w:rStyle w:val="Hyperlink"/>
            <w:rFonts w:ascii="Times New Roman" w:hAnsi="Times New Roman" w:cs="Times New Roman"/>
            <w:i/>
            <w:noProof/>
          </w:rPr>
          <w:t>Neapliekamā minimuma diferencēšana</w:t>
        </w:r>
        <w:r w:rsidR="003D59DD">
          <w:rPr>
            <w:noProof/>
            <w:webHidden/>
          </w:rPr>
          <w:tab/>
        </w:r>
        <w:r w:rsidR="003D59DD">
          <w:rPr>
            <w:noProof/>
            <w:webHidden/>
          </w:rPr>
          <w:fldChar w:fldCharType="begin"/>
        </w:r>
        <w:r w:rsidR="003D59DD">
          <w:rPr>
            <w:noProof/>
            <w:webHidden/>
          </w:rPr>
          <w:instrText xml:space="preserve"> PAGEREF _Toc357009514 \h </w:instrText>
        </w:r>
        <w:r w:rsidR="003D59DD">
          <w:rPr>
            <w:noProof/>
            <w:webHidden/>
          </w:rPr>
        </w:r>
        <w:r w:rsidR="003D59DD">
          <w:rPr>
            <w:noProof/>
            <w:webHidden/>
          </w:rPr>
          <w:fldChar w:fldCharType="separate"/>
        </w:r>
        <w:r>
          <w:rPr>
            <w:noProof/>
            <w:webHidden/>
          </w:rPr>
          <w:t>9</w:t>
        </w:r>
        <w:r w:rsidR="003D59DD">
          <w:rPr>
            <w:noProof/>
            <w:webHidden/>
          </w:rPr>
          <w:fldChar w:fldCharType="end"/>
        </w:r>
      </w:hyperlink>
    </w:p>
    <w:p w:rsidR="003D59DD" w:rsidRDefault="00360C2A">
      <w:pPr>
        <w:pStyle w:val="TOC2"/>
        <w:rPr>
          <w:rFonts w:eastAsiaTheme="minorEastAsia"/>
          <w:noProof/>
          <w:lang w:eastAsia="lv-LV"/>
        </w:rPr>
      </w:pPr>
      <w:hyperlink w:anchor="_Toc357009515" w:history="1">
        <w:r w:rsidR="003D59DD" w:rsidRPr="00E8176C">
          <w:rPr>
            <w:rStyle w:val="Hyperlink"/>
            <w:rFonts w:ascii="Times New Roman" w:hAnsi="Times New Roman" w:cs="Times New Roman"/>
            <w:i/>
            <w:noProof/>
          </w:rPr>
          <w:t>1.3.</w:t>
        </w:r>
        <w:r w:rsidR="003D59DD">
          <w:rPr>
            <w:rFonts w:eastAsiaTheme="minorEastAsia"/>
            <w:noProof/>
            <w:lang w:eastAsia="lv-LV"/>
          </w:rPr>
          <w:tab/>
        </w:r>
        <w:r w:rsidR="003D59DD" w:rsidRPr="00E8176C">
          <w:rPr>
            <w:rStyle w:val="Hyperlink"/>
            <w:rFonts w:ascii="Times New Roman" w:hAnsi="Times New Roman" w:cs="Times New Roman"/>
            <w:i/>
            <w:noProof/>
          </w:rPr>
          <w:t>Atvieglojuma par apgādībā esošām personām palielināšana</w:t>
        </w:r>
        <w:r w:rsidR="003D59DD">
          <w:rPr>
            <w:noProof/>
            <w:webHidden/>
          </w:rPr>
          <w:tab/>
        </w:r>
        <w:r w:rsidR="003D59DD">
          <w:rPr>
            <w:noProof/>
            <w:webHidden/>
          </w:rPr>
          <w:fldChar w:fldCharType="begin"/>
        </w:r>
        <w:r w:rsidR="003D59DD">
          <w:rPr>
            <w:noProof/>
            <w:webHidden/>
          </w:rPr>
          <w:instrText xml:space="preserve"> PAGEREF _Toc357009515 \h </w:instrText>
        </w:r>
        <w:r w:rsidR="003D59DD">
          <w:rPr>
            <w:noProof/>
            <w:webHidden/>
          </w:rPr>
        </w:r>
        <w:r w:rsidR="003D59DD">
          <w:rPr>
            <w:noProof/>
            <w:webHidden/>
          </w:rPr>
          <w:fldChar w:fldCharType="separate"/>
        </w:r>
        <w:r>
          <w:rPr>
            <w:noProof/>
            <w:webHidden/>
          </w:rPr>
          <w:t>15</w:t>
        </w:r>
        <w:r w:rsidR="003D59DD">
          <w:rPr>
            <w:noProof/>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6" w:history="1">
        <w:r w:rsidR="003D59DD" w:rsidRPr="00E8176C">
          <w:rPr>
            <w:rStyle w:val="Hyperlink"/>
            <w:rFonts w:ascii="Times New Roman Bold" w:hAnsi="Times New Roman Bold"/>
          </w:rPr>
          <w:t>2.</w:t>
        </w:r>
        <w:r w:rsidR="003D59DD">
          <w:rPr>
            <w:rFonts w:asciiTheme="minorHAnsi" w:eastAsiaTheme="minorEastAsia" w:hAnsiTheme="minorHAnsi" w:cstheme="minorBidi"/>
            <w:b w:val="0"/>
            <w:smallCaps w:val="0"/>
            <w:sz w:val="22"/>
            <w:szCs w:val="22"/>
            <w:lang w:eastAsia="lv-LV"/>
          </w:rPr>
          <w:tab/>
        </w:r>
        <w:r w:rsidR="003D59DD" w:rsidRPr="00E8176C">
          <w:rPr>
            <w:rStyle w:val="Hyperlink"/>
            <w:rFonts w:ascii="Times New Roman Bold" w:hAnsi="Times New Roman Bold"/>
          </w:rPr>
          <w:t>Kopējā fiskālā ietekme un iespējamie kompensējošie pasākumi</w:t>
        </w:r>
        <w:r w:rsidR="003D59DD">
          <w:rPr>
            <w:webHidden/>
          </w:rPr>
          <w:tab/>
        </w:r>
        <w:r w:rsidR="003D59DD">
          <w:rPr>
            <w:webHidden/>
          </w:rPr>
          <w:fldChar w:fldCharType="begin"/>
        </w:r>
        <w:r w:rsidR="003D59DD">
          <w:rPr>
            <w:webHidden/>
          </w:rPr>
          <w:instrText xml:space="preserve"> PAGEREF _Toc357009516 \h </w:instrText>
        </w:r>
        <w:r w:rsidR="003D59DD">
          <w:rPr>
            <w:webHidden/>
          </w:rPr>
        </w:r>
        <w:r w:rsidR="003D59DD">
          <w:rPr>
            <w:webHidden/>
          </w:rPr>
          <w:fldChar w:fldCharType="separate"/>
        </w:r>
        <w:r>
          <w:rPr>
            <w:webHidden/>
          </w:rPr>
          <w:t>17</w:t>
        </w:r>
        <w:r w:rsidR="003D59DD">
          <w:rPr>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7" w:history="1">
        <w:r w:rsidR="003D59DD" w:rsidRPr="00E8176C">
          <w:rPr>
            <w:rStyle w:val="Hyperlink"/>
            <w:rFonts w:ascii="Times New Roman Bold" w:hAnsi="Times New Roman Bold"/>
          </w:rPr>
          <w:t>3.</w:t>
        </w:r>
        <w:r w:rsidR="003D59DD">
          <w:rPr>
            <w:rFonts w:asciiTheme="minorHAnsi" w:eastAsiaTheme="minorEastAsia" w:hAnsiTheme="minorHAnsi" w:cstheme="minorBidi"/>
            <w:b w:val="0"/>
            <w:smallCaps w:val="0"/>
            <w:sz w:val="22"/>
            <w:szCs w:val="22"/>
            <w:lang w:eastAsia="lv-LV"/>
          </w:rPr>
          <w:tab/>
        </w:r>
        <w:r w:rsidR="003D59DD" w:rsidRPr="00E8176C">
          <w:rPr>
            <w:rStyle w:val="Hyperlink"/>
            <w:rFonts w:ascii="Times New Roman Bold" w:hAnsi="Times New Roman Bold"/>
          </w:rPr>
          <w:t>Ietekme uz mājsaimniecībām</w:t>
        </w:r>
        <w:r w:rsidR="003D59DD">
          <w:rPr>
            <w:webHidden/>
          </w:rPr>
          <w:tab/>
        </w:r>
        <w:r w:rsidR="003D59DD">
          <w:rPr>
            <w:webHidden/>
          </w:rPr>
          <w:fldChar w:fldCharType="begin"/>
        </w:r>
        <w:r w:rsidR="003D59DD">
          <w:rPr>
            <w:webHidden/>
          </w:rPr>
          <w:instrText xml:space="preserve"> PAGEREF _Toc357009517 \h </w:instrText>
        </w:r>
        <w:r w:rsidR="003D59DD">
          <w:rPr>
            <w:webHidden/>
          </w:rPr>
        </w:r>
        <w:r w:rsidR="003D59DD">
          <w:rPr>
            <w:webHidden/>
          </w:rPr>
          <w:fldChar w:fldCharType="separate"/>
        </w:r>
        <w:r>
          <w:rPr>
            <w:webHidden/>
          </w:rPr>
          <w:t>20</w:t>
        </w:r>
        <w:r w:rsidR="003D59DD">
          <w:rPr>
            <w:webHidden/>
          </w:rPr>
          <w:fldChar w:fldCharType="end"/>
        </w:r>
      </w:hyperlink>
    </w:p>
    <w:p w:rsidR="003D59DD" w:rsidRDefault="00360C2A">
      <w:pPr>
        <w:pStyle w:val="TOC1"/>
        <w:rPr>
          <w:rFonts w:asciiTheme="minorHAnsi" w:eastAsiaTheme="minorEastAsia" w:hAnsiTheme="minorHAnsi" w:cstheme="minorBidi"/>
          <w:b w:val="0"/>
          <w:smallCaps w:val="0"/>
          <w:sz w:val="22"/>
          <w:szCs w:val="22"/>
          <w:lang w:eastAsia="lv-LV"/>
        </w:rPr>
      </w:pPr>
      <w:hyperlink w:anchor="_Toc357009518" w:history="1">
        <w:r w:rsidR="003D59DD" w:rsidRPr="00E8176C">
          <w:rPr>
            <w:rStyle w:val="Hyperlink"/>
            <w:rFonts w:ascii="Times New Roman Bold" w:hAnsi="Times New Roman Bold"/>
          </w:rPr>
          <w:t>4.</w:t>
        </w:r>
        <w:r w:rsidR="003D59DD">
          <w:rPr>
            <w:rFonts w:asciiTheme="minorHAnsi" w:eastAsiaTheme="minorEastAsia" w:hAnsiTheme="minorHAnsi" w:cstheme="minorBidi"/>
            <w:b w:val="0"/>
            <w:smallCaps w:val="0"/>
            <w:sz w:val="22"/>
            <w:szCs w:val="22"/>
            <w:lang w:eastAsia="lv-LV"/>
          </w:rPr>
          <w:tab/>
        </w:r>
        <w:r w:rsidR="003D59DD" w:rsidRPr="00E8176C">
          <w:rPr>
            <w:rStyle w:val="Hyperlink"/>
            <w:rFonts w:ascii="Times New Roman Bold" w:hAnsi="Times New Roman Bold"/>
          </w:rPr>
          <w:t>pasākumu plāns ienākumu nevienlīdzības mazināšanai 2014.gadam</w:t>
        </w:r>
        <w:r w:rsidR="003D59DD">
          <w:rPr>
            <w:webHidden/>
          </w:rPr>
          <w:tab/>
        </w:r>
        <w:r w:rsidR="003D59DD">
          <w:rPr>
            <w:webHidden/>
          </w:rPr>
          <w:fldChar w:fldCharType="begin"/>
        </w:r>
        <w:r w:rsidR="003D59DD">
          <w:rPr>
            <w:webHidden/>
          </w:rPr>
          <w:instrText xml:space="preserve"> PAGEREF _Toc357009518 \h </w:instrText>
        </w:r>
        <w:r w:rsidR="003D59DD">
          <w:rPr>
            <w:webHidden/>
          </w:rPr>
        </w:r>
        <w:r w:rsidR="003D59DD">
          <w:rPr>
            <w:webHidden/>
          </w:rPr>
          <w:fldChar w:fldCharType="separate"/>
        </w:r>
        <w:r>
          <w:rPr>
            <w:webHidden/>
          </w:rPr>
          <w:t>21</w:t>
        </w:r>
        <w:r w:rsidR="003D59DD">
          <w:rPr>
            <w:webHidden/>
          </w:rPr>
          <w:fldChar w:fldCharType="end"/>
        </w:r>
      </w:hyperlink>
    </w:p>
    <w:p w:rsidR="007F64CF" w:rsidRDefault="00DB6768" w:rsidP="007F64CF">
      <w:pPr>
        <w:jc w:val="center"/>
        <w:rPr>
          <w:rFonts w:ascii="Times New Roman" w:hAnsi="Times New Roman" w:cs="Times New Roman"/>
          <w:b/>
          <w:smallCaps/>
          <w:sz w:val="32"/>
          <w:szCs w:val="32"/>
        </w:rPr>
      </w:pPr>
      <w:r w:rsidRPr="00DC6C64">
        <w:rPr>
          <w:rFonts w:ascii="Times New Roman" w:hAnsi="Times New Roman" w:cs="Times New Roman"/>
          <w:b/>
          <w:sz w:val="28"/>
          <w:szCs w:val="28"/>
        </w:rPr>
        <w:fldChar w:fldCharType="end"/>
      </w:r>
    </w:p>
    <w:p w:rsidR="007F64CF" w:rsidRDefault="007F64CF" w:rsidP="007F64CF">
      <w:pPr>
        <w:jc w:val="center"/>
        <w:rPr>
          <w:rFonts w:ascii="Times New Roman" w:hAnsi="Times New Roman" w:cs="Times New Roman"/>
          <w:b/>
          <w:smallCaps/>
          <w:sz w:val="32"/>
          <w:szCs w:val="32"/>
        </w:rPr>
      </w:pPr>
    </w:p>
    <w:p w:rsidR="007F64CF" w:rsidRDefault="007F64CF">
      <w:pPr>
        <w:rPr>
          <w:rFonts w:ascii="Times New Roman" w:hAnsi="Times New Roman" w:cs="Times New Roman"/>
          <w:b/>
          <w:smallCaps/>
          <w:sz w:val="32"/>
          <w:szCs w:val="32"/>
        </w:rPr>
      </w:pPr>
      <w:r>
        <w:rPr>
          <w:rFonts w:ascii="Times New Roman" w:hAnsi="Times New Roman" w:cs="Times New Roman"/>
          <w:b/>
          <w:smallCaps/>
          <w:sz w:val="32"/>
          <w:szCs w:val="32"/>
        </w:rPr>
        <w:br w:type="page"/>
      </w:r>
    </w:p>
    <w:p w:rsidR="00060A1F" w:rsidRPr="00DB6768" w:rsidRDefault="00060A1F" w:rsidP="00DB6768">
      <w:pPr>
        <w:pStyle w:val="Heading1"/>
        <w:jc w:val="center"/>
        <w:rPr>
          <w:rFonts w:ascii="Times New Roman Bold" w:hAnsi="Times New Roman Bold" w:cs="Times New Roman"/>
          <w:smallCaps/>
          <w:color w:val="auto"/>
          <w:sz w:val="32"/>
          <w:szCs w:val="32"/>
        </w:rPr>
      </w:pPr>
      <w:bookmarkStart w:id="0" w:name="_Toc357009509"/>
      <w:r w:rsidRPr="00DB6768">
        <w:rPr>
          <w:rFonts w:ascii="Times New Roman Bold" w:hAnsi="Times New Roman Bold" w:cs="Times New Roman"/>
          <w:smallCaps/>
          <w:color w:val="auto"/>
          <w:sz w:val="32"/>
          <w:szCs w:val="32"/>
        </w:rPr>
        <w:lastRenderedPageBreak/>
        <w:t>Tekstā lietotie saīsinājumi</w:t>
      </w:r>
      <w:bookmarkEnd w:id="0"/>
    </w:p>
    <w:p w:rsidR="00060A1F" w:rsidRDefault="00060A1F" w:rsidP="00060A1F">
      <w:pPr>
        <w:jc w:val="center"/>
        <w:rPr>
          <w:rFonts w:ascii="Times New Roman" w:hAnsi="Times New Roman" w:cs="Times New Roman"/>
          <w:b/>
          <w:smallCaps/>
          <w:sz w:val="32"/>
          <w:szCs w:val="32"/>
        </w:rPr>
      </w:pPr>
    </w:p>
    <w:p w:rsidR="00512E1B" w:rsidRPr="00512E1B" w:rsidRDefault="00512E1B" w:rsidP="00060A1F">
      <w:pPr>
        <w:rPr>
          <w:rFonts w:ascii="Times New Roman" w:hAnsi="Times New Roman" w:cs="Times New Roman"/>
          <w:sz w:val="28"/>
          <w:szCs w:val="28"/>
        </w:rPr>
      </w:pPr>
      <w:r>
        <w:rPr>
          <w:rFonts w:ascii="Times New Roman" w:hAnsi="Times New Roman" w:cs="Times New Roman"/>
          <w:b/>
          <w:sz w:val="28"/>
          <w:szCs w:val="28"/>
        </w:rPr>
        <w:t xml:space="preserve">CSP – </w:t>
      </w:r>
      <w:r w:rsidRPr="00512E1B">
        <w:rPr>
          <w:rFonts w:ascii="Times New Roman" w:hAnsi="Times New Roman" w:cs="Times New Roman"/>
          <w:sz w:val="28"/>
          <w:szCs w:val="28"/>
        </w:rPr>
        <w:t>Centrālā Statistikas pārvalde</w:t>
      </w:r>
    </w:p>
    <w:p w:rsidR="00096189" w:rsidRDefault="00096189" w:rsidP="00060A1F">
      <w:pPr>
        <w:rPr>
          <w:rFonts w:ascii="Times New Roman" w:hAnsi="Times New Roman" w:cs="Times New Roman"/>
          <w:b/>
          <w:sz w:val="28"/>
          <w:szCs w:val="28"/>
        </w:rPr>
      </w:pPr>
      <w:r>
        <w:rPr>
          <w:rFonts w:ascii="Times New Roman" w:hAnsi="Times New Roman" w:cs="Times New Roman"/>
          <w:b/>
          <w:sz w:val="28"/>
          <w:szCs w:val="28"/>
        </w:rPr>
        <w:t xml:space="preserve">ES </w:t>
      </w:r>
      <w:r w:rsidRPr="00096189">
        <w:rPr>
          <w:rFonts w:ascii="Times New Roman" w:hAnsi="Times New Roman" w:cs="Times New Roman"/>
          <w:sz w:val="28"/>
          <w:szCs w:val="28"/>
        </w:rPr>
        <w:t>– Eiropas Savienība</w:t>
      </w:r>
    </w:p>
    <w:p w:rsidR="00585D73" w:rsidRPr="00585D73" w:rsidRDefault="00585D73" w:rsidP="00060A1F">
      <w:pPr>
        <w:rPr>
          <w:rFonts w:ascii="Times New Roman" w:hAnsi="Times New Roman" w:cs="Times New Roman"/>
          <w:sz w:val="28"/>
          <w:szCs w:val="28"/>
        </w:rPr>
      </w:pPr>
      <w:r>
        <w:rPr>
          <w:rFonts w:ascii="Times New Roman" w:hAnsi="Times New Roman" w:cs="Times New Roman"/>
          <w:b/>
          <w:sz w:val="28"/>
          <w:szCs w:val="28"/>
        </w:rPr>
        <w:t xml:space="preserve">FM – </w:t>
      </w:r>
      <w:r w:rsidRPr="00585D73">
        <w:rPr>
          <w:rFonts w:ascii="Times New Roman" w:hAnsi="Times New Roman" w:cs="Times New Roman"/>
          <w:sz w:val="28"/>
          <w:szCs w:val="28"/>
        </w:rPr>
        <w:t>Finanšu ministrija</w:t>
      </w:r>
    </w:p>
    <w:p w:rsidR="00BE3103" w:rsidRPr="00060A1F" w:rsidRDefault="00BE3103" w:rsidP="00060A1F">
      <w:pPr>
        <w:rPr>
          <w:rFonts w:ascii="Times New Roman" w:hAnsi="Times New Roman" w:cs="Times New Roman"/>
          <w:sz w:val="28"/>
          <w:szCs w:val="28"/>
        </w:rPr>
      </w:pPr>
      <w:r w:rsidRPr="00060A1F">
        <w:rPr>
          <w:rFonts w:ascii="Times New Roman" w:hAnsi="Times New Roman" w:cs="Times New Roman"/>
          <w:b/>
          <w:sz w:val="28"/>
          <w:szCs w:val="28"/>
        </w:rPr>
        <w:t>IIN</w:t>
      </w:r>
      <w:r w:rsidRPr="00060A1F">
        <w:rPr>
          <w:rFonts w:ascii="Times New Roman" w:hAnsi="Times New Roman" w:cs="Times New Roman"/>
          <w:sz w:val="28"/>
          <w:szCs w:val="28"/>
        </w:rPr>
        <w:t xml:space="preserve"> – iedzīvotāju ienākuma nodoklis</w:t>
      </w:r>
    </w:p>
    <w:p w:rsidR="00BE3103" w:rsidRPr="00BE3103" w:rsidRDefault="00BE3103" w:rsidP="00060A1F">
      <w:pPr>
        <w:rPr>
          <w:rFonts w:ascii="Times New Roman" w:hAnsi="Times New Roman" w:cs="Times New Roman"/>
          <w:sz w:val="28"/>
          <w:szCs w:val="28"/>
        </w:rPr>
      </w:pPr>
      <w:r>
        <w:rPr>
          <w:rFonts w:ascii="Times New Roman" w:hAnsi="Times New Roman" w:cs="Times New Roman"/>
          <w:b/>
          <w:sz w:val="28"/>
          <w:szCs w:val="28"/>
        </w:rPr>
        <w:t xml:space="preserve">IKP </w:t>
      </w:r>
      <w:r w:rsidRPr="00BE3103">
        <w:rPr>
          <w:rFonts w:ascii="Times New Roman" w:hAnsi="Times New Roman" w:cs="Times New Roman"/>
          <w:sz w:val="28"/>
          <w:szCs w:val="28"/>
        </w:rPr>
        <w:t>– iekšzemes kopprodukts</w:t>
      </w:r>
    </w:p>
    <w:p w:rsidR="00585D73" w:rsidRDefault="00585D73" w:rsidP="00060A1F">
      <w:pPr>
        <w:rPr>
          <w:rFonts w:ascii="Times New Roman" w:hAnsi="Times New Roman" w:cs="Times New Roman"/>
          <w:b/>
          <w:sz w:val="28"/>
          <w:szCs w:val="28"/>
        </w:rPr>
      </w:pPr>
      <w:r>
        <w:rPr>
          <w:rFonts w:ascii="Times New Roman" w:hAnsi="Times New Roman" w:cs="Times New Roman"/>
          <w:b/>
          <w:sz w:val="28"/>
          <w:szCs w:val="28"/>
        </w:rPr>
        <w:t xml:space="preserve">LM – </w:t>
      </w:r>
      <w:r w:rsidRPr="00585D73">
        <w:rPr>
          <w:rFonts w:ascii="Times New Roman" w:hAnsi="Times New Roman" w:cs="Times New Roman"/>
          <w:sz w:val="28"/>
          <w:szCs w:val="28"/>
        </w:rPr>
        <w:t>Labklājības ministrija</w:t>
      </w:r>
    </w:p>
    <w:p w:rsidR="00BE3103" w:rsidRDefault="00BE3103" w:rsidP="00060A1F">
      <w:pPr>
        <w:rPr>
          <w:rFonts w:ascii="Times New Roman" w:hAnsi="Times New Roman" w:cs="Times New Roman"/>
          <w:sz w:val="28"/>
          <w:szCs w:val="28"/>
        </w:rPr>
      </w:pPr>
      <w:r w:rsidRPr="00060A1F">
        <w:rPr>
          <w:rFonts w:ascii="Times New Roman" w:hAnsi="Times New Roman" w:cs="Times New Roman"/>
          <w:b/>
          <w:sz w:val="28"/>
          <w:szCs w:val="28"/>
        </w:rPr>
        <w:t>MK</w:t>
      </w:r>
      <w:r w:rsidRPr="00060A1F">
        <w:rPr>
          <w:rFonts w:ascii="Times New Roman" w:hAnsi="Times New Roman" w:cs="Times New Roman"/>
          <w:sz w:val="28"/>
          <w:szCs w:val="28"/>
        </w:rPr>
        <w:t xml:space="preserve"> – </w:t>
      </w:r>
      <w:r>
        <w:rPr>
          <w:rFonts w:ascii="Times New Roman" w:hAnsi="Times New Roman" w:cs="Times New Roman"/>
          <w:sz w:val="28"/>
          <w:szCs w:val="28"/>
        </w:rPr>
        <w:t>M</w:t>
      </w:r>
      <w:r w:rsidRPr="00060A1F">
        <w:rPr>
          <w:rFonts w:ascii="Times New Roman" w:hAnsi="Times New Roman" w:cs="Times New Roman"/>
          <w:sz w:val="28"/>
          <w:szCs w:val="28"/>
        </w:rPr>
        <w:t>inistru kabinets</w:t>
      </w:r>
    </w:p>
    <w:p w:rsidR="00BE3103" w:rsidRDefault="00BE3103" w:rsidP="00060A1F">
      <w:pPr>
        <w:rPr>
          <w:rFonts w:ascii="Times New Roman" w:hAnsi="Times New Roman" w:cs="Times New Roman"/>
          <w:sz w:val="28"/>
          <w:szCs w:val="28"/>
        </w:rPr>
      </w:pPr>
      <w:r w:rsidRPr="00060A1F">
        <w:rPr>
          <w:rFonts w:ascii="Times New Roman" w:hAnsi="Times New Roman" w:cs="Times New Roman"/>
          <w:b/>
          <w:sz w:val="28"/>
          <w:szCs w:val="28"/>
        </w:rPr>
        <w:t>NĪN</w:t>
      </w:r>
      <w:r>
        <w:rPr>
          <w:rFonts w:ascii="Times New Roman" w:hAnsi="Times New Roman" w:cs="Times New Roman"/>
          <w:sz w:val="28"/>
          <w:szCs w:val="28"/>
        </w:rPr>
        <w:t xml:space="preserve"> – nekustamā īpašuma nodoklis</w:t>
      </w:r>
    </w:p>
    <w:p w:rsidR="00BE3103" w:rsidRDefault="00BE3103" w:rsidP="00060A1F">
      <w:pPr>
        <w:rPr>
          <w:rFonts w:ascii="Times New Roman" w:hAnsi="Times New Roman" w:cs="Times New Roman"/>
          <w:sz w:val="28"/>
          <w:szCs w:val="28"/>
        </w:rPr>
      </w:pPr>
      <w:r w:rsidRPr="00060A1F">
        <w:rPr>
          <w:rFonts w:ascii="Times New Roman" w:hAnsi="Times New Roman" w:cs="Times New Roman"/>
          <w:b/>
          <w:sz w:val="28"/>
          <w:szCs w:val="28"/>
        </w:rPr>
        <w:t>PVN</w:t>
      </w:r>
      <w:r>
        <w:rPr>
          <w:rFonts w:ascii="Times New Roman" w:hAnsi="Times New Roman" w:cs="Times New Roman"/>
          <w:sz w:val="28"/>
          <w:szCs w:val="28"/>
        </w:rPr>
        <w:t xml:space="preserve"> – pievienotās vērtības nodoklis </w:t>
      </w:r>
    </w:p>
    <w:p w:rsidR="00D45181" w:rsidRDefault="00D45181" w:rsidP="00060A1F">
      <w:pPr>
        <w:rPr>
          <w:rFonts w:ascii="Times New Roman" w:hAnsi="Times New Roman" w:cs="Times New Roman"/>
          <w:sz w:val="28"/>
          <w:szCs w:val="28"/>
        </w:rPr>
      </w:pPr>
      <w:r w:rsidRPr="00D45181">
        <w:rPr>
          <w:rFonts w:ascii="Times New Roman" w:hAnsi="Times New Roman" w:cs="Times New Roman"/>
          <w:b/>
          <w:sz w:val="28"/>
          <w:szCs w:val="28"/>
        </w:rPr>
        <w:t>VID</w:t>
      </w:r>
      <w:r>
        <w:rPr>
          <w:rFonts w:ascii="Times New Roman" w:hAnsi="Times New Roman" w:cs="Times New Roman"/>
          <w:sz w:val="28"/>
          <w:szCs w:val="28"/>
        </w:rPr>
        <w:t xml:space="preserve"> – Valsts ieņēmumu dienests </w:t>
      </w:r>
    </w:p>
    <w:p w:rsidR="00BE3103" w:rsidRDefault="00BE3103" w:rsidP="00060A1F">
      <w:pPr>
        <w:rPr>
          <w:rFonts w:ascii="Times New Roman" w:hAnsi="Times New Roman" w:cs="Times New Roman"/>
          <w:sz w:val="28"/>
          <w:szCs w:val="28"/>
        </w:rPr>
      </w:pPr>
      <w:r w:rsidRPr="00060A1F">
        <w:rPr>
          <w:rFonts w:ascii="Times New Roman" w:hAnsi="Times New Roman" w:cs="Times New Roman"/>
          <w:b/>
          <w:sz w:val="28"/>
          <w:szCs w:val="28"/>
        </w:rPr>
        <w:t>VSAOI</w:t>
      </w:r>
      <w:r>
        <w:rPr>
          <w:rFonts w:ascii="Times New Roman" w:hAnsi="Times New Roman" w:cs="Times New Roman"/>
          <w:sz w:val="28"/>
          <w:szCs w:val="28"/>
        </w:rPr>
        <w:t xml:space="preserve"> – valsts sociālās apdrošināšanas obligātās iemaksas</w:t>
      </w:r>
    </w:p>
    <w:p w:rsidR="00BE3103" w:rsidRPr="00060A1F" w:rsidRDefault="00BE3103" w:rsidP="00060A1F">
      <w:pPr>
        <w:rPr>
          <w:rFonts w:ascii="Times New Roman" w:hAnsi="Times New Roman" w:cs="Times New Roman"/>
          <w:sz w:val="28"/>
          <w:szCs w:val="28"/>
        </w:rPr>
      </w:pPr>
    </w:p>
    <w:p w:rsidR="00060A1F" w:rsidRPr="00060A1F" w:rsidRDefault="00060A1F" w:rsidP="00060A1F">
      <w:pPr>
        <w:jc w:val="center"/>
        <w:rPr>
          <w:rFonts w:ascii="Times New Roman" w:hAnsi="Times New Roman" w:cs="Times New Roman"/>
          <w:b/>
          <w:smallCaps/>
          <w:sz w:val="32"/>
          <w:szCs w:val="32"/>
        </w:rPr>
      </w:pPr>
    </w:p>
    <w:p w:rsidR="00060A1F" w:rsidRDefault="00060A1F">
      <w:pPr>
        <w:rPr>
          <w:rFonts w:ascii="Times New Roman" w:hAnsi="Times New Roman" w:cs="Times New Roman"/>
          <w:sz w:val="28"/>
          <w:szCs w:val="28"/>
        </w:rPr>
      </w:pPr>
    </w:p>
    <w:p w:rsidR="00060A1F" w:rsidRDefault="00060A1F">
      <w:pPr>
        <w:rPr>
          <w:rFonts w:ascii="Times New Roman" w:hAnsi="Times New Roman" w:cs="Times New Roman"/>
          <w:sz w:val="28"/>
          <w:szCs w:val="28"/>
        </w:rPr>
      </w:pPr>
      <w:r>
        <w:rPr>
          <w:rFonts w:ascii="Times New Roman" w:hAnsi="Times New Roman" w:cs="Times New Roman"/>
          <w:sz w:val="28"/>
          <w:szCs w:val="28"/>
        </w:rPr>
        <w:br w:type="page"/>
      </w:r>
    </w:p>
    <w:p w:rsidR="007F64CF" w:rsidRPr="00DB6768" w:rsidRDefault="007F64CF" w:rsidP="002E03F4">
      <w:pPr>
        <w:pStyle w:val="Heading1"/>
        <w:spacing w:before="0" w:line="240" w:lineRule="auto"/>
        <w:jc w:val="center"/>
        <w:rPr>
          <w:rFonts w:ascii="Times New Roman Bold" w:hAnsi="Times New Roman Bold" w:cs="Times New Roman"/>
          <w:smallCaps/>
          <w:color w:val="auto"/>
          <w:sz w:val="32"/>
          <w:szCs w:val="32"/>
        </w:rPr>
      </w:pPr>
      <w:bookmarkStart w:id="1" w:name="_Toc357009510"/>
      <w:r w:rsidRPr="00DB6768">
        <w:rPr>
          <w:rFonts w:ascii="Times New Roman Bold" w:hAnsi="Times New Roman Bold" w:cs="Times New Roman"/>
          <w:smallCaps/>
          <w:color w:val="auto"/>
          <w:sz w:val="32"/>
          <w:szCs w:val="32"/>
        </w:rPr>
        <w:lastRenderedPageBreak/>
        <w:t>Terminu definīcijas</w:t>
      </w:r>
      <w:bookmarkEnd w:id="1"/>
    </w:p>
    <w:p w:rsidR="007F64CF" w:rsidRPr="002E03F4" w:rsidRDefault="007F64CF" w:rsidP="002E03F4">
      <w:pPr>
        <w:spacing w:after="0" w:line="240" w:lineRule="auto"/>
        <w:jc w:val="both"/>
        <w:rPr>
          <w:rFonts w:ascii="Times New Roman" w:hAnsi="Times New Roman" w:cs="Times New Roman"/>
          <w:sz w:val="24"/>
          <w:szCs w:val="24"/>
        </w:rPr>
      </w:pPr>
    </w:p>
    <w:p w:rsidR="007F64CF" w:rsidRPr="007F64CF" w:rsidRDefault="007F64CF" w:rsidP="002E03F4">
      <w:pPr>
        <w:spacing w:after="0" w:line="240" w:lineRule="auto"/>
        <w:jc w:val="both"/>
        <w:rPr>
          <w:rFonts w:ascii="Times New Roman" w:hAnsi="Times New Roman" w:cs="Times New Roman"/>
          <w:sz w:val="28"/>
          <w:szCs w:val="28"/>
        </w:rPr>
      </w:pPr>
      <w:r w:rsidRPr="007F64CF">
        <w:rPr>
          <w:rFonts w:ascii="Times New Roman" w:hAnsi="Times New Roman" w:cs="Times New Roman"/>
          <w:b/>
          <w:sz w:val="28"/>
          <w:szCs w:val="28"/>
        </w:rPr>
        <w:t xml:space="preserve">Apgādībā esošās personas </w:t>
      </w:r>
      <w:r w:rsidRPr="007F64CF">
        <w:rPr>
          <w:rFonts w:ascii="Times New Roman" w:hAnsi="Times New Roman" w:cs="Times New Roman"/>
          <w:sz w:val="28"/>
          <w:szCs w:val="28"/>
        </w:rPr>
        <w:t xml:space="preserve">– </w:t>
      </w:r>
      <w:r w:rsidR="00DD0C3E">
        <w:rPr>
          <w:rFonts w:ascii="Times New Roman" w:hAnsi="Times New Roman" w:cs="Times New Roman"/>
          <w:sz w:val="28"/>
          <w:szCs w:val="28"/>
        </w:rPr>
        <w:t>personas</w:t>
      </w:r>
      <w:r w:rsidRPr="007F64CF">
        <w:rPr>
          <w:rFonts w:ascii="Times New Roman" w:hAnsi="Times New Roman" w:cs="Times New Roman"/>
          <w:sz w:val="28"/>
          <w:szCs w:val="28"/>
        </w:rPr>
        <w:t>, par kuru uzturēšanu nodokļa maksātājs drīkst samazināt ar nodokli apliekamo ienākumu</w:t>
      </w:r>
      <w:r w:rsidR="008E0260" w:rsidRPr="00DD0C3E">
        <w:rPr>
          <w:rFonts w:ascii="Times New Roman" w:hAnsi="Times New Roman" w:cs="Times New Roman"/>
          <w:sz w:val="28"/>
          <w:szCs w:val="28"/>
        </w:rPr>
        <w:t xml:space="preserve">, </w:t>
      </w:r>
      <w:r w:rsidR="008E0260" w:rsidRPr="008E0260">
        <w:rPr>
          <w:rFonts w:ascii="Times New Roman" w:hAnsi="Times New Roman" w:cs="Times New Roman"/>
          <w:sz w:val="28"/>
          <w:szCs w:val="28"/>
        </w:rPr>
        <w:t>ja šai personai nav piešķirta pensija un tā nesaņem pensiju saskaņā ar likumu "Par valsts pensijām", izņemot apgādnieka zaudējuma pensiju</w:t>
      </w:r>
      <w:r w:rsidRPr="00DD0C3E">
        <w:rPr>
          <w:rFonts w:ascii="Times New Roman" w:hAnsi="Times New Roman" w:cs="Times New Roman"/>
          <w:sz w:val="28"/>
          <w:szCs w:val="28"/>
        </w:rPr>
        <w:t>.</w:t>
      </w:r>
      <w:r w:rsidRPr="007F64CF">
        <w:rPr>
          <w:rFonts w:ascii="Times New Roman" w:hAnsi="Times New Roman" w:cs="Times New Roman"/>
          <w:sz w:val="28"/>
          <w:szCs w:val="28"/>
        </w:rPr>
        <w:t xml:space="preserve"> </w:t>
      </w:r>
      <w:r w:rsidR="008E0260">
        <w:rPr>
          <w:rFonts w:ascii="Times New Roman" w:hAnsi="Times New Roman" w:cs="Times New Roman"/>
          <w:sz w:val="28"/>
          <w:szCs w:val="28"/>
        </w:rPr>
        <w:t>Šīs</w:t>
      </w:r>
      <w:r w:rsidR="008E0260" w:rsidRPr="007F64CF">
        <w:rPr>
          <w:rFonts w:ascii="Times New Roman" w:hAnsi="Times New Roman" w:cs="Times New Roman"/>
          <w:sz w:val="28"/>
          <w:szCs w:val="28"/>
        </w:rPr>
        <w:t xml:space="preserve"> </w:t>
      </w:r>
      <w:r w:rsidRPr="007F64CF">
        <w:rPr>
          <w:rFonts w:ascii="Times New Roman" w:hAnsi="Times New Roman" w:cs="Times New Roman"/>
          <w:sz w:val="28"/>
          <w:szCs w:val="28"/>
        </w:rPr>
        <w:t>personas ir:</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bookmarkStart w:id="2" w:name="_Ref282700317"/>
      <w:r w:rsidRPr="007F64CF">
        <w:rPr>
          <w:rFonts w:ascii="Times New Roman" w:hAnsi="Times New Roman" w:cs="Times New Roman"/>
          <w:sz w:val="28"/>
          <w:szCs w:val="28"/>
        </w:rPr>
        <w:t>nepilngadīgi bērni</w:t>
      </w:r>
      <w:bookmarkEnd w:id="2"/>
      <w:r w:rsidRPr="007F64CF">
        <w:rPr>
          <w:rFonts w:ascii="Times New Roman" w:hAnsi="Times New Roman" w:cs="Times New Roman"/>
          <w:sz w:val="28"/>
          <w:szCs w:val="28"/>
        </w:rPr>
        <w:t>;</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bērni, kas turpina vispārējās, profesionālās, augstākās vai speciālās izglītības iegūšanu, bet ne ilgāk kā līdz 24 gadu vecuma sasniegšanai</w:t>
      </w:r>
      <w:r w:rsidR="0042405B">
        <w:rPr>
          <w:rFonts w:ascii="Times New Roman" w:hAnsi="Times New Roman" w:cs="Times New Roman"/>
          <w:sz w:val="28"/>
          <w:szCs w:val="28"/>
        </w:rPr>
        <w:t>;</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nestrādājoši laulātie;</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nestrādājoši vecāki un vecvecāki;</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mazbērni vai audzināšanā paņemti bērni, ja no viņa vecākiem nav iespējams piedzīt uzturnaudu (alimentus), arī tikmēr, kamēr viņš turpina vispārējās, profesionālās, augstākās vai speciālās izglītības iegūšanu, bet ne ilgāk kā līdz 24 gadu vecuma sasniegšanai;</w:t>
      </w:r>
    </w:p>
    <w:p w:rsidR="007F64CF" w:rsidRPr="007F64CF" w:rsidRDefault="00DD0C3E"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 xml:space="preserve">nepilngadīgi </w:t>
      </w:r>
      <w:r w:rsidR="007F64CF" w:rsidRPr="007F64CF">
        <w:rPr>
          <w:rFonts w:ascii="Times New Roman" w:hAnsi="Times New Roman" w:cs="Times New Roman"/>
          <w:sz w:val="28"/>
          <w:szCs w:val="28"/>
        </w:rPr>
        <w:t xml:space="preserve">brāļi un māsas, </w:t>
      </w:r>
      <w:r w:rsidR="00795ABB" w:rsidRPr="008E0260">
        <w:rPr>
          <w:rFonts w:ascii="Times New Roman" w:hAnsi="Times New Roman" w:cs="Times New Roman"/>
          <w:sz w:val="28"/>
          <w:szCs w:val="28"/>
        </w:rPr>
        <w:t>kā arī brā</w:t>
      </w:r>
      <w:r w:rsidR="00795ABB">
        <w:rPr>
          <w:rFonts w:ascii="Times New Roman" w:hAnsi="Times New Roman" w:cs="Times New Roman"/>
          <w:sz w:val="28"/>
          <w:szCs w:val="28"/>
        </w:rPr>
        <w:t>ļ</w:t>
      </w:r>
      <w:r w:rsidR="00795ABB" w:rsidRPr="008E0260">
        <w:rPr>
          <w:rFonts w:ascii="Times New Roman" w:hAnsi="Times New Roman" w:cs="Times New Roman"/>
          <w:sz w:val="28"/>
          <w:szCs w:val="28"/>
        </w:rPr>
        <w:t>i un mās</w:t>
      </w:r>
      <w:r w:rsidR="00795ABB">
        <w:rPr>
          <w:rFonts w:ascii="Times New Roman" w:hAnsi="Times New Roman" w:cs="Times New Roman"/>
          <w:sz w:val="28"/>
          <w:szCs w:val="28"/>
        </w:rPr>
        <w:t>as</w:t>
      </w:r>
      <w:r w:rsidR="00795ABB" w:rsidRPr="008E0260">
        <w:rPr>
          <w:rFonts w:ascii="Times New Roman" w:hAnsi="Times New Roman" w:cs="Times New Roman"/>
          <w:sz w:val="28"/>
          <w:szCs w:val="28"/>
        </w:rPr>
        <w:t xml:space="preserve">, kamēr </w:t>
      </w:r>
      <w:r w:rsidR="00795ABB">
        <w:rPr>
          <w:rFonts w:ascii="Times New Roman" w:hAnsi="Times New Roman" w:cs="Times New Roman"/>
          <w:sz w:val="28"/>
          <w:szCs w:val="28"/>
        </w:rPr>
        <w:t>tie</w:t>
      </w:r>
      <w:r w:rsidR="00795ABB" w:rsidRPr="008E0260">
        <w:rPr>
          <w:rFonts w:ascii="Times New Roman" w:hAnsi="Times New Roman" w:cs="Times New Roman"/>
          <w:sz w:val="28"/>
          <w:szCs w:val="28"/>
        </w:rPr>
        <w:t xml:space="preserve"> turpina vis</w:t>
      </w:r>
      <w:r w:rsidR="002E03F4">
        <w:rPr>
          <w:rFonts w:ascii="Times New Roman" w:hAnsi="Times New Roman" w:cs="Times New Roman"/>
          <w:sz w:val="28"/>
          <w:szCs w:val="28"/>
        </w:rPr>
        <w:softHyphen/>
      </w:r>
      <w:r w:rsidR="00795ABB" w:rsidRPr="008E0260">
        <w:rPr>
          <w:rFonts w:ascii="Times New Roman" w:hAnsi="Times New Roman" w:cs="Times New Roman"/>
          <w:sz w:val="28"/>
          <w:szCs w:val="28"/>
        </w:rPr>
        <w:t>pā</w:t>
      </w:r>
      <w:r w:rsidR="002E03F4">
        <w:rPr>
          <w:rFonts w:ascii="Times New Roman" w:hAnsi="Times New Roman" w:cs="Times New Roman"/>
          <w:sz w:val="28"/>
          <w:szCs w:val="28"/>
        </w:rPr>
        <w:softHyphen/>
      </w:r>
      <w:r w:rsidR="00795ABB" w:rsidRPr="008E0260">
        <w:rPr>
          <w:rFonts w:ascii="Times New Roman" w:hAnsi="Times New Roman" w:cs="Times New Roman"/>
          <w:sz w:val="28"/>
          <w:szCs w:val="28"/>
        </w:rPr>
        <w:t>rējās, profesionālās, augstākās vai speciālās izglītības iegūšanu, bet ne ilgāk kā līdz 24 gadu vecuma sasniegšanai</w:t>
      </w:r>
      <w:r w:rsidR="0042405B">
        <w:rPr>
          <w:rFonts w:ascii="Times New Roman" w:hAnsi="Times New Roman" w:cs="Times New Roman"/>
          <w:sz w:val="28"/>
          <w:szCs w:val="28"/>
        </w:rPr>
        <w:t>,</w:t>
      </w:r>
      <w:r w:rsidR="00795ABB">
        <w:rPr>
          <w:rFonts w:ascii="Times New Roman" w:hAnsi="Times New Roman" w:cs="Times New Roman"/>
          <w:sz w:val="28"/>
          <w:szCs w:val="28"/>
        </w:rPr>
        <w:t xml:space="preserve"> </w:t>
      </w:r>
      <w:r w:rsidR="007F64CF" w:rsidRPr="007F64CF">
        <w:rPr>
          <w:rFonts w:ascii="Times New Roman" w:hAnsi="Times New Roman" w:cs="Times New Roman"/>
          <w:sz w:val="28"/>
          <w:szCs w:val="28"/>
        </w:rPr>
        <w:t xml:space="preserve">ja viņiem nav darbaspējīgu vecāku; </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apgādībā esošu personu apgādājamie;</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personas, kuru labā pēc tiesas sprieduma no maksātāja tiek piedzīta uzturnauda (alimenti);</w:t>
      </w:r>
    </w:p>
    <w:p w:rsidR="007F64CF" w:rsidRPr="007F64CF" w:rsidRDefault="007F64CF" w:rsidP="00C1526E">
      <w:pPr>
        <w:pStyle w:val="ListParagraph"/>
        <w:numPr>
          <w:ilvl w:val="0"/>
          <w:numId w:val="9"/>
        </w:numPr>
        <w:spacing w:after="0" w:line="240" w:lineRule="auto"/>
        <w:ind w:left="1134" w:hanging="567"/>
        <w:jc w:val="both"/>
        <w:rPr>
          <w:rFonts w:ascii="Times New Roman" w:hAnsi="Times New Roman" w:cs="Times New Roman"/>
          <w:sz w:val="28"/>
          <w:szCs w:val="28"/>
        </w:rPr>
      </w:pPr>
      <w:r w:rsidRPr="007F64CF">
        <w:rPr>
          <w:rFonts w:ascii="Times New Roman" w:hAnsi="Times New Roman" w:cs="Times New Roman"/>
          <w:sz w:val="28"/>
          <w:szCs w:val="28"/>
        </w:rPr>
        <w:t xml:space="preserve">maksātāju aizbildnībā vai aizgādnībā esošas personas. </w:t>
      </w:r>
    </w:p>
    <w:p w:rsidR="007F64CF" w:rsidRPr="002E03F4" w:rsidRDefault="007F64CF" w:rsidP="00C1526E">
      <w:pPr>
        <w:pStyle w:val="ListParagraph"/>
        <w:spacing w:after="0" w:line="240" w:lineRule="auto"/>
        <w:jc w:val="both"/>
        <w:rPr>
          <w:rFonts w:ascii="Times New Roman" w:hAnsi="Times New Roman" w:cs="Times New Roman"/>
          <w:sz w:val="24"/>
          <w:szCs w:val="24"/>
        </w:rPr>
      </w:pPr>
    </w:p>
    <w:p w:rsidR="00CF1221" w:rsidRPr="00CF1221" w:rsidRDefault="00CF1221" w:rsidP="00C1526E">
      <w:pPr>
        <w:spacing w:after="0" w:line="240" w:lineRule="auto"/>
        <w:jc w:val="both"/>
        <w:rPr>
          <w:rFonts w:ascii="Times New Roman" w:hAnsi="Times New Roman" w:cs="Times New Roman"/>
          <w:sz w:val="28"/>
          <w:szCs w:val="28"/>
        </w:rPr>
      </w:pPr>
      <w:r w:rsidRPr="00CF1221">
        <w:rPr>
          <w:rFonts w:ascii="Times New Roman" w:hAnsi="Times New Roman" w:cs="Times New Roman"/>
          <w:b/>
          <w:sz w:val="28"/>
          <w:szCs w:val="28"/>
        </w:rPr>
        <w:t>Darba</w:t>
      </w:r>
      <w:r w:rsidR="00634E75">
        <w:rPr>
          <w:rFonts w:ascii="Times New Roman" w:hAnsi="Times New Roman" w:cs="Times New Roman"/>
          <w:b/>
          <w:sz w:val="28"/>
          <w:szCs w:val="28"/>
        </w:rPr>
        <w:t>spēka</w:t>
      </w:r>
      <w:r w:rsidRPr="00CF1221">
        <w:rPr>
          <w:rFonts w:ascii="Times New Roman" w:hAnsi="Times New Roman" w:cs="Times New Roman"/>
          <w:b/>
          <w:sz w:val="28"/>
          <w:szCs w:val="28"/>
        </w:rPr>
        <w:t xml:space="preserve"> nodokļi</w:t>
      </w:r>
      <w:r w:rsidRPr="00CF1221">
        <w:rPr>
          <w:rFonts w:ascii="Times New Roman" w:hAnsi="Times New Roman" w:cs="Times New Roman"/>
          <w:sz w:val="28"/>
          <w:szCs w:val="28"/>
        </w:rPr>
        <w:t xml:space="preserve"> </w:t>
      </w:r>
      <w:r>
        <w:rPr>
          <w:rFonts w:ascii="Times New Roman" w:hAnsi="Times New Roman" w:cs="Times New Roman"/>
          <w:b/>
          <w:sz w:val="28"/>
          <w:szCs w:val="28"/>
        </w:rPr>
        <w:t>–</w:t>
      </w:r>
      <w:r w:rsidRPr="00CF1221">
        <w:rPr>
          <w:rFonts w:ascii="Times New Roman" w:hAnsi="Times New Roman" w:cs="Times New Roman"/>
          <w:b/>
          <w:sz w:val="28"/>
          <w:szCs w:val="28"/>
        </w:rPr>
        <w:t xml:space="preserve"> </w:t>
      </w:r>
      <w:r w:rsidRPr="00CF1221">
        <w:rPr>
          <w:rFonts w:ascii="Times New Roman" w:hAnsi="Times New Roman" w:cs="Times New Roman"/>
          <w:sz w:val="28"/>
          <w:szCs w:val="28"/>
        </w:rPr>
        <w:t xml:space="preserve">nodokļu un maksājumu kopums, kurā ietilpst gan darba devēja, gan darba ņēmēja </w:t>
      </w:r>
      <w:r>
        <w:rPr>
          <w:rFonts w:ascii="Times New Roman" w:hAnsi="Times New Roman" w:cs="Times New Roman"/>
          <w:sz w:val="28"/>
          <w:szCs w:val="28"/>
        </w:rPr>
        <w:t>VSAOI</w:t>
      </w:r>
      <w:r w:rsidRPr="00CF1221">
        <w:rPr>
          <w:rFonts w:ascii="Times New Roman" w:hAnsi="Times New Roman" w:cs="Times New Roman"/>
          <w:sz w:val="28"/>
          <w:szCs w:val="28"/>
        </w:rPr>
        <w:t xml:space="preserve"> un </w:t>
      </w:r>
      <w:r>
        <w:rPr>
          <w:rFonts w:ascii="Times New Roman" w:hAnsi="Times New Roman" w:cs="Times New Roman"/>
          <w:sz w:val="28"/>
          <w:szCs w:val="28"/>
        </w:rPr>
        <w:t>IIN</w:t>
      </w:r>
      <w:r w:rsidRPr="00CF1221">
        <w:rPr>
          <w:rFonts w:ascii="Times New Roman" w:hAnsi="Times New Roman" w:cs="Times New Roman"/>
          <w:sz w:val="28"/>
          <w:szCs w:val="28"/>
        </w:rPr>
        <w:t>, ņemot vērā neapliekamo minimumu un nodokļa atvieglojumu par apgādībā esošām personām</w:t>
      </w:r>
      <w:r w:rsidR="00A66FA1">
        <w:rPr>
          <w:rFonts w:ascii="Times New Roman" w:hAnsi="Times New Roman" w:cs="Times New Roman"/>
          <w:sz w:val="28"/>
          <w:szCs w:val="28"/>
        </w:rPr>
        <w:t>, nodokļa papildu atvieglojumus un atsevišķus attaisnotos izdevumus</w:t>
      </w:r>
      <w:r w:rsidRPr="00CF1221">
        <w:rPr>
          <w:rFonts w:ascii="Times New Roman" w:hAnsi="Times New Roman" w:cs="Times New Roman"/>
          <w:sz w:val="28"/>
          <w:szCs w:val="28"/>
        </w:rPr>
        <w:t>.</w:t>
      </w:r>
    </w:p>
    <w:p w:rsidR="00CF1221" w:rsidRPr="002E03F4" w:rsidRDefault="00CF1221" w:rsidP="00C1526E">
      <w:pPr>
        <w:spacing w:after="0" w:line="240" w:lineRule="auto"/>
        <w:jc w:val="both"/>
        <w:rPr>
          <w:rFonts w:ascii="Times New Roman" w:hAnsi="Times New Roman" w:cs="Times New Roman"/>
          <w:b/>
          <w:sz w:val="24"/>
          <w:szCs w:val="24"/>
        </w:rPr>
      </w:pPr>
    </w:p>
    <w:p w:rsidR="00A66FA1" w:rsidRPr="006F38E9" w:rsidRDefault="00A66FA1" w:rsidP="00A66FA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D</w:t>
      </w:r>
      <w:r w:rsidRPr="006F38E9">
        <w:rPr>
          <w:rFonts w:ascii="Times New Roman" w:hAnsi="Times New Roman" w:cs="Times New Roman"/>
          <w:b/>
          <w:bCs/>
          <w:sz w:val="28"/>
          <w:szCs w:val="28"/>
        </w:rPr>
        <w:t>arba</w:t>
      </w:r>
      <w:r>
        <w:rPr>
          <w:rFonts w:ascii="Times New Roman" w:hAnsi="Times New Roman" w:cs="Times New Roman"/>
          <w:b/>
          <w:bCs/>
          <w:sz w:val="28"/>
          <w:szCs w:val="28"/>
        </w:rPr>
        <w:t>spēka</w:t>
      </w:r>
      <w:r w:rsidRPr="006F38E9">
        <w:rPr>
          <w:rFonts w:ascii="Times New Roman" w:hAnsi="Times New Roman" w:cs="Times New Roman"/>
          <w:b/>
          <w:bCs/>
          <w:sz w:val="28"/>
          <w:szCs w:val="28"/>
        </w:rPr>
        <w:t xml:space="preserve"> nodokļu </w:t>
      </w:r>
      <w:r>
        <w:rPr>
          <w:rFonts w:ascii="Times New Roman" w:hAnsi="Times New Roman" w:cs="Times New Roman"/>
          <w:b/>
          <w:bCs/>
          <w:sz w:val="28"/>
          <w:szCs w:val="28"/>
        </w:rPr>
        <w:t>n</w:t>
      </w:r>
      <w:r w:rsidRPr="006F38E9">
        <w:rPr>
          <w:rFonts w:ascii="Times New Roman" w:hAnsi="Times New Roman" w:cs="Times New Roman"/>
          <w:b/>
          <w:bCs/>
          <w:sz w:val="28"/>
          <w:szCs w:val="28"/>
        </w:rPr>
        <w:t xml:space="preserve">etiešā likme </w:t>
      </w:r>
      <w:r w:rsidRPr="006F38E9">
        <w:rPr>
          <w:rFonts w:ascii="Times New Roman" w:hAnsi="Times New Roman" w:cs="Times New Roman"/>
          <w:sz w:val="28"/>
          <w:szCs w:val="28"/>
        </w:rPr>
        <w:t>(</w:t>
      </w:r>
      <w:proofErr w:type="spellStart"/>
      <w:r w:rsidRPr="00C1526E">
        <w:rPr>
          <w:rFonts w:ascii="Times New Roman" w:hAnsi="Times New Roman" w:cs="Times New Roman"/>
          <w:i/>
          <w:iCs/>
          <w:sz w:val="28"/>
          <w:szCs w:val="28"/>
        </w:rPr>
        <w:t>implicit</w:t>
      </w:r>
      <w:proofErr w:type="spellEnd"/>
      <w:r w:rsidRPr="00C1526E">
        <w:rPr>
          <w:rFonts w:ascii="Times New Roman" w:hAnsi="Times New Roman" w:cs="Times New Roman"/>
          <w:i/>
          <w:iCs/>
          <w:sz w:val="28"/>
          <w:szCs w:val="28"/>
        </w:rPr>
        <w:t xml:space="preserve"> </w:t>
      </w:r>
      <w:proofErr w:type="spellStart"/>
      <w:r w:rsidRPr="00C1526E">
        <w:rPr>
          <w:rFonts w:ascii="Times New Roman" w:hAnsi="Times New Roman" w:cs="Times New Roman"/>
          <w:i/>
          <w:iCs/>
          <w:sz w:val="28"/>
          <w:szCs w:val="28"/>
        </w:rPr>
        <w:t>tax</w:t>
      </w:r>
      <w:proofErr w:type="spellEnd"/>
      <w:r w:rsidRPr="00C1526E">
        <w:rPr>
          <w:rFonts w:ascii="Times New Roman" w:hAnsi="Times New Roman" w:cs="Times New Roman"/>
          <w:i/>
          <w:iCs/>
          <w:sz w:val="28"/>
          <w:szCs w:val="28"/>
        </w:rPr>
        <w:t xml:space="preserve"> </w:t>
      </w:r>
      <w:proofErr w:type="spellStart"/>
      <w:r w:rsidRPr="00C1526E">
        <w:rPr>
          <w:rFonts w:ascii="Times New Roman" w:hAnsi="Times New Roman" w:cs="Times New Roman"/>
          <w:i/>
          <w:iCs/>
          <w:sz w:val="28"/>
          <w:szCs w:val="28"/>
        </w:rPr>
        <w:t>rate</w:t>
      </w:r>
      <w:proofErr w:type="spellEnd"/>
      <w:r w:rsidRPr="006F38E9">
        <w:rPr>
          <w:rFonts w:ascii="Times New Roman" w:hAnsi="Times New Roman" w:cs="Times New Roman"/>
          <w:sz w:val="28"/>
          <w:szCs w:val="28"/>
        </w:rPr>
        <w:t xml:space="preserve">) </w:t>
      </w:r>
      <w:r>
        <w:rPr>
          <w:rFonts w:ascii="Times New Roman" w:hAnsi="Times New Roman" w:cs="Times New Roman"/>
          <w:sz w:val="28"/>
          <w:szCs w:val="28"/>
        </w:rPr>
        <w:t>–</w:t>
      </w:r>
      <w:r w:rsidRPr="006F38E9">
        <w:rPr>
          <w:rFonts w:ascii="Times New Roman" w:hAnsi="Times New Roman" w:cs="Times New Roman"/>
          <w:sz w:val="28"/>
          <w:szCs w:val="28"/>
        </w:rPr>
        <w:t xml:space="preserve"> </w:t>
      </w:r>
      <w:r>
        <w:rPr>
          <w:rFonts w:ascii="Times New Roman" w:hAnsi="Times New Roman" w:cs="Times New Roman"/>
          <w:sz w:val="28"/>
          <w:szCs w:val="28"/>
        </w:rPr>
        <w:t>ieturētā IIN un</w:t>
      </w:r>
      <w:r w:rsidRPr="006F38E9">
        <w:rPr>
          <w:rFonts w:ascii="Times New Roman" w:hAnsi="Times New Roman" w:cs="Times New Roman"/>
          <w:sz w:val="28"/>
          <w:szCs w:val="28"/>
        </w:rPr>
        <w:t xml:space="preserve"> darba </w:t>
      </w:r>
      <w:r>
        <w:rPr>
          <w:rFonts w:ascii="Times New Roman" w:hAnsi="Times New Roman" w:cs="Times New Roman"/>
          <w:sz w:val="28"/>
          <w:szCs w:val="28"/>
        </w:rPr>
        <w:t>ņēmēja VSAOI</w:t>
      </w:r>
      <w:r w:rsidRPr="006F38E9">
        <w:rPr>
          <w:rFonts w:ascii="Times New Roman" w:hAnsi="Times New Roman" w:cs="Times New Roman"/>
          <w:sz w:val="28"/>
          <w:szCs w:val="28"/>
        </w:rPr>
        <w:t xml:space="preserve"> </w:t>
      </w:r>
      <w:r>
        <w:rPr>
          <w:rFonts w:ascii="Times New Roman" w:hAnsi="Times New Roman" w:cs="Times New Roman"/>
          <w:sz w:val="28"/>
          <w:szCs w:val="28"/>
        </w:rPr>
        <w:t xml:space="preserve">summas </w:t>
      </w:r>
      <w:r w:rsidRPr="006F38E9">
        <w:rPr>
          <w:rFonts w:ascii="Times New Roman" w:hAnsi="Times New Roman" w:cs="Times New Roman"/>
          <w:sz w:val="28"/>
          <w:szCs w:val="28"/>
        </w:rPr>
        <w:t>attiecīb</w:t>
      </w:r>
      <w:r>
        <w:rPr>
          <w:rFonts w:ascii="Times New Roman" w:hAnsi="Times New Roman" w:cs="Times New Roman"/>
          <w:sz w:val="28"/>
          <w:szCs w:val="28"/>
        </w:rPr>
        <w:t>a</w:t>
      </w:r>
      <w:r w:rsidRPr="006F38E9">
        <w:rPr>
          <w:rFonts w:ascii="Times New Roman" w:hAnsi="Times New Roman" w:cs="Times New Roman"/>
          <w:sz w:val="28"/>
          <w:szCs w:val="28"/>
        </w:rPr>
        <w:t xml:space="preserve"> pret </w:t>
      </w:r>
      <w:r>
        <w:rPr>
          <w:rFonts w:ascii="Times New Roman" w:hAnsi="Times New Roman" w:cs="Times New Roman"/>
          <w:sz w:val="28"/>
          <w:szCs w:val="28"/>
        </w:rPr>
        <w:t>atalgojumu pirms nodokļu nomaksas</w:t>
      </w:r>
      <w:r w:rsidRPr="006F38E9">
        <w:rPr>
          <w:rFonts w:ascii="Times New Roman" w:hAnsi="Times New Roman" w:cs="Times New Roman"/>
          <w:sz w:val="28"/>
          <w:szCs w:val="28"/>
        </w:rPr>
        <w:t>. Šis rādītājs atspoguļo gan nominālās nodokļu likmes, gan atvieglojumus, gan arī nodokļu administrācijas efektivitāti.</w:t>
      </w:r>
    </w:p>
    <w:p w:rsidR="00A66FA1" w:rsidRPr="002E03F4" w:rsidRDefault="00A66FA1" w:rsidP="00C1526E">
      <w:pPr>
        <w:spacing w:after="0" w:line="240" w:lineRule="auto"/>
        <w:jc w:val="both"/>
        <w:rPr>
          <w:rFonts w:ascii="Times New Roman" w:hAnsi="Times New Roman" w:cs="Times New Roman"/>
          <w:b/>
          <w:sz w:val="24"/>
          <w:szCs w:val="24"/>
        </w:rPr>
      </w:pPr>
    </w:p>
    <w:p w:rsidR="007F64CF" w:rsidRPr="007F64CF" w:rsidRDefault="007F64CF" w:rsidP="00C1526E">
      <w:pPr>
        <w:spacing w:after="0" w:line="240" w:lineRule="auto"/>
        <w:jc w:val="both"/>
        <w:rPr>
          <w:rFonts w:ascii="Times New Roman" w:hAnsi="Times New Roman" w:cs="Times New Roman"/>
          <w:sz w:val="28"/>
          <w:szCs w:val="28"/>
        </w:rPr>
      </w:pPr>
      <w:r w:rsidRPr="007F64CF">
        <w:rPr>
          <w:rFonts w:ascii="Times New Roman" w:hAnsi="Times New Roman" w:cs="Times New Roman"/>
          <w:b/>
          <w:sz w:val="28"/>
          <w:szCs w:val="28"/>
        </w:rPr>
        <w:t>Neapliekamais minimums</w:t>
      </w:r>
      <w:r w:rsidRPr="007F64CF">
        <w:rPr>
          <w:rFonts w:ascii="Times New Roman" w:hAnsi="Times New Roman" w:cs="Times New Roman"/>
          <w:sz w:val="28"/>
          <w:szCs w:val="28"/>
        </w:rPr>
        <w:t xml:space="preserve"> – fiziskas personas ienākum</w:t>
      </w:r>
      <w:r w:rsidR="00A66FA1">
        <w:rPr>
          <w:rFonts w:ascii="Times New Roman" w:hAnsi="Times New Roman" w:cs="Times New Roman"/>
          <w:sz w:val="28"/>
          <w:szCs w:val="28"/>
        </w:rPr>
        <w:t>a daļa</w:t>
      </w:r>
      <w:r w:rsidRPr="007F64CF">
        <w:rPr>
          <w:rFonts w:ascii="Times New Roman" w:hAnsi="Times New Roman" w:cs="Times New Roman"/>
          <w:sz w:val="28"/>
          <w:szCs w:val="28"/>
        </w:rPr>
        <w:t xml:space="preserve">, kuru neapliek ar  </w:t>
      </w:r>
      <w:r w:rsidR="00DB6768">
        <w:rPr>
          <w:rFonts w:ascii="Times New Roman" w:hAnsi="Times New Roman" w:cs="Times New Roman"/>
          <w:sz w:val="28"/>
          <w:szCs w:val="28"/>
        </w:rPr>
        <w:t>IIN</w:t>
      </w:r>
      <w:r w:rsidRPr="007F64CF">
        <w:rPr>
          <w:rFonts w:ascii="Times New Roman" w:hAnsi="Times New Roman" w:cs="Times New Roman"/>
          <w:sz w:val="28"/>
          <w:szCs w:val="28"/>
        </w:rPr>
        <w:t>. Neapliekamā minimuma apmēru Latvijā nosaka Ministru kabinets.</w:t>
      </w:r>
    </w:p>
    <w:p w:rsidR="007F64CF" w:rsidRPr="002E03F4" w:rsidRDefault="007F64CF" w:rsidP="00C1526E">
      <w:pPr>
        <w:spacing w:after="0" w:line="240" w:lineRule="auto"/>
        <w:jc w:val="both"/>
        <w:rPr>
          <w:rFonts w:ascii="Times New Roman" w:hAnsi="Times New Roman" w:cs="Times New Roman"/>
          <w:sz w:val="24"/>
          <w:szCs w:val="24"/>
        </w:rPr>
      </w:pPr>
    </w:p>
    <w:p w:rsidR="006F38E9" w:rsidRPr="00C1526E" w:rsidRDefault="007F64CF" w:rsidP="00C1526E">
      <w:pPr>
        <w:spacing w:after="0" w:line="240" w:lineRule="auto"/>
        <w:jc w:val="both"/>
        <w:rPr>
          <w:rFonts w:ascii="Times New Roman" w:hAnsi="Times New Roman" w:cs="Times New Roman"/>
          <w:color w:val="000000"/>
          <w:sz w:val="28"/>
          <w:szCs w:val="28"/>
        </w:rPr>
      </w:pPr>
      <w:r w:rsidRPr="007F64CF">
        <w:rPr>
          <w:rFonts w:ascii="Times New Roman" w:hAnsi="Times New Roman" w:cs="Times New Roman"/>
          <w:b/>
          <w:sz w:val="28"/>
          <w:szCs w:val="28"/>
        </w:rPr>
        <w:t>Nodokļa plaisa jeb ķīlis</w:t>
      </w:r>
      <w:r w:rsidRPr="007F64CF">
        <w:rPr>
          <w:rFonts w:ascii="Times New Roman" w:hAnsi="Times New Roman" w:cs="Times New Roman"/>
          <w:sz w:val="28"/>
          <w:szCs w:val="28"/>
        </w:rPr>
        <w:t xml:space="preserve"> (</w:t>
      </w:r>
      <w:r w:rsidRPr="007F64CF">
        <w:rPr>
          <w:rFonts w:ascii="Times New Roman" w:hAnsi="Times New Roman" w:cs="Times New Roman"/>
          <w:i/>
          <w:sz w:val="28"/>
          <w:szCs w:val="28"/>
          <w:lang w:val="en-US"/>
        </w:rPr>
        <w:t>tax wedge</w:t>
      </w:r>
      <w:r w:rsidRPr="007F64CF">
        <w:rPr>
          <w:rFonts w:ascii="Times New Roman" w:hAnsi="Times New Roman" w:cs="Times New Roman"/>
          <w:sz w:val="28"/>
          <w:szCs w:val="28"/>
        </w:rPr>
        <w:t>) –</w:t>
      </w:r>
      <w:r w:rsidR="00DB6768">
        <w:rPr>
          <w:rFonts w:ascii="Times New Roman" w:hAnsi="Times New Roman" w:cs="Times New Roman"/>
          <w:sz w:val="28"/>
          <w:szCs w:val="28"/>
        </w:rPr>
        <w:t xml:space="preserve"> </w:t>
      </w:r>
      <w:r w:rsidRPr="007F64CF">
        <w:rPr>
          <w:rFonts w:ascii="Times New Roman" w:hAnsi="Times New Roman" w:cs="Times New Roman"/>
          <w:sz w:val="28"/>
          <w:szCs w:val="28"/>
        </w:rPr>
        <w:t>atšķirība starp darba devēja darbaspēka iz</w:t>
      </w:r>
      <w:r w:rsidRPr="007F64CF">
        <w:rPr>
          <w:rFonts w:ascii="Times New Roman" w:hAnsi="Times New Roman" w:cs="Times New Roman"/>
          <w:sz w:val="28"/>
          <w:szCs w:val="28"/>
        </w:rPr>
        <w:softHyphen/>
        <w:t>maksām un nodarbinātā neto darba samaksu. To aprēķina kā darba nodokļu (</w:t>
      </w:r>
      <w:r w:rsidR="00A66FA1">
        <w:rPr>
          <w:rFonts w:ascii="Times New Roman" w:hAnsi="Times New Roman" w:cs="Times New Roman"/>
          <w:sz w:val="28"/>
          <w:szCs w:val="28"/>
        </w:rPr>
        <w:t xml:space="preserve">IIN un </w:t>
      </w:r>
      <w:r w:rsidRPr="007F64CF">
        <w:rPr>
          <w:rFonts w:ascii="Times New Roman" w:hAnsi="Times New Roman" w:cs="Times New Roman"/>
          <w:sz w:val="28"/>
          <w:szCs w:val="28"/>
        </w:rPr>
        <w:t>darba ņē</w:t>
      </w:r>
      <w:r w:rsidRPr="007F64CF">
        <w:rPr>
          <w:rFonts w:ascii="Times New Roman" w:hAnsi="Times New Roman" w:cs="Times New Roman"/>
          <w:sz w:val="28"/>
          <w:szCs w:val="28"/>
        </w:rPr>
        <w:softHyphen/>
        <w:t xml:space="preserve">mēja un darba devēja </w:t>
      </w:r>
      <w:r w:rsidR="00DB6768">
        <w:rPr>
          <w:rFonts w:ascii="Times New Roman" w:hAnsi="Times New Roman" w:cs="Times New Roman"/>
          <w:sz w:val="28"/>
          <w:szCs w:val="28"/>
        </w:rPr>
        <w:t>VSAOI</w:t>
      </w:r>
      <w:r w:rsidRPr="007F64CF">
        <w:rPr>
          <w:rFonts w:ascii="Times New Roman" w:hAnsi="Times New Roman" w:cs="Times New Roman"/>
          <w:sz w:val="28"/>
          <w:szCs w:val="28"/>
        </w:rPr>
        <w:t xml:space="preserve">) procentuālo attiecību pret kopējām darbaspēka izmaksām. Kopējās darbaspēka izmaksas veido darba algas pirms nodokļu nomaksas un darba devēja </w:t>
      </w:r>
      <w:r w:rsidR="00DB6768">
        <w:rPr>
          <w:rFonts w:ascii="Times New Roman" w:hAnsi="Times New Roman" w:cs="Times New Roman"/>
          <w:sz w:val="28"/>
          <w:szCs w:val="28"/>
        </w:rPr>
        <w:t>VSAOI</w:t>
      </w:r>
      <w:r w:rsidRPr="007F64CF">
        <w:rPr>
          <w:rFonts w:ascii="Times New Roman" w:hAnsi="Times New Roman" w:cs="Times New Roman"/>
          <w:sz w:val="28"/>
          <w:szCs w:val="28"/>
        </w:rPr>
        <w:t xml:space="preserve"> summa.</w:t>
      </w:r>
      <w:r w:rsidRPr="007F64CF">
        <w:rPr>
          <w:rStyle w:val="FootnoteReference"/>
          <w:rFonts w:ascii="Times New Roman" w:hAnsi="Times New Roman" w:cs="Times New Roman"/>
          <w:sz w:val="28"/>
          <w:szCs w:val="28"/>
        </w:rPr>
        <w:t xml:space="preserve"> </w:t>
      </w:r>
      <w:r w:rsidRPr="007F64CF">
        <w:rPr>
          <w:rFonts w:ascii="Times New Roman" w:hAnsi="Times New Roman" w:cs="Times New Roman"/>
          <w:sz w:val="28"/>
          <w:szCs w:val="28"/>
        </w:rPr>
        <w:t xml:space="preserve">Šis rādītājs raksturo </w:t>
      </w:r>
      <w:r w:rsidR="00A96A52">
        <w:rPr>
          <w:rFonts w:ascii="Times New Roman" w:eastAsia="Times New Roman" w:hAnsi="Times New Roman" w:cs="Times New Roman"/>
          <w:bCs/>
          <w:color w:val="000000"/>
          <w:sz w:val="28"/>
          <w:szCs w:val="28"/>
          <w:lang w:eastAsia="lv-LV"/>
        </w:rPr>
        <w:t>starpību</w:t>
      </w:r>
      <w:r w:rsidR="00A96A52" w:rsidRPr="007F64CF">
        <w:rPr>
          <w:rFonts w:ascii="Times New Roman" w:eastAsia="Times New Roman" w:hAnsi="Times New Roman" w:cs="Times New Roman"/>
          <w:bCs/>
          <w:color w:val="000000"/>
          <w:sz w:val="28"/>
          <w:szCs w:val="28"/>
          <w:lang w:eastAsia="lv-LV"/>
        </w:rPr>
        <w:t xml:space="preserve"> </w:t>
      </w:r>
      <w:r w:rsidRPr="007F64CF">
        <w:rPr>
          <w:rFonts w:ascii="Times New Roman" w:eastAsia="Times New Roman" w:hAnsi="Times New Roman" w:cs="Times New Roman"/>
          <w:bCs/>
          <w:color w:val="000000"/>
          <w:sz w:val="28"/>
          <w:szCs w:val="28"/>
          <w:lang w:eastAsia="lv-LV"/>
        </w:rPr>
        <w:t>starp darba ņēmēja nopelnīto un to cik šis darbaspēks izmaksā darba devējam</w:t>
      </w:r>
      <w:r w:rsidRPr="007F64CF">
        <w:rPr>
          <w:rStyle w:val="FootnoteReference"/>
          <w:rFonts w:ascii="Times New Roman" w:eastAsia="Times New Roman" w:hAnsi="Times New Roman" w:cs="Times New Roman"/>
          <w:bCs/>
          <w:color w:val="000000"/>
          <w:sz w:val="28"/>
          <w:szCs w:val="28"/>
          <w:lang w:eastAsia="lv-LV"/>
        </w:rPr>
        <w:footnoteReference w:id="1"/>
      </w:r>
      <w:r w:rsidRPr="007F64CF">
        <w:rPr>
          <w:rFonts w:ascii="Times New Roman" w:eastAsia="Times New Roman" w:hAnsi="Times New Roman" w:cs="Times New Roman"/>
          <w:bCs/>
          <w:color w:val="000000"/>
          <w:sz w:val="28"/>
          <w:szCs w:val="28"/>
          <w:lang w:eastAsia="lv-LV"/>
        </w:rPr>
        <w:t>.</w:t>
      </w:r>
      <w:r w:rsidR="00C1526E">
        <w:rPr>
          <w:rFonts w:ascii="Times New Roman" w:hAnsi="Times New Roman" w:cs="Times New Roman"/>
          <w:color w:val="000000"/>
          <w:sz w:val="28"/>
          <w:szCs w:val="28"/>
        </w:rPr>
        <w:t xml:space="preserve"> </w:t>
      </w:r>
      <w:r w:rsidR="006F38E9">
        <w:rPr>
          <w:smallCaps/>
          <w:sz w:val="32"/>
          <w:szCs w:val="32"/>
        </w:rPr>
        <w:br w:type="page"/>
      </w:r>
    </w:p>
    <w:p w:rsidR="007F64CF" w:rsidRPr="00626CE3" w:rsidRDefault="007F64CF" w:rsidP="00634E75">
      <w:pPr>
        <w:pStyle w:val="Heading1"/>
        <w:spacing w:before="0" w:line="240" w:lineRule="auto"/>
        <w:jc w:val="center"/>
        <w:rPr>
          <w:rFonts w:ascii="Times New Roman" w:hAnsi="Times New Roman" w:cs="Times New Roman"/>
          <w:smallCaps/>
          <w:color w:val="auto"/>
          <w:sz w:val="32"/>
          <w:szCs w:val="32"/>
        </w:rPr>
      </w:pPr>
      <w:bookmarkStart w:id="3" w:name="_Toc357009511"/>
      <w:r w:rsidRPr="00626CE3">
        <w:rPr>
          <w:rFonts w:ascii="Times New Roman" w:hAnsi="Times New Roman" w:cs="Times New Roman"/>
          <w:smallCaps/>
          <w:color w:val="auto"/>
          <w:sz w:val="32"/>
          <w:szCs w:val="32"/>
        </w:rPr>
        <w:lastRenderedPageBreak/>
        <w:t>Ievads</w:t>
      </w:r>
      <w:bookmarkEnd w:id="3"/>
    </w:p>
    <w:p w:rsidR="007F64CF" w:rsidRDefault="007F64CF" w:rsidP="00634E75">
      <w:pPr>
        <w:spacing w:after="0" w:line="240" w:lineRule="auto"/>
        <w:ind w:firstLine="709"/>
        <w:jc w:val="both"/>
        <w:rPr>
          <w:rFonts w:ascii="Times New Roman" w:hAnsi="Times New Roman" w:cs="Times New Roman"/>
          <w:sz w:val="28"/>
          <w:szCs w:val="28"/>
        </w:rPr>
      </w:pPr>
    </w:p>
    <w:p w:rsidR="00F056CB" w:rsidRPr="00F056CB" w:rsidRDefault="00DD1742" w:rsidP="00F056CB">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Informatīvas ziņojums </w:t>
      </w:r>
      <w:r w:rsidRPr="007F64CF">
        <w:rPr>
          <w:rFonts w:ascii="Times New Roman" w:hAnsi="Times New Roman" w:cs="Times New Roman"/>
          <w:sz w:val="28"/>
          <w:szCs w:val="28"/>
        </w:rPr>
        <w:t>„</w:t>
      </w:r>
      <w:r w:rsidR="00321ABF">
        <w:rPr>
          <w:rFonts w:ascii="Times New Roman" w:hAnsi="Times New Roman" w:cs="Times New Roman"/>
          <w:sz w:val="28"/>
          <w:szCs w:val="28"/>
        </w:rPr>
        <w:t>P</w:t>
      </w:r>
      <w:r w:rsidR="006F3397">
        <w:rPr>
          <w:rFonts w:ascii="Times New Roman" w:hAnsi="Times New Roman" w:cs="Times New Roman"/>
          <w:sz w:val="28"/>
          <w:szCs w:val="28"/>
        </w:rPr>
        <w:t>riekšlikum</w:t>
      </w:r>
      <w:r w:rsidR="00321ABF">
        <w:rPr>
          <w:rFonts w:ascii="Times New Roman" w:hAnsi="Times New Roman" w:cs="Times New Roman"/>
          <w:sz w:val="28"/>
          <w:szCs w:val="28"/>
        </w:rPr>
        <w:t>i</w:t>
      </w:r>
      <w:r w:rsidR="006F3397">
        <w:rPr>
          <w:rFonts w:ascii="Times New Roman" w:hAnsi="Times New Roman" w:cs="Times New Roman"/>
          <w:sz w:val="28"/>
          <w:szCs w:val="28"/>
        </w:rPr>
        <w:t xml:space="preserve"> </w:t>
      </w:r>
      <w:r w:rsidR="00BC0596">
        <w:rPr>
          <w:rFonts w:ascii="Times New Roman" w:hAnsi="Times New Roman" w:cs="Times New Roman"/>
          <w:sz w:val="28"/>
          <w:szCs w:val="28"/>
        </w:rPr>
        <w:t>ienākumu</w:t>
      </w:r>
      <w:r w:rsidR="006F3397">
        <w:rPr>
          <w:rFonts w:ascii="Times New Roman" w:hAnsi="Times New Roman" w:cs="Times New Roman"/>
          <w:sz w:val="28"/>
          <w:szCs w:val="28"/>
        </w:rPr>
        <w:t xml:space="preserve"> nevienlīdzības mazināšanai</w:t>
      </w:r>
      <w:r w:rsidR="007F64CF" w:rsidRPr="007F64CF">
        <w:rPr>
          <w:rFonts w:ascii="Times New Roman" w:hAnsi="Times New Roman" w:cs="Times New Roman"/>
          <w:sz w:val="28"/>
          <w:szCs w:val="28"/>
        </w:rPr>
        <w:t>”</w:t>
      </w:r>
      <w:r w:rsidR="007B4975">
        <w:rPr>
          <w:rFonts w:ascii="Times New Roman" w:hAnsi="Times New Roman" w:cs="Times New Roman"/>
          <w:sz w:val="18"/>
          <w:szCs w:val="18"/>
        </w:rPr>
        <w:t xml:space="preserve"> </w:t>
      </w:r>
      <w:r w:rsidR="007B4975" w:rsidRPr="007B4975">
        <w:rPr>
          <w:rFonts w:ascii="Times New Roman" w:hAnsi="Times New Roman" w:cs="Times New Roman"/>
          <w:sz w:val="28"/>
          <w:szCs w:val="28"/>
        </w:rPr>
        <w:t>(turpmāk tekstā – Informatīvais ziņojums)</w:t>
      </w:r>
      <w:r w:rsidR="007B4975">
        <w:rPr>
          <w:rFonts w:ascii="Times New Roman" w:hAnsi="Times New Roman" w:cs="Times New Roman"/>
          <w:sz w:val="18"/>
          <w:szCs w:val="18"/>
        </w:rPr>
        <w:t xml:space="preserve"> </w:t>
      </w:r>
      <w:r w:rsidR="007F64CF" w:rsidRPr="007F64CF">
        <w:rPr>
          <w:rFonts w:ascii="Times New Roman" w:hAnsi="Times New Roman" w:cs="Times New Roman"/>
          <w:sz w:val="28"/>
          <w:szCs w:val="28"/>
        </w:rPr>
        <w:t>izstrādāts</w:t>
      </w:r>
      <w:r w:rsidR="00D84A1F">
        <w:rPr>
          <w:rFonts w:ascii="Times New Roman" w:hAnsi="Times New Roman" w:cs="Times New Roman"/>
          <w:sz w:val="28"/>
          <w:szCs w:val="28"/>
        </w:rPr>
        <w:t xml:space="preserve"> ar </w:t>
      </w:r>
      <w:r w:rsidR="00D84A1F" w:rsidRPr="00D84A1F">
        <w:rPr>
          <w:rFonts w:ascii="Times New Roman" w:hAnsi="Times New Roman" w:cs="Times New Roman"/>
          <w:b/>
          <w:sz w:val="28"/>
          <w:szCs w:val="28"/>
        </w:rPr>
        <w:t>mērķi</w:t>
      </w:r>
      <w:r w:rsidR="00F056CB">
        <w:rPr>
          <w:rFonts w:ascii="Times New Roman" w:hAnsi="Times New Roman" w:cs="Times New Roman"/>
          <w:sz w:val="28"/>
          <w:szCs w:val="28"/>
        </w:rPr>
        <w:t xml:space="preserve"> mazināt </w:t>
      </w:r>
      <w:r w:rsidR="00BC0596">
        <w:rPr>
          <w:rFonts w:ascii="Times New Roman" w:hAnsi="Times New Roman" w:cs="Times New Roman"/>
          <w:sz w:val="28"/>
          <w:szCs w:val="28"/>
        </w:rPr>
        <w:t>ienākumu</w:t>
      </w:r>
      <w:r w:rsidR="00F056CB">
        <w:rPr>
          <w:rFonts w:ascii="Times New Roman" w:hAnsi="Times New Roman" w:cs="Times New Roman"/>
          <w:sz w:val="28"/>
          <w:szCs w:val="28"/>
        </w:rPr>
        <w:t xml:space="preserve"> nevienlīdzību, </w:t>
      </w:r>
      <w:r w:rsidR="00F056CB" w:rsidRPr="0005438D">
        <w:rPr>
          <w:rFonts w:ascii="Times New Roman" w:hAnsi="Times New Roman" w:cs="Times New Roman"/>
          <w:sz w:val="28"/>
          <w:szCs w:val="28"/>
        </w:rPr>
        <w:t>samazinot darba</w:t>
      </w:r>
      <w:r w:rsidR="00F056CB">
        <w:rPr>
          <w:rFonts w:ascii="Times New Roman" w:hAnsi="Times New Roman" w:cs="Times New Roman"/>
          <w:sz w:val="28"/>
          <w:szCs w:val="28"/>
        </w:rPr>
        <w:t>spēka</w:t>
      </w:r>
      <w:r w:rsidR="00F056CB" w:rsidRPr="0005438D">
        <w:rPr>
          <w:rFonts w:ascii="Times New Roman" w:hAnsi="Times New Roman" w:cs="Times New Roman"/>
          <w:sz w:val="28"/>
          <w:szCs w:val="28"/>
        </w:rPr>
        <w:t xml:space="preserve"> nodokļu slogu</w:t>
      </w:r>
      <w:r w:rsidR="00F056CB">
        <w:rPr>
          <w:rFonts w:ascii="Times New Roman" w:hAnsi="Times New Roman" w:cs="Times New Roman"/>
          <w:sz w:val="28"/>
          <w:szCs w:val="28"/>
        </w:rPr>
        <w:t xml:space="preserve"> zemāk atalgotajam darbaspēkam un ģimenēm ar bērniem, kas savukārt var </w:t>
      </w:r>
      <w:r w:rsidR="00F056CB" w:rsidRPr="0005438D">
        <w:rPr>
          <w:rFonts w:ascii="Times New Roman" w:hAnsi="Times New Roman" w:cs="Times New Roman"/>
          <w:sz w:val="28"/>
          <w:szCs w:val="28"/>
        </w:rPr>
        <w:t>mazin</w:t>
      </w:r>
      <w:r w:rsidR="00F056CB">
        <w:rPr>
          <w:rFonts w:ascii="Times New Roman" w:hAnsi="Times New Roman" w:cs="Times New Roman"/>
          <w:sz w:val="28"/>
          <w:szCs w:val="28"/>
        </w:rPr>
        <w:t>ā</w:t>
      </w:r>
      <w:r w:rsidR="00F056CB" w:rsidRPr="0005438D">
        <w:rPr>
          <w:rFonts w:ascii="Times New Roman" w:hAnsi="Times New Roman" w:cs="Times New Roman"/>
          <w:sz w:val="28"/>
          <w:szCs w:val="28"/>
        </w:rPr>
        <w:t>t nabadzības</w:t>
      </w:r>
      <w:r w:rsidR="00F056CB">
        <w:rPr>
          <w:rFonts w:ascii="Times New Roman" w:hAnsi="Times New Roman" w:cs="Times New Roman"/>
          <w:sz w:val="28"/>
          <w:szCs w:val="28"/>
        </w:rPr>
        <w:t>, bezdarba riskus</w:t>
      </w:r>
      <w:r w:rsidR="00DA3CDA" w:rsidRPr="00DA3CDA">
        <w:rPr>
          <w:rFonts w:ascii="Times New Roman" w:hAnsi="Times New Roman" w:cs="Times New Roman"/>
          <w:sz w:val="28"/>
          <w:szCs w:val="28"/>
        </w:rPr>
        <w:t xml:space="preserve"> </w:t>
      </w:r>
      <w:r w:rsidR="00DA3CDA">
        <w:rPr>
          <w:rFonts w:ascii="Times New Roman" w:hAnsi="Times New Roman" w:cs="Times New Roman"/>
          <w:sz w:val="28"/>
          <w:szCs w:val="28"/>
        </w:rPr>
        <w:t>mazāk kvalificētam darbaspēkam</w:t>
      </w:r>
      <w:r w:rsidR="00F056CB">
        <w:rPr>
          <w:rFonts w:ascii="Times New Roman" w:hAnsi="Times New Roman" w:cs="Times New Roman"/>
          <w:sz w:val="28"/>
          <w:szCs w:val="28"/>
        </w:rPr>
        <w:t xml:space="preserve">, kā arī mazināt </w:t>
      </w:r>
      <w:r w:rsidR="00F056CB" w:rsidRPr="0005438D">
        <w:rPr>
          <w:rFonts w:ascii="Times New Roman" w:hAnsi="Times New Roman" w:cs="Times New Roman"/>
          <w:sz w:val="28"/>
          <w:szCs w:val="28"/>
        </w:rPr>
        <w:t>ēnu ekonomiku un motivāciju izvairīties no nodokļu nomaksas</w:t>
      </w:r>
      <w:r w:rsidR="00F056CB">
        <w:rPr>
          <w:rFonts w:ascii="Times New Roman" w:hAnsi="Times New Roman" w:cs="Times New Roman"/>
          <w:sz w:val="28"/>
          <w:szCs w:val="28"/>
        </w:rPr>
        <w:t xml:space="preserve">, pie tam </w:t>
      </w:r>
      <w:r w:rsidR="00F056CB" w:rsidRPr="00652356">
        <w:rPr>
          <w:rFonts w:ascii="Times New Roman" w:eastAsia="Times New Roman" w:hAnsi="Times New Roman" w:cs="Times New Roman"/>
          <w:color w:val="000000"/>
          <w:sz w:val="28"/>
          <w:szCs w:val="28"/>
          <w:lang w:eastAsia="lv-LV"/>
        </w:rPr>
        <w:t xml:space="preserve">veicināt </w:t>
      </w:r>
      <w:r w:rsidR="00F056CB">
        <w:rPr>
          <w:rFonts w:ascii="Times New Roman" w:eastAsia="Times New Roman" w:hAnsi="Times New Roman" w:cs="Times New Roman"/>
          <w:color w:val="000000"/>
          <w:sz w:val="28"/>
          <w:szCs w:val="28"/>
          <w:lang w:eastAsia="lv-LV"/>
        </w:rPr>
        <w:t xml:space="preserve">ekonomisko aktivitāti un </w:t>
      </w:r>
      <w:r w:rsidR="00F056CB" w:rsidRPr="00652356">
        <w:rPr>
          <w:rFonts w:ascii="Times New Roman" w:eastAsia="Times New Roman" w:hAnsi="Times New Roman" w:cs="Times New Roman"/>
          <w:color w:val="000000"/>
          <w:sz w:val="28"/>
          <w:szCs w:val="28"/>
          <w:lang w:eastAsia="lv-LV"/>
        </w:rPr>
        <w:t>dzimstību</w:t>
      </w:r>
      <w:r w:rsidR="00B60D26">
        <w:rPr>
          <w:rFonts w:ascii="Times New Roman" w:eastAsia="Times New Roman" w:hAnsi="Times New Roman" w:cs="Times New Roman"/>
          <w:color w:val="000000"/>
          <w:sz w:val="28"/>
          <w:szCs w:val="28"/>
          <w:lang w:eastAsia="lv-LV"/>
        </w:rPr>
        <w:t xml:space="preserve"> (</w:t>
      </w:r>
      <w:proofErr w:type="spellStart"/>
      <w:r w:rsidR="00B60D26">
        <w:rPr>
          <w:rFonts w:ascii="Times New Roman" w:eastAsia="Times New Roman" w:hAnsi="Times New Roman" w:cs="Times New Roman"/>
          <w:color w:val="000000"/>
          <w:sz w:val="28"/>
          <w:szCs w:val="28"/>
          <w:lang w:eastAsia="lv-LV"/>
        </w:rPr>
        <w:t>skat</w:t>
      </w:r>
      <w:proofErr w:type="spellEnd"/>
      <w:r w:rsidR="00B60D26">
        <w:rPr>
          <w:rFonts w:ascii="Times New Roman" w:eastAsia="Times New Roman" w:hAnsi="Times New Roman" w:cs="Times New Roman"/>
          <w:color w:val="000000"/>
          <w:sz w:val="28"/>
          <w:szCs w:val="28"/>
          <w:lang w:eastAsia="lv-LV"/>
        </w:rPr>
        <w:t>. papildu informāciju pielikumā)</w:t>
      </w:r>
      <w:r w:rsidR="00F056CB" w:rsidRPr="00652356">
        <w:rPr>
          <w:rFonts w:ascii="Times New Roman" w:eastAsia="Times New Roman" w:hAnsi="Times New Roman" w:cs="Times New Roman"/>
          <w:color w:val="000000"/>
          <w:sz w:val="28"/>
          <w:szCs w:val="28"/>
          <w:lang w:eastAsia="lv-LV"/>
        </w:rPr>
        <w:t>.</w:t>
      </w:r>
    </w:p>
    <w:p w:rsidR="00DA3CDA" w:rsidRDefault="00DA3CDA" w:rsidP="001C408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Informatīvā </w:t>
      </w:r>
      <w:r w:rsidR="00C1526E">
        <w:rPr>
          <w:rFonts w:ascii="Times New Roman" w:hAnsi="Times New Roman" w:cs="Times New Roman"/>
          <w:sz w:val="28"/>
          <w:szCs w:val="28"/>
        </w:rPr>
        <w:t>ziņojum</w:t>
      </w:r>
      <w:r>
        <w:rPr>
          <w:rFonts w:ascii="Times New Roman" w:hAnsi="Times New Roman" w:cs="Times New Roman"/>
          <w:sz w:val="28"/>
          <w:szCs w:val="28"/>
        </w:rPr>
        <w:t>a</w:t>
      </w:r>
      <w:r w:rsidR="00C1526E">
        <w:rPr>
          <w:rFonts w:ascii="Times New Roman" w:hAnsi="Times New Roman" w:cs="Times New Roman"/>
          <w:sz w:val="28"/>
          <w:szCs w:val="28"/>
        </w:rPr>
        <w:t xml:space="preserve"> mērķi</w:t>
      </w:r>
      <w:r w:rsidR="00D84A1F">
        <w:rPr>
          <w:rFonts w:ascii="Times New Roman" w:hAnsi="Times New Roman" w:cs="Times New Roman"/>
          <w:sz w:val="28"/>
          <w:szCs w:val="28"/>
        </w:rPr>
        <w:t>s tiks sasniegts</w:t>
      </w:r>
      <w:r>
        <w:rPr>
          <w:rFonts w:ascii="Times New Roman" w:hAnsi="Times New Roman" w:cs="Times New Roman"/>
          <w:sz w:val="28"/>
          <w:szCs w:val="28"/>
        </w:rPr>
        <w:t xml:space="preserve">, realizējot </w:t>
      </w:r>
      <w:r w:rsidR="00495BC0">
        <w:rPr>
          <w:rFonts w:ascii="Times New Roman" w:hAnsi="Times New Roman" w:cs="Times New Roman"/>
          <w:sz w:val="28"/>
          <w:szCs w:val="28"/>
        </w:rPr>
        <w:t xml:space="preserve">šādus </w:t>
      </w:r>
      <w:r>
        <w:rPr>
          <w:rFonts w:ascii="Times New Roman" w:hAnsi="Times New Roman" w:cs="Times New Roman"/>
          <w:sz w:val="28"/>
          <w:szCs w:val="28"/>
        </w:rPr>
        <w:t>pasākumu</w:t>
      </w:r>
      <w:r w:rsidR="00495BC0">
        <w:rPr>
          <w:rFonts w:ascii="Times New Roman" w:hAnsi="Times New Roman" w:cs="Times New Roman"/>
          <w:sz w:val="28"/>
          <w:szCs w:val="28"/>
        </w:rPr>
        <w:t>s</w:t>
      </w:r>
      <w:r>
        <w:rPr>
          <w:rFonts w:ascii="Times New Roman" w:hAnsi="Times New Roman" w:cs="Times New Roman"/>
          <w:sz w:val="28"/>
          <w:szCs w:val="28"/>
        </w:rPr>
        <w:t>:</w:t>
      </w:r>
    </w:p>
    <w:p w:rsidR="00DA3CDA" w:rsidRDefault="00D84A1F" w:rsidP="00495BC0">
      <w:pPr>
        <w:pStyle w:val="ListParagraph"/>
        <w:numPr>
          <w:ilvl w:val="0"/>
          <w:numId w:val="39"/>
        </w:numPr>
        <w:spacing w:after="120" w:line="240" w:lineRule="auto"/>
        <w:ind w:left="1276" w:hanging="567"/>
        <w:jc w:val="both"/>
        <w:rPr>
          <w:rFonts w:ascii="Times New Roman" w:hAnsi="Times New Roman" w:cs="Times New Roman"/>
          <w:sz w:val="28"/>
          <w:szCs w:val="28"/>
        </w:rPr>
      </w:pPr>
      <w:r w:rsidRPr="00DA3CDA">
        <w:rPr>
          <w:rFonts w:ascii="Times New Roman" w:hAnsi="Times New Roman" w:cs="Times New Roman"/>
          <w:sz w:val="28"/>
          <w:szCs w:val="28"/>
        </w:rPr>
        <w:t>minimāl</w:t>
      </w:r>
      <w:r w:rsidR="00943B23">
        <w:rPr>
          <w:rFonts w:ascii="Times New Roman" w:hAnsi="Times New Roman" w:cs="Times New Roman"/>
          <w:sz w:val="28"/>
          <w:szCs w:val="28"/>
        </w:rPr>
        <w:t>ās</w:t>
      </w:r>
      <w:r w:rsidRPr="00DA3CDA">
        <w:rPr>
          <w:rFonts w:ascii="Times New Roman" w:hAnsi="Times New Roman" w:cs="Times New Roman"/>
          <w:sz w:val="28"/>
          <w:szCs w:val="28"/>
        </w:rPr>
        <w:t xml:space="preserve"> darba alg</w:t>
      </w:r>
      <w:r w:rsidR="00943B23">
        <w:rPr>
          <w:rFonts w:ascii="Times New Roman" w:hAnsi="Times New Roman" w:cs="Times New Roman"/>
          <w:sz w:val="28"/>
          <w:szCs w:val="28"/>
        </w:rPr>
        <w:t>as</w:t>
      </w:r>
      <w:r w:rsidR="00943B23" w:rsidRPr="00943B23">
        <w:rPr>
          <w:rFonts w:ascii="Times New Roman" w:hAnsi="Times New Roman" w:cs="Times New Roman"/>
          <w:sz w:val="28"/>
          <w:szCs w:val="28"/>
        </w:rPr>
        <w:t xml:space="preserve"> </w:t>
      </w:r>
      <w:r w:rsidR="00943B23" w:rsidRPr="00DA3CDA">
        <w:rPr>
          <w:rFonts w:ascii="Times New Roman" w:hAnsi="Times New Roman" w:cs="Times New Roman"/>
          <w:sz w:val="28"/>
          <w:szCs w:val="28"/>
        </w:rPr>
        <w:t>paaugstin</w:t>
      </w:r>
      <w:r w:rsidR="00943B23">
        <w:rPr>
          <w:rFonts w:ascii="Times New Roman" w:hAnsi="Times New Roman" w:cs="Times New Roman"/>
          <w:sz w:val="28"/>
          <w:szCs w:val="28"/>
        </w:rPr>
        <w:t>āšana</w:t>
      </w:r>
      <w:r w:rsidRPr="00DA3CDA">
        <w:rPr>
          <w:rFonts w:ascii="Times New Roman" w:hAnsi="Times New Roman" w:cs="Times New Roman"/>
          <w:sz w:val="28"/>
          <w:szCs w:val="28"/>
        </w:rPr>
        <w:t>,</w:t>
      </w:r>
    </w:p>
    <w:p w:rsidR="00DA3CDA" w:rsidRDefault="00F056CB" w:rsidP="00495BC0">
      <w:pPr>
        <w:pStyle w:val="ListParagraph"/>
        <w:numPr>
          <w:ilvl w:val="0"/>
          <w:numId w:val="39"/>
        </w:numPr>
        <w:spacing w:after="120" w:line="240" w:lineRule="auto"/>
        <w:ind w:left="1276" w:hanging="567"/>
        <w:jc w:val="both"/>
        <w:rPr>
          <w:rFonts w:ascii="Times New Roman" w:hAnsi="Times New Roman" w:cs="Times New Roman"/>
          <w:sz w:val="28"/>
          <w:szCs w:val="28"/>
        </w:rPr>
      </w:pPr>
      <w:r w:rsidRPr="00DA3CDA">
        <w:rPr>
          <w:rFonts w:ascii="Times New Roman" w:hAnsi="Times New Roman" w:cs="Times New Roman"/>
          <w:sz w:val="28"/>
          <w:szCs w:val="28"/>
        </w:rPr>
        <w:t>diferencē</w:t>
      </w:r>
      <w:r w:rsidR="0004077C">
        <w:rPr>
          <w:rFonts w:ascii="Times New Roman" w:hAnsi="Times New Roman" w:cs="Times New Roman"/>
          <w:sz w:val="28"/>
          <w:szCs w:val="28"/>
        </w:rPr>
        <w:t>ta</w:t>
      </w:r>
      <w:r w:rsidRPr="00DA3CDA">
        <w:rPr>
          <w:rFonts w:ascii="Times New Roman" w:hAnsi="Times New Roman" w:cs="Times New Roman"/>
          <w:sz w:val="28"/>
          <w:szCs w:val="28"/>
        </w:rPr>
        <w:t xml:space="preserve"> </w:t>
      </w:r>
      <w:r w:rsidR="00C1526E" w:rsidRPr="00DA3CDA">
        <w:rPr>
          <w:rFonts w:ascii="Times New Roman" w:hAnsi="Times New Roman" w:cs="Times New Roman"/>
          <w:sz w:val="28"/>
          <w:szCs w:val="28"/>
        </w:rPr>
        <w:t>ar IIN n</w:t>
      </w:r>
      <w:r w:rsidR="000F144F" w:rsidRPr="00DA3CDA">
        <w:rPr>
          <w:rFonts w:ascii="Times New Roman" w:hAnsi="Times New Roman" w:cs="Times New Roman"/>
          <w:sz w:val="28"/>
          <w:szCs w:val="28"/>
        </w:rPr>
        <w:t>eapliekam</w:t>
      </w:r>
      <w:r w:rsidR="0004077C">
        <w:rPr>
          <w:rFonts w:ascii="Times New Roman" w:hAnsi="Times New Roman" w:cs="Times New Roman"/>
          <w:sz w:val="28"/>
          <w:szCs w:val="28"/>
        </w:rPr>
        <w:t>ā</w:t>
      </w:r>
      <w:r w:rsidR="000F144F" w:rsidRPr="00DA3CDA">
        <w:rPr>
          <w:rFonts w:ascii="Times New Roman" w:hAnsi="Times New Roman" w:cs="Times New Roman"/>
          <w:sz w:val="28"/>
          <w:szCs w:val="28"/>
        </w:rPr>
        <w:t xml:space="preserve"> minimum</w:t>
      </w:r>
      <w:r w:rsidR="0004077C">
        <w:rPr>
          <w:rFonts w:ascii="Times New Roman" w:hAnsi="Times New Roman" w:cs="Times New Roman"/>
          <w:sz w:val="28"/>
          <w:szCs w:val="28"/>
        </w:rPr>
        <w:t>a paaugstināšana zemo algu saņēmējiem</w:t>
      </w:r>
      <w:r w:rsidR="00495BC0">
        <w:rPr>
          <w:rFonts w:ascii="Times New Roman" w:hAnsi="Times New Roman" w:cs="Times New Roman"/>
          <w:sz w:val="28"/>
          <w:szCs w:val="28"/>
        </w:rPr>
        <w:t>;</w:t>
      </w:r>
    </w:p>
    <w:p w:rsidR="00DA3CDA" w:rsidRDefault="00F056CB" w:rsidP="00A96A52">
      <w:pPr>
        <w:pStyle w:val="ListParagraph"/>
        <w:numPr>
          <w:ilvl w:val="0"/>
          <w:numId w:val="39"/>
        </w:numPr>
        <w:spacing w:after="0" w:line="240" w:lineRule="auto"/>
        <w:ind w:left="1276" w:hanging="567"/>
        <w:jc w:val="both"/>
        <w:rPr>
          <w:rFonts w:ascii="Times New Roman" w:hAnsi="Times New Roman" w:cs="Times New Roman"/>
          <w:sz w:val="28"/>
          <w:szCs w:val="28"/>
        </w:rPr>
      </w:pPr>
      <w:r w:rsidRPr="00DA3CDA">
        <w:rPr>
          <w:rFonts w:ascii="Times New Roman" w:hAnsi="Times New Roman" w:cs="Times New Roman"/>
          <w:sz w:val="28"/>
          <w:szCs w:val="28"/>
        </w:rPr>
        <w:t>atvieglojum</w:t>
      </w:r>
      <w:r w:rsidR="0004077C">
        <w:rPr>
          <w:rFonts w:ascii="Times New Roman" w:hAnsi="Times New Roman" w:cs="Times New Roman"/>
          <w:sz w:val="28"/>
          <w:szCs w:val="28"/>
        </w:rPr>
        <w:t>a</w:t>
      </w:r>
      <w:r w:rsidR="000F144F" w:rsidRPr="00DA3CDA">
        <w:rPr>
          <w:rFonts w:ascii="Times New Roman" w:hAnsi="Times New Roman" w:cs="Times New Roman"/>
          <w:sz w:val="28"/>
          <w:szCs w:val="28"/>
        </w:rPr>
        <w:t xml:space="preserve"> par apgād</w:t>
      </w:r>
      <w:r w:rsidRPr="00DA3CDA">
        <w:rPr>
          <w:rFonts w:ascii="Times New Roman" w:hAnsi="Times New Roman" w:cs="Times New Roman"/>
          <w:sz w:val="28"/>
          <w:szCs w:val="28"/>
        </w:rPr>
        <w:t>īb</w:t>
      </w:r>
      <w:r w:rsidR="000F144F" w:rsidRPr="00DA3CDA">
        <w:rPr>
          <w:rFonts w:ascii="Times New Roman" w:hAnsi="Times New Roman" w:cs="Times New Roman"/>
          <w:sz w:val="28"/>
          <w:szCs w:val="28"/>
        </w:rPr>
        <w:t>ā</w:t>
      </w:r>
      <w:r w:rsidRPr="00DA3CDA">
        <w:rPr>
          <w:rFonts w:ascii="Times New Roman" w:hAnsi="Times New Roman" w:cs="Times New Roman"/>
          <w:sz w:val="28"/>
          <w:szCs w:val="28"/>
        </w:rPr>
        <w:t xml:space="preserve"> esoš</w:t>
      </w:r>
      <w:r w:rsidR="0004077C">
        <w:rPr>
          <w:rFonts w:ascii="Times New Roman" w:hAnsi="Times New Roman" w:cs="Times New Roman"/>
          <w:sz w:val="28"/>
          <w:szCs w:val="28"/>
        </w:rPr>
        <w:t>ām</w:t>
      </w:r>
      <w:r w:rsidRPr="00DA3CDA">
        <w:rPr>
          <w:rFonts w:ascii="Times New Roman" w:hAnsi="Times New Roman" w:cs="Times New Roman"/>
          <w:sz w:val="28"/>
          <w:szCs w:val="28"/>
        </w:rPr>
        <w:t xml:space="preserve"> person</w:t>
      </w:r>
      <w:r w:rsidR="0004077C">
        <w:rPr>
          <w:rFonts w:ascii="Times New Roman" w:hAnsi="Times New Roman" w:cs="Times New Roman"/>
          <w:sz w:val="28"/>
          <w:szCs w:val="28"/>
        </w:rPr>
        <w:t>ām palielināšana</w:t>
      </w:r>
      <w:r w:rsidR="009B2A6D" w:rsidRPr="00DA3CDA">
        <w:rPr>
          <w:rFonts w:ascii="Times New Roman" w:hAnsi="Times New Roman" w:cs="Times New Roman"/>
          <w:sz w:val="28"/>
          <w:szCs w:val="28"/>
        </w:rPr>
        <w:t>.</w:t>
      </w:r>
    </w:p>
    <w:p w:rsidR="00495BC0" w:rsidRDefault="00495BC0" w:rsidP="00A96A52">
      <w:pPr>
        <w:spacing w:after="0" w:line="240" w:lineRule="auto"/>
        <w:ind w:firstLine="709"/>
        <w:jc w:val="both"/>
        <w:rPr>
          <w:rFonts w:ascii="Times New Roman" w:hAnsi="Times New Roman" w:cs="Times New Roman"/>
          <w:sz w:val="28"/>
          <w:szCs w:val="28"/>
        </w:rPr>
      </w:pPr>
    </w:p>
    <w:p w:rsidR="001C4089" w:rsidRPr="00DA3CDA" w:rsidRDefault="009B2A6D" w:rsidP="0004077C">
      <w:pPr>
        <w:spacing w:after="120" w:line="240" w:lineRule="auto"/>
        <w:ind w:firstLine="709"/>
        <w:jc w:val="both"/>
        <w:rPr>
          <w:rFonts w:ascii="Times New Roman" w:hAnsi="Times New Roman" w:cs="Times New Roman"/>
          <w:sz w:val="28"/>
          <w:szCs w:val="28"/>
        </w:rPr>
      </w:pPr>
      <w:r w:rsidRPr="00DA3CDA">
        <w:rPr>
          <w:rFonts w:ascii="Times New Roman" w:hAnsi="Times New Roman" w:cs="Times New Roman"/>
          <w:sz w:val="28"/>
          <w:szCs w:val="28"/>
        </w:rPr>
        <w:t xml:space="preserve">Šīs </w:t>
      </w:r>
      <w:r w:rsidR="000F144F" w:rsidRPr="00DA3CDA">
        <w:rPr>
          <w:rFonts w:ascii="Times New Roman" w:hAnsi="Times New Roman" w:cs="Times New Roman"/>
          <w:sz w:val="28"/>
          <w:szCs w:val="28"/>
        </w:rPr>
        <w:t>izmaiņas skat</w:t>
      </w:r>
      <w:r w:rsidRPr="00DA3CDA">
        <w:rPr>
          <w:rFonts w:ascii="Times New Roman" w:hAnsi="Times New Roman" w:cs="Times New Roman"/>
          <w:sz w:val="28"/>
          <w:szCs w:val="28"/>
        </w:rPr>
        <w:t>īt</w:t>
      </w:r>
      <w:r w:rsidR="000F144F" w:rsidRPr="00DA3CDA">
        <w:rPr>
          <w:rFonts w:ascii="Times New Roman" w:hAnsi="Times New Roman" w:cs="Times New Roman"/>
          <w:sz w:val="28"/>
          <w:szCs w:val="28"/>
        </w:rPr>
        <w:t>a</w:t>
      </w:r>
      <w:r w:rsidRPr="00DA3CDA">
        <w:rPr>
          <w:rFonts w:ascii="Times New Roman" w:hAnsi="Times New Roman" w:cs="Times New Roman"/>
          <w:sz w:val="28"/>
          <w:szCs w:val="28"/>
        </w:rPr>
        <w:t>s</w:t>
      </w:r>
      <w:r w:rsidR="000F144F" w:rsidRPr="00DA3CDA">
        <w:rPr>
          <w:rFonts w:ascii="Times New Roman" w:hAnsi="Times New Roman" w:cs="Times New Roman"/>
          <w:sz w:val="28"/>
          <w:szCs w:val="28"/>
        </w:rPr>
        <w:t xml:space="preserve"> kontekstā ar </w:t>
      </w:r>
      <w:r w:rsidR="00C1526E" w:rsidRPr="00DA3CDA">
        <w:rPr>
          <w:rFonts w:ascii="Times New Roman" w:hAnsi="Times New Roman" w:cs="Times New Roman"/>
          <w:sz w:val="28"/>
          <w:szCs w:val="28"/>
        </w:rPr>
        <w:t xml:space="preserve">jau likumā „Par iedzīvotāju ienākuma nodokli” iestrādātajām </w:t>
      </w:r>
      <w:r w:rsidR="000F144F" w:rsidRPr="00DA3CDA">
        <w:rPr>
          <w:rFonts w:ascii="Times New Roman" w:hAnsi="Times New Roman" w:cs="Times New Roman"/>
          <w:sz w:val="28"/>
          <w:szCs w:val="28"/>
        </w:rPr>
        <w:t>IIN likmes izmaiņām</w:t>
      </w:r>
      <w:r w:rsidR="00C1526E" w:rsidRPr="00DA3CDA">
        <w:rPr>
          <w:rFonts w:ascii="Times New Roman" w:hAnsi="Times New Roman" w:cs="Times New Roman"/>
          <w:sz w:val="28"/>
          <w:szCs w:val="28"/>
        </w:rPr>
        <w:t>.</w:t>
      </w:r>
      <w:r w:rsidR="001C4089" w:rsidRPr="00DA3CDA">
        <w:rPr>
          <w:rFonts w:ascii="Times New Roman" w:hAnsi="Times New Roman" w:cs="Times New Roman"/>
          <w:sz w:val="28"/>
          <w:szCs w:val="28"/>
        </w:rPr>
        <w:t xml:space="preserve"> VSAOI likmes ir tieši saistītas ar sociālā budžeta ilgtspēju un līdz ar to ar lielākiem riskiem nekā IIN, tāpēc šo likmju izmaiņas šajā ziņojumā netiek apskatītas.</w:t>
      </w:r>
    </w:p>
    <w:p w:rsidR="007D50EA" w:rsidRPr="007D50EA" w:rsidRDefault="007D50EA" w:rsidP="007D50EA">
      <w:pPr>
        <w:spacing w:after="120" w:line="240" w:lineRule="auto"/>
        <w:ind w:firstLine="709"/>
        <w:jc w:val="both"/>
        <w:rPr>
          <w:rFonts w:ascii="Times New Roman" w:eastAsiaTheme="majorEastAsia" w:hAnsi="Times New Roman" w:cs="Times New Roman"/>
          <w:b/>
          <w:bCs/>
          <w:smallCaps/>
          <w:sz w:val="32"/>
          <w:szCs w:val="32"/>
        </w:rPr>
      </w:pPr>
      <w:r w:rsidRPr="007D50EA">
        <w:rPr>
          <w:rFonts w:ascii="Times New Roman" w:hAnsi="Times New Roman" w:cs="Times New Roman"/>
          <w:sz w:val="28"/>
          <w:szCs w:val="28"/>
        </w:rPr>
        <w:t xml:space="preserve">Ņemot vērā, ka visaugstākais nabadzības risks pēc mājsaimniecību tipa ir nepilnām ģimenēm un ģimenēm ar trīs un vairāk bērniem, kurām </w:t>
      </w:r>
      <w:r w:rsidR="00A96A52">
        <w:rPr>
          <w:rFonts w:ascii="Times New Roman" w:hAnsi="Times New Roman" w:cs="Times New Roman"/>
          <w:sz w:val="28"/>
          <w:szCs w:val="28"/>
        </w:rPr>
        <w:t xml:space="preserve">ir lielāks risks negūt </w:t>
      </w:r>
      <w:r w:rsidRPr="007D50EA">
        <w:rPr>
          <w:rFonts w:ascii="Times New Roman" w:hAnsi="Times New Roman" w:cs="Times New Roman"/>
          <w:sz w:val="28"/>
          <w:szCs w:val="28"/>
        </w:rPr>
        <w:t>darba ienākum</w:t>
      </w:r>
      <w:r w:rsidR="00A96A52">
        <w:rPr>
          <w:rFonts w:ascii="Times New Roman" w:hAnsi="Times New Roman" w:cs="Times New Roman"/>
          <w:sz w:val="28"/>
          <w:szCs w:val="28"/>
        </w:rPr>
        <w:t>us</w:t>
      </w:r>
      <w:r w:rsidRPr="007D50EA">
        <w:rPr>
          <w:rFonts w:ascii="Times New Roman" w:hAnsi="Times New Roman" w:cs="Times New Roman"/>
          <w:sz w:val="28"/>
          <w:szCs w:val="28"/>
        </w:rPr>
        <w:t xml:space="preserve"> bezdarba un sociālās atstumtības dēļ, kompensējošie mehānismi būtu papildināmi ar mērķētāku transfertu sistēmu, kombinējot to ar citām mērķētām valsts sniegtā atbalsta formām. </w:t>
      </w:r>
    </w:p>
    <w:p w:rsidR="00261D24" w:rsidRPr="00261D24" w:rsidRDefault="00261D24" w:rsidP="00261D2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Jāatzīmē, ka </w:t>
      </w:r>
      <w:r w:rsidRPr="00261D24">
        <w:rPr>
          <w:rFonts w:ascii="Times New Roman" w:hAnsi="Times New Roman" w:cs="Times New Roman"/>
          <w:sz w:val="28"/>
          <w:szCs w:val="28"/>
        </w:rPr>
        <w:t xml:space="preserve">2013.gada 16.aprīlī Ministru kabineta sēdē apstiprināts Veselības ministrijas izstrādātais koncepcijas projekts par veselības aprūpes sistēmas finansēšanas modeli, kas paredz plānveida veselības aprūpes saņemšanu sasaistīt ar „veselības nodokļa” nomaksu. </w:t>
      </w:r>
      <w:r>
        <w:rPr>
          <w:rFonts w:ascii="Times New Roman" w:hAnsi="Times New Roman" w:cs="Times New Roman"/>
          <w:sz w:val="28"/>
          <w:szCs w:val="28"/>
        </w:rPr>
        <w:t xml:space="preserve">Taču, tā kā pašreiz nav skaidrs </w:t>
      </w:r>
      <w:r w:rsidRPr="00261D24">
        <w:rPr>
          <w:rFonts w:ascii="Times New Roman" w:hAnsi="Times New Roman" w:cs="Times New Roman"/>
          <w:sz w:val="28"/>
          <w:szCs w:val="28"/>
        </w:rPr>
        <w:t xml:space="preserve">kā </w:t>
      </w:r>
      <w:r>
        <w:rPr>
          <w:rFonts w:ascii="Times New Roman" w:hAnsi="Times New Roman" w:cs="Times New Roman"/>
          <w:sz w:val="28"/>
          <w:szCs w:val="28"/>
        </w:rPr>
        <w:t>„veselības nodoklis”</w:t>
      </w:r>
      <w:r w:rsidR="007F5610">
        <w:rPr>
          <w:rFonts w:ascii="Times New Roman" w:hAnsi="Times New Roman" w:cs="Times New Roman"/>
          <w:sz w:val="28"/>
          <w:szCs w:val="28"/>
        </w:rPr>
        <w:t xml:space="preserve"> tiks piemērots</w:t>
      </w:r>
      <w:r>
        <w:rPr>
          <w:rFonts w:ascii="Times New Roman" w:hAnsi="Times New Roman" w:cs="Times New Roman"/>
          <w:sz w:val="28"/>
          <w:szCs w:val="28"/>
        </w:rPr>
        <w:t>, tas šajā informatīvajā ziņojumā netiek apskatīts</w:t>
      </w:r>
      <w:r w:rsidRPr="00261D24">
        <w:rPr>
          <w:rFonts w:ascii="Times New Roman" w:hAnsi="Times New Roman" w:cs="Times New Roman"/>
          <w:sz w:val="28"/>
          <w:szCs w:val="28"/>
        </w:rPr>
        <w:t>.</w:t>
      </w:r>
    </w:p>
    <w:p w:rsidR="007B4975" w:rsidRDefault="007B4975" w:rsidP="007B4975">
      <w:pPr>
        <w:spacing w:after="120" w:line="240" w:lineRule="auto"/>
        <w:ind w:firstLine="709"/>
        <w:jc w:val="both"/>
        <w:rPr>
          <w:rFonts w:ascii="Times New Roman" w:hAnsi="Times New Roman" w:cs="Times New Roman"/>
          <w:sz w:val="28"/>
          <w:szCs w:val="28"/>
        </w:rPr>
      </w:pPr>
      <w:r w:rsidRPr="007B4975">
        <w:rPr>
          <w:rFonts w:ascii="Times New Roman" w:hAnsi="Times New Roman" w:cs="Times New Roman"/>
          <w:sz w:val="28"/>
          <w:szCs w:val="28"/>
        </w:rPr>
        <w:t xml:space="preserve">Dažādas sabiedrības grupas algas nodokļu izmaiņas ietekmē atšķirīgi, jo indivīdu reakcija uz neto algas izmaiņām ir ļoti atšķirīga un ir atkarīga gan no </w:t>
      </w:r>
      <w:r w:rsidR="000F2B65">
        <w:rPr>
          <w:rFonts w:ascii="Times New Roman" w:hAnsi="Times New Roman" w:cs="Times New Roman"/>
          <w:sz w:val="28"/>
          <w:szCs w:val="28"/>
        </w:rPr>
        <w:t xml:space="preserve">ienākuma </w:t>
      </w:r>
      <w:r w:rsidR="00BD7D66">
        <w:rPr>
          <w:rFonts w:ascii="Times New Roman" w:hAnsi="Times New Roman" w:cs="Times New Roman"/>
          <w:sz w:val="28"/>
          <w:szCs w:val="28"/>
        </w:rPr>
        <w:t>lieluma</w:t>
      </w:r>
      <w:r w:rsidRPr="007B4975">
        <w:rPr>
          <w:rFonts w:ascii="Times New Roman" w:hAnsi="Times New Roman" w:cs="Times New Roman"/>
          <w:sz w:val="28"/>
          <w:szCs w:val="28"/>
        </w:rPr>
        <w:t xml:space="preserve">, gan ģimenes stāvokļa </w:t>
      </w:r>
      <w:proofErr w:type="spellStart"/>
      <w:r w:rsidRPr="007B4975">
        <w:rPr>
          <w:rFonts w:ascii="Times New Roman" w:hAnsi="Times New Roman" w:cs="Times New Roman"/>
          <w:sz w:val="28"/>
          <w:szCs w:val="28"/>
        </w:rPr>
        <w:t>u.c</w:t>
      </w:r>
      <w:proofErr w:type="spellEnd"/>
      <w:r w:rsidR="00795ABB">
        <w:rPr>
          <w:rFonts w:ascii="Times New Roman" w:hAnsi="Times New Roman" w:cs="Times New Roman"/>
          <w:sz w:val="28"/>
          <w:szCs w:val="28"/>
        </w:rPr>
        <w:t>. apsvērumiem</w:t>
      </w:r>
      <w:r w:rsidRPr="007B4975">
        <w:rPr>
          <w:rFonts w:ascii="Times New Roman" w:hAnsi="Times New Roman" w:cs="Times New Roman"/>
          <w:sz w:val="28"/>
          <w:szCs w:val="28"/>
        </w:rPr>
        <w:t>. Nodokļi ietekmē lēmumus par dalību darba tirgū, darba stundām, piepūli, kā arī ilgtermiņa lēmumus par izglītību un profesiju. Darba</w:t>
      </w:r>
      <w:r w:rsidR="00634E75">
        <w:rPr>
          <w:rFonts w:ascii="Times New Roman" w:hAnsi="Times New Roman" w:cs="Times New Roman"/>
          <w:sz w:val="28"/>
          <w:szCs w:val="28"/>
        </w:rPr>
        <w:t>spēka</w:t>
      </w:r>
      <w:r w:rsidRPr="007B4975">
        <w:rPr>
          <w:rFonts w:ascii="Times New Roman" w:hAnsi="Times New Roman" w:cs="Times New Roman"/>
          <w:sz w:val="28"/>
          <w:szCs w:val="28"/>
        </w:rPr>
        <w:t xml:space="preserve"> nodokļu slogs ietekmē arī lēmumu par izvairīšanos no nodokļu nomaksas (ēnu ekonomiku), kā arī veidu kādā saņemt </w:t>
      </w:r>
      <w:r w:rsidR="005515AF">
        <w:rPr>
          <w:rFonts w:ascii="Times New Roman" w:hAnsi="Times New Roman" w:cs="Times New Roman"/>
          <w:sz w:val="28"/>
          <w:szCs w:val="28"/>
        </w:rPr>
        <w:t>papildus labumus</w:t>
      </w:r>
      <w:r w:rsidR="005515AF" w:rsidRPr="007B4975">
        <w:rPr>
          <w:rFonts w:ascii="Times New Roman" w:hAnsi="Times New Roman" w:cs="Times New Roman"/>
          <w:sz w:val="28"/>
          <w:szCs w:val="28"/>
        </w:rPr>
        <w:t xml:space="preserve"> </w:t>
      </w:r>
      <w:r w:rsidR="005515AF">
        <w:rPr>
          <w:rFonts w:ascii="Times New Roman" w:hAnsi="Times New Roman" w:cs="Times New Roman"/>
          <w:sz w:val="28"/>
          <w:szCs w:val="28"/>
        </w:rPr>
        <w:t xml:space="preserve">saistībā </w:t>
      </w:r>
      <w:r w:rsidRPr="007B4975">
        <w:rPr>
          <w:rFonts w:ascii="Times New Roman" w:hAnsi="Times New Roman" w:cs="Times New Roman"/>
          <w:sz w:val="28"/>
          <w:szCs w:val="28"/>
        </w:rPr>
        <w:t>ar darbu</w:t>
      </w:r>
      <w:r>
        <w:rPr>
          <w:rFonts w:ascii="Times New Roman" w:hAnsi="Times New Roman" w:cs="Times New Roman"/>
          <w:sz w:val="28"/>
          <w:szCs w:val="28"/>
        </w:rPr>
        <w:t xml:space="preserve">, </w:t>
      </w:r>
      <w:r w:rsidRPr="007B4975">
        <w:rPr>
          <w:rFonts w:ascii="Times New Roman" w:hAnsi="Times New Roman" w:cs="Times New Roman"/>
          <w:sz w:val="28"/>
          <w:szCs w:val="28"/>
        </w:rPr>
        <w:t>piemēram, dodot priekšroku dienesta automašīnai nevis algas pielikumam. Tas ir viens no pamatojumiem veidot darba</w:t>
      </w:r>
      <w:r w:rsidR="00634E75">
        <w:rPr>
          <w:rFonts w:ascii="Times New Roman" w:hAnsi="Times New Roman" w:cs="Times New Roman"/>
          <w:sz w:val="28"/>
          <w:szCs w:val="28"/>
        </w:rPr>
        <w:t>spēka</w:t>
      </w:r>
      <w:r w:rsidRPr="007B4975">
        <w:rPr>
          <w:rFonts w:ascii="Times New Roman" w:hAnsi="Times New Roman" w:cs="Times New Roman"/>
          <w:sz w:val="28"/>
          <w:szCs w:val="28"/>
        </w:rPr>
        <w:t xml:space="preserve"> nodokļu politiku atšķirīgu dažādām </w:t>
      </w:r>
      <w:r w:rsidR="000F2B65">
        <w:rPr>
          <w:rFonts w:ascii="Times New Roman" w:hAnsi="Times New Roman" w:cs="Times New Roman"/>
          <w:sz w:val="28"/>
          <w:szCs w:val="28"/>
        </w:rPr>
        <w:t>iedzīvotāju</w:t>
      </w:r>
      <w:r w:rsidR="000F2B65" w:rsidRPr="007B4975">
        <w:rPr>
          <w:rFonts w:ascii="Times New Roman" w:hAnsi="Times New Roman" w:cs="Times New Roman"/>
          <w:sz w:val="28"/>
          <w:szCs w:val="28"/>
        </w:rPr>
        <w:t xml:space="preserve"> </w:t>
      </w:r>
      <w:r w:rsidRPr="007B4975">
        <w:rPr>
          <w:rFonts w:ascii="Times New Roman" w:hAnsi="Times New Roman" w:cs="Times New Roman"/>
          <w:sz w:val="28"/>
          <w:szCs w:val="28"/>
        </w:rPr>
        <w:t>grupām.</w:t>
      </w:r>
      <w:r w:rsidRPr="007B4975">
        <w:rPr>
          <w:rFonts w:ascii="Times New Roman" w:hAnsi="Times New Roman" w:cs="Times New Roman"/>
          <w:b/>
          <w:sz w:val="28"/>
          <w:szCs w:val="28"/>
        </w:rPr>
        <w:t xml:space="preserve"> </w:t>
      </w:r>
    </w:p>
    <w:p w:rsidR="001C4089" w:rsidRDefault="001C4089" w:rsidP="001C408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Pr="007B4975">
        <w:rPr>
          <w:rFonts w:ascii="Times New Roman" w:hAnsi="Times New Roman" w:cs="Times New Roman"/>
          <w:sz w:val="28"/>
          <w:szCs w:val="28"/>
        </w:rPr>
        <w:t>arba</w:t>
      </w:r>
      <w:r>
        <w:rPr>
          <w:rFonts w:ascii="Times New Roman" w:hAnsi="Times New Roman" w:cs="Times New Roman"/>
          <w:sz w:val="28"/>
          <w:szCs w:val="28"/>
        </w:rPr>
        <w:t>spēka</w:t>
      </w:r>
      <w:r w:rsidRPr="007B4975">
        <w:rPr>
          <w:rFonts w:ascii="Times New Roman" w:hAnsi="Times New Roman" w:cs="Times New Roman"/>
          <w:sz w:val="28"/>
          <w:szCs w:val="28"/>
        </w:rPr>
        <w:t xml:space="preserve"> nodokļi ietekmē gan darbaspēka pieprasījumu, gan piedāvājumu, jo rada starpību starp darba devēja izmaksām u</w:t>
      </w:r>
      <w:r>
        <w:rPr>
          <w:rFonts w:ascii="Times New Roman" w:hAnsi="Times New Roman" w:cs="Times New Roman"/>
          <w:sz w:val="28"/>
          <w:szCs w:val="28"/>
        </w:rPr>
        <w:t xml:space="preserve">n darba ņēmēja neto atalgojumu. </w:t>
      </w:r>
      <w:r w:rsidRPr="007B4975">
        <w:rPr>
          <w:rFonts w:ascii="Times New Roman" w:hAnsi="Times New Roman" w:cs="Times New Roman"/>
          <w:sz w:val="28"/>
          <w:szCs w:val="28"/>
        </w:rPr>
        <w:lastRenderedPageBreak/>
        <w:t>Darba</w:t>
      </w:r>
      <w:r>
        <w:rPr>
          <w:rFonts w:ascii="Times New Roman" w:hAnsi="Times New Roman" w:cs="Times New Roman"/>
          <w:sz w:val="28"/>
          <w:szCs w:val="28"/>
        </w:rPr>
        <w:t>spēka</w:t>
      </w:r>
      <w:r w:rsidRPr="007B4975">
        <w:rPr>
          <w:rFonts w:ascii="Times New Roman" w:hAnsi="Times New Roman" w:cs="Times New Roman"/>
          <w:sz w:val="28"/>
          <w:szCs w:val="28"/>
        </w:rPr>
        <w:t xml:space="preserve"> nodokļi </w:t>
      </w:r>
      <w:r>
        <w:rPr>
          <w:rFonts w:ascii="Times New Roman" w:hAnsi="Times New Roman" w:cs="Times New Roman"/>
          <w:sz w:val="28"/>
          <w:szCs w:val="28"/>
        </w:rPr>
        <w:t>ietekmē</w:t>
      </w:r>
      <w:r w:rsidRPr="007B4975">
        <w:rPr>
          <w:rFonts w:ascii="Times New Roman" w:hAnsi="Times New Roman" w:cs="Times New Roman"/>
          <w:sz w:val="28"/>
          <w:szCs w:val="28"/>
        </w:rPr>
        <w:t xml:space="preserve"> arī pārējo</w:t>
      </w:r>
      <w:r>
        <w:rPr>
          <w:rFonts w:ascii="Times New Roman" w:hAnsi="Times New Roman" w:cs="Times New Roman"/>
          <w:sz w:val="28"/>
          <w:szCs w:val="28"/>
        </w:rPr>
        <w:t>s</w:t>
      </w:r>
      <w:r w:rsidRPr="007B4975">
        <w:rPr>
          <w:rFonts w:ascii="Times New Roman" w:hAnsi="Times New Roman" w:cs="Times New Roman"/>
          <w:sz w:val="28"/>
          <w:szCs w:val="28"/>
        </w:rPr>
        <w:t xml:space="preserve"> darba tirgus un sociālo</w:t>
      </w:r>
      <w:r>
        <w:rPr>
          <w:rFonts w:ascii="Times New Roman" w:hAnsi="Times New Roman" w:cs="Times New Roman"/>
          <w:sz w:val="28"/>
          <w:szCs w:val="28"/>
        </w:rPr>
        <w:t>s</w:t>
      </w:r>
      <w:r w:rsidRPr="007B4975">
        <w:rPr>
          <w:rFonts w:ascii="Times New Roman" w:hAnsi="Times New Roman" w:cs="Times New Roman"/>
          <w:sz w:val="28"/>
          <w:szCs w:val="28"/>
        </w:rPr>
        <w:t xml:space="preserve"> regulējumu</w:t>
      </w:r>
      <w:r>
        <w:rPr>
          <w:rFonts w:ascii="Times New Roman" w:hAnsi="Times New Roman" w:cs="Times New Roman"/>
          <w:sz w:val="28"/>
          <w:szCs w:val="28"/>
        </w:rPr>
        <w:t>s,</w:t>
      </w:r>
      <w:r w:rsidRPr="007B4975">
        <w:rPr>
          <w:rFonts w:ascii="Times New Roman" w:hAnsi="Times New Roman" w:cs="Times New Roman"/>
          <w:sz w:val="28"/>
          <w:szCs w:val="28"/>
        </w:rPr>
        <w:t xml:space="preserve"> piemēram, minimāl</w:t>
      </w:r>
      <w:r>
        <w:rPr>
          <w:rFonts w:ascii="Times New Roman" w:hAnsi="Times New Roman" w:cs="Times New Roman"/>
          <w:sz w:val="28"/>
          <w:szCs w:val="28"/>
        </w:rPr>
        <w:t>o</w:t>
      </w:r>
      <w:r w:rsidRPr="007B4975">
        <w:rPr>
          <w:rFonts w:ascii="Times New Roman" w:hAnsi="Times New Roman" w:cs="Times New Roman"/>
          <w:sz w:val="28"/>
          <w:szCs w:val="28"/>
        </w:rPr>
        <w:t xml:space="preserve"> alg</w:t>
      </w:r>
      <w:r>
        <w:rPr>
          <w:rFonts w:ascii="Times New Roman" w:hAnsi="Times New Roman" w:cs="Times New Roman"/>
          <w:sz w:val="28"/>
          <w:szCs w:val="28"/>
        </w:rPr>
        <w:t>u</w:t>
      </w:r>
      <w:r w:rsidRPr="007B4975">
        <w:rPr>
          <w:rFonts w:ascii="Times New Roman" w:hAnsi="Times New Roman" w:cs="Times New Roman"/>
          <w:sz w:val="28"/>
          <w:szCs w:val="28"/>
        </w:rPr>
        <w:t>, pabalst</w:t>
      </w:r>
      <w:r>
        <w:rPr>
          <w:rFonts w:ascii="Times New Roman" w:hAnsi="Times New Roman" w:cs="Times New Roman"/>
          <w:sz w:val="28"/>
          <w:szCs w:val="28"/>
        </w:rPr>
        <w:t>us</w:t>
      </w:r>
      <w:r w:rsidRPr="007B4975" w:rsidDel="000F2B65">
        <w:rPr>
          <w:rFonts w:ascii="Times New Roman" w:hAnsi="Times New Roman" w:cs="Times New Roman"/>
          <w:sz w:val="28"/>
          <w:szCs w:val="28"/>
        </w:rPr>
        <w:t xml:space="preserve"> </w:t>
      </w:r>
      <w:proofErr w:type="spellStart"/>
      <w:r w:rsidRPr="007B4975">
        <w:rPr>
          <w:rFonts w:ascii="Times New Roman" w:hAnsi="Times New Roman" w:cs="Times New Roman"/>
          <w:sz w:val="28"/>
          <w:szCs w:val="28"/>
        </w:rPr>
        <w:t>u.</w:t>
      </w:r>
      <w:r>
        <w:rPr>
          <w:rFonts w:ascii="Times New Roman" w:hAnsi="Times New Roman" w:cs="Times New Roman"/>
          <w:sz w:val="28"/>
          <w:szCs w:val="28"/>
        </w:rPr>
        <w:t>tml</w:t>
      </w:r>
      <w:proofErr w:type="spellEnd"/>
      <w:r w:rsidRPr="007B4975">
        <w:rPr>
          <w:rFonts w:ascii="Times New Roman" w:hAnsi="Times New Roman" w:cs="Times New Roman"/>
          <w:sz w:val="28"/>
          <w:szCs w:val="28"/>
        </w:rPr>
        <w:t>.</w:t>
      </w:r>
      <w:r w:rsidRPr="007B4975">
        <w:rPr>
          <w:rFonts w:ascii="Times New Roman" w:hAnsi="Times New Roman" w:cs="Times New Roman"/>
          <w:b/>
          <w:sz w:val="28"/>
          <w:szCs w:val="28"/>
        </w:rPr>
        <w:t xml:space="preserve"> </w:t>
      </w:r>
    </w:p>
    <w:p w:rsidR="007B4975" w:rsidRDefault="007B4975" w:rsidP="007D50EA">
      <w:pPr>
        <w:spacing w:after="120" w:line="240" w:lineRule="auto"/>
        <w:ind w:firstLine="709"/>
        <w:jc w:val="both"/>
        <w:rPr>
          <w:rFonts w:ascii="Times New Roman" w:hAnsi="Times New Roman" w:cs="Times New Roman"/>
          <w:sz w:val="28"/>
          <w:szCs w:val="28"/>
        </w:rPr>
      </w:pPr>
      <w:r w:rsidRPr="007B4975">
        <w:rPr>
          <w:rFonts w:ascii="Times New Roman" w:hAnsi="Times New Roman" w:cs="Times New Roman"/>
          <w:sz w:val="28"/>
          <w:szCs w:val="28"/>
        </w:rPr>
        <w:t>Darba devēju darba</w:t>
      </w:r>
      <w:r w:rsidR="00634E75">
        <w:rPr>
          <w:rFonts w:ascii="Times New Roman" w:hAnsi="Times New Roman" w:cs="Times New Roman"/>
          <w:sz w:val="28"/>
          <w:szCs w:val="28"/>
        </w:rPr>
        <w:t>spēka</w:t>
      </w:r>
      <w:r w:rsidRPr="007B4975">
        <w:rPr>
          <w:rFonts w:ascii="Times New Roman" w:hAnsi="Times New Roman" w:cs="Times New Roman"/>
          <w:sz w:val="28"/>
          <w:szCs w:val="28"/>
        </w:rPr>
        <w:t xml:space="preserve"> nodokļi ietekmē tādā apmērā, kādā tie tiek pārnesti uz viņa izmaksām – tie sadārdzina darbaspēku un samazina tā produktīvas izmantošanas iespējas. Būtiska ir arī starptautiskā nodokļu konkurence.</w:t>
      </w:r>
      <w:r w:rsidRPr="007B4975">
        <w:rPr>
          <w:rFonts w:ascii="Times New Roman" w:hAnsi="Times New Roman" w:cs="Times New Roman"/>
          <w:b/>
          <w:sz w:val="28"/>
          <w:szCs w:val="28"/>
        </w:rPr>
        <w:t xml:space="preserve"> </w:t>
      </w:r>
    </w:p>
    <w:p w:rsidR="007B4975" w:rsidRPr="007B4975" w:rsidRDefault="007B4975" w:rsidP="007D50EA">
      <w:pPr>
        <w:spacing w:after="120" w:line="240" w:lineRule="auto"/>
        <w:ind w:firstLine="709"/>
        <w:contextualSpacing/>
        <w:jc w:val="both"/>
        <w:rPr>
          <w:rFonts w:ascii="Times New Roman" w:hAnsi="Times New Roman" w:cs="Times New Roman"/>
          <w:sz w:val="8"/>
          <w:szCs w:val="8"/>
        </w:rPr>
      </w:pPr>
    </w:p>
    <w:p w:rsidR="00D84A1F" w:rsidRDefault="00F22621" w:rsidP="00EB0DFF">
      <w:pPr>
        <w:pStyle w:val="Heading1"/>
        <w:numPr>
          <w:ilvl w:val="0"/>
          <w:numId w:val="15"/>
        </w:numPr>
        <w:spacing w:before="120" w:after="240"/>
        <w:ind w:left="709" w:hanging="703"/>
        <w:jc w:val="both"/>
        <w:rPr>
          <w:rFonts w:ascii="Times New Roman Bold" w:hAnsi="Times New Roman Bold" w:cs="Times New Roman"/>
          <w:smallCaps/>
          <w:color w:val="auto"/>
          <w:sz w:val="32"/>
          <w:szCs w:val="32"/>
        </w:rPr>
      </w:pPr>
      <w:bookmarkStart w:id="4" w:name="_Toc329179659"/>
      <w:bookmarkEnd w:id="4"/>
      <w:r>
        <w:rPr>
          <w:rFonts w:ascii="Times New Roman Bold" w:hAnsi="Times New Roman Bold" w:cs="Times New Roman"/>
          <w:smallCaps/>
          <w:sz w:val="32"/>
          <w:szCs w:val="32"/>
        </w:rPr>
        <w:br w:type="page"/>
      </w:r>
      <w:bookmarkStart w:id="5" w:name="_Toc357009512"/>
      <w:r w:rsidR="00D84A1F">
        <w:rPr>
          <w:rFonts w:ascii="Times New Roman Bold" w:hAnsi="Times New Roman Bold" w:cs="Times New Roman"/>
          <w:smallCaps/>
          <w:color w:val="auto"/>
          <w:sz w:val="32"/>
          <w:szCs w:val="32"/>
        </w:rPr>
        <w:lastRenderedPageBreak/>
        <w:t>Priekšlikum</w:t>
      </w:r>
      <w:r w:rsidR="00A003D0">
        <w:rPr>
          <w:rFonts w:ascii="Times New Roman Bold" w:hAnsi="Times New Roman Bold" w:cs="Times New Roman"/>
          <w:smallCaps/>
          <w:color w:val="auto"/>
          <w:sz w:val="32"/>
          <w:szCs w:val="32"/>
        </w:rPr>
        <w:t>i</w:t>
      </w:r>
      <w:r w:rsidR="00D84A1F">
        <w:rPr>
          <w:rFonts w:ascii="Times New Roman Bold" w:hAnsi="Times New Roman Bold" w:cs="Times New Roman"/>
          <w:smallCaps/>
          <w:color w:val="auto"/>
          <w:sz w:val="32"/>
          <w:szCs w:val="32"/>
        </w:rPr>
        <w:t xml:space="preserve"> </w:t>
      </w:r>
      <w:r w:rsidR="00C20AFB">
        <w:rPr>
          <w:rFonts w:ascii="Times New Roman Bold" w:hAnsi="Times New Roman Bold" w:cs="Times New Roman"/>
          <w:smallCaps/>
          <w:color w:val="auto"/>
          <w:sz w:val="32"/>
          <w:szCs w:val="32"/>
        </w:rPr>
        <w:t>ienākumu</w:t>
      </w:r>
      <w:r w:rsidR="00D84A1F">
        <w:rPr>
          <w:rFonts w:ascii="Times New Roman Bold" w:hAnsi="Times New Roman Bold" w:cs="Times New Roman"/>
          <w:smallCaps/>
          <w:color w:val="auto"/>
          <w:sz w:val="32"/>
          <w:szCs w:val="32"/>
        </w:rPr>
        <w:t xml:space="preserve"> nevienlīdzības mazināšanai</w:t>
      </w:r>
      <w:bookmarkEnd w:id="5"/>
    </w:p>
    <w:p w:rsidR="0057064F" w:rsidRPr="00BD50B3" w:rsidRDefault="00BD50B3" w:rsidP="00BD50B3">
      <w:pPr>
        <w:spacing w:after="120" w:line="240" w:lineRule="auto"/>
        <w:ind w:firstLine="709"/>
        <w:jc w:val="both"/>
        <w:rPr>
          <w:sz w:val="28"/>
          <w:szCs w:val="28"/>
        </w:rPr>
      </w:pPr>
      <w:r>
        <w:rPr>
          <w:rFonts w:ascii="Times New Roman" w:hAnsi="Times New Roman" w:cs="Times New Roman"/>
          <w:sz w:val="28"/>
          <w:szCs w:val="28"/>
        </w:rPr>
        <w:t xml:space="preserve">Lai mazinātu Baltijas valstu konkurenci par investīcijām un darba vietām, </w:t>
      </w:r>
      <w:r w:rsidR="0057064F" w:rsidRPr="00090D30">
        <w:rPr>
          <w:rFonts w:ascii="Times New Roman" w:hAnsi="Times New Roman" w:cs="Times New Roman"/>
          <w:sz w:val="28"/>
          <w:szCs w:val="28"/>
        </w:rPr>
        <w:t xml:space="preserve">2012.gada 24.maijā </w:t>
      </w:r>
      <w:r w:rsidR="00F22621" w:rsidRPr="00090D30">
        <w:rPr>
          <w:rFonts w:ascii="Times New Roman" w:hAnsi="Times New Roman" w:cs="Times New Roman"/>
          <w:sz w:val="28"/>
          <w:szCs w:val="28"/>
          <w:lang w:eastAsia="lv-LV"/>
        </w:rPr>
        <w:t xml:space="preserve">Saeima galīgajā lasījumā kā steidzamus atbalstīja </w:t>
      </w:r>
      <w:r w:rsidR="0057064F" w:rsidRPr="00090D30">
        <w:rPr>
          <w:rFonts w:ascii="Times New Roman" w:hAnsi="Times New Roman" w:cs="Times New Roman"/>
          <w:sz w:val="28"/>
          <w:szCs w:val="28"/>
          <w:lang w:eastAsia="lv-LV"/>
        </w:rPr>
        <w:t>grozījum</w:t>
      </w:r>
      <w:r w:rsidR="00F22621">
        <w:rPr>
          <w:rFonts w:ascii="Times New Roman" w:hAnsi="Times New Roman" w:cs="Times New Roman"/>
          <w:sz w:val="28"/>
          <w:szCs w:val="28"/>
          <w:lang w:eastAsia="lv-LV"/>
        </w:rPr>
        <w:t>us</w:t>
      </w:r>
      <w:r w:rsidR="0057064F" w:rsidRPr="00090D30">
        <w:rPr>
          <w:rFonts w:ascii="Times New Roman" w:hAnsi="Times New Roman" w:cs="Times New Roman"/>
          <w:sz w:val="28"/>
          <w:szCs w:val="28"/>
          <w:lang w:eastAsia="lv-LV"/>
        </w:rPr>
        <w:t xml:space="preserve"> likumā „Par iedzīvotāju ienākuma nodokli”, kas paredz </w:t>
      </w:r>
      <w:r w:rsidR="0057064F">
        <w:rPr>
          <w:rFonts w:ascii="Times New Roman" w:hAnsi="Times New Roman" w:cs="Times New Roman"/>
          <w:sz w:val="28"/>
          <w:szCs w:val="28"/>
          <w:lang w:eastAsia="lv-LV"/>
        </w:rPr>
        <w:t xml:space="preserve">pakāpeniski </w:t>
      </w:r>
      <w:r w:rsidR="0057064F" w:rsidRPr="00090D30">
        <w:rPr>
          <w:rFonts w:ascii="Times New Roman" w:hAnsi="Times New Roman" w:cs="Times New Roman"/>
          <w:sz w:val="28"/>
          <w:szCs w:val="28"/>
          <w:lang w:eastAsia="lv-LV"/>
        </w:rPr>
        <w:t>samazināt IIN likmi: no 2013.gada 1.janvāra no 25% uz 24%, 2014.gadā uz 22%, bet 2015.gadā uz 20</w:t>
      </w:r>
      <w:r w:rsidR="0057064F">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F22621">
        <w:rPr>
          <w:rFonts w:ascii="Times New Roman" w:hAnsi="Times New Roman" w:cs="Times New Roman"/>
          <w:sz w:val="28"/>
          <w:szCs w:val="28"/>
          <w:lang w:eastAsia="lv-LV"/>
        </w:rPr>
        <w:t>pašreiz</w:t>
      </w:r>
      <w:r>
        <w:rPr>
          <w:rFonts w:ascii="Times New Roman" w:hAnsi="Times New Roman" w:cs="Times New Roman"/>
          <w:sz w:val="28"/>
          <w:szCs w:val="28"/>
          <w:lang w:eastAsia="lv-LV"/>
        </w:rPr>
        <w:t xml:space="preserve"> IIN likme</w:t>
      </w:r>
      <w:r w:rsidR="0057064F">
        <w:rPr>
          <w:rFonts w:ascii="Times New Roman" w:hAnsi="Times New Roman" w:cs="Times New Roman"/>
          <w:sz w:val="28"/>
          <w:szCs w:val="28"/>
        </w:rPr>
        <w:t xml:space="preserve"> Lietuvā </w:t>
      </w:r>
      <w:r w:rsidR="00F22621">
        <w:rPr>
          <w:rFonts w:ascii="Times New Roman" w:hAnsi="Times New Roman" w:cs="Times New Roman"/>
          <w:sz w:val="28"/>
          <w:szCs w:val="28"/>
        </w:rPr>
        <w:t>ir</w:t>
      </w:r>
      <w:r w:rsidR="0057064F">
        <w:rPr>
          <w:rFonts w:ascii="Times New Roman" w:hAnsi="Times New Roman" w:cs="Times New Roman"/>
          <w:sz w:val="28"/>
          <w:szCs w:val="28"/>
        </w:rPr>
        <w:t xml:space="preserve"> 15%, bet Igaunijā – 21%, pie tam paredzēts, ka no 2015.gada IIN likme Igaunijā būs 20%</w:t>
      </w:r>
      <w:r>
        <w:rPr>
          <w:rFonts w:ascii="Times New Roman" w:hAnsi="Times New Roman" w:cs="Times New Roman"/>
          <w:sz w:val="28"/>
          <w:szCs w:val="28"/>
        </w:rPr>
        <w:t>)</w:t>
      </w:r>
      <w:r w:rsidR="0057064F">
        <w:rPr>
          <w:rFonts w:ascii="Times New Roman" w:hAnsi="Times New Roman" w:cs="Times New Roman"/>
          <w:sz w:val="28"/>
          <w:szCs w:val="28"/>
        </w:rPr>
        <w:t xml:space="preserve">. </w:t>
      </w:r>
    </w:p>
    <w:p w:rsidR="00F22621" w:rsidRDefault="00F22621" w:rsidP="00F22621">
      <w:pPr>
        <w:spacing w:after="120" w:line="240" w:lineRule="auto"/>
        <w:rPr>
          <w:rFonts w:ascii="Times New Roman" w:hAnsi="Times New Roman" w:cs="Times New Roman"/>
          <w:sz w:val="28"/>
          <w:szCs w:val="28"/>
        </w:rPr>
      </w:pPr>
      <w:r w:rsidRPr="001B1B72">
        <w:rPr>
          <w:rFonts w:ascii="Times New Roman" w:hAnsi="Times New Roman" w:cs="Times New Roman"/>
          <w:noProof/>
          <w:lang w:eastAsia="lv-LV"/>
        </w:rPr>
        <w:drawing>
          <wp:inline distT="0" distB="0" distL="0" distR="0" wp14:anchorId="39661469" wp14:editId="1C29D33E">
            <wp:extent cx="4810125"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2621" w:rsidRPr="00644631" w:rsidRDefault="00F22621" w:rsidP="00F22621">
      <w:pPr>
        <w:pStyle w:val="ListParagraph"/>
        <w:tabs>
          <w:tab w:val="left" w:pos="709"/>
        </w:tabs>
        <w:spacing w:after="6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1</w:t>
      </w:r>
      <w:r w:rsidRPr="00644631">
        <w:rPr>
          <w:rFonts w:ascii="Times New Roman" w:hAnsi="Times New Roman" w:cs="Times New Roman"/>
          <w:b/>
          <w:sz w:val="24"/>
          <w:szCs w:val="24"/>
        </w:rPr>
        <w:t xml:space="preserve">.att. </w:t>
      </w:r>
      <w:r w:rsidRPr="00644631">
        <w:rPr>
          <w:rFonts w:ascii="Times New Roman" w:hAnsi="Times New Roman" w:cs="Times New Roman"/>
          <w:b/>
          <w:sz w:val="24"/>
          <w:szCs w:val="24"/>
        </w:rPr>
        <w:tab/>
      </w:r>
      <w:r>
        <w:rPr>
          <w:rFonts w:ascii="Times New Roman" w:hAnsi="Times New Roman" w:cs="Times New Roman"/>
          <w:b/>
          <w:sz w:val="24"/>
          <w:szCs w:val="24"/>
        </w:rPr>
        <w:t xml:space="preserve">IIN likmes izmaiņas </w:t>
      </w:r>
      <w:r w:rsidRPr="00644631">
        <w:rPr>
          <w:rFonts w:ascii="Times New Roman" w:hAnsi="Times New Roman" w:cs="Times New Roman"/>
          <w:b/>
          <w:sz w:val="24"/>
          <w:szCs w:val="24"/>
        </w:rPr>
        <w:t>Baltijas valst</w:t>
      </w:r>
      <w:r>
        <w:rPr>
          <w:rFonts w:ascii="Times New Roman" w:hAnsi="Times New Roman" w:cs="Times New Roman"/>
          <w:b/>
          <w:sz w:val="24"/>
          <w:szCs w:val="24"/>
        </w:rPr>
        <w:t>īs</w:t>
      </w:r>
    </w:p>
    <w:p w:rsidR="00F22621" w:rsidRPr="00541A00" w:rsidRDefault="00F22621" w:rsidP="00F22621">
      <w:pPr>
        <w:tabs>
          <w:tab w:val="left" w:pos="709"/>
        </w:tabs>
        <w:spacing w:after="0" w:line="240" w:lineRule="auto"/>
        <w:jc w:val="both"/>
        <w:rPr>
          <w:rFonts w:ascii="Times New Roman" w:hAnsi="Times New Roman" w:cs="Times New Roman"/>
          <w:b/>
          <w:sz w:val="24"/>
          <w:szCs w:val="24"/>
        </w:rPr>
      </w:pPr>
      <w:r w:rsidRPr="00541A00">
        <w:rPr>
          <w:rFonts w:ascii="Times New Roman" w:hAnsi="Times New Roman" w:cs="Times New Roman"/>
          <w:b/>
          <w:i/>
          <w:sz w:val="24"/>
          <w:szCs w:val="24"/>
        </w:rPr>
        <w:t>Avots:</w:t>
      </w:r>
      <w:r w:rsidRPr="00541A00">
        <w:rPr>
          <w:rFonts w:ascii="Times New Roman" w:hAnsi="Times New Roman" w:cs="Times New Roman"/>
          <w:sz w:val="24"/>
          <w:szCs w:val="24"/>
        </w:rPr>
        <w:t xml:space="preserve"> Latvijas, Lietuvas un Igaunijas </w:t>
      </w:r>
      <w:r>
        <w:rPr>
          <w:rFonts w:ascii="Times New Roman" w:hAnsi="Times New Roman" w:cs="Times New Roman"/>
          <w:sz w:val="24"/>
          <w:szCs w:val="24"/>
        </w:rPr>
        <w:t>f</w:t>
      </w:r>
      <w:r w:rsidRPr="00541A00">
        <w:rPr>
          <w:rFonts w:ascii="Times New Roman" w:hAnsi="Times New Roman" w:cs="Times New Roman"/>
          <w:sz w:val="24"/>
          <w:szCs w:val="24"/>
        </w:rPr>
        <w:t>inanšu ministrij</w:t>
      </w:r>
      <w:r>
        <w:rPr>
          <w:rFonts w:ascii="Times New Roman" w:hAnsi="Times New Roman" w:cs="Times New Roman"/>
          <w:sz w:val="24"/>
          <w:szCs w:val="24"/>
        </w:rPr>
        <w:t>u dati</w:t>
      </w:r>
      <w:r w:rsidRPr="00541A00">
        <w:rPr>
          <w:rFonts w:ascii="Times New Roman" w:hAnsi="Times New Roman" w:cs="Times New Roman"/>
          <w:sz w:val="24"/>
          <w:szCs w:val="24"/>
        </w:rPr>
        <w:t xml:space="preserve"> </w:t>
      </w:r>
    </w:p>
    <w:p w:rsidR="00F22621" w:rsidRDefault="00F22621" w:rsidP="00BD50B3">
      <w:pPr>
        <w:spacing w:after="120" w:line="240" w:lineRule="auto"/>
        <w:ind w:firstLine="709"/>
        <w:jc w:val="both"/>
        <w:rPr>
          <w:rFonts w:ascii="Times New Roman" w:eastAsia="Times New Roman" w:hAnsi="Times New Roman" w:cs="Times New Roman"/>
          <w:color w:val="000000"/>
          <w:sz w:val="28"/>
          <w:szCs w:val="28"/>
          <w:lang w:eastAsia="lv-LV"/>
        </w:rPr>
      </w:pPr>
    </w:p>
    <w:p w:rsidR="0057064F" w:rsidRDefault="00F22621" w:rsidP="00BD50B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Tomēr, lai gan </w:t>
      </w:r>
      <w:r w:rsidR="0057064F" w:rsidRPr="0026044E">
        <w:rPr>
          <w:rFonts w:ascii="Times New Roman" w:hAnsi="Times New Roman" w:cs="Times New Roman"/>
          <w:sz w:val="28"/>
          <w:szCs w:val="28"/>
        </w:rPr>
        <w:t>IIN likme</w:t>
      </w:r>
      <w:r>
        <w:rPr>
          <w:rFonts w:ascii="Times New Roman" w:hAnsi="Times New Roman" w:cs="Times New Roman"/>
          <w:sz w:val="28"/>
          <w:szCs w:val="28"/>
        </w:rPr>
        <w:t xml:space="preserve"> tiek mazināta visiem vienādi, p</w:t>
      </w:r>
      <w:r w:rsidR="0057064F">
        <w:rPr>
          <w:rFonts w:ascii="Times New Roman" w:hAnsi="Times New Roman" w:cs="Times New Roman"/>
          <w:sz w:val="28"/>
          <w:szCs w:val="28"/>
        </w:rPr>
        <w:t xml:space="preserve">roporcionāli </w:t>
      </w:r>
      <w:r>
        <w:rPr>
          <w:rFonts w:ascii="Times New Roman" w:hAnsi="Times New Roman" w:cs="Times New Roman"/>
          <w:sz w:val="28"/>
          <w:szCs w:val="28"/>
        </w:rPr>
        <w:t xml:space="preserve">tā </w:t>
      </w:r>
      <w:r w:rsidR="0057064F">
        <w:rPr>
          <w:rFonts w:ascii="Times New Roman" w:hAnsi="Times New Roman" w:cs="Times New Roman"/>
          <w:sz w:val="28"/>
          <w:szCs w:val="28"/>
        </w:rPr>
        <w:t xml:space="preserve">vairāk </w:t>
      </w:r>
      <w:r>
        <w:rPr>
          <w:rFonts w:ascii="Times New Roman" w:hAnsi="Times New Roman" w:cs="Times New Roman"/>
          <w:sz w:val="28"/>
          <w:szCs w:val="28"/>
        </w:rPr>
        <w:t xml:space="preserve">ietekmē </w:t>
      </w:r>
      <w:r w:rsidR="0057064F" w:rsidRPr="0026044E">
        <w:rPr>
          <w:rFonts w:ascii="Times New Roman" w:hAnsi="Times New Roman" w:cs="Times New Roman"/>
          <w:sz w:val="28"/>
          <w:szCs w:val="28"/>
        </w:rPr>
        <w:t>darba ņēmēj</w:t>
      </w:r>
      <w:r>
        <w:rPr>
          <w:rFonts w:ascii="Times New Roman" w:hAnsi="Times New Roman" w:cs="Times New Roman"/>
          <w:sz w:val="28"/>
          <w:szCs w:val="28"/>
        </w:rPr>
        <w:t>us</w:t>
      </w:r>
      <w:r w:rsidR="0057064F" w:rsidRPr="0026044E">
        <w:rPr>
          <w:rFonts w:ascii="Times New Roman" w:hAnsi="Times New Roman" w:cs="Times New Roman"/>
          <w:sz w:val="28"/>
          <w:szCs w:val="28"/>
        </w:rPr>
        <w:t xml:space="preserve"> ar atalgojumu virs vidējā.</w:t>
      </w:r>
      <w:r w:rsidR="0057064F" w:rsidRPr="003B7DDE">
        <w:rPr>
          <w:rFonts w:ascii="Times New Roman" w:hAnsi="Times New Roman" w:cs="Times New Roman"/>
          <w:sz w:val="28"/>
          <w:szCs w:val="28"/>
        </w:rPr>
        <w:t xml:space="preserve"> Tād</w:t>
      </w:r>
      <w:r w:rsidR="0057064F">
        <w:rPr>
          <w:rFonts w:ascii="Times New Roman" w:hAnsi="Times New Roman" w:cs="Times New Roman"/>
          <w:sz w:val="28"/>
          <w:szCs w:val="28"/>
        </w:rPr>
        <w:t>ē</w:t>
      </w:r>
      <w:r w:rsidR="0057064F" w:rsidRPr="003B7DDE">
        <w:rPr>
          <w:rFonts w:ascii="Times New Roman" w:hAnsi="Times New Roman" w:cs="Times New Roman"/>
          <w:sz w:val="28"/>
          <w:szCs w:val="28"/>
        </w:rPr>
        <w:t xml:space="preserve">jādi tas mērķtiecīgāk ietekmē </w:t>
      </w:r>
      <w:r w:rsidR="0057064F">
        <w:rPr>
          <w:rFonts w:ascii="Times New Roman" w:hAnsi="Times New Roman"/>
          <w:sz w:val="28"/>
          <w:szCs w:val="28"/>
        </w:rPr>
        <w:t xml:space="preserve">produktīvāko darbinieku darba algas, tomēr nerisina </w:t>
      </w:r>
      <w:r w:rsidR="00BC0596">
        <w:rPr>
          <w:rFonts w:ascii="Times New Roman" w:hAnsi="Times New Roman"/>
          <w:sz w:val="28"/>
          <w:szCs w:val="28"/>
        </w:rPr>
        <w:t>ienākumu</w:t>
      </w:r>
      <w:r w:rsidR="0057064F">
        <w:rPr>
          <w:rFonts w:ascii="Times New Roman" w:hAnsi="Times New Roman"/>
          <w:sz w:val="28"/>
          <w:szCs w:val="28"/>
        </w:rPr>
        <w:t xml:space="preserve"> nevienlīdzības problēmas</w:t>
      </w:r>
      <w:r w:rsidR="0057064F" w:rsidRPr="003B7DDE">
        <w:rPr>
          <w:rFonts w:ascii="Times New Roman" w:hAnsi="Times New Roman" w:cs="Times New Roman"/>
          <w:sz w:val="28"/>
          <w:szCs w:val="28"/>
        </w:rPr>
        <w:t>.</w:t>
      </w:r>
    </w:p>
    <w:p w:rsidR="00F22621" w:rsidRDefault="00512E1B" w:rsidP="001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2013.gada 21.februāra sanāksmē, ko organizēja f</w:t>
      </w:r>
      <w:r w:rsidR="00F22621">
        <w:rPr>
          <w:rFonts w:ascii="Times New Roman" w:hAnsi="Times New Roman" w:cs="Times New Roman"/>
          <w:sz w:val="28"/>
          <w:szCs w:val="28"/>
        </w:rPr>
        <w:t>inanšu minist</w:t>
      </w:r>
      <w:r>
        <w:rPr>
          <w:rFonts w:ascii="Times New Roman" w:hAnsi="Times New Roman" w:cs="Times New Roman"/>
          <w:sz w:val="28"/>
          <w:szCs w:val="28"/>
        </w:rPr>
        <w:t xml:space="preserve">rs A.Vilks kopā ar labklājības </w:t>
      </w:r>
      <w:r w:rsidR="00F22621">
        <w:rPr>
          <w:rFonts w:ascii="Times New Roman" w:hAnsi="Times New Roman" w:cs="Times New Roman"/>
          <w:sz w:val="28"/>
          <w:szCs w:val="28"/>
        </w:rPr>
        <w:t>ministri</w:t>
      </w:r>
      <w:r>
        <w:rPr>
          <w:rFonts w:ascii="Times New Roman" w:hAnsi="Times New Roman" w:cs="Times New Roman"/>
          <w:sz w:val="28"/>
          <w:szCs w:val="28"/>
        </w:rPr>
        <w:t xml:space="preserve"> </w:t>
      </w:r>
      <w:proofErr w:type="spellStart"/>
      <w:r>
        <w:rPr>
          <w:rFonts w:ascii="Times New Roman" w:hAnsi="Times New Roman" w:cs="Times New Roman"/>
          <w:sz w:val="28"/>
          <w:szCs w:val="28"/>
        </w:rPr>
        <w:t>I.Viņķeli</w:t>
      </w:r>
      <w:proofErr w:type="spellEnd"/>
      <w:r>
        <w:rPr>
          <w:rFonts w:ascii="Times New Roman" w:hAnsi="Times New Roman" w:cs="Times New Roman"/>
          <w:sz w:val="28"/>
          <w:szCs w:val="28"/>
        </w:rPr>
        <w:t>, kā arī v</w:t>
      </w:r>
      <w:r w:rsidR="00F22621">
        <w:rPr>
          <w:rFonts w:ascii="Times New Roman" w:hAnsi="Times New Roman" w:cs="Times New Roman"/>
          <w:sz w:val="28"/>
          <w:szCs w:val="28"/>
        </w:rPr>
        <w:t xml:space="preserve">aldības sociālajiem </w:t>
      </w:r>
      <w:r>
        <w:rPr>
          <w:rFonts w:ascii="Times New Roman" w:hAnsi="Times New Roman" w:cs="Times New Roman"/>
          <w:sz w:val="28"/>
          <w:szCs w:val="28"/>
        </w:rPr>
        <w:t xml:space="preserve">un sadarbības </w:t>
      </w:r>
      <w:r w:rsidR="00F22621">
        <w:rPr>
          <w:rFonts w:ascii="Times New Roman" w:hAnsi="Times New Roman" w:cs="Times New Roman"/>
          <w:sz w:val="28"/>
          <w:szCs w:val="28"/>
        </w:rPr>
        <w:t>partneriem</w:t>
      </w:r>
      <w:r w:rsidR="003053AA">
        <w:rPr>
          <w:rFonts w:ascii="Times New Roman" w:hAnsi="Times New Roman" w:cs="Times New Roman"/>
          <w:sz w:val="28"/>
          <w:szCs w:val="28"/>
        </w:rPr>
        <w:t xml:space="preserve">, </w:t>
      </w:r>
      <w:r>
        <w:rPr>
          <w:rFonts w:ascii="Times New Roman" w:hAnsi="Times New Roman" w:cs="Times New Roman"/>
          <w:sz w:val="28"/>
          <w:szCs w:val="28"/>
        </w:rPr>
        <w:t xml:space="preserve">tika </w:t>
      </w:r>
      <w:r w:rsidR="001D794D">
        <w:rPr>
          <w:rFonts w:ascii="Times New Roman" w:hAnsi="Times New Roman" w:cs="Times New Roman"/>
          <w:sz w:val="28"/>
          <w:szCs w:val="28"/>
        </w:rPr>
        <w:t xml:space="preserve">apskatīti </w:t>
      </w:r>
      <w:r>
        <w:rPr>
          <w:rFonts w:ascii="Times New Roman" w:hAnsi="Times New Roman" w:cs="Times New Roman"/>
          <w:sz w:val="28"/>
          <w:szCs w:val="28"/>
        </w:rPr>
        <w:t>šādi</w:t>
      </w:r>
      <w:r w:rsidR="003053AA">
        <w:rPr>
          <w:rFonts w:ascii="Times New Roman" w:hAnsi="Times New Roman" w:cs="Times New Roman"/>
          <w:sz w:val="28"/>
          <w:szCs w:val="28"/>
        </w:rPr>
        <w:t xml:space="preserve"> priekšlikum</w:t>
      </w:r>
      <w:r>
        <w:rPr>
          <w:rFonts w:ascii="Times New Roman" w:hAnsi="Times New Roman" w:cs="Times New Roman"/>
          <w:sz w:val="28"/>
          <w:szCs w:val="28"/>
        </w:rPr>
        <w:t>i</w:t>
      </w:r>
      <w:r w:rsidR="003053A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skat</w:t>
      </w:r>
      <w:proofErr w:type="spellEnd"/>
      <w:r>
        <w:rPr>
          <w:rFonts w:ascii="Times New Roman" w:hAnsi="Times New Roman" w:cs="Times New Roman"/>
          <w:sz w:val="28"/>
          <w:szCs w:val="28"/>
        </w:rPr>
        <w:t xml:space="preserve">. </w:t>
      </w:r>
      <w:r w:rsidR="00BA6CED">
        <w:rPr>
          <w:rFonts w:ascii="Times New Roman" w:hAnsi="Times New Roman" w:cs="Times New Roman"/>
          <w:sz w:val="28"/>
          <w:szCs w:val="28"/>
        </w:rPr>
        <w:t>1.</w:t>
      </w:r>
      <w:r>
        <w:rPr>
          <w:rFonts w:ascii="Times New Roman" w:hAnsi="Times New Roman" w:cs="Times New Roman"/>
          <w:sz w:val="28"/>
          <w:szCs w:val="28"/>
        </w:rPr>
        <w:t xml:space="preserve">tabulā) </w:t>
      </w:r>
      <w:r w:rsidR="00BC0596">
        <w:rPr>
          <w:rFonts w:ascii="Times New Roman" w:hAnsi="Times New Roman" w:cs="Times New Roman"/>
          <w:sz w:val="28"/>
          <w:szCs w:val="28"/>
        </w:rPr>
        <w:t>ienākumu</w:t>
      </w:r>
      <w:r w:rsidR="003053AA">
        <w:rPr>
          <w:rFonts w:ascii="Times New Roman" w:hAnsi="Times New Roman" w:cs="Times New Roman"/>
          <w:sz w:val="28"/>
          <w:szCs w:val="28"/>
        </w:rPr>
        <w:t xml:space="preserve"> nevienlīdzības mazināšanai.</w:t>
      </w:r>
      <w:r w:rsidR="00F22621">
        <w:rPr>
          <w:rFonts w:ascii="Times New Roman" w:hAnsi="Times New Roman" w:cs="Times New Roman"/>
          <w:sz w:val="28"/>
          <w:szCs w:val="28"/>
        </w:rPr>
        <w:t xml:space="preserve"> </w:t>
      </w:r>
    </w:p>
    <w:p w:rsidR="001E5A3F" w:rsidRPr="00995D03" w:rsidRDefault="001E5A3F" w:rsidP="001E5A3F">
      <w:pPr>
        <w:spacing w:after="0" w:line="240" w:lineRule="auto"/>
        <w:ind w:firstLine="709"/>
        <w:jc w:val="both"/>
        <w:rPr>
          <w:rFonts w:ascii="Times New Roman" w:hAnsi="Times New Roman" w:cs="Times New Roman"/>
          <w:sz w:val="28"/>
          <w:szCs w:val="28"/>
        </w:rPr>
      </w:pPr>
    </w:p>
    <w:p w:rsidR="00D84A1F" w:rsidRPr="00B51381" w:rsidRDefault="00250852" w:rsidP="00D84A1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84A1F" w:rsidRPr="00B51381">
        <w:rPr>
          <w:rFonts w:ascii="Times New Roman" w:hAnsi="Times New Roman" w:cs="Times New Roman"/>
          <w:b/>
          <w:sz w:val="24"/>
          <w:szCs w:val="24"/>
        </w:rPr>
        <w:t>.tab.</w:t>
      </w:r>
      <w:r w:rsidR="00D84A1F" w:rsidRPr="00B51381">
        <w:rPr>
          <w:rFonts w:ascii="Times New Roman" w:hAnsi="Times New Roman" w:cs="Times New Roman"/>
          <w:b/>
          <w:sz w:val="24"/>
          <w:szCs w:val="24"/>
        </w:rPr>
        <w:tab/>
      </w:r>
      <w:r w:rsidR="00F056CB">
        <w:rPr>
          <w:rFonts w:ascii="Times New Roman" w:hAnsi="Times New Roman" w:cs="Times New Roman"/>
          <w:b/>
          <w:sz w:val="24"/>
          <w:szCs w:val="24"/>
        </w:rPr>
        <w:t>Priekšlikumi</w:t>
      </w:r>
      <w:r w:rsidR="00D84A1F">
        <w:rPr>
          <w:rFonts w:ascii="Times New Roman" w:hAnsi="Times New Roman" w:cs="Times New Roman"/>
          <w:b/>
          <w:sz w:val="24"/>
          <w:szCs w:val="24"/>
        </w:rPr>
        <w:t xml:space="preserve"> </w:t>
      </w:r>
      <w:r w:rsidR="00BC0596">
        <w:rPr>
          <w:rFonts w:ascii="Times New Roman" w:hAnsi="Times New Roman" w:cs="Times New Roman"/>
          <w:b/>
          <w:sz w:val="24"/>
          <w:szCs w:val="24"/>
        </w:rPr>
        <w:t>ienākumu</w:t>
      </w:r>
      <w:r w:rsidR="00D84A1F">
        <w:rPr>
          <w:rFonts w:ascii="Times New Roman" w:hAnsi="Times New Roman" w:cs="Times New Roman"/>
          <w:b/>
          <w:sz w:val="24"/>
          <w:szCs w:val="24"/>
        </w:rPr>
        <w:t xml:space="preserve"> nevienlīdzības mazināšanai</w:t>
      </w:r>
    </w:p>
    <w:tbl>
      <w:tblPr>
        <w:tblStyle w:val="TableGrid"/>
        <w:tblW w:w="0" w:type="auto"/>
        <w:tblLook w:val="04A0" w:firstRow="1" w:lastRow="0" w:firstColumn="1" w:lastColumn="0" w:noHBand="0" w:noVBand="1"/>
      </w:tblPr>
      <w:tblGrid>
        <w:gridCol w:w="3510"/>
        <w:gridCol w:w="1276"/>
        <w:gridCol w:w="1276"/>
        <w:gridCol w:w="1368"/>
        <w:gridCol w:w="1183"/>
        <w:gridCol w:w="1295"/>
      </w:tblGrid>
      <w:tr w:rsidR="001E608B" w:rsidRPr="003453C5" w:rsidTr="001E608B">
        <w:tc>
          <w:tcPr>
            <w:tcW w:w="35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r w:rsidRPr="003453C5">
              <w:rPr>
                <w:rFonts w:ascii="Times New Roman" w:hAnsi="Times New Roman" w:cs="Times New Roman"/>
                <w:b/>
                <w:color w:val="FFFFFF" w:themeColor="background1"/>
                <w:sz w:val="24"/>
                <w:szCs w:val="24"/>
              </w:rPr>
              <w:t>2013</w:t>
            </w:r>
          </w:p>
        </w:tc>
        <w:tc>
          <w:tcPr>
            <w:tcW w:w="2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r w:rsidRPr="003453C5">
              <w:rPr>
                <w:rFonts w:ascii="Times New Roman" w:hAnsi="Times New Roman" w:cs="Times New Roman"/>
                <w:b/>
                <w:color w:val="FFFFFF" w:themeColor="background1"/>
                <w:sz w:val="24"/>
                <w:szCs w:val="24"/>
              </w:rPr>
              <w:t>2014</w:t>
            </w:r>
          </w:p>
        </w:tc>
        <w:tc>
          <w:tcPr>
            <w:tcW w:w="24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r w:rsidRPr="003453C5">
              <w:rPr>
                <w:rFonts w:ascii="Times New Roman" w:hAnsi="Times New Roman" w:cs="Times New Roman"/>
                <w:b/>
                <w:color w:val="FFFFFF" w:themeColor="background1"/>
                <w:sz w:val="24"/>
                <w:szCs w:val="24"/>
              </w:rPr>
              <w:t>2015</w:t>
            </w:r>
          </w:p>
        </w:tc>
      </w:tr>
      <w:tr w:rsidR="001E608B" w:rsidRPr="003453C5" w:rsidTr="001E608B">
        <w:tc>
          <w:tcPr>
            <w:tcW w:w="3510" w:type="dxa"/>
            <w:vMerge/>
            <w:tcBorders>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L</w:t>
            </w:r>
            <w:r>
              <w:rPr>
                <w:rFonts w:ascii="Times New Roman" w:hAnsi="Times New Roman" w:cs="Times New Roman"/>
                <w:i/>
                <w:color w:val="FFFFFF" w:themeColor="background1"/>
                <w:sz w:val="24"/>
                <w:szCs w:val="24"/>
              </w:rPr>
              <w:t xml:space="preserve">VL </w:t>
            </w:r>
          </w:p>
          <w:p w:rsidR="001E608B" w:rsidRPr="003453C5"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mēnesī</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L</w:t>
            </w:r>
            <w:r>
              <w:rPr>
                <w:rFonts w:ascii="Times New Roman" w:hAnsi="Times New Roman" w:cs="Times New Roman"/>
                <w:i/>
                <w:color w:val="FFFFFF" w:themeColor="background1"/>
                <w:sz w:val="24"/>
                <w:szCs w:val="24"/>
              </w:rPr>
              <w:t>VL</w:t>
            </w:r>
          </w:p>
          <w:p w:rsidR="001E608B" w:rsidRPr="003453C5" w:rsidRDefault="001E608B" w:rsidP="003453C5">
            <w:pPr>
              <w:pStyle w:val="ListParagraph"/>
              <w:ind w:left="0"/>
              <w:jc w:val="center"/>
              <w:rPr>
                <w:rFonts w:ascii="Times New Roman" w:hAnsi="Times New Roman" w:cs="Times New Roman"/>
                <w:b/>
                <w:color w:val="FFFFFF" w:themeColor="background1"/>
                <w:sz w:val="24"/>
                <w:szCs w:val="24"/>
              </w:rPr>
            </w:pPr>
            <w:r w:rsidRPr="003453C5">
              <w:rPr>
                <w:rFonts w:ascii="Times New Roman" w:hAnsi="Times New Roman" w:cs="Times New Roman"/>
                <w:i/>
                <w:color w:val="FFFFFF" w:themeColor="background1"/>
                <w:sz w:val="24"/>
                <w:szCs w:val="24"/>
              </w:rPr>
              <w:t>mēnesī</w:t>
            </w:r>
          </w:p>
        </w:tc>
        <w:tc>
          <w:tcPr>
            <w:tcW w:w="1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EUR mēnesī</w:t>
            </w:r>
          </w:p>
        </w:tc>
        <w:tc>
          <w:tcPr>
            <w:tcW w:w="1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L</w:t>
            </w:r>
            <w:r>
              <w:rPr>
                <w:rFonts w:ascii="Times New Roman" w:hAnsi="Times New Roman" w:cs="Times New Roman"/>
                <w:i/>
                <w:color w:val="FFFFFF" w:themeColor="background1"/>
                <w:sz w:val="24"/>
                <w:szCs w:val="24"/>
              </w:rPr>
              <w:t xml:space="preserve">VL </w:t>
            </w:r>
          </w:p>
          <w:p w:rsidR="001E608B" w:rsidRDefault="001E608B" w:rsidP="003453C5">
            <w:pPr>
              <w:pStyle w:val="ListParagraph"/>
              <w:ind w:left="0"/>
              <w:jc w:val="center"/>
              <w:rPr>
                <w:rFonts w:ascii="Times New Roman" w:hAnsi="Times New Roman" w:cs="Times New Roman"/>
                <w:i/>
                <w:color w:val="FFFFFF" w:themeColor="background1"/>
                <w:sz w:val="24"/>
                <w:szCs w:val="24"/>
              </w:rPr>
            </w:pPr>
            <w:r w:rsidRPr="003453C5">
              <w:rPr>
                <w:rFonts w:ascii="Times New Roman" w:hAnsi="Times New Roman" w:cs="Times New Roman"/>
                <w:i/>
                <w:color w:val="FFFFFF" w:themeColor="background1"/>
                <w:sz w:val="24"/>
                <w:szCs w:val="24"/>
              </w:rPr>
              <w:t>mēnesī</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1E608B" w:rsidRPr="003453C5" w:rsidRDefault="001E608B" w:rsidP="003453C5">
            <w:pPr>
              <w:pStyle w:val="ListParagraph"/>
              <w:ind w:left="0"/>
              <w:jc w:val="center"/>
              <w:rPr>
                <w:rFonts w:ascii="Times New Roman" w:hAnsi="Times New Roman" w:cs="Times New Roman"/>
                <w:i/>
                <w:color w:val="FFFFFF" w:themeColor="background1"/>
                <w:sz w:val="24"/>
                <w:szCs w:val="24"/>
              </w:rPr>
            </w:pPr>
            <w:r>
              <w:rPr>
                <w:rFonts w:ascii="Times New Roman" w:hAnsi="Times New Roman" w:cs="Times New Roman"/>
                <w:i/>
                <w:color w:val="FFFFFF" w:themeColor="background1"/>
                <w:sz w:val="24"/>
                <w:szCs w:val="24"/>
              </w:rPr>
              <w:t>EUR mēnesī</w:t>
            </w:r>
          </w:p>
        </w:tc>
      </w:tr>
      <w:tr w:rsidR="00ED6CFA" w:rsidRPr="003453C5" w:rsidTr="00823241">
        <w:tc>
          <w:tcPr>
            <w:tcW w:w="3510" w:type="dxa"/>
            <w:tcBorders>
              <w:top w:val="single" w:sz="4" w:space="0" w:color="FFFFFF" w:themeColor="background1"/>
              <w:bottom w:val="single" w:sz="4" w:space="0" w:color="000000" w:themeColor="text1"/>
            </w:tcBorders>
          </w:tcPr>
          <w:p w:rsidR="00ED6CFA" w:rsidRPr="003453C5" w:rsidRDefault="00ED6CFA" w:rsidP="00995D03">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Minimālā darba alga</w:t>
            </w:r>
          </w:p>
        </w:tc>
        <w:tc>
          <w:tcPr>
            <w:tcW w:w="1276" w:type="dxa"/>
            <w:tcBorders>
              <w:top w:val="single" w:sz="4" w:space="0" w:color="FFFFFF" w:themeColor="background1"/>
              <w:bottom w:val="single" w:sz="4" w:space="0" w:color="000000" w:themeColor="text1"/>
            </w:tcBorders>
          </w:tcPr>
          <w:p w:rsidR="00ED6CFA" w:rsidRPr="003453C5" w:rsidRDefault="00ED6CFA" w:rsidP="00ED6C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FFFFFF" w:themeColor="background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225</w:t>
            </w:r>
          </w:p>
        </w:tc>
        <w:tc>
          <w:tcPr>
            <w:tcW w:w="1368" w:type="dxa"/>
            <w:tcBorders>
              <w:top w:val="single" w:sz="4" w:space="0" w:color="FFFFFF" w:themeColor="background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sz w:val="24"/>
                <w:szCs w:val="24"/>
              </w:rPr>
            </w:pPr>
            <w:r w:rsidRPr="00ED6CFA">
              <w:rPr>
                <w:rFonts w:ascii="Times New Roman" w:hAnsi="Times New Roman" w:cs="Times New Roman"/>
                <w:b/>
                <w:color w:val="0037A4"/>
                <w:sz w:val="24"/>
                <w:szCs w:val="24"/>
              </w:rPr>
              <w:t>320</w:t>
            </w:r>
          </w:p>
        </w:tc>
        <w:tc>
          <w:tcPr>
            <w:tcW w:w="1183" w:type="dxa"/>
            <w:tcBorders>
              <w:top w:val="single" w:sz="4" w:space="0" w:color="FFFFFF" w:themeColor="background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232</w:t>
            </w:r>
          </w:p>
        </w:tc>
        <w:tc>
          <w:tcPr>
            <w:tcW w:w="1295" w:type="dxa"/>
            <w:tcBorders>
              <w:top w:val="single" w:sz="4" w:space="0" w:color="FFFFFF" w:themeColor="background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sz w:val="24"/>
                <w:szCs w:val="24"/>
              </w:rPr>
            </w:pPr>
            <w:r w:rsidRPr="00ED6CFA">
              <w:rPr>
                <w:rFonts w:ascii="Times New Roman" w:hAnsi="Times New Roman" w:cs="Times New Roman"/>
                <w:b/>
                <w:color w:val="0037A4"/>
                <w:sz w:val="24"/>
                <w:szCs w:val="24"/>
              </w:rPr>
              <w:t>330</w:t>
            </w:r>
          </w:p>
        </w:tc>
      </w:tr>
      <w:tr w:rsidR="00ED6CFA" w:rsidRPr="003453C5" w:rsidTr="00823241">
        <w:tc>
          <w:tcPr>
            <w:tcW w:w="3510" w:type="dxa"/>
            <w:tcBorders>
              <w:top w:val="single" w:sz="4" w:space="0" w:color="000000" w:themeColor="text1"/>
              <w:bottom w:val="single" w:sz="4" w:space="0" w:color="000000" w:themeColor="text1"/>
            </w:tcBorders>
          </w:tcPr>
          <w:p w:rsidR="00ED6CFA" w:rsidRDefault="00ED6CFA" w:rsidP="00995D03">
            <w:pPr>
              <w:pStyle w:val="ListParagraph"/>
              <w:ind w:left="0"/>
              <w:jc w:val="both"/>
              <w:rPr>
                <w:rFonts w:ascii="Times New Roman" w:hAnsi="Times New Roman" w:cs="Times New Roman"/>
                <w:sz w:val="24"/>
                <w:szCs w:val="24"/>
              </w:rPr>
            </w:pPr>
            <w:r>
              <w:rPr>
                <w:rFonts w:ascii="Times New Roman" w:hAnsi="Times New Roman" w:cs="Times New Roman"/>
                <w:sz w:val="24"/>
                <w:szCs w:val="24"/>
              </w:rPr>
              <w:t>Neapliekamais minimums</w:t>
            </w:r>
          </w:p>
        </w:tc>
        <w:tc>
          <w:tcPr>
            <w:tcW w:w="1276" w:type="dxa"/>
            <w:tcBorders>
              <w:top w:val="single" w:sz="4" w:space="0" w:color="000000" w:themeColor="text1"/>
              <w:bottom w:val="single" w:sz="4" w:space="0" w:color="000000" w:themeColor="text1"/>
            </w:tcBorders>
          </w:tcPr>
          <w:p w:rsidR="00ED6CFA" w:rsidRDefault="00ED6CFA" w:rsidP="00ED6C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tcBorders>
              <w:top w:val="single" w:sz="4" w:space="0" w:color="000000" w:themeColor="text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Līdz 84</w:t>
            </w:r>
          </w:p>
        </w:tc>
        <w:tc>
          <w:tcPr>
            <w:tcW w:w="1368" w:type="dxa"/>
            <w:tcBorders>
              <w:top w:val="single" w:sz="4" w:space="0" w:color="000000" w:themeColor="text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sz w:val="24"/>
                <w:szCs w:val="24"/>
              </w:rPr>
            </w:pPr>
            <w:r w:rsidRPr="00ED6CFA">
              <w:rPr>
                <w:rFonts w:ascii="Times New Roman" w:hAnsi="Times New Roman" w:cs="Times New Roman"/>
                <w:b/>
                <w:color w:val="0037A4"/>
                <w:sz w:val="24"/>
                <w:szCs w:val="24"/>
              </w:rPr>
              <w:t>Līdz 120</w:t>
            </w:r>
          </w:p>
        </w:tc>
        <w:tc>
          <w:tcPr>
            <w:tcW w:w="1183" w:type="dxa"/>
            <w:tcBorders>
              <w:top w:val="single" w:sz="4" w:space="0" w:color="000000" w:themeColor="text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Līdz 91</w:t>
            </w:r>
          </w:p>
        </w:tc>
        <w:tc>
          <w:tcPr>
            <w:tcW w:w="1295" w:type="dxa"/>
            <w:tcBorders>
              <w:top w:val="single" w:sz="4" w:space="0" w:color="000000" w:themeColor="text1"/>
              <w:bottom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sz w:val="24"/>
                <w:szCs w:val="24"/>
              </w:rPr>
            </w:pPr>
            <w:r w:rsidRPr="00ED6CFA">
              <w:rPr>
                <w:rFonts w:ascii="Times New Roman" w:hAnsi="Times New Roman" w:cs="Times New Roman"/>
                <w:b/>
                <w:color w:val="0037A4"/>
                <w:sz w:val="24"/>
                <w:szCs w:val="24"/>
              </w:rPr>
              <w:t>Līdz 130</w:t>
            </w:r>
          </w:p>
        </w:tc>
      </w:tr>
      <w:tr w:rsidR="00ED6CFA" w:rsidRPr="003453C5" w:rsidTr="00823241">
        <w:tc>
          <w:tcPr>
            <w:tcW w:w="3510" w:type="dxa"/>
            <w:tcBorders>
              <w:top w:val="single" w:sz="4" w:space="0" w:color="000000" w:themeColor="text1"/>
            </w:tcBorders>
          </w:tcPr>
          <w:p w:rsidR="00ED6CFA" w:rsidRDefault="00ED6CFA" w:rsidP="00995D03">
            <w:pPr>
              <w:pStyle w:val="ListParagraph"/>
              <w:ind w:left="0"/>
              <w:jc w:val="both"/>
              <w:rPr>
                <w:rFonts w:ascii="Times New Roman" w:hAnsi="Times New Roman" w:cs="Times New Roman"/>
                <w:sz w:val="24"/>
                <w:szCs w:val="24"/>
              </w:rPr>
            </w:pPr>
            <w:r>
              <w:rPr>
                <w:rFonts w:ascii="Times New Roman" w:hAnsi="Times New Roman" w:cs="Times New Roman"/>
                <w:sz w:val="24"/>
                <w:szCs w:val="24"/>
              </w:rPr>
              <w:t>Atvieglojums par apgādībā esošu personu</w:t>
            </w:r>
          </w:p>
        </w:tc>
        <w:tc>
          <w:tcPr>
            <w:tcW w:w="1276" w:type="dxa"/>
            <w:tcBorders>
              <w:top w:val="single" w:sz="4" w:space="0" w:color="000000" w:themeColor="text1"/>
            </w:tcBorders>
          </w:tcPr>
          <w:p w:rsidR="00ED6CFA" w:rsidRDefault="00ED6CFA" w:rsidP="0025491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r w:rsidRPr="00254917">
              <w:rPr>
                <w:rFonts w:ascii="Times New Roman" w:hAnsi="Times New Roman" w:cs="Times New Roman"/>
                <w:sz w:val="24"/>
                <w:szCs w:val="24"/>
                <w:vertAlign w:val="superscript"/>
              </w:rPr>
              <w:t>*</w:t>
            </w:r>
          </w:p>
        </w:tc>
        <w:tc>
          <w:tcPr>
            <w:tcW w:w="1276" w:type="dxa"/>
            <w:tcBorders>
              <w:top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98</w:t>
            </w:r>
          </w:p>
        </w:tc>
        <w:tc>
          <w:tcPr>
            <w:tcW w:w="1368" w:type="dxa"/>
            <w:tcBorders>
              <w:top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0037A4"/>
                <w:sz w:val="24"/>
                <w:szCs w:val="24"/>
              </w:rPr>
            </w:pPr>
            <w:r>
              <w:rPr>
                <w:rFonts w:ascii="Times New Roman" w:hAnsi="Times New Roman" w:cs="Times New Roman"/>
                <w:b/>
                <w:color w:val="0037A4"/>
                <w:sz w:val="24"/>
                <w:szCs w:val="24"/>
              </w:rPr>
              <w:t>140</w:t>
            </w:r>
          </w:p>
        </w:tc>
        <w:tc>
          <w:tcPr>
            <w:tcW w:w="1183" w:type="dxa"/>
            <w:tcBorders>
              <w:top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C00000"/>
                <w:sz w:val="24"/>
                <w:szCs w:val="24"/>
              </w:rPr>
            </w:pPr>
            <w:r w:rsidRPr="00ED6CFA">
              <w:rPr>
                <w:rFonts w:ascii="Times New Roman" w:hAnsi="Times New Roman" w:cs="Times New Roman"/>
                <w:b/>
                <w:color w:val="C00000"/>
                <w:sz w:val="24"/>
                <w:szCs w:val="24"/>
              </w:rPr>
              <w:t>112</w:t>
            </w:r>
          </w:p>
        </w:tc>
        <w:tc>
          <w:tcPr>
            <w:tcW w:w="1295" w:type="dxa"/>
            <w:tcBorders>
              <w:top w:val="single" w:sz="4" w:space="0" w:color="000000" w:themeColor="text1"/>
            </w:tcBorders>
            <w:shd w:val="clear" w:color="auto" w:fill="FFFFCC"/>
          </w:tcPr>
          <w:p w:rsidR="00ED6CFA" w:rsidRPr="00ED6CFA" w:rsidRDefault="00ED6CFA" w:rsidP="00ED6CFA">
            <w:pPr>
              <w:pStyle w:val="ListParagraph"/>
              <w:ind w:left="0"/>
              <w:jc w:val="center"/>
              <w:rPr>
                <w:rFonts w:ascii="Times New Roman" w:hAnsi="Times New Roman" w:cs="Times New Roman"/>
                <w:b/>
                <w:color w:val="0037A4"/>
                <w:sz w:val="24"/>
                <w:szCs w:val="24"/>
              </w:rPr>
            </w:pPr>
            <w:r>
              <w:rPr>
                <w:rFonts w:ascii="Times New Roman" w:hAnsi="Times New Roman" w:cs="Times New Roman"/>
                <w:b/>
                <w:color w:val="0037A4"/>
                <w:sz w:val="24"/>
                <w:szCs w:val="24"/>
              </w:rPr>
              <w:t>160</w:t>
            </w:r>
          </w:p>
        </w:tc>
      </w:tr>
    </w:tbl>
    <w:p w:rsidR="00D84A1F" w:rsidRDefault="00823241" w:rsidP="00495BC0">
      <w:pPr>
        <w:tabs>
          <w:tab w:val="left" w:pos="284"/>
        </w:tabs>
        <w:spacing w:before="120"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vertAlign w:val="superscript"/>
        </w:rPr>
        <w:t>*</w:t>
      </w:r>
      <w:r w:rsidR="00495BC0">
        <w:rPr>
          <w:rFonts w:ascii="Times New Roman" w:hAnsi="Times New Roman" w:cs="Times New Roman"/>
          <w:sz w:val="20"/>
          <w:szCs w:val="20"/>
          <w:vertAlign w:val="superscript"/>
        </w:rPr>
        <w:tab/>
      </w:r>
      <w:r w:rsidR="00ED6CFA" w:rsidRPr="00ED6CFA">
        <w:rPr>
          <w:rFonts w:ascii="Times New Roman" w:hAnsi="Times New Roman" w:cs="Times New Roman"/>
          <w:sz w:val="20"/>
          <w:szCs w:val="20"/>
        </w:rPr>
        <w:t>No 2013.gada 1.jūlija</w:t>
      </w:r>
      <w:r w:rsidR="00D66688">
        <w:rPr>
          <w:rFonts w:ascii="Times New Roman" w:hAnsi="Times New Roman" w:cs="Times New Roman"/>
          <w:sz w:val="20"/>
          <w:szCs w:val="20"/>
        </w:rPr>
        <w:t xml:space="preserve"> (līdz tam 70 lati mēnesī)</w:t>
      </w:r>
    </w:p>
    <w:p w:rsidR="00F05E29" w:rsidRPr="00F05E29" w:rsidRDefault="00F05E29" w:rsidP="00F05E29">
      <w:pPr>
        <w:pStyle w:val="Heading2"/>
        <w:numPr>
          <w:ilvl w:val="1"/>
          <w:numId w:val="15"/>
        </w:numPr>
        <w:spacing w:before="240" w:after="240" w:line="240" w:lineRule="auto"/>
        <w:jc w:val="both"/>
        <w:rPr>
          <w:rFonts w:ascii="Times New Roman" w:hAnsi="Times New Roman" w:cs="Times New Roman"/>
          <w:i/>
          <w:color w:val="auto"/>
          <w:sz w:val="28"/>
          <w:szCs w:val="28"/>
        </w:rPr>
      </w:pPr>
      <w:bookmarkStart w:id="6" w:name="_Toc357009513"/>
      <w:r w:rsidRPr="00F05E29">
        <w:rPr>
          <w:rFonts w:ascii="Times New Roman" w:hAnsi="Times New Roman" w:cs="Times New Roman"/>
          <w:i/>
          <w:color w:val="auto"/>
          <w:sz w:val="28"/>
          <w:szCs w:val="28"/>
        </w:rPr>
        <w:lastRenderedPageBreak/>
        <w:t>Minimālās mēneša darba algas paaugstināšana</w:t>
      </w:r>
      <w:bookmarkEnd w:id="6"/>
    </w:p>
    <w:p w:rsidR="00CA7FD8" w:rsidRDefault="00CA7FD8" w:rsidP="00CA7FD8">
      <w:pPr>
        <w:spacing w:after="120" w:line="240" w:lineRule="auto"/>
        <w:ind w:right="-109" w:firstLine="720"/>
        <w:jc w:val="both"/>
        <w:rPr>
          <w:rFonts w:ascii="Times New Roman" w:hAnsi="Times New Roman" w:cs="Times New Roman"/>
          <w:sz w:val="28"/>
          <w:szCs w:val="28"/>
        </w:rPr>
      </w:pPr>
      <w:r w:rsidRPr="00CA7FD8">
        <w:rPr>
          <w:rFonts w:ascii="Times New Roman" w:hAnsi="Times New Roman" w:cs="Times New Roman"/>
          <w:sz w:val="28"/>
          <w:szCs w:val="28"/>
        </w:rPr>
        <w:t>S</w:t>
      </w:r>
      <w:r w:rsidR="001E5A3F" w:rsidRPr="00CA7FD8">
        <w:rPr>
          <w:rFonts w:ascii="Times New Roman" w:hAnsi="Times New Roman" w:cs="Times New Roman"/>
          <w:sz w:val="28"/>
          <w:szCs w:val="28"/>
        </w:rPr>
        <w:t>askaņā ar Ministru kabineta 2011.gada 17.maija noteikumiem Nr.390 „Minimālās mēneša darba algas noteikšanas un pārskatīšanas kārtība” Labklājības ministrijai kopīgi ar Finanšu ministriju un Ekonomikas ministriju katru gadu jāizvērtē ekonomiskā situācija valstī un jāizstrādā priekšlikums par minimālās mēneša darba algas apmēru</w:t>
      </w:r>
      <w:r w:rsidRPr="00CA7FD8">
        <w:rPr>
          <w:rFonts w:ascii="Times New Roman" w:hAnsi="Times New Roman" w:cs="Times New Roman"/>
          <w:sz w:val="28"/>
          <w:szCs w:val="28"/>
        </w:rPr>
        <w:t>. Izstrādāto priekšlikumu par minimālās mēneša darba algas apmēru 2014.gadā Labklājības ministrijai līdz 2013.gada 1.jūnijam ir jāiesniedz saskaņošanai Nacionālās trīspusējās sadarbības pad</w:t>
      </w:r>
      <w:r>
        <w:rPr>
          <w:rFonts w:ascii="Times New Roman" w:hAnsi="Times New Roman" w:cs="Times New Roman"/>
          <w:sz w:val="28"/>
          <w:szCs w:val="28"/>
        </w:rPr>
        <w:t>omē</w:t>
      </w:r>
      <w:r w:rsidRPr="00CA7FD8">
        <w:rPr>
          <w:rFonts w:ascii="Times New Roman" w:hAnsi="Times New Roman" w:cs="Times New Roman"/>
          <w:sz w:val="28"/>
          <w:szCs w:val="28"/>
        </w:rPr>
        <w:t>.</w:t>
      </w:r>
      <w:r>
        <w:rPr>
          <w:rFonts w:ascii="Times New Roman" w:hAnsi="Times New Roman" w:cs="Times New Roman"/>
          <w:sz w:val="28"/>
          <w:szCs w:val="28"/>
        </w:rPr>
        <w:t xml:space="preserve"> </w:t>
      </w:r>
    </w:p>
    <w:p w:rsidR="00CA7FD8" w:rsidRPr="00CA7FD8" w:rsidRDefault="00CA7FD8" w:rsidP="00CA7FD8">
      <w:pPr>
        <w:spacing w:after="120" w:line="240" w:lineRule="auto"/>
        <w:ind w:right="-109" w:firstLine="720"/>
        <w:jc w:val="both"/>
        <w:rPr>
          <w:rFonts w:ascii="Times New Roman" w:hAnsi="Times New Roman" w:cs="Times New Roman"/>
          <w:sz w:val="28"/>
          <w:szCs w:val="28"/>
        </w:rPr>
      </w:pPr>
      <w:r w:rsidRPr="00CA7FD8">
        <w:rPr>
          <w:rFonts w:ascii="Times New Roman" w:hAnsi="Times New Roman" w:cs="Times New Roman"/>
          <w:sz w:val="28"/>
          <w:szCs w:val="28"/>
        </w:rPr>
        <w:t xml:space="preserve">Labklājības ministrija </w:t>
      </w:r>
      <w:r w:rsidR="00A96A52">
        <w:rPr>
          <w:rFonts w:ascii="Times New Roman" w:hAnsi="Times New Roman" w:cs="Times New Roman"/>
          <w:sz w:val="28"/>
          <w:szCs w:val="28"/>
        </w:rPr>
        <w:t>ir sagatavojusi</w:t>
      </w:r>
      <w:r w:rsidRPr="00CA7FD8">
        <w:rPr>
          <w:rFonts w:ascii="Times New Roman" w:hAnsi="Times New Roman" w:cs="Times New Roman"/>
          <w:sz w:val="28"/>
          <w:szCs w:val="28"/>
        </w:rPr>
        <w:t xml:space="preserve"> informatīvo ziņojumu „Priekšlikumi par minimālās mēneša darba algas apmēru 2014.gadā”, kurā </w:t>
      </w:r>
      <w:r>
        <w:rPr>
          <w:rFonts w:ascii="Times New Roman" w:hAnsi="Times New Roman" w:cs="Times New Roman"/>
          <w:sz w:val="28"/>
          <w:szCs w:val="28"/>
        </w:rPr>
        <w:t>analizēts m</w:t>
      </w:r>
      <w:r w:rsidRPr="00CA7FD8">
        <w:rPr>
          <w:rFonts w:ascii="Times New Roman" w:hAnsi="Times New Roman" w:cs="Times New Roman"/>
          <w:bCs/>
          <w:sz w:val="28"/>
          <w:szCs w:val="28"/>
        </w:rPr>
        <w:t>inimālās mēneša darba algas apmēra pārskatīšanas pamats un kārtība</w:t>
      </w:r>
      <w:r>
        <w:rPr>
          <w:rFonts w:ascii="Times New Roman" w:hAnsi="Times New Roman" w:cs="Times New Roman"/>
          <w:bCs/>
          <w:sz w:val="28"/>
          <w:szCs w:val="28"/>
        </w:rPr>
        <w:t xml:space="preserve">. Tāpēc šajā informatīvā ziņojumā šī priekšlikuma pamatojums </w:t>
      </w:r>
      <w:r w:rsidR="00F05E29">
        <w:rPr>
          <w:rFonts w:ascii="Times New Roman" w:hAnsi="Times New Roman" w:cs="Times New Roman"/>
          <w:bCs/>
          <w:sz w:val="28"/>
          <w:szCs w:val="28"/>
        </w:rPr>
        <w:t xml:space="preserve">vēlreiz </w:t>
      </w:r>
      <w:r>
        <w:rPr>
          <w:rFonts w:ascii="Times New Roman" w:hAnsi="Times New Roman" w:cs="Times New Roman"/>
          <w:bCs/>
          <w:sz w:val="28"/>
          <w:szCs w:val="28"/>
        </w:rPr>
        <w:t xml:space="preserve">netiks </w:t>
      </w:r>
      <w:r w:rsidR="00F05E29">
        <w:rPr>
          <w:rFonts w:ascii="Times New Roman" w:hAnsi="Times New Roman" w:cs="Times New Roman"/>
          <w:bCs/>
          <w:sz w:val="28"/>
          <w:szCs w:val="28"/>
        </w:rPr>
        <w:t>ap</w:t>
      </w:r>
      <w:r>
        <w:rPr>
          <w:rFonts w:ascii="Times New Roman" w:hAnsi="Times New Roman" w:cs="Times New Roman"/>
          <w:bCs/>
          <w:sz w:val="28"/>
          <w:szCs w:val="28"/>
        </w:rPr>
        <w:t xml:space="preserve">skatīts. </w:t>
      </w:r>
    </w:p>
    <w:p w:rsidR="00A96A52" w:rsidRPr="00CA7FD8" w:rsidRDefault="00A96A52" w:rsidP="00A96A52">
      <w:pPr>
        <w:spacing w:after="120" w:line="240" w:lineRule="auto"/>
        <w:ind w:right="-109" w:firstLine="720"/>
        <w:jc w:val="both"/>
        <w:rPr>
          <w:rFonts w:ascii="Times New Roman" w:hAnsi="Times New Roman" w:cs="Times New Roman"/>
          <w:sz w:val="28"/>
          <w:szCs w:val="28"/>
        </w:rPr>
      </w:pPr>
      <w:r>
        <w:rPr>
          <w:rFonts w:ascii="Times New Roman" w:hAnsi="Times New Roman" w:cs="Times New Roman"/>
          <w:sz w:val="28"/>
          <w:szCs w:val="28"/>
        </w:rPr>
        <w:t>2013.gada 25.aprīļa sēdē Nacionālā trīspusējā sadarbības padome vienojās atbalstīt valdības priekšlikumu par minimālās mēneša darba algas palielināšanu līdz 225 latiem no 2014.gada 1.janvāra.</w:t>
      </w:r>
    </w:p>
    <w:p w:rsidR="001C4089" w:rsidRPr="00AF58B3" w:rsidRDefault="00BA6CED" w:rsidP="007C3F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2.t</w:t>
      </w:r>
      <w:r w:rsidR="00F05E29">
        <w:rPr>
          <w:rFonts w:ascii="Times New Roman" w:hAnsi="Times New Roman" w:cs="Times New Roman"/>
          <w:sz w:val="28"/>
          <w:szCs w:val="28"/>
        </w:rPr>
        <w:t>abulā redzama fiskālā ietekme uz valsts kopbudžetu</w:t>
      </w:r>
      <w:r w:rsidR="00BE708C">
        <w:rPr>
          <w:rFonts w:ascii="Times New Roman" w:hAnsi="Times New Roman" w:cs="Times New Roman"/>
          <w:sz w:val="28"/>
          <w:szCs w:val="28"/>
        </w:rPr>
        <w:t xml:space="preserve"> un valsts fondēto pensiju shēmu</w:t>
      </w:r>
      <w:r w:rsidR="00F05E29">
        <w:rPr>
          <w:rFonts w:ascii="Times New Roman" w:hAnsi="Times New Roman" w:cs="Times New Roman"/>
          <w:sz w:val="28"/>
          <w:szCs w:val="28"/>
        </w:rPr>
        <w:t xml:space="preserve">, ja minimālo mēneša darba algu </w:t>
      </w:r>
      <w:r w:rsidR="001C4089" w:rsidRPr="00426C5B">
        <w:rPr>
          <w:rFonts w:ascii="Times New Roman" w:hAnsi="Times New Roman" w:cs="Times New Roman"/>
          <w:sz w:val="28"/>
          <w:szCs w:val="28"/>
        </w:rPr>
        <w:t>paaugstina no 200 uz 225 latiem mēnesī</w:t>
      </w:r>
      <w:r w:rsidR="001C4089">
        <w:rPr>
          <w:rFonts w:ascii="Times New Roman" w:hAnsi="Times New Roman" w:cs="Times New Roman"/>
          <w:sz w:val="28"/>
          <w:szCs w:val="28"/>
        </w:rPr>
        <w:t xml:space="preserve"> </w:t>
      </w:r>
      <w:r w:rsidR="00F05E29">
        <w:rPr>
          <w:rFonts w:ascii="Times New Roman" w:hAnsi="Times New Roman" w:cs="Times New Roman"/>
          <w:sz w:val="28"/>
          <w:szCs w:val="28"/>
        </w:rPr>
        <w:t>(Finanšu ministrijas atbalstītais variants)</w:t>
      </w:r>
      <w:r w:rsidR="001C4089" w:rsidRPr="00AF58B3">
        <w:rPr>
          <w:rFonts w:ascii="Times New Roman" w:hAnsi="Times New Roman" w:cs="Times New Roman"/>
          <w:sz w:val="28"/>
          <w:szCs w:val="28"/>
        </w:rPr>
        <w:t xml:space="preserve">. </w:t>
      </w:r>
    </w:p>
    <w:p w:rsidR="001C4089" w:rsidRDefault="001C4089" w:rsidP="007C3F29">
      <w:pPr>
        <w:spacing w:after="0" w:line="240" w:lineRule="auto"/>
        <w:jc w:val="center"/>
        <w:rPr>
          <w:rFonts w:ascii="Times New Roman" w:hAnsi="Times New Roman" w:cs="Times New Roman"/>
          <w:b/>
          <w:sz w:val="24"/>
          <w:szCs w:val="24"/>
        </w:rPr>
      </w:pPr>
    </w:p>
    <w:p w:rsidR="00426C5B" w:rsidRPr="00B51381" w:rsidRDefault="00250852" w:rsidP="0018012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26C5B" w:rsidRPr="00B51381">
        <w:rPr>
          <w:rFonts w:ascii="Times New Roman" w:hAnsi="Times New Roman" w:cs="Times New Roman"/>
          <w:b/>
          <w:sz w:val="24"/>
          <w:szCs w:val="24"/>
        </w:rPr>
        <w:t>.tab.</w:t>
      </w:r>
      <w:r w:rsidR="00426C5B" w:rsidRPr="00B51381">
        <w:rPr>
          <w:rFonts w:ascii="Times New Roman" w:hAnsi="Times New Roman" w:cs="Times New Roman"/>
          <w:b/>
          <w:sz w:val="24"/>
          <w:szCs w:val="24"/>
        </w:rPr>
        <w:tab/>
      </w:r>
      <w:r w:rsidR="00180121">
        <w:rPr>
          <w:rFonts w:ascii="Times New Roman" w:hAnsi="Times New Roman" w:cs="Times New Roman"/>
          <w:b/>
          <w:sz w:val="24"/>
          <w:szCs w:val="24"/>
        </w:rPr>
        <w:t xml:space="preserve">Fiskālā ietekme uz valsts kopbudžetu </w:t>
      </w:r>
      <w:r w:rsidR="00BE708C">
        <w:rPr>
          <w:rFonts w:ascii="Times New Roman" w:hAnsi="Times New Roman" w:cs="Times New Roman"/>
          <w:b/>
          <w:sz w:val="24"/>
          <w:szCs w:val="24"/>
        </w:rPr>
        <w:t xml:space="preserve">un valsts fondēto pensiju shēmu </w:t>
      </w:r>
      <w:r w:rsidR="00180121">
        <w:rPr>
          <w:rFonts w:ascii="Times New Roman" w:hAnsi="Times New Roman" w:cs="Times New Roman"/>
          <w:b/>
          <w:sz w:val="24"/>
          <w:szCs w:val="24"/>
        </w:rPr>
        <w:t xml:space="preserve">2014.gadā no minimālās darba algas paaugstināšana </w:t>
      </w:r>
      <w:r w:rsidR="00180121" w:rsidRPr="00180121">
        <w:rPr>
          <w:rFonts w:ascii="Times New Roman" w:hAnsi="Times New Roman" w:cs="Times New Roman"/>
          <w:sz w:val="24"/>
          <w:szCs w:val="24"/>
        </w:rPr>
        <w:t>(no 200 uz 225 latiem mēnesī)</w:t>
      </w:r>
      <w:r w:rsidR="00551750">
        <w:rPr>
          <w:rFonts w:ascii="Times New Roman" w:hAnsi="Times New Roman" w:cs="Times New Roman"/>
          <w:sz w:val="24"/>
          <w:szCs w:val="24"/>
        </w:rPr>
        <w:t xml:space="preserve">, </w:t>
      </w:r>
      <w:proofErr w:type="spellStart"/>
      <w:r w:rsidR="00551750" w:rsidRPr="00551750">
        <w:rPr>
          <w:rFonts w:ascii="Times New Roman" w:hAnsi="Times New Roman" w:cs="Times New Roman"/>
          <w:i/>
          <w:sz w:val="24"/>
          <w:szCs w:val="24"/>
        </w:rPr>
        <w:t>milj</w:t>
      </w:r>
      <w:proofErr w:type="spellEnd"/>
      <w:r w:rsidR="00551750" w:rsidRPr="00551750">
        <w:rPr>
          <w:rFonts w:ascii="Times New Roman" w:hAnsi="Times New Roman" w:cs="Times New Roman"/>
          <w:i/>
          <w:sz w:val="24"/>
          <w:szCs w:val="24"/>
        </w:rPr>
        <w:t>. latu</w:t>
      </w:r>
    </w:p>
    <w:tbl>
      <w:tblPr>
        <w:tblStyle w:val="TableGrid"/>
        <w:tblW w:w="9889" w:type="dxa"/>
        <w:tblLayout w:type="fixed"/>
        <w:tblLook w:val="04A0" w:firstRow="1" w:lastRow="0" w:firstColumn="1" w:lastColumn="0" w:noHBand="0" w:noVBand="1"/>
      </w:tblPr>
      <w:tblGrid>
        <w:gridCol w:w="3510"/>
        <w:gridCol w:w="1134"/>
        <w:gridCol w:w="1418"/>
        <w:gridCol w:w="1276"/>
        <w:gridCol w:w="1417"/>
        <w:gridCol w:w="1134"/>
      </w:tblGrid>
      <w:tr w:rsidR="00F764B2" w:rsidRPr="003453C5" w:rsidTr="00F764B2">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Pr="003453C5" w:rsidRDefault="00F764B2" w:rsidP="00180121">
            <w:pPr>
              <w:pStyle w:val="ListParagraph"/>
              <w:ind w:left="0"/>
              <w:jc w:val="center"/>
              <w:rPr>
                <w:rFonts w:ascii="Times New Roman" w:hAnsi="Times New Roman" w:cs="Times New Roman"/>
                <w:b/>
                <w:color w:val="FFFFFF" w:themeColor="background1"/>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Pr="003453C5" w:rsidRDefault="00F764B2" w:rsidP="00180121">
            <w:pPr>
              <w:pStyle w:val="ListParagraph"/>
              <w:ind w:left="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Pamat-budžets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Pr="003453C5" w:rsidRDefault="00F764B2" w:rsidP="00180121">
            <w:pPr>
              <w:pStyle w:val="ListParagraph"/>
              <w:ind w:left="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Pašvaldību budžeti</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Pr="003453C5" w:rsidRDefault="00F764B2" w:rsidP="00F764B2">
            <w:pPr>
              <w:pStyle w:val="ListParagraph"/>
              <w:ind w:left="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Speciālais budžets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Default="00F764B2" w:rsidP="00180121">
            <w:pPr>
              <w:pStyle w:val="ListParagraph"/>
              <w:ind w:left="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Valsts fondēto pensiju shēma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Pr>
          <w:p w:rsidR="00F764B2" w:rsidRPr="003453C5" w:rsidRDefault="00F764B2" w:rsidP="00180121">
            <w:pPr>
              <w:pStyle w:val="ListParagraph"/>
              <w:ind w:left="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KOPĀ</w:t>
            </w:r>
          </w:p>
        </w:tc>
      </w:tr>
      <w:tr w:rsidR="00F764B2" w:rsidRPr="003453C5" w:rsidTr="00F764B2">
        <w:tc>
          <w:tcPr>
            <w:tcW w:w="3510" w:type="dxa"/>
            <w:tcBorders>
              <w:top w:val="single" w:sz="4" w:space="0" w:color="FFFFFF" w:themeColor="background1"/>
              <w:bottom w:val="single" w:sz="4" w:space="0" w:color="000000" w:themeColor="text1"/>
            </w:tcBorders>
          </w:tcPr>
          <w:p w:rsidR="00F764B2" w:rsidRPr="003453C5" w:rsidRDefault="00F764B2" w:rsidP="00180121">
            <w:pPr>
              <w:pStyle w:val="ListParagraph"/>
              <w:ind w:left="0"/>
              <w:jc w:val="both"/>
              <w:rPr>
                <w:rFonts w:ascii="Times New Roman" w:hAnsi="Times New Roman" w:cs="Times New Roman"/>
                <w:sz w:val="24"/>
                <w:szCs w:val="24"/>
              </w:rPr>
            </w:pPr>
            <w:r>
              <w:rPr>
                <w:rFonts w:ascii="Times New Roman" w:hAnsi="Times New Roman" w:cs="Times New Roman"/>
                <w:sz w:val="24"/>
                <w:szCs w:val="24"/>
              </w:rPr>
              <w:t>Darba samaksas fonda pieaugums</w:t>
            </w:r>
          </w:p>
        </w:tc>
        <w:tc>
          <w:tcPr>
            <w:tcW w:w="1134" w:type="dxa"/>
            <w:tcBorders>
              <w:top w:val="single" w:sz="4" w:space="0" w:color="FFFFFF" w:themeColor="background1"/>
              <w:bottom w:val="single" w:sz="4" w:space="0" w:color="000000" w:themeColor="text1"/>
            </w:tcBorders>
          </w:tcPr>
          <w:p w:rsidR="00F764B2" w:rsidRPr="00180121" w:rsidRDefault="00F764B2" w:rsidP="00180121">
            <w:pPr>
              <w:pStyle w:val="ListParagraph"/>
              <w:ind w:left="0"/>
              <w:jc w:val="center"/>
              <w:rPr>
                <w:rFonts w:ascii="Times New Roman" w:hAnsi="Times New Roman" w:cs="Times New Roman"/>
                <w:sz w:val="24"/>
                <w:szCs w:val="24"/>
              </w:rPr>
            </w:pPr>
            <w:r w:rsidRPr="00180121">
              <w:rPr>
                <w:rFonts w:ascii="Times New Roman" w:hAnsi="Times New Roman" w:cs="Times New Roman"/>
                <w:sz w:val="24"/>
                <w:szCs w:val="24"/>
              </w:rPr>
              <w:t>-5,94</w:t>
            </w:r>
          </w:p>
        </w:tc>
        <w:tc>
          <w:tcPr>
            <w:tcW w:w="1418" w:type="dxa"/>
            <w:tcBorders>
              <w:top w:val="single" w:sz="4" w:space="0" w:color="FFFFFF" w:themeColor="background1"/>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r w:rsidRPr="00180121">
              <w:rPr>
                <w:rFonts w:ascii="Times New Roman" w:hAnsi="Times New Roman" w:cs="Times New Roman"/>
                <w:sz w:val="24"/>
                <w:szCs w:val="24"/>
              </w:rPr>
              <w:t>-3,23</w:t>
            </w:r>
          </w:p>
        </w:tc>
        <w:tc>
          <w:tcPr>
            <w:tcW w:w="1276" w:type="dxa"/>
            <w:tcBorders>
              <w:top w:val="single" w:sz="4" w:space="0" w:color="FFFFFF" w:themeColor="background1"/>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417" w:type="dxa"/>
            <w:tcBorders>
              <w:top w:val="single" w:sz="4" w:space="0" w:color="FFFFFF" w:themeColor="background1"/>
              <w:bottom w:val="single" w:sz="4" w:space="0" w:color="000000" w:themeColor="text1"/>
            </w:tcBorders>
            <w:shd w:val="clear" w:color="auto" w:fill="FFFFFF" w:themeFill="background1"/>
          </w:tcPr>
          <w:p w:rsidR="00F764B2" w:rsidRPr="00F764B2" w:rsidRDefault="00F764B2" w:rsidP="00180121">
            <w:pPr>
              <w:pStyle w:val="ListParagraph"/>
              <w:ind w:left="0"/>
              <w:jc w:val="center"/>
              <w:rPr>
                <w:rFonts w:ascii="Times New Roman" w:hAnsi="Times New Roman" w:cs="Times New Roman"/>
                <w:b/>
                <w:color w:val="FFFFFF" w:themeColor="background1"/>
                <w:sz w:val="24"/>
                <w:szCs w:val="24"/>
              </w:rPr>
            </w:pPr>
          </w:p>
        </w:tc>
        <w:tc>
          <w:tcPr>
            <w:tcW w:w="1134" w:type="dxa"/>
            <w:tcBorders>
              <w:top w:val="single" w:sz="4" w:space="0" w:color="FFFFFF" w:themeColor="background1"/>
              <w:bottom w:val="single" w:sz="4" w:space="0" w:color="000000" w:themeColor="text1"/>
            </w:tcBorders>
            <w:shd w:val="clear" w:color="auto" w:fill="FFFFCC"/>
          </w:tcPr>
          <w:p w:rsidR="00F764B2" w:rsidRPr="00240C6D" w:rsidRDefault="00F764B2" w:rsidP="00180121">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-9,17</w:t>
            </w:r>
          </w:p>
        </w:tc>
      </w:tr>
      <w:tr w:rsidR="00F764B2" w:rsidRPr="003453C5" w:rsidTr="00F764B2">
        <w:tc>
          <w:tcPr>
            <w:tcW w:w="3510" w:type="dxa"/>
            <w:tcBorders>
              <w:top w:val="single" w:sz="4" w:space="0" w:color="000000" w:themeColor="text1"/>
              <w:bottom w:val="single" w:sz="4" w:space="0" w:color="000000" w:themeColor="text1"/>
            </w:tcBorders>
          </w:tcPr>
          <w:p w:rsidR="00F764B2" w:rsidRDefault="00F764B2" w:rsidP="001D794D">
            <w:pPr>
              <w:jc w:val="both"/>
              <w:rPr>
                <w:rFonts w:ascii="Times New Roman" w:hAnsi="Times New Roman" w:cs="Times New Roman"/>
                <w:sz w:val="24"/>
                <w:szCs w:val="24"/>
              </w:rPr>
            </w:pPr>
            <w:r w:rsidRPr="00180121">
              <w:rPr>
                <w:rFonts w:ascii="Times New Roman" w:hAnsi="Times New Roman" w:cs="Times New Roman"/>
                <w:bCs/>
                <w:sz w:val="24"/>
                <w:szCs w:val="24"/>
              </w:rPr>
              <w:t>Valsts mērķdotācija pašvaldībām</w:t>
            </w:r>
          </w:p>
        </w:tc>
        <w:tc>
          <w:tcPr>
            <w:tcW w:w="1134" w:type="dxa"/>
            <w:tcBorders>
              <w:top w:val="single" w:sz="4" w:space="0" w:color="000000" w:themeColor="text1"/>
              <w:bottom w:val="single" w:sz="4" w:space="0" w:color="000000" w:themeColor="text1"/>
            </w:tcBorders>
          </w:tcPr>
          <w:p w:rsidR="00F764B2" w:rsidRPr="00180121" w:rsidRDefault="00F764B2" w:rsidP="00056A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w:t>
            </w:r>
          </w:p>
        </w:tc>
        <w:tc>
          <w:tcPr>
            <w:tcW w:w="1418" w:type="dxa"/>
            <w:tcBorders>
              <w:top w:val="single" w:sz="4" w:space="0" w:color="000000" w:themeColor="text1"/>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276" w:type="dxa"/>
            <w:tcBorders>
              <w:top w:val="single" w:sz="4" w:space="0" w:color="000000" w:themeColor="text1"/>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417" w:type="dxa"/>
            <w:tcBorders>
              <w:top w:val="single" w:sz="4" w:space="0" w:color="000000" w:themeColor="text1"/>
              <w:bottom w:val="single" w:sz="4" w:space="0" w:color="000000" w:themeColor="text1"/>
            </w:tcBorders>
            <w:shd w:val="clear" w:color="auto" w:fill="FFFFFF" w:themeFill="background1"/>
          </w:tcPr>
          <w:p w:rsidR="00F764B2" w:rsidRPr="00F764B2" w:rsidRDefault="00F764B2" w:rsidP="00056A2B">
            <w:pPr>
              <w:pStyle w:val="ListParagraph"/>
              <w:ind w:left="0"/>
              <w:jc w:val="center"/>
              <w:rPr>
                <w:rFonts w:ascii="Times New Roman" w:hAnsi="Times New Roman" w:cs="Times New Roman"/>
                <w:b/>
                <w:color w:val="FFFFFF" w:themeColor="background1"/>
                <w:sz w:val="24"/>
                <w:szCs w:val="24"/>
              </w:rPr>
            </w:pPr>
          </w:p>
        </w:tc>
        <w:tc>
          <w:tcPr>
            <w:tcW w:w="1134" w:type="dxa"/>
            <w:tcBorders>
              <w:top w:val="single" w:sz="4" w:space="0" w:color="000000" w:themeColor="text1"/>
              <w:bottom w:val="single" w:sz="4" w:space="0" w:color="000000" w:themeColor="text1"/>
            </w:tcBorders>
            <w:shd w:val="clear" w:color="auto" w:fill="FFFFCC"/>
          </w:tcPr>
          <w:p w:rsidR="00F764B2" w:rsidRPr="00240C6D" w:rsidRDefault="00F764B2" w:rsidP="00056A2B">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-0,</w:t>
            </w:r>
            <w:r>
              <w:rPr>
                <w:rFonts w:ascii="Times New Roman" w:hAnsi="Times New Roman" w:cs="Times New Roman"/>
                <w:b/>
                <w:sz w:val="24"/>
                <w:szCs w:val="24"/>
              </w:rPr>
              <w:t>58</w:t>
            </w:r>
          </w:p>
        </w:tc>
      </w:tr>
      <w:tr w:rsidR="00F764B2" w:rsidRPr="003453C5" w:rsidTr="00F764B2">
        <w:tc>
          <w:tcPr>
            <w:tcW w:w="3510" w:type="dxa"/>
            <w:tcBorders>
              <w:top w:val="single" w:sz="4" w:space="0" w:color="000000" w:themeColor="text1"/>
              <w:bottom w:val="single" w:sz="4" w:space="0" w:color="000000" w:themeColor="text1"/>
            </w:tcBorders>
          </w:tcPr>
          <w:p w:rsidR="00F764B2" w:rsidRDefault="00F764B2" w:rsidP="00180121">
            <w:pPr>
              <w:pStyle w:val="ListParagraph"/>
              <w:ind w:left="0"/>
              <w:jc w:val="both"/>
              <w:rPr>
                <w:rFonts w:ascii="Times New Roman" w:hAnsi="Times New Roman" w:cs="Times New Roman"/>
                <w:sz w:val="24"/>
                <w:szCs w:val="24"/>
              </w:rPr>
            </w:pPr>
            <w:r>
              <w:rPr>
                <w:rFonts w:ascii="Times New Roman" w:hAnsi="Times New Roman" w:cs="Times New Roman"/>
                <w:sz w:val="24"/>
                <w:szCs w:val="24"/>
              </w:rPr>
              <w:t>IIN ieņēmumi</w:t>
            </w:r>
          </w:p>
        </w:tc>
        <w:tc>
          <w:tcPr>
            <w:tcW w:w="1134" w:type="dxa"/>
            <w:tcBorders>
              <w:top w:val="single" w:sz="4" w:space="0" w:color="000000" w:themeColor="text1"/>
              <w:bottom w:val="single" w:sz="4" w:space="0" w:color="000000" w:themeColor="text1"/>
            </w:tcBorders>
          </w:tcPr>
          <w:p w:rsidR="00F764B2" w:rsidRPr="00180121" w:rsidRDefault="00F764B2" w:rsidP="00056A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1418" w:type="dxa"/>
            <w:tcBorders>
              <w:top w:val="single" w:sz="4" w:space="0" w:color="000000" w:themeColor="text1"/>
              <w:bottom w:val="single" w:sz="4" w:space="0" w:color="000000" w:themeColor="text1"/>
            </w:tcBorders>
            <w:shd w:val="clear" w:color="auto" w:fill="FFFFFF" w:themeFill="background1"/>
          </w:tcPr>
          <w:p w:rsidR="00F764B2" w:rsidRPr="00180121" w:rsidRDefault="00F764B2" w:rsidP="00056A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+6,05</w:t>
            </w:r>
          </w:p>
        </w:tc>
        <w:tc>
          <w:tcPr>
            <w:tcW w:w="1276" w:type="dxa"/>
            <w:tcBorders>
              <w:top w:val="single" w:sz="4" w:space="0" w:color="000000" w:themeColor="text1"/>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417" w:type="dxa"/>
            <w:tcBorders>
              <w:top w:val="single" w:sz="4" w:space="0" w:color="000000" w:themeColor="text1"/>
              <w:bottom w:val="single" w:sz="4" w:space="0" w:color="000000" w:themeColor="text1"/>
            </w:tcBorders>
            <w:shd w:val="clear" w:color="auto" w:fill="FFFFFF" w:themeFill="background1"/>
          </w:tcPr>
          <w:p w:rsidR="00F764B2" w:rsidRPr="00F764B2" w:rsidRDefault="00F764B2" w:rsidP="00056A2B">
            <w:pPr>
              <w:pStyle w:val="ListParagraph"/>
              <w:ind w:left="0"/>
              <w:jc w:val="center"/>
              <w:rPr>
                <w:rFonts w:ascii="Times New Roman" w:hAnsi="Times New Roman" w:cs="Times New Roman"/>
                <w:b/>
                <w:color w:val="FFFFFF" w:themeColor="background1"/>
                <w:sz w:val="24"/>
                <w:szCs w:val="24"/>
              </w:rPr>
            </w:pPr>
          </w:p>
        </w:tc>
        <w:tc>
          <w:tcPr>
            <w:tcW w:w="1134" w:type="dxa"/>
            <w:tcBorders>
              <w:top w:val="single" w:sz="4" w:space="0" w:color="000000" w:themeColor="text1"/>
              <w:bottom w:val="single" w:sz="4" w:space="0" w:color="000000" w:themeColor="text1"/>
            </w:tcBorders>
            <w:shd w:val="clear" w:color="auto" w:fill="FFFFCC"/>
          </w:tcPr>
          <w:p w:rsidR="00F764B2" w:rsidRPr="00240C6D" w:rsidRDefault="00F764B2" w:rsidP="00056A2B">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+7,</w:t>
            </w:r>
            <w:r>
              <w:rPr>
                <w:rFonts w:ascii="Times New Roman" w:hAnsi="Times New Roman" w:cs="Times New Roman"/>
                <w:b/>
                <w:sz w:val="24"/>
                <w:szCs w:val="24"/>
              </w:rPr>
              <w:t>56</w:t>
            </w:r>
          </w:p>
        </w:tc>
      </w:tr>
      <w:tr w:rsidR="00F764B2" w:rsidRPr="003453C5" w:rsidTr="00F764B2">
        <w:tc>
          <w:tcPr>
            <w:tcW w:w="3510" w:type="dxa"/>
            <w:tcBorders>
              <w:top w:val="single" w:sz="4" w:space="0" w:color="000000" w:themeColor="text1"/>
              <w:bottom w:val="nil"/>
            </w:tcBorders>
          </w:tcPr>
          <w:p w:rsidR="00F764B2" w:rsidRDefault="00F764B2" w:rsidP="0018012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VSAOI ieņēmumi, </w:t>
            </w:r>
            <w:r w:rsidRPr="00180121">
              <w:rPr>
                <w:rFonts w:ascii="Times New Roman" w:hAnsi="Times New Roman" w:cs="Times New Roman"/>
                <w:i/>
                <w:sz w:val="24"/>
                <w:szCs w:val="24"/>
              </w:rPr>
              <w:t>tai skaitā</w:t>
            </w:r>
          </w:p>
        </w:tc>
        <w:tc>
          <w:tcPr>
            <w:tcW w:w="1134" w:type="dxa"/>
            <w:tcBorders>
              <w:top w:val="single" w:sz="4" w:space="0" w:color="000000" w:themeColor="text1"/>
              <w:bottom w:val="nil"/>
            </w:tcBorders>
          </w:tcPr>
          <w:p w:rsidR="00F764B2" w:rsidRPr="00180121" w:rsidRDefault="00F764B2" w:rsidP="00180121">
            <w:pPr>
              <w:pStyle w:val="ListParagraph"/>
              <w:ind w:left="0"/>
              <w:jc w:val="center"/>
              <w:rPr>
                <w:rFonts w:ascii="Times New Roman" w:hAnsi="Times New Roman" w:cs="Times New Roman"/>
                <w:sz w:val="24"/>
                <w:szCs w:val="24"/>
              </w:rPr>
            </w:pPr>
          </w:p>
        </w:tc>
        <w:tc>
          <w:tcPr>
            <w:tcW w:w="1418" w:type="dxa"/>
            <w:tcBorders>
              <w:top w:val="single" w:sz="4" w:space="0" w:color="000000" w:themeColor="text1"/>
              <w:bottom w:val="nil"/>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276" w:type="dxa"/>
            <w:tcBorders>
              <w:top w:val="single" w:sz="4" w:space="0" w:color="000000" w:themeColor="text1"/>
              <w:bottom w:val="nil"/>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417" w:type="dxa"/>
            <w:tcBorders>
              <w:top w:val="single" w:sz="4" w:space="0" w:color="000000" w:themeColor="text1"/>
              <w:bottom w:val="nil"/>
            </w:tcBorders>
            <w:shd w:val="clear" w:color="auto" w:fill="FFFFFF" w:themeFill="background1"/>
          </w:tcPr>
          <w:p w:rsidR="00F764B2" w:rsidRPr="00F764B2" w:rsidRDefault="00F764B2" w:rsidP="00180121">
            <w:pPr>
              <w:pStyle w:val="ListParagraph"/>
              <w:ind w:left="0"/>
              <w:jc w:val="center"/>
              <w:rPr>
                <w:rFonts w:ascii="Times New Roman" w:hAnsi="Times New Roman" w:cs="Times New Roman"/>
                <w:b/>
                <w:color w:val="FFFFFF" w:themeColor="background1"/>
                <w:sz w:val="24"/>
                <w:szCs w:val="24"/>
              </w:rPr>
            </w:pPr>
          </w:p>
        </w:tc>
        <w:tc>
          <w:tcPr>
            <w:tcW w:w="1134" w:type="dxa"/>
            <w:tcBorders>
              <w:top w:val="single" w:sz="4" w:space="0" w:color="000000" w:themeColor="text1"/>
              <w:bottom w:val="nil"/>
            </w:tcBorders>
            <w:shd w:val="clear" w:color="auto" w:fill="FFFFCC"/>
          </w:tcPr>
          <w:p w:rsidR="00F764B2" w:rsidRPr="00240C6D" w:rsidRDefault="00F764B2" w:rsidP="00180121">
            <w:pPr>
              <w:pStyle w:val="ListParagraph"/>
              <w:ind w:left="0"/>
              <w:jc w:val="center"/>
              <w:rPr>
                <w:rFonts w:ascii="Times New Roman" w:hAnsi="Times New Roman" w:cs="Times New Roman"/>
                <w:b/>
                <w:sz w:val="24"/>
                <w:szCs w:val="24"/>
              </w:rPr>
            </w:pPr>
          </w:p>
        </w:tc>
      </w:tr>
      <w:tr w:rsidR="00F764B2" w:rsidRPr="003453C5" w:rsidTr="00F764B2">
        <w:tc>
          <w:tcPr>
            <w:tcW w:w="3510" w:type="dxa"/>
            <w:tcBorders>
              <w:top w:val="nil"/>
              <w:bottom w:val="nil"/>
            </w:tcBorders>
          </w:tcPr>
          <w:p w:rsidR="00F764B2" w:rsidRDefault="00F764B2" w:rsidP="0018012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Darba devēja VSAOI</w:t>
            </w:r>
          </w:p>
        </w:tc>
        <w:tc>
          <w:tcPr>
            <w:tcW w:w="1134" w:type="dxa"/>
            <w:tcBorders>
              <w:top w:val="nil"/>
              <w:bottom w:val="nil"/>
            </w:tcBorders>
          </w:tcPr>
          <w:p w:rsidR="00F764B2" w:rsidRPr="00180121" w:rsidRDefault="00F764B2" w:rsidP="00056A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1418" w:type="dxa"/>
            <w:tcBorders>
              <w:top w:val="nil"/>
              <w:bottom w:val="nil"/>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w:t>
            </w:r>
          </w:p>
        </w:tc>
        <w:tc>
          <w:tcPr>
            <w:tcW w:w="1276" w:type="dxa"/>
            <w:tcBorders>
              <w:top w:val="nil"/>
              <w:bottom w:val="nil"/>
            </w:tcBorders>
            <w:shd w:val="clear" w:color="auto" w:fill="FFFFFF" w:themeFill="background1"/>
          </w:tcPr>
          <w:p w:rsidR="00F764B2" w:rsidRPr="00180121" w:rsidRDefault="00F764B2" w:rsidP="000954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954CF">
              <w:rPr>
                <w:rFonts w:ascii="Times New Roman" w:hAnsi="Times New Roman" w:cs="Times New Roman"/>
                <w:sz w:val="24"/>
                <w:szCs w:val="24"/>
              </w:rPr>
              <w:t>8,</w:t>
            </w:r>
            <w:r>
              <w:rPr>
                <w:rFonts w:ascii="Times New Roman" w:hAnsi="Times New Roman" w:cs="Times New Roman"/>
                <w:sz w:val="24"/>
                <w:szCs w:val="24"/>
              </w:rPr>
              <w:t>3</w:t>
            </w:r>
            <w:r w:rsidR="000954CF">
              <w:rPr>
                <w:rFonts w:ascii="Times New Roman" w:hAnsi="Times New Roman" w:cs="Times New Roman"/>
                <w:sz w:val="24"/>
                <w:szCs w:val="24"/>
              </w:rPr>
              <w:t>3</w:t>
            </w:r>
          </w:p>
        </w:tc>
        <w:tc>
          <w:tcPr>
            <w:tcW w:w="1417" w:type="dxa"/>
            <w:tcBorders>
              <w:top w:val="nil"/>
              <w:bottom w:val="nil"/>
            </w:tcBorders>
            <w:shd w:val="clear" w:color="auto" w:fill="FFFFFF" w:themeFill="background1"/>
          </w:tcPr>
          <w:p w:rsidR="00F764B2" w:rsidRPr="000954CF" w:rsidRDefault="000954CF" w:rsidP="000954CF">
            <w:pPr>
              <w:pStyle w:val="ListParagraph"/>
              <w:ind w:left="0"/>
              <w:jc w:val="center"/>
              <w:rPr>
                <w:rFonts w:ascii="Times New Roman" w:hAnsi="Times New Roman" w:cs="Times New Roman"/>
                <w:sz w:val="24"/>
                <w:szCs w:val="24"/>
              </w:rPr>
            </w:pPr>
            <w:r w:rsidRPr="000954CF">
              <w:rPr>
                <w:rFonts w:ascii="Times New Roman" w:hAnsi="Times New Roman" w:cs="Times New Roman"/>
                <w:sz w:val="24"/>
                <w:szCs w:val="24"/>
              </w:rPr>
              <w:t>+0,97</w:t>
            </w:r>
          </w:p>
        </w:tc>
        <w:tc>
          <w:tcPr>
            <w:tcW w:w="1134" w:type="dxa"/>
            <w:tcBorders>
              <w:top w:val="nil"/>
              <w:bottom w:val="nil"/>
            </w:tcBorders>
            <w:shd w:val="clear" w:color="auto" w:fill="FFFFCC"/>
          </w:tcPr>
          <w:p w:rsidR="00F764B2" w:rsidRPr="00240C6D" w:rsidRDefault="00F764B2" w:rsidP="00180121">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+6,95</w:t>
            </w:r>
          </w:p>
        </w:tc>
      </w:tr>
      <w:tr w:rsidR="00F764B2" w:rsidRPr="003453C5" w:rsidTr="00F764B2">
        <w:tc>
          <w:tcPr>
            <w:tcW w:w="3510" w:type="dxa"/>
            <w:tcBorders>
              <w:top w:val="nil"/>
              <w:bottom w:val="single" w:sz="4" w:space="0" w:color="000000" w:themeColor="text1"/>
            </w:tcBorders>
          </w:tcPr>
          <w:p w:rsidR="00F764B2" w:rsidRDefault="00F764B2" w:rsidP="0018012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Darba ņēmēja VSAOI</w:t>
            </w:r>
          </w:p>
        </w:tc>
        <w:tc>
          <w:tcPr>
            <w:tcW w:w="1134" w:type="dxa"/>
            <w:tcBorders>
              <w:top w:val="nil"/>
              <w:bottom w:val="single" w:sz="4" w:space="0" w:color="000000" w:themeColor="text1"/>
            </w:tcBorders>
          </w:tcPr>
          <w:p w:rsidR="00F764B2" w:rsidRPr="00180121" w:rsidRDefault="00F764B2" w:rsidP="00180121">
            <w:pPr>
              <w:pStyle w:val="ListParagraph"/>
              <w:ind w:left="0"/>
              <w:jc w:val="center"/>
              <w:rPr>
                <w:rFonts w:ascii="Times New Roman" w:hAnsi="Times New Roman" w:cs="Times New Roman"/>
                <w:sz w:val="24"/>
                <w:szCs w:val="24"/>
              </w:rPr>
            </w:pPr>
          </w:p>
        </w:tc>
        <w:tc>
          <w:tcPr>
            <w:tcW w:w="1418" w:type="dxa"/>
            <w:tcBorders>
              <w:top w:val="nil"/>
              <w:bottom w:val="single" w:sz="4" w:space="0" w:color="000000" w:themeColor="text1"/>
            </w:tcBorders>
            <w:shd w:val="clear" w:color="auto" w:fill="FFFFFF" w:themeFill="background1"/>
          </w:tcPr>
          <w:p w:rsidR="00F764B2" w:rsidRPr="00180121" w:rsidRDefault="00F764B2" w:rsidP="00180121">
            <w:pPr>
              <w:pStyle w:val="ListParagraph"/>
              <w:ind w:left="0"/>
              <w:jc w:val="center"/>
              <w:rPr>
                <w:rFonts w:ascii="Times New Roman" w:hAnsi="Times New Roman" w:cs="Times New Roman"/>
                <w:sz w:val="24"/>
                <w:szCs w:val="24"/>
              </w:rPr>
            </w:pPr>
          </w:p>
        </w:tc>
        <w:tc>
          <w:tcPr>
            <w:tcW w:w="1276" w:type="dxa"/>
            <w:tcBorders>
              <w:top w:val="nil"/>
              <w:bottom w:val="single" w:sz="4" w:space="0" w:color="000000" w:themeColor="text1"/>
            </w:tcBorders>
            <w:shd w:val="clear" w:color="auto" w:fill="FFFFFF" w:themeFill="background1"/>
          </w:tcPr>
          <w:p w:rsidR="00F764B2" w:rsidRPr="00180121" w:rsidRDefault="00F764B2" w:rsidP="000954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954CF">
              <w:rPr>
                <w:rFonts w:ascii="Times New Roman" w:hAnsi="Times New Roman" w:cs="Times New Roman"/>
                <w:sz w:val="24"/>
                <w:szCs w:val="24"/>
              </w:rPr>
              <w:t>3,80</w:t>
            </w:r>
          </w:p>
        </w:tc>
        <w:tc>
          <w:tcPr>
            <w:tcW w:w="1417" w:type="dxa"/>
            <w:tcBorders>
              <w:top w:val="nil"/>
              <w:bottom w:val="single" w:sz="4" w:space="0" w:color="000000" w:themeColor="text1"/>
            </w:tcBorders>
            <w:shd w:val="clear" w:color="auto" w:fill="FFFFFF" w:themeFill="background1"/>
          </w:tcPr>
          <w:p w:rsidR="00F764B2" w:rsidRPr="000954CF" w:rsidRDefault="000954CF" w:rsidP="00180121">
            <w:pPr>
              <w:pStyle w:val="ListParagraph"/>
              <w:ind w:left="0"/>
              <w:jc w:val="center"/>
              <w:rPr>
                <w:rFonts w:ascii="Times New Roman" w:hAnsi="Times New Roman" w:cs="Times New Roman"/>
                <w:sz w:val="24"/>
                <w:szCs w:val="24"/>
              </w:rPr>
            </w:pPr>
            <w:r w:rsidRPr="000954CF">
              <w:rPr>
                <w:rFonts w:ascii="Times New Roman" w:hAnsi="Times New Roman" w:cs="Times New Roman"/>
                <w:sz w:val="24"/>
                <w:szCs w:val="24"/>
              </w:rPr>
              <w:t>+0,44</w:t>
            </w:r>
          </w:p>
        </w:tc>
        <w:tc>
          <w:tcPr>
            <w:tcW w:w="1134" w:type="dxa"/>
            <w:tcBorders>
              <w:top w:val="nil"/>
              <w:bottom w:val="single" w:sz="4" w:space="0" w:color="000000" w:themeColor="text1"/>
            </w:tcBorders>
            <w:shd w:val="clear" w:color="auto" w:fill="FFFFCC"/>
          </w:tcPr>
          <w:p w:rsidR="00F764B2" w:rsidRPr="00240C6D" w:rsidRDefault="00F764B2" w:rsidP="001801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+4,25</w:t>
            </w:r>
          </w:p>
        </w:tc>
      </w:tr>
      <w:tr w:rsidR="00F764B2" w:rsidRPr="00180121" w:rsidTr="00F764B2">
        <w:tc>
          <w:tcPr>
            <w:tcW w:w="3510" w:type="dxa"/>
            <w:tcBorders>
              <w:top w:val="single" w:sz="4" w:space="0" w:color="000000" w:themeColor="text1"/>
            </w:tcBorders>
            <w:shd w:val="clear" w:color="auto" w:fill="FFFFCC"/>
          </w:tcPr>
          <w:p w:rsidR="00F764B2" w:rsidRPr="00180121" w:rsidRDefault="00F764B2" w:rsidP="00180121">
            <w:pPr>
              <w:pStyle w:val="ListParagraph"/>
              <w:ind w:left="0"/>
              <w:jc w:val="both"/>
              <w:rPr>
                <w:rFonts w:ascii="Times New Roman" w:hAnsi="Times New Roman" w:cs="Times New Roman"/>
                <w:b/>
                <w:sz w:val="24"/>
                <w:szCs w:val="24"/>
              </w:rPr>
            </w:pPr>
            <w:r w:rsidRPr="00180121">
              <w:rPr>
                <w:rFonts w:ascii="Times New Roman" w:hAnsi="Times New Roman" w:cs="Times New Roman"/>
                <w:b/>
                <w:sz w:val="24"/>
                <w:szCs w:val="24"/>
              </w:rPr>
              <w:t>KOPĀ</w:t>
            </w:r>
          </w:p>
        </w:tc>
        <w:tc>
          <w:tcPr>
            <w:tcW w:w="1134" w:type="dxa"/>
            <w:tcBorders>
              <w:top w:val="single" w:sz="4" w:space="0" w:color="000000" w:themeColor="text1"/>
            </w:tcBorders>
            <w:shd w:val="clear" w:color="auto" w:fill="FFFFCC"/>
          </w:tcPr>
          <w:p w:rsidR="00F764B2" w:rsidRPr="00240C6D" w:rsidRDefault="00F764B2" w:rsidP="00056A2B">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-6,</w:t>
            </w:r>
            <w:r>
              <w:rPr>
                <w:rFonts w:ascii="Times New Roman" w:hAnsi="Times New Roman" w:cs="Times New Roman"/>
                <w:b/>
                <w:sz w:val="24"/>
                <w:szCs w:val="24"/>
              </w:rPr>
              <w:t>5</w:t>
            </w:r>
            <w:r w:rsidRPr="00240C6D">
              <w:rPr>
                <w:rFonts w:ascii="Times New Roman" w:hAnsi="Times New Roman" w:cs="Times New Roman"/>
                <w:b/>
                <w:sz w:val="24"/>
                <w:szCs w:val="24"/>
              </w:rPr>
              <w:t>8</w:t>
            </w:r>
          </w:p>
        </w:tc>
        <w:tc>
          <w:tcPr>
            <w:tcW w:w="1418" w:type="dxa"/>
            <w:tcBorders>
              <w:top w:val="single" w:sz="4" w:space="0" w:color="000000" w:themeColor="text1"/>
            </w:tcBorders>
            <w:shd w:val="clear" w:color="auto" w:fill="FFFFCC"/>
          </w:tcPr>
          <w:p w:rsidR="00F764B2" w:rsidRPr="00240C6D" w:rsidRDefault="00F764B2" w:rsidP="00056A2B">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w:t>
            </w:r>
            <w:r>
              <w:rPr>
                <w:rFonts w:ascii="Times New Roman" w:hAnsi="Times New Roman" w:cs="Times New Roman"/>
                <w:b/>
                <w:sz w:val="24"/>
                <w:szCs w:val="24"/>
              </w:rPr>
              <w:t>2</w:t>
            </w:r>
            <w:r w:rsidRPr="00240C6D">
              <w:rPr>
                <w:rFonts w:ascii="Times New Roman" w:hAnsi="Times New Roman" w:cs="Times New Roman"/>
                <w:b/>
                <w:sz w:val="24"/>
                <w:szCs w:val="24"/>
              </w:rPr>
              <w:t>,</w:t>
            </w:r>
            <w:r>
              <w:rPr>
                <w:rFonts w:ascii="Times New Roman" w:hAnsi="Times New Roman" w:cs="Times New Roman"/>
                <w:b/>
                <w:sz w:val="24"/>
                <w:szCs w:val="24"/>
              </w:rPr>
              <w:t>04</w:t>
            </w:r>
          </w:p>
        </w:tc>
        <w:tc>
          <w:tcPr>
            <w:tcW w:w="1276" w:type="dxa"/>
            <w:tcBorders>
              <w:top w:val="single" w:sz="4" w:space="0" w:color="000000" w:themeColor="text1"/>
            </w:tcBorders>
            <w:shd w:val="clear" w:color="auto" w:fill="FFFFCC"/>
          </w:tcPr>
          <w:p w:rsidR="00F764B2" w:rsidRPr="00240C6D" w:rsidRDefault="00F764B2" w:rsidP="000954CF">
            <w:pPr>
              <w:pStyle w:val="ListParagraph"/>
              <w:ind w:left="0"/>
              <w:jc w:val="center"/>
              <w:rPr>
                <w:rFonts w:ascii="Times New Roman" w:hAnsi="Times New Roman" w:cs="Times New Roman"/>
                <w:b/>
                <w:sz w:val="24"/>
                <w:szCs w:val="24"/>
              </w:rPr>
            </w:pPr>
            <w:r w:rsidRPr="00240C6D">
              <w:rPr>
                <w:rFonts w:ascii="Times New Roman" w:hAnsi="Times New Roman" w:cs="Times New Roman"/>
                <w:b/>
                <w:sz w:val="24"/>
                <w:szCs w:val="24"/>
              </w:rPr>
              <w:t>+</w:t>
            </w:r>
            <w:r w:rsidR="000954CF">
              <w:rPr>
                <w:rFonts w:ascii="Times New Roman" w:hAnsi="Times New Roman" w:cs="Times New Roman"/>
                <w:b/>
                <w:sz w:val="24"/>
                <w:szCs w:val="24"/>
              </w:rPr>
              <w:t>12,13</w:t>
            </w:r>
          </w:p>
        </w:tc>
        <w:tc>
          <w:tcPr>
            <w:tcW w:w="1417" w:type="dxa"/>
            <w:tcBorders>
              <w:top w:val="single" w:sz="4" w:space="0" w:color="000000" w:themeColor="text1"/>
            </w:tcBorders>
            <w:shd w:val="clear" w:color="auto" w:fill="FFFFCC"/>
          </w:tcPr>
          <w:p w:rsidR="00F764B2" w:rsidRPr="00F764B2" w:rsidRDefault="000954CF" w:rsidP="00056A2B">
            <w:pPr>
              <w:pStyle w:val="ListParagraph"/>
              <w:ind w:left="0"/>
              <w:jc w:val="center"/>
              <w:rPr>
                <w:rFonts w:ascii="Times New Roman" w:hAnsi="Times New Roman" w:cs="Times New Roman"/>
                <w:b/>
                <w:color w:val="FFFFFF" w:themeColor="background1"/>
                <w:sz w:val="24"/>
                <w:szCs w:val="24"/>
              </w:rPr>
            </w:pPr>
            <w:r w:rsidRPr="000954CF">
              <w:rPr>
                <w:rFonts w:ascii="Times New Roman" w:hAnsi="Times New Roman" w:cs="Times New Roman"/>
                <w:b/>
                <w:sz w:val="24"/>
                <w:szCs w:val="24"/>
              </w:rPr>
              <w:t>+1,42</w:t>
            </w:r>
          </w:p>
        </w:tc>
        <w:tc>
          <w:tcPr>
            <w:tcW w:w="1134" w:type="dxa"/>
            <w:tcBorders>
              <w:top w:val="single" w:sz="4" w:space="0" w:color="000000" w:themeColor="text1"/>
            </w:tcBorders>
            <w:shd w:val="clear" w:color="auto" w:fill="FFFFCC"/>
          </w:tcPr>
          <w:p w:rsidR="00F764B2" w:rsidRPr="00180121" w:rsidRDefault="00F764B2" w:rsidP="00056A2B">
            <w:pPr>
              <w:pStyle w:val="ListParagraph"/>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+9,01</w:t>
            </w:r>
          </w:p>
        </w:tc>
      </w:tr>
    </w:tbl>
    <w:p w:rsidR="001D794D" w:rsidRDefault="001D794D" w:rsidP="001D794D">
      <w:pPr>
        <w:tabs>
          <w:tab w:val="left" w:pos="284"/>
        </w:tabs>
        <w:spacing w:before="120" w:after="120" w:line="240" w:lineRule="auto"/>
        <w:ind w:left="284" w:hanging="284"/>
        <w:jc w:val="both"/>
        <w:rPr>
          <w:rFonts w:ascii="Times New Roman" w:hAnsi="Times New Roman" w:cs="Times New Roman"/>
          <w:iCs/>
          <w:sz w:val="24"/>
          <w:szCs w:val="24"/>
        </w:rPr>
      </w:pPr>
      <w:r w:rsidRPr="001D794D">
        <w:rPr>
          <w:rFonts w:ascii="Times New Roman" w:hAnsi="Times New Roman" w:cs="Times New Roman"/>
          <w:b/>
          <w:i/>
          <w:iCs/>
          <w:sz w:val="24"/>
          <w:szCs w:val="24"/>
        </w:rPr>
        <w:t>Avots</w:t>
      </w:r>
      <w:r w:rsidRPr="001D794D">
        <w:rPr>
          <w:rFonts w:ascii="Times New Roman" w:hAnsi="Times New Roman" w:cs="Times New Roman"/>
          <w:iCs/>
          <w:sz w:val="24"/>
          <w:szCs w:val="24"/>
        </w:rPr>
        <w:t>: Finanšu ministrijas novērtējums</w:t>
      </w:r>
    </w:p>
    <w:p w:rsidR="001D794D" w:rsidRDefault="001D794D">
      <w:pPr>
        <w:rPr>
          <w:rFonts w:ascii="Times New Roman" w:hAnsi="Times New Roman" w:cs="Times New Roman"/>
          <w:iCs/>
          <w:sz w:val="24"/>
          <w:szCs w:val="24"/>
        </w:rPr>
      </w:pPr>
      <w:r>
        <w:rPr>
          <w:rFonts w:ascii="Times New Roman" w:hAnsi="Times New Roman" w:cs="Times New Roman"/>
          <w:iCs/>
          <w:sz w:val="24"/>
          <w:szCs w:val="24"/>
        </w:rPr>
        <w:br w:type="page"/>
      </w:r>
    </w:p>
    <w:p w:rsidR="001D794D" w:rsidRDefault="00F056CB" w:rsidP="001D794D">
      <w:pPr>
        <w:pStyle w:val="Heading2"/>
        <w:numPr>
          <w:ilvl w:val="1"/>
          <w:numId w:val="15"/>
        </w:numPr>
        <w:spacing w:before="240" w:after="240" w:line="240" w:lineRule="auto"/>
        <w:jc w:val="both"/>
        <w:rPr>
          <w:rFonts w:ascii="Times New Roman" w:hAnsi="Times New Roman" w:cs="Times New Roman"/>
          <w:i/>
          <w:color w:val="auto"/>
          <w:sz w:val="28"/>
          <w:szCs w:val="28"/>
        </w:rPr>
      </w:pPr>
      <w:bookmarkStart w:id="7" w:name="_Toc329956847"/>
      <w:bookmarkStart w:id="8" w:name="_Toc357009514"/>
      <w:bookmarkEnd w:id="7"/>
      <w:r>
        <w:rPr>
          <w:rFonts w:ascii="Times New Roman" w:hAnsi="Times New Roman" w:cs="Times New Roman"/>
          <w:i/>
          <w:color w:val="auto"/>
          <w:sz w:val="28"/>
          <w:szCs w:val="28"/>
        </w:rPr>
        <w:lastRenderedPageBreak/>
        <w:t>N</w:t>
      </w:r>
      <w:r w:rsidR="00441C04" w:rsidRPr="00F056CB">
        <w:rPr>
          <w:rFonts w:ascii="Times New Roman" w:hAnsi="Times New Roman" w:cs="Times New Roman"/>
          <w:i/>
          <w:color w:val="auto"/>
          <w:sz w:val="28"/>
          <w:szCs w:val="28"/>
        </w:rPr>
        <w:t>eapliekam</w:t>
      </w:r>
      <w:r w:rsidR="00BA6CED">
        <w:rPr>
          <w:rFonts w:ascii="Times New Roman" w:hAnsi="Times New Roman" w:cs="Times New Roman"/>
          <w:i/>
          <w:color w:val="auto"/>
          <w:sz w:val="28"/>
          <w:szCs w:val="28"/>
        </w:rPr>
        <w:t>ā</w:t>
      </w:r>
      <w:r w:rsidR="00441C04" w:rsidRPr="00F056CB">
        <w:rPr>
          <w:rFonts w:ascii="Times New Roman" w:hAnsi="Times New Roman" w:cs="Times New Roman"/>
          <w:i/>
          <w:color w:val="auto"/>
          <w:sz w:val="28"/>
          <w:szCs w:val="28"/>
        </w:rPr>
        <w:t xml:space="preserve"> minimum</w:t>
      </w:r>
      <w:r>
        <w:rPr>
          <w:rFonts w:ascii="Times New Roman" w:hAnsi="Times New Roman" w:cs="Times New Roman"/>
          <w:i/>
          <w:color w:val="auto"/>
          <w:sz w:val="28"/>
          <w:szCs w:val="28"/>
        </w:rPr>
        <w:t>a</w:t>
      </w:r>
      <w:r w:rsidR="00441C04" w:rsidRPr="00F056CB">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diferencēšana</w:t>
      </w:r>
      <w:bookmarkEnd w:id="8"/>
    </w:p>
    <w:p w:rsidR="001D794D" w:rsidRPr="00DC6C64" w:rsidRDefault="00EA77A9" w:rsidP="00DC6C64">
      <w:pPr>
        <w:spacing w:after="120" w:line="240" w:lineRule="auto"/>
        <w:ind w:firstLine="709"/>
        <w:jc w:val="both"/>
        <w:rPr>
          <w:rFonts w:ascii="Times New Roman" w:hAnsi="Times New Roman" w:cs="Times New Roman"/>
          <w:i/>
          <w:sz w:val="28"/>
          <w:szCs w:val="28"/>
        </w:rPr>
      </w:pPr>
      <w:r w:rsidRPr="00DC6C64">
        <w:rPr>
          <w:rFonts w:ascii="Times New Roman" w:hAnsi="Times New Roman" w:cs="Times New Roman"/>
          <w:sz w:val="28"/>
          <w:szCs w:val="28"/>
        </w:rPr>
        <w:t>Latvijas ekonomikas lejupslīdes rezultātā tika pārtraukta uzsāktā IIN sloga pakāpeniskā mazināšana iedzīvotājiem ar zemiem ienākumiem</w:t>
      </w:r>
      <w:r w:rsidR="001D794D" w:rsidRPr="00DC6C64">
        <w:rPr>
          <w:rFonts w:ascii="Times New Roman" w:hAnsi="Times New Roman" w:cs="Times New Roman"/>
          <w:sz w:val="28"/>
          <w:szCs w:val="28"/>
        </w:rPr>
        <w:t xml:space="preserve">: </w:t>
      </w:r>
      <w:r w:rsidRPr="00DC6C64">
        <w:rPr>
          <w:rFonts w:ascii="Times New Roman" w:hAnsi="Times New Roman" w:cs="Times New Roman"/>
          <w:sz w:val="28"/>
          <w:szCs w:val="28"/>
        </w:rPr>
        <w:t xml:space="preserve">no 2009.gada 1.jūlija ar IIN neapliekamais minimums tika samazināts no 90 uz 35 latiem mēnesī, bet no 2010.gada 1.janvāra IIN likme palielināta no 23% uz 26%. </w:t>
      </w:r>
    </w:p>
    <w:p w:rsidR="00EA77A9" w:rsidRDefault="00EA77A9" w:rsidP="00EA77A9">
      <w:pPr>
        <w:pStyle w:val="ListParagraph"/>
        <w:spacing w:after="120" w:line="240" w:lineRule="auto"/>
        <w:ind w:left="0" w:firstLine="709"/>
        <w:jc w:val="both"/>
        <w:rPr>
          <w:rFonts w:ascii="Times New Roman" w:hAnsi="Times New Roman" w:cs="Times New Roman"/>
          <w:sz w:val="28"/>
          <w:szCs w:val="28"/>
        </w:rPr>
      </w:pPr>
      <w:r w:rsidRPr="00EA77A9">
        <w:rPr>
          <w:rFonts w:ascii="Times New Roman" w:hAnsi="Times New Roman" w:cs="Times New Roman"/>
          <w:sz w:val="28"/>
          <w:szCs w:val="28"/>
        </w:rPr>
        <w:t>2011.gadā IIN likme tika samazināta par 1</w:t>
      </w:r>
      <w:r w:rsidR="001D794D">
        <w:rPr>
          <w:rFonts w:ascii="Times New Roman" w:hAnsi="Times New Roman" w:cs="Times New Roman"/>
          <w:sz w:val="28"/>
          <w:szCs w:val="28"/>
        </w:rPr>
        <w:t xml:space="preserve"> </w:t>
      </w:r>
      <w:r w:rsidRPr="00EA77A9">
        <w:rPr>
          <w:rFonts w:ascii="Times New Roman" w:hAnsi="Times New Roman" w:cs="Times New Roman"/>
          <w:sz w:val="28"/>
          <w:szCs w:val="28"/>
        </w:rPr>
        <w:t xml:space="preserve">procentpunktu, </w:t>
      </w:r>
      <w:proofErr w:type="spellStart"/>
      <w:r w:rsidRPr="00EA77A9">
        <w:rPr>
          <w:rFonts w:ascii="Times New Roman" w:hAnsi="Times New Roman" w:cs="Times New Roman"/>
          <w:sz w:val="28"/>
          <w:szCs w:val="28"/>
        </w:rPr>
        <w:t>t.i</w:t>
      </w:r>
      <w:proofErr w:type="spellEnd"/>
      <w:r w:rsidRPr="00EA77A9">
        <w:rPr>
          <w:rFonts w:ascii="Times New Roman" w:hAnsi="Times New Roman" w:cs="Times New Roman"/>
          <w:sz w:val="28"/>
          <w:szCs w:val="28"/>
        </w:rPr>
        <w:t>. no 26% uz 25%, un nedaudz palielināts ar nodokli neapliekamais minimums no 35 uz 45</w:t>
      </w:r>
      <w:r>
        <w:rPr>
          <w:rFonts w:ascii="Times New Roman" w:hAnsi="Times New Roman" w:cs="Times New Roman"/>
          <w:sz w:val="28"/>
          <w:szCs w:val="28"/>
        </w:rPr>
        <w:t> </w:t>
      </w:r>
      <w:r w:rsidRPr="00EA77A9">
        <w:rPr>
          <w:rFonts w:ascii="Times New Roman" w:hAnsi="Times New Roman" w:cs="Times New Roman"/>
          <w:sz w:val="28"/>
          <w:szCs w:val="28"/>
        </w:rPr>
        <w:t>latiem mēnesī</w:t>
      </w:r>
      <w:r w:rsidR="00210051">
        <w:rPr>
          <w:rFonts w:ascii="Times New Roman" w:hAnsi="Times New Roman" w:cs="Times New Roman"/>
          <w:sz w:val="28"/>
          <w:szCs w:val="28"/>
        </w:rPr>
        <w:t>, tai pašā laikā darba ņēmēja VSAOI likme tika palielināta par 2 procentpunktiem no 9% uz 11 procentiem</w:t>
      </w:r>
      <w:r w:rsidRPr="00EA77A9">
        <w:rPr>
          <w:rFonts w:ascii="Times New Roman" w:hAnsi="Times New Roman" w:cs="Times New Roman"/>
          <w:sz w:val="28"/>
          <w:szCs w:val="28"/>
        </w:rPr>
        <w:t xml:space="preserve">. </w:t>
      </w:r>
    </w:p>
    <w:p w:rsidR="00EA77A9" w:rsidRPr="00EA77A9" w:rsidRDefault="00C75B60" w:rsidP="00EA77A9">
      <w:pPr>
        <w:pStyle w:val="ListParagraph"/>
        <w:spacing w:after="120" w:line="240" w:lineRule="auto"/>
        <w:ind w:left="0"/>
        <w:jc w:val="both"/>
        <w:rPr>
          <w:rFonts w:ascii="Times New Roman" w:hAnsi="Times New Roman" w:cs="Times New Roman"/>
          <w:sz w:val="28"/>
          <w:szCs w:val="28"/>
        </w:rPr>
      </w:pPr>
      <w:r>
        <w:rPr>
          <w:noProof/>
          <w:lang w:eastAsia="lv-LV"/>
        </w:rPr>
        <w:drawing>
          <wp:inline distT="0" distB="0" distL="0" distR="0" wp14:anchorId="527A1179" wp14:editId="2FFD24E7">
            <wp:extent cx="5486400" cy="33997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7A9" w:rsidRDefault="007C3F29" w:rsidP="00A270D1">
      <w:pPr>
        <w:tabs>
          <w:tab w:val="left" w:pos="709"/>
        </w:tabs>
        <w:spacing w:after="6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w:t>
      </w:r>
      <w:r w:rsidR="00EA77A9" w:rsidRPr="00995D03">
        <w:rPr>
          <w:rFonts w:ascii="Times New Roman" w:hAnsi="Times New Roman" w:cs="Times New Roman"/>
          <w:b/>
          <w:sz w:val="24"/>
          <w:szCs w:val="24"/>
        </w:rPr>
        <w:t xml:space="preserve">.att. </w:t>
      </w:r>
      <w:r w:rsidR="00EA77A9">
        <w:rPr>
          <w:rFonts w:ascii="Times New Roman" w:hAnsi="Times New Roman" w:cs="Times New Roman"/>
          <w:b/>
          <w:sz w:val="24"/>
          <w:szCs w:val="24"/>
        </w:rPr>
        <w:t>Neapliekamā minimuma un atvieglojuma par apgādībā esošām personām izmaiņas</w:t>
      </w:r>
      <w:r w:rsidR="00A270D1">
        <w:rPr>
          <w:rFonts w:ascii="Times New Roman" w:hAnsi="Times New Roman" w:cs="Times New Roman"/>
          <w:b/>
          <w:sz w:val="24"/>
          <w:szCs w:val="24"/>
        </w:rPr>
        <w:t xml:space="preserve"> Latvijā 1994.-2013.gadā</w:t>
      </w:r>
      <w:r w:rsidR="00EA77A9">
        <w:rPr>
          <w:rFonts w:ascii="Times New Roman" w:hAnsi="Times New Roman" w:cs="Times New Roman"/>
          <w:b/>
          <w:sz w:val="24"/>
          <w:szCs w:val="24"/>
        </w:rPr>
        <w:t xml:space="preserve"> </w:t>
      </w:r>
    </w:p>
    <w:p w:rsidR="00EA77A9" w:rsidRDefault="00EA77A9" w:rsidP="001D794D">
      <w:pPr>
        <w:pStyle w:val="ListParagraph"/>
        <w:spacing w:before="120" w:after="60" w:line="240" w:lineRule="auto"/>
        <w:ind w:left="0"/>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w:t>
      </w:r>
    </w:p>
    <w:p w:rsidR="00EA77A9" w:rsidRDefault="00EA77A9" w:rsidP="00EA77A9">
      <w:pPr>
        <w:spacing w:after="120" w:line="240" w:lineRule="auto"/>
        <w:ind w:firstLine="709"/>
        <w:jc w:val="both"/>
        <w:rPr>
          <w:rFonts w:ascii="Times New Roman" w:hAnsi="Times New Roman" w:cs="Times New Roman"/>
          <w:sz w:val="28"/>
          <w:szCs w:val="28"/>
        </w:rPr>
      </w:pPr>
    </w:p>
    <w:p w:rsidR="00EA77A9" w:rsidRPr="00EA77A9" w:rsidRDefault="00EA77A9" w:rsidP="00EA77A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Tomēr joprojām </w:t>
      </w:r>
      <w:r w:rsidRPr="00EA77A9">
        <w:rPr>
          <w:rFonts w:ascii="Times New Roman" w:hAnsi="Times New Roman" w:cs="Times New Roman"/>
          <w:sz w:val="28"/>
          <w:szCs w:val="28"/>
        </w:rPr>
        <w:t xml:space="preserve">Latvijā ar IIN neapliekamais minimums ir gandrīz divas reizes zemāks kā tas ir pārējās Baltijas valstīs. </w:t>
      </w:r>
    </w:p>
    <w:p w:rsidR="00EA77A9" w:rsidRDefault="00EA77A9" w:rsidP="00AF58B3">
      <w:pPr>
        <w:spacing w:after="120" w:line="240" w:lineRule="auto"/>
        <w:ind w:firstLine="709"/>
        <w:jc w:val="both"/>
        <w:rPr>
          <w:rFonts w:ascii="Times New Roman" w:hAnsi="Times New Roman" w:cs="Times New Roman"/>
          <w:sz w:val="28"/>
          <w:szCs w:val="28"/>
        </w:rPr>
      </w:pPr>
    </w:p>
    <w:p w:rsidR="00EA77A9" w:rsidRDefault="00EA77A9" w:rsidP="00EA77A9">
      <w:pPr>
        <w:spacing w:after="120" w:line="240" w:lineRule="auto"/>
        <w:jc w:val="both"/>
        <w:rPr>
          <w:rFonts w:ascii="Times New Roman" w:hAnsi="Times New Roman" w:cs="Times New Roman"/>
          <w:sz w:val="28"/>
          <w:szCs w:val="28"/>
        </w:rPr>
      </w:pPr>
      <w:r>
        <w:rPr>
          <w:noProof/>
          <w:lang w:eastAsia="lv-LV"/>
        </w:rPr>
        <w:lastRenderedPageBreak/>
        <w:drawing>
          <wp:inline distT="0" distB="0" distL="0" distR="0" wp14:anchorId="7C77E2E1" wp14:editId="1E47BCF7">
            <wp:extent cx="4572000" cy="3128963"/>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77A9" w:rsidRDefault="007C3F29" w:rsidP="009D5AF3">
      <w:pPr>
        <w:tabs>
          <w:tab w:val="left" w:pos="709"/>
        </w:tabs>
        <w:spacing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w:t>
      </w:r>
      <w:r w:rsidR="00EA77A9" w:rsidRPr="00995D03">
        <w:rPr>
          <w:rFonts w:ascii="Times New Roman" w:hAnsi="Times New Roman" w:cs="Times New Roman"/>
          <w:b/>
          <w:sz w:val="24"/>
          <w:szCs w:val="24"/>
        </w:rPr>
        <w:t xml:space="preserve">.att. </w:t>
      </w:r>
      <w:r w:rsidR="00EA77A9">
        <w:rPr>
          <w:rFonts w:ascii="Times New Roman" w:hAnsi="Times New Roman" w:cs="Times New Roman"/>
          <w:b/>
          <w:sz w:val="24"/>
          <w:szCs w:val="24"/>
        </w:rPr>
        <w:t xml:space="preserve">Neapliekamā minimuma un atvieglojuma par apgādībā esošām personām apmērs Baltijas valstīs 2013.gadā </w:t>
      </w:r>
    </w:p>
    <w:p w:rsidR="009D5AF3" w:rsidRPr="009D5AF3" w:rsidRDefault="009D5AF3" w:rsidP="009D5AF3">
      <w:pPr>
        <w:tabs>
          <w:tab w:val="left" w:pos="284"/>
        </w:tabs>
        <w:spacing w:after="120" w:line="240" w:lineRule="auto"/>
        <w:ind w:left="284" w:hanging="284"/>
        <w:jc w:val="both"/>
        <w:rPr>
          <w:rFonts w:ascii="Times New Roman" w:hAnsi="Times New Roman" w:cs="Times New Roman"/>
          <w:sz w:val="20"/>
          <w:szCs w:val="20"/>
        </w:rPr>
      </w:pPr>
      <w:r w:rsidRPr="009D5AF3">
        <w:rPr>
          <w:rFonts w:ascii="Times New Roman" w:hAnsi="Times New Roman" w:cs="Times New Roman"/>
          <w:sz w:val="20"/>
          <w:szCs w:val="20"/>
          <w:vertAlign w:val="superscript"/>
        </w:rPr>
        <w:t>*</w:t>
      </w:r>
      <w:r w:rsidRPr="009D5AF3">
        <w:rPr>
          <w:rFonts w:ascii="Times New Roman" w:hAnsi="Times New Roman" w:cs="Times New Roman"/>
          <w:sz w:val="20"/>
          <w:szCs w:val="20"/>
          <w:vertAlign w:val="superscript"/>
        </w:rPr>
        <w:tab/>
      </w:r>
      <w:r w:rsidRPr="009D5AF3">
        <w:rPr>
          <w:rFonts w:ascii="Times New Roman" w:hAnsi="Times New Roman" w:cs="Times New Roman"/>
          <w:sz w:val="20"/>
          <w:szCs w:val="20"/>
        </w:rPr>
        <w:t xml:space="preserve">Latvijā </w:t>
      </w:r>
      <w:r>
        <w:rPr>
          <w:rFonts w:ascii="Times New Roman" w:hAnsi="Times New Roman" w:cs="Times New Roman"/>
          <w:sz w:val="20"/>
          <w:szCs w:val="20"/>
        </w:rPr>
        <w:t xml:space="preserve">– </w:t>
      </w:r>
      <w:r w:rsidRPr="009D5AF3">
        <w:rPr>
          <w:rFonts w:ascii="Times New Roman" w:hAnsi="Times New Roman" w:cs="Times New Roman"/>
          <w:sz w:val="20"/>
          <w:szCs w:val="20"/>
        </w:rPr>
        <w:t xml:space="preserve">atvieglojums par apgādībā esošām personām </w:t>
      </w:r>
      <w:r>
        <w:rPr>
          <w:rFonts w:ascii="Times New Roman" w:hAnsi="Times New Roman" w:cs="Times New Roman"/>
          <w:sz w:val="20"/>
          <w:szCs w:val="20"/>
        </w:rPr>
        <w:t xml:space="preserve">no 01.07.2013. tiek paaugstināts uz </w:t>
      </w:r>
      <w:r w:rsidRPr="009D5AF3">
        <w:rPr>
          <w:rFonts w:ascii="Times New Roman" w:hAnsi="Times New Roman" w:cs="Times New Roman"/>
          <w:sz w:val="20"/>
          <w:szCs w:val="20"/>
        </w:rPr>
        <w:t xml:space="preserve">80 </w:t>
      </w:r>
      <w:r>
        <w:rPr>
          <w:rFonts w:ascii="Times New Roman" w:hAnsi="Times New Roman" w:cs="Times New Roman"/>
          <w:sz w:val="20"/>
          <w:szCs w:val="20"/>
        </w:rPr>
        <w:t xml:space="preserve">latiem </w:t>
      </w:r>
      <w:r w:rsidRPr="009D5AF3">
        <w:rPr>
          <w:rFonts w:ascii="Times New Roman" w:hAnsi="Times New Roman" w:cs="Times New Roman"/>
          <w:sz w:val="20"/>
          <w:szCs w:val="20"/>
        </w:rPr>
        <w:t>mēnesī</w:t>
      </w:r>
      <w:r>
        <w:rPr>
          <w:rFonts w:ascii="Times New Roman" w:hAnsi="Times New Roman" w:cs="Times New Roman"/>
          <w:sz w:val="20"/>
          <w:szCs w:val="20"/>
        </w:rPr>
        <w:t xml:space="preserve"> (līdz tam 70 lati mēnesī)</w:t>
      </w:r>
    </w:p>
    <w:p w:rsidR="009D5AF3" w:rsidRPr="00007368" w:rsidRDefault="009D5AF3" w:rsidP="009D5AF3">
      <w:pPr>
        <w:tabs>
          <w:tab w:val="left" w:pos="284"/>
        </w:tabs>
        <w:spacing w:after="0" w:line="240" w:lineRule="auto"/>
        <w:ind w:left="284" w:hanging="284"/>
        <w:jc w:val="both"/>
        <w:rPr>
          <w:rFonts w:ascii="Times New Roman" w:hAnsi="Times New Roman" w:cs="Times New Roman"/>
          <w:sz w:val="20"/>
          <w:szCs w:val="20"/>
        </w:rPr>
      </w:pPr>
      <w:r w:rsidRPr="009D5AF3">
        <w:rPr>
          <w:rFonts w:ascii="Times New Roman" w:hAnsi="Times New Roman" w:cs="Times New Roman"/>
          <w:sz w:val="20"/>
          <w:szCs w:val="20"/>
          <w:vertAlign w:val="superscript"/>
        </w:rPr>
        <w:t>**</w:t>
      </w:r>
      <w:r>
        <w:rPr>
          <w:rFonts w:ascii="Times New Roman" w:hAnsi="Times New Roman" w:cs="Times New Roman"/>
          <w:sz w:val="20"/>
          <w:szCs w:val="20"/>
        </w:rPr>
        <w:tab/>
      </w:r>
      <w:r w:rsidRPr="00007368">
        <w:rPr>
          <w:rFonts w:ascii="Times New Roman" w:hAnsi="Times New Roman" w:cs="Times New Roman"/>
          <w:sz w:val="20"/>
          <w:szCs w:val="20"/>
        </w:rPr>
        <w:t xml:space="preserve">Lietuvā </w:t>
      </w:r>
      <w:r>
        <w:rPr>
          <w:rFonts w:ascii="Times New Roman" w:hAnsi="Times New Roman" w:cs="Times New Roman"/>
          <w:sz w:val="20"/>
          <w:szCs w:val="20"/>
        </w:rPr>
        <w:t xml:space="preserve">– </w:t>
      </w:r>
      <w:r w:rsidRPr="00007368">
        <w:rPr>
          <w:rFonts w:ascii="Times New Roman" w:hAnsi="Times New Roman" w:cs="Times New Roman"/>
          <w:sz w:val="20"/>
          <w:szCs w:val="20"/>
        </w:rPr>
        <w:t xml:space="preserve">neapliekamais minimums tiek piemērots proporcionāli ienākumu līmenim, </w:t>
      </w:r>
      <w:proofErr w:type="spellStart"/>
      <w:r w:rsidRPr="00007368">
        <w:rPr>
          <w:rFonts w:ascii="Times New Roman" w:hAnsi="Times New Roman" w:cs="Times New Roman"/>
          <w:sz w:val="20"/>
          <w:szCs w:val="20"/>
        </w:rPr>
        <w:t>t.i</w:t>
      </w:r>
      <w:proofErr w:type="spellEnd"/>
      <w:r w:rsidRPr="00007368">
        <w:rPr>
          <w:rFonts w:ascii="Times New Roman" w:hAnsi="Times New Roman" w:cs="Times New Roman"/>
          <w:sz w:val="20"/>
          <w:szCs w:val="20"/>
        </w:rPr>
        <w:t>.:</w:t>
      </w:r>
    </w:p>
    <w:p w:rsidR="009D5AF3" w:rsidRPr="00007368" w:rsidRDefault="009D5AF3" w:rsidP="009D5AF3">
      <w:pPr>
        <w:pStyle w:val="ListParagraph"/>
        <w:numPr>
          <w:ilvl w:val="0"/>
          <w:numId w:val="2"/>
        </w:numPr>
        <w:spacing w:after="0" w:line="240" w:lineRule="auto"/>
        <w:ind w:left="567" w:hanging="283"/>
        <w:jc w:val="both"/>
        <w:rPr>
          <w:rFonts w:ascii="Times New Roman" w:hAnsi="Times New Roman" w:cs="Times New Roman"/>
          <w:sz w:val="20"/>
          <w:szCs w:val="20"/>
        </w:rPr>
      </w:pPr>
      <w:r w:rsidRPr="00007368">
        <w:rPr>
          <w:rFonts w:ascii="Times New Roman" w:hAnsi="Times New Roman" w:cs="Times New Roman"/>
          <w:sz w:val="20"/>
          <w:szCs w:val="20"/>
        </w:rPr>
        <w:t>5 640 liti gadā jeb 95,88 lati mēnesī, ja darbinieka ienākumi nepārsniedz 9 600 liti gadā jeb 163 latus mēnesī;</w:t>
      </w:r>
    </w:p>
    <w:p w:rsidR="009D5AF3" w:rsidRPr="00007368" w:rsidRDefault="009D5AF3" w:rsidP="009D5AF3">
      <w:pPr>
        <w:pStyle w:val="ListParagraph"/>
        <w:numPr>
          <w:ilvl w:val="0"/>
          <w:numId w:val="2"/>
        </w:numPr>
        <w:spacing w:after="0" w:line="240" w:lineRule="auto"/>
        <w:ind w:left="567" w:hanging="283"/>
        <w:jc w:val="both"/>
        <w:rPr>
          <w:rFonts w:ascii="Times New Roman" w:hAnsi="Times New Roman" w:cs="Times New Roman"/>
          <w:sz w:val="20"/>
          <w:szCs w:val="20"/>
        </w:rPr>
      </w:pPr>
      <w:r w:rsidRPr="00007368">
        <w:rPr>
          <w:rFonts w:ascii="Times New Roman" w:hAnsi="Times New Roman" w:cs="Times New Roman"/>
          <w:sz w:val="20"/>
          <w:szCs w:val="20"/>
        </w:rPr>
        <w:t xml:space="preserve"> ja ienākumi ir no 9 600 līdz 37 800 litiem gadā jeb no 163 līdz 643 latiem mēnesī, tad to aprēķina pēc formulas = 5 640 liti/12-0,2*(darbinieka ienākums – 9 600 liti/12); </w:t>
      </w:r>
    </w:p>
    <w:p w:rsidR="009D5AF3" w:rsidRDefault="009D5AF3" w:rsidP="009D5AF3">
      <w:pPr>
        <w:pStyle w:val="ListParagraph"/>
        <w:numPr>
          <w:ilvl w:val="0"/>
          <w:numId w:val="2"/>
        </w:numPr>
        <w:spacing w:after="80" w:line="240" w:lineRule="auto"/>
        <w:ind w:left="568" w:hanging="284"/>
        <w:jc w:val="both"/>
        <w:rPr>
          <w:rFonts w:ascii="Times New Roman" w:hAnsi="Times New Roman" w:cs="Times New Roman"/>
          <w:sz w:val="20"/>
          <w:szCs w:val="20"/>
        </w:rPr>
      </w:pPr>
      <w:r w:rsidRPr="00007368">
        <w:rPr>
          <w:rFonts w:ascii="Times New Roman" w:hAnsi="Times New Roman" w:cs="Times New Roman"/>
          <w:sz w:val="20"/>
          <w:szCs w:val="20"/>
        </w:rPr>
        <w:t>netiek piemērots, ja darbinieka ienākumi pārsniedz 37 800 liti gadā jeb 643 latus mēnesī</w:t>
      </w:r>
      <w:r>
        <w:rPr>
          <w:rFonts w:ascii="Times New Roman" w:hAnsi="Times New Roman" w:cs="Times New Roman"/>
          <w:sz w:val="20"/>
          <w:szCs w:val="20"/>
        </w:rPr>
        <w:t>.</w:t>
      </w:r>
    </w:p>
    <w:p w:rsidR="009D5AF3" w:rsidRPr="009D5AF3" w:rsidRDefault="009D5AF3" w:rsidP="009D5AF3">
      <w:pPr>
        <w:tabs>
          <w:tab w:val="left" w:pos="284"/>
        </w:tabs>
        <w:spacing w:after="80" w:line="240" w:lineRule="auto"/>
        <w:jc w:val="both"/>
        <w:rPr>
          <w:rFonts w:ascii="Times New Roman" w:hAnsi="Times New Roman" w:cs="Times New Roman"/>
          <w:sz w:val="20"/>
          <w:szCs w:val="20"/>
        </w:rPr>
      </w:pPr>
      <w:r w:rsidRPr="009D5AF3">
        <w:rPr>
          <w:rFonts w:ascii="Times New Roman" w:hAnsi="Times New Roman" w:cs="Times New Roman"/>
          <w:sz w:val="20"/>
          <w:szCs w:val="20"/>
          <w:vertAlign w:val="superscript"/>
        </w:rPr>
        <w:t>***</w:t>
      </w:r>
      <w:r>
        <w:rPr>
          <w:rFonts w:ascii="Times New Roman" w:hAnsi="Times New Roman" w:cs="Times New Roman"/>
          <w:sz w:val="20"/>
          <w:szCs w:val="20"/>
        </w:rPr>
        <w:tab/>
        <w:t xml:space="preserve">Igaunijā – atvieglojumu par bērniem piemēro, sākot no otrā bērna   </w:t>
      </w:r>
      <w:r w:rsidRPr="009D5AF3">
        <w:rPr>
          <w:rFonts w:ascii="Times New Roman" w:hAnsi="Times New Roman" w:cs="Times New Roman"/>
          <w:sz w:val="20"/>
          <w:szCs w:val="20"/>
        </w:rPr>
        <w:t xml:space="preserve">  </w:t>
      </w:r>
    </w:p>
    <w:p w:rsidR="00EA77A9" w:rsidRPr="00EA77A9" w:rsidRDefault="00EA77A9" w:rsidP="001D794D">
      <w:pPr>
        <w:tabs>
          <w:tab w:val="left" w:pos="709"/>
        </w:tabs>
        <w:spacing w:before="120" w:after="60" w:line="240" w:lineRule="auto"/>
        <w:ind w:left="709" w:hanging="709"/>
        <w:jc w:val="both"/>
        <w:rPr>
          <w:rFonts w:ascii="Times New Roman" w:hAnsi="Times New Roman" w:cs="Times New Roman"/>
          <w:b/>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sidR="009D5AF3">
        <w:rPr>
          <w:rFonts w:ascii="Times New Roman" w:hAnsi="Times New Roman" w:cs="Times New Roman"/>
          <w:sz w:val="24"/>
          <w:szCs w:val="24"/>
        </w:rPr>
        <w:t xml:space="preserve">Latvijas, Lietuvas un Igaunijas </w:t>
      </w:r>
      <w:r w:rsidR="001D794D">
        <w:rPr>
          <w:rFonts w:ascii="Times New Roman" w:hAnsi="Times New Roman" w:cs="Times New Roman"/>
          <w:sz w:val="24"/>
          <w:szCs w:val="24"/>
        </w:rPr>
        <w:t>F</w:t>
      </w:r>
      <w:r>
        <w:rPr>
          <w:rFonts w:ascii="Times New Roman" w:hAnsi="Times New Roman" w:cs="Times New Roman"/>
          <w:sz w:val="24"/>
          <w:szCs w:val="24"/>
        </w:rPr>
        <w:t>inanšu ministrij</w:t>
      </w:r>
      <w:r w:rsidR="009D5AF3">
        <w:rPr>
          <w:rFonts w:ascii="Times New Roman" w:hAnsi="Times New Roman" w:cs="Times New Roman"/>
          <w:sz w:val="24"/>
          <w:szCs w:val="24"/>
        </w:rPr>
        <w:t>u dati</w:t>
      </w:r>
    </w:p>
    <w:p w:rsidR="00EA77A9" w:rsidRDefault="00EA77A9" w:rsidP="00EA77A9">
      <w:pPr>
        <w:spacing w:after="120" w:line="240" w:lineRule="auto"/>
        <w:ind w:firstLine="709"/>
        <w:jc w:val="both"/>
        <w:rPr>
          <w:rFonts w:ascii="Times New Roman" w:hAnsi="Times New Roman" w:cs="Times New Roman"/>
          <w:sz w:val="28"/>
          <w:szCs w:val="28"/>
        </w:rPr>
      </w:pPr>
    </w:p>
    <w:p w:rsidR="00A270D1" w:rsidRPr="0098578A" w:rsidRDefault="00A270D1" w:rsidP="0098578A">
      <w:pPr>
        <w:pStyle w:val="ListParagraph"/>
        <w:spacing w:after="120" w:line="240" w:lineRule="auto"/>
        <w:ind w:left="0" w:firstLine="709"/>
        <w:jc w:val="both"/>
        <w:rPr>
          <w:rFonts w:ascii="Times New Roman" w:hAnsi="Times New Roman" w:cs="Times New Roman"/>
          <w:sz w:val="28"/>
          <w:szCs w:val="28"/>
        </w:rPr>
      </w:pPr>
      <w:r w:rsidRPr="0098578A">
        <w:rPr>
          <w:rFonts w:ascii="Times New Roman" w:hAnsi="Times New Roman" w:cs="Times New Roman"/>
          <w:sz w:val="28"/>
          <w:szCs w:val="28"/>
        </w:rPr>
        <w:t xml:space="preserve">Lai </w:t>
      </w:r>
      <w:r w:rsidR="00BA6CED" w:rsidRPr="0098578A">
        <w:rPr>
          <w:rFonts w:ascii="Times New Roman" w:hAnsi="Times New Roman" w:cs="Times New Roman"/>
          <w:sz w:val="28"/>
          <w:szCs w:val="28"/>
        </w:rPr>
        <w:t>mērķtiecīg</w:t>
      </w:r>
      <w:r w:rsidR="00BA6CED">
        <w:rPr>
          <w:rFonts w:ascii="Times New Roman" w:hAnsi="Times New Roman" w:cs="Times New Roman"/>
          <w:sz w:val="28"/>
          <w:szCs w:val="28"/>
        </w:rPr>
        <w:t>i</w:t>
      </w:r>
      <w:r w:rsidR="00BA6CED" w:rsidRPr="0098578A">
        <w:rPr>
          <w:rFonts w:ascii="Times New Roman" w:hAnsi="Times New Roman" w:cs="Times New Roman"/>
          <w:sz w:val="28"/>
          <w:szCs w:val="28"/>
        </w:rPr>
        <w:t xml:space="preserve"> </w:t>
      </w:r>
      <w:r w:rsidRPr="0098578A">
        <w:rPr>
          <w:rFonts w:ascii="Times New Roman" w:hAnsi="Times New Roman" w:cs="Times New Roman"/>
          <w:sz w:val="28"/>
          <w:szCs w:val="28"/>
        </w:rPr>
        <w:t>mazinātu nodokļu slogu tieši zemo algu saņēmējiem, Finanšu ministrija ierosina ieviest diferencētu neapliekamo minimumu</w:t>
      </w:r>
      <w:r w:rsidR="00BA6CED">
        <w:rPr>
          <w:rFonts w:ascii="Times New Roman" w:hAnsi="Times New Roman" w:cs="Times New Roman"/>
          <w:sz w:val="28"/>
          <w:szCs w:val="28"/>
        </w:rPr>
        <w:t>,</w:t>
      </w:r>
      <w:r w:rsidRPr="0098578A">
        <w:rPr>
          <w:rFonts w:ascii="Times New Roman" w:hAnsi="Times New Roman" w:cs="Times New Roman"/>
          <w:sz w:val="28"/>
          <w:szCs w:val="28"/>
        </w:rPr>
        <w:t xml:space="preserve"> līdzīgi kā tas ir Lietuvā. </w:t>
      </w:r>
      <w:r w:rsidR="00BA6CED">
        <w:rPr>
          <w:rFonts w:ascii="Times New Roman" w:hAnsi="Times New Roman" w:cs="Times New Roman"/>
          <w:sz w:val="28"/>
          <w:szCs w:val="28"/>
        </w:rPr>
        <w:t>L</w:t>
      </w:r>
      <w:r w:rsidR="001C4089">
        <w:rPr>
          <w:rFonts w:ascii="Times New Roman" w:hAnsi="Times New Roman" w:cs="Times New Roman"/>
          <w:sz w:val="28"/>
          <w:szCs w:val="28"/>
        </w:rPr>
        <w:t xml:space="preserve">ai </w:t>
      </w:r>
      <w:r w:rsidRPr="0098578A">
        <w:rPr>
          <w:rFonts w:ascii="Times New Roman" w:hAnsi="Times New Roman" w:cs="Times New Roman"/>
          <w:sz w:val="28"/>
          <w:szCs w:val="28"/>
        </w:rPr>
        <w:t>nepasliktināt</w:t>
      </w:r>
      <w:r w:rsidR="00BA6CED">
        <w:rPr>
          <w:rFonts w:ascii="Times New Roman" w:hAnsi="Times New Roman" w:cs="Times New Roman"/>
          <w:sz w:val="28"/>
          <w:szCs w:val="28"/>
        </w:rPr>
        <w:t>u</w:t>
      </w:r>
      <w:r w:rsidRPr="0098578A">
        <w:rPr>
          <w:rFonts w:ascii="Times New Roman" w:hAnsi="Times New Roman" w:cs="Times New Roman"/>
          <w:sz w:val="28"/>
          <w:szCs w:val="28"/>
        </w:rPr>
        <w:t xml:space="preserve"> esošo situāciju pārējiem nodokļu maksātājiem</w:t>
      </w:r>
      <w:r w:rsidR="001C4089">
        <w:rPr>
          <w:rFonts w:ascii="Times New Roman" w:hAnsi="Times New Roman" w:cs="Times New Roman"/>
          <w:sz w:val="28"/>
          <w:szCs w:val="28"/>
        </w:rPr>
        <w:t xml:space="preserve">, paredzēts, ka tiks </w:t>
      </w:r>
      <w:r w:rsidR="00DC6C64">
        <w:rPr>
          <w:rFonts w:ascii="Times New Roman" w:hAnsi="Times New Roman" w:cs="Times New Roman"/>
          <w:sz w:val="28"/>
          <w:szCs w:val="28"/>
        </w:rPr>
        <w:t xml:space="preserve">saglabāts </w:t>
      </w:r>
      <w:r w:rsidR="001C4089">
        <w:rPr>
          <w:rFonts w:ascii="Times New Roman" w:hAnsi="Times New Roman" w:cs="Times New Roman"/>
          <w:sz w:val="28"/>
          <w:szCs w:val="28"/>
        </w:rPr>
        <w:t>esošais neapliekamais minimums</w:t>
      </w:r>
      <w:r w:rsidR="00DC6C64">
        <w:rPr>
          <w:rFonts w:ascii="Times New Roman" w:hAnsi="Times New Roman" w:cs="Times New Roman"/>
          <w:sz w:val="28"/>
          <w:szCs w:val="28"/>
        </w:rPr>
        <w:t xml:space="preserve"> 45 latu mēnesī apmērā</w:t>
      </w:r>
      <w:r w:rsidRPr="0098578A">
        <w:rPr>
          <w:rFonts w:ascii="Times New Roman" w:hAnsi="Times New Roman" w:cs="Times New Roman"/>
          <w:sz w:val="28"/>
          <w:szCs w:val="28"/>
        </w:rPr>
        <w:t>.</w:t>
      </w:r>
    </w:p>
    <w:p w:rsidR="0098578A" w:rsidRPr="0098578A" w:rsidRDefault="0098578A" w:rsidP="0098578A">
      <w:pPr>
        <w:spacing w:after="120" w:line="240" w:lineRule="auto"/>
        <w:ind w:firstLine="567"/>
        <w:jc w:val="both"/>
        <w:rPr>
          <w:rFonts w:ascii="Times New Roman" w:hAnsi="Times New Roman" w:cs="Times New Roman"/>
          <w:b/>
          <w:sz w:val="28"/>
          <w:szCs w:val="28"/>
        </w:rPr>
      </w:pPr>
      <w:r w:rsidRPr="0098578A">
        <w:rPr>
          <w:rFonts w:ascii="Times New Roman" w:hAnsi="Times New Roman" w:cs="Times New Roman"/>
          <w:b/>
          <w:sz w:val="28"/>
          <w:szCs w:val="28"/>
        </w:rPr>
        <w:t>Diferencētā nea</w:t>
      </w:r>
      <w:r>
        <w:rPr>
          <w:rFonts w:ascii="Times New Roman" w:hAnsi="Times New Roman" w:cs="Times New Roman"/>
          <w:b/>
          <w:sz w:val="28"/>
          <w:szCs w:val="28"/>
        </w:rPr>
        <w:t>p</w:t>
      </w:r>
      <w:r w:rsidRPr="0098578A">
        <w:rPr>
          <w:rFonts w:ascii="Times New Roman" w:hAnsi="Times New Roman" w:cs="Times New Roman"/>
          <w:b/>
          <w:sz w:val="28"/>
          <w:szCs w:val="28"/>
        </w:rPr>
        <w:t>liekamā minimuma piemērošana:</w:t>
      </w:r>
    </w:p>
    <w:p w:rsidR="0098578A" w:rsidRPr="00316622" w:rsidRDefault="0098578A" w:rsidP="00047502">
      <w:pPr>
        <w:pStyle w:val="ListParagraph"/>
        <w:numPr>
          <w:ilvl w:val="0"/>
          <w:numId w:val="33"/>
        </w:numPr>
        <w:spacing w:after="120" w:line="240" w:lineRule="auto"/>
        <w:ind w:left="1134" w:hanging="567"/>
        <w:jc w:val="both"/>
        <w:rPr>
          <w:rFonts w:ascii="Times New Roman" w:hAnsi="Times New Roman" w:cs="Times New Roman"/>
          <w:sz w:val="28"/>
          <w:szCs w:val="28"/>
        </w:rPr>
      </w:pPr>
      <w:r w:rsidRPr="00316622">
        <w:rPr>
          <w:rFonts w:ascii="Times New Roman" w:hAnsi="Times New Roman" w:cs="Times New Roman"/>
          <w:sz w:val="28"/>
          <w:szCs w:val="28"/>
        </w:rPr>
        <w:t xml:space="preserve">darba vietā, kur iesniegta algas grāmatiņa, tāpat kā līdz šim tiek piemērots mēneša neapliekamais minimums 45 latu </w:t>
      </w:r>
      <w:r w:rsidR="00DC6C64" w:rsidRPr="00316622">
        <w:rPr>
          <w:rFonts w:ascii="Times New Roman" w:hAnsi="Times New Roman" w:cs="Times New Roman"/>
          <w:sz w:val="28"/>
          <w:szCs w:val="28"/>
        </w:rPr>
        <w:t xml:space="preserve">mēnesī </w:t>
      </w:r>
      <w:r w:rsidRPr="00316622">
        <w:rPr>
          <w:rFonts w:ascii="Times New Roman" w:hAnsi="Times New Roman" w:cs="Times New Roman"/>
          <w:sz w:val="28"/>
          <w:szCs w:val="28"/>
        </w:rPr>
        <w:t>apmērā (uzņēmumiem nav jāveic izmaiņas grāmatvedības programmās)</w:t>
      </w:r>
      <w:r w:rsidR="00316622" w:rsidRPr="00316622">
        <w:rPr>
          <w:rFonts w:ascii="Times New Roman" w:hAnsi="Times New Roman" w:cs="Times New Roman"/>
          <w:sz w:val="28"/>
          <w:szCs w:val="28"/>
        </w:rPr>
        <w:t>. Ņemot vērā, ka personai vienlaicīgi var būt vairāki ienākumu avoti, kas ietekmē neapliekamā minimuma apmēru, kā arī to, ka, it īpaši personām, kas samaksu saņem atkarībā no nostrādātajām stundām, ienākumi var svārstīties pa mēnešiem gada ietvaros, bet IIN taksācijas periods ir gads, tādējādi, lai izvairītos no situācijas, kad cilvēkam veidojas neliels IIN parāds VID, diferencētais neapliekamais minimums tiks piemērots pēc taksācijas gada beig</w:t>
      </w:r>
      <w:r w:rsidR="00316622">
        <w:rPr>
          <w:rFonts w:ascii="Times New Roman" w:hAnsi="Times New Roman" w:cs="Times New Roman"/>
          <w:sz w:val="28"/>
          <w:szCs w:val="28"/>
        </w:rPr>
        <w:t>ām</w:t>
      </w:r>
      <w:r w:rsidRPr="00316622">
        <w:rPr>
          <w:rFonts w:ascii="Times New Roman" w:hAnsi="Times New Roman" w:cs="Times New Roman"/>
          <w:sz w:val="28"/>
          <w:szCs w:val="28"/>
        </w:rPr>
        <w:t>;</w:t>
      </w:r>
    </w:p>
    <w:p w:rsidR="0098578A" w:rsidRDefault="005B4CAA" w:rsidP="00047502">
      <w:pPr>
        <w:pStyle w:val="ListParagraph"/>
        <w:numPr>
          <w:ilvl w:val="0"/>
          <w:numId w:val="33"/>
        </w:numPr>
        <w:spacing w:after="120" w:line="240" w:lineRule="auto"/>
        <w:ind w:left="1134" w:hanging="567"/>
        <w:jc w:val="both"/>
        <w:rPr>
          <w:rFonts w:ascii="Times New Roman" w:hAnsi="Times New Roman" w:cs="Times New Roman"/>
          <w:sz w:val="28"/>
          <w:szCs w:val="28"/>
        </w:rPr>
      </w:pPr>
      <w:r w:rsidRPr="005B4CAA">
        <w:rPr>
          <w:rFonts w:ascii="Times New Roman" w:hAnsi="Times New Roman" w:cs="Times New Roman"/>
          <w:sz w:val="28"/>
          <w:szCs w:val="28"/>
        </w:rPr>
        <w:lastRenderedPageBreak/>
        <w:t>gada beigās VID apkopo informāciju par nodokļa maksātāja gada laikā gūtajiem ienākumiem un veic neapliekamā minimuma pārrēķinu. Fiziskām personām, kuru ienākumus veido tikai tādi ienākuma veidi, par kuriem jau šobrīd VID saņem informāciju no citiem avotiem (piemēram, darba alga, no kuras darba devējs aprēķina un ieskaita budžetā IIN), vienu reizi dzīvē ir jāiesniedz VID informācija par bankas konta numuru, uz kuru pārskaitīt neapliekamā minimuma atmaksu. Fiziskām personām, kas veic saimniecisko darbību jeb saņem cita veida ienākumus, kas rada pienākumu iesniegt ikgadējo iedzīvotāju ienākuma nodokļa deklarāciju, tāpat kā līdz šim saglabāsies esošā kārtība. Administratīvais slogs minimāli palielināsies tikai tām fiziskām personām. kas kvalificēsies IIN atmaksai neapliekamā minimuma pārrēķina rezultātā, taču līdz šim nebūs paziņojušas VID savu bankas kontu, uz kuru saņemt atmaksu.</w:t>
      </w:r>
    </w:p>
    <w:p w:rsidR="0098578A" w:rsidRPr="0098578A" w:rsidRDefault="0098578A" w:rsidP="0098578A">
      <w:pPr>
        <w:spacing w:after="120" w:line="240" w:lineRule="auto"/>
        <w:jc w:val="center"/>
        <w:rPr>
          <w:rFonts w:ascii="Times New Roman" w:hAnsi="Times New Roman" w:cs="Times New Roman"/>
          <w:sz w:val="24"/>
          <w:szCs w:val="24"/>
        </w:rPr>
      </w:pPr>
      <w:r w:rsidRPr="0098578A">
        <w:rPr>
          <w:rFonts w:ascii="Times New Roman" w:hAnsi="Times New Roman" w:cs="Times New Roman"/>
          <w:b/>
          <w:sz w:val="24"/>
          <w:szCs w:val="24"/>
        </w:rPr>
        <w:t>3.tab. Gada neapliekamais minimums aprēķinā</w:t>
      </w:r>
      <w:r>
        <w:rPr>
          <w:rFonts w:ascii="Times New Roman" w:hAnsi="Times New Roman" w:cs="Times New Roman"/>
          <w:b/>
          <w:sz w:val="24"/>
          <w:szCs w:val="24"/>
        </w:rPr>
        <w:t>šanas</w:t>
      </w:r>
      <w:r w:rsidRPr="0098578A">
        <w:rPr>
          <w:rFonts w:ascii="Times New Roman" w:hAnsi="Times New Roman" w:cs="Times New Roman"/>
          <w:b/>
          <w:sz w:val="24"/>
          <w:szCs w:val="24"/>
        </w:rPr>
        <w:t xml:space="preserve"> </w:t>
      </w:r>
      <w:r w:rsidR="000A66D0">
        <w:rPr>
          <w:rFonts w:ascii="Times New Roman" w:hAnsi="Times New Roman" w:cs="Times New Roman"/>
          <w:b/>
          <w:sz w:val="24"/>
          <w:szCs w:val="24"/>
        </w:rPr>
        <w:t>algoritms</w:t>
      </w:r>
      <w:r w:rsidR="001B70AC" w:rsidRPr="001B70AC">
        <w:rPr>
          <w:rFonts w:ascii="Times New Roman" w:hAnsi="Times New Roman" w:cs="Times New Roman"/>
          <w:b/>
          <w:sz w:val="24"/>
          <w:szCs w:val="24"/>
          <w:vertAlign w:val="superscript"/>
        </w:rPr>
        <w:t>*</w:t>
      </w:r>
    </w:p>
    <w:tbl>
      <w:tblPr>
        <w:tblStyle w:val="TableGrid"/>
        <w:tblW w:w="0" w:type="auto"/>
        <w:tblLook w:val="04A0" w:firstRow="1" w:lastRow="0" w:firstColumn="1" w:lastColumn="0" w:noHBand="0" w:noVBand="1"/>
      </w:tblPr>
      <w:tblGrid>
        <w:gridCol w:w="3510"/>
        <w:gridCol w:w="6379"/>
      </w:tblGrid>
      <w:tr w:rsidR="0098578A" w:rsidRPr="0098578A" w:rsidTr="001B70AC">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8578A" w:rsidRPr="0098578A" w:rsidRDefault="0098578A" w:rsidP="001B70AC">
            <w:pPr>
              <w:spacing w:after="120"/>
              <w:jc w:val="both"/>
              <w:rPr>
                <w:rFonts w:ascii="Times New Roman" w:hAnsi="Times New Roman" w:cs="Times New Roman"/>
                <w:b/>
                <w:sz w:val="24"/>
                <w:szCs w:val="24"/>
              </w:rPr>
            </w:pPr>
            <w:r w:rsidRPr="0098578A">
              <w:rPr>
                <w:rFonts w:ascii="Times New Roman" w:hAnsi="Times New Roman" w:cs="Times New Roman"/>
                <w:b/>
                <w:sz w:val="24"/>
                <w:szCs w:val="24"/>
              </w:rPr>
              <w:t>Gada ienākums (GI)</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8578A" w:rsidRPr="0098578A" w:rsidRDefault="0098578A" w:rsidP="0098578A">
            <w:pPr>
              <w:spacing w:after="120"/>
              <w:jc w:val="both"/>
              <w:rPr>
                <w:rFonts w:ascii="Times New Roman" w:hAnsi="Times New Roman" w:cs="Times New Roman"/>
                <w:b/>
                <w:sz w:val="24"/>
                <w:szCs w:val="24"/>
              </w:rPr>
            </w:pPr>
            <w:r w:rsidRPr="0098578A">
              <w:rPr>
                <w:rFonts w:ascii="Times New Roman" w:hAnsi="Times New Roman" w:cs="Times New Roman"/>
                <w:b/>
                <w:sz w:val="24"/>
                <w:szCs w:val="24"/>
              </w:rPr>
              <w:t>Gada neapliekamais minimums (GNM)</w:t>
            </w:r>
          </w:p>
        </w:tc>
      </w:tr>
      <w:tr w:rsidR="0098578A" w:rsidRPr="0098578A" w:rsidTr="001B70AC">
        <w:tc>
          <w:tcPr>
            <w:tcW w:w="3510" w:type="dxa"/>
            <w:tcBorders>
              <w:top w:val="single" w:sz="4" w:space="0" w:color="FFFFFF" w:themeColor="background1"/>
            </w:tcBorders>
          </w:tcPr>
          <w:p w:rsidR="00EC51E7" w:rsidRDefault="00EC51E7" w:rsidP="00EC51E7">
            <w:pPr>
              <w:jc w:val="both"/>
              <w:rPr>
                <w:rFonts w:ascii="Times New Roman" w:hAnsi="Times New Roman" w:cs="Times New Roman"/>
                <w:sz w:val="24"/>
                <w:szCs w:val="24"/>
              </w:rPr>
            </w:pPr>
            <w:r>
              <w:rPr>
                <w:rFonts w:ascii="Times New Roman" w:hAnsi="Times New Roman" w:cs="Times New Roman"/>
                <w:sz w:val="24"/>
                <w:szCs w:val="24"/>
              </w:rPr>
              <w:t xml:space="preserve">Līdz 2 700 LVL/gadā </w:t>
            </w:r>
          </w:p>
          <w:p w:rsidR="0098578A" w:rsidRPr="0098578A" w:rsidRDefault="00EC51E7" w:rsidP="001B70AC">
            <w:pPr>
              <w:jc w:val="both"/>
              <w:rPr>
                <w:rFonts w:ascii="Times New Roman" w:hAnsi="Times New Roman" w:cs="Times New Roman"/>
                <w:sz w:val="24"/>
                <w:szCs w:val="24"/>
              </w:rPr>
            </w:pPr>
            <w:r>
              <w:rPr>
                <w:rFonts w:ascii="Times New Roman" w:hAnsi="Times New Roman" w:cs="Times New Roman"/>
                <w:sz w:val="24"/>
                <w:szCs w:val="24"/>
              </w:rPr>
              <w:t>(</w:t>
            </w:r>
            <w:r w:rsidRPr="001B70AC">
              <w:rPr>
                <w:rFonts w:ascii="Times New Roman" w:hAnsi="Times New Roman" w:cs="Times New Roman"/>
                <w:i/>
                <w:sz w:val="24"/>
                <w:szCs w:val="24"/>
              </w:rPr>
              <w:t>225 LVL/</w:t>
            </w:r>
            <w:proofErr w:type="spellStart"/>
            <w:r w:rsidRPr="001B70AC">
              <w:rPr>
                <w:rFonts w:ascii="Times New Roman" w:hAnsi="Times New Roman" w:cs="Times New Roman"/>
                <w:i/>
                <w:sz w:val="24"/>
                <w:szCs w:val="24"/>
              </w:rPr>
              <w:t>mēnesī </w:t>
            </w:r>
            <w:r w:rsidR="001B70AC" w:rsidRPr="001B70AC">
              <w:rPr>
                <w:rFonts w:ascii="Times New Roman" w:hAnsi="Times New Roman" w:cs="Times New Roman"/>
                <w:i/>
                <w:sz w:val="24"/>
                <w:szCs w:val="24"/>
              </w:rPr>
              <w:t>x</w:t>
            </w:r>
            <w:proofErr w:type="spellEnd"/>
            <w:r w:rsidRPr="001B70AC">
              <w:rPr>
                <w:rFonts w:ascii="Times New Roman" w:hAnsi="Times New Roman" w:cs="Times New Roman"/>
                <w:i/>
                <w:sz w:val="24"/>
                <w:szCs w:val="24"/>
              </w:rPr>
              <w:t xml:space="preserve"> 12</w:t>
            </w:r>
            <w:r>
              <w:rPr>
                <w:rFonts w:ascii="Times New Roman" w:hAnsi="Times New Roman" w:cs="Times New Roman"/>
                <w:sz w:val="24"/>
                <w:szCs w:val="24"/>
              </w:rPr>
              <w:t xml:space="preserve">) </w:t>
            </w:r>
            <w:r w:rsidR="0098578A" w:rsidRPr="0098578A">
              <w:rPr>
                <w:rFonts w:ascii="Times New Roman" w:hAnsi="Times New Roman" w:cs="Times New Roman"/>
                <w:sz w:val="24"/>
                <w:szCs w:val="24"/>
              </w:rPr>
              <w:t xml:space="preserve">  </w:t>
            </w:r>
          </w:p>
        </w:tc>
        <w:tc>
          <w:tcPr>
            <w:tcW w:w="6379" w:type="dxa"/>
            <w:tcBorders>
              <w:top w:val="single" w:sz="4" w:space="0" w:color="FFFFFF" w:themeColor="background1"/>
            </w:tcBorders>
          </w:tcPr>
          <w:p w:rsidR="0098578A" w:rsidRPr="0098578A" w:rsidRDefault="0098578A" w:rsidP="001B70AC">
            <w:pPr>
              <w:jc w:val="both"/>
              <w:rPr>
                <w:rFonts w:ascii="Times New Roman" w:hAnsi="Times New Roman" w:cs="Times New Roman"/>
                <w:sz w:val="24"/>
                <w:szCs w:val="24"/>
              </w:rPr>
            </w:pPr>
            <w:r w:rsidRPr="0098578A">
              <w:rPr>
                <w:rFonts w:ascii="Times New Roman" w:hAnsi="Times New Roman" w:cs="Times New Roman"/>
                <w:sz w:val="24"/>
                <w:szCs w:val="24"/>
              </w:rPr>
              <w:t>GNM = 1 008 L</w:t>
            </w:r>
            <w:r>
              <w:rPr>
                <w:rFonts w:ascii="Times New Roman" w:hAnsi="Times New Roman" w:cs="Times New Roman"/>
                <w:sz w:val="24"/>
                <w:szCs w:val="24"/>
              </w:rPr>
              <w:t>VL</w:t>
            </w:r>
            <w:r w:rsidRPr="0098578A">
              <w:rPr>
                <w:rFonts w:ascii="Times New Roman" w:hAnsi="Times New Roman" w:cs="Times New Roman"/>
                <w:sz w:val="24"/>
                <w:szCs w:val="24"/>
              </w:rPr>
              <w:t>/gadā</w:t>
            </w:r>
            <w:r>
              <w:rPr>
                <w:rFonts w:ascii="Times New Roman" w:hAnsi="Times New Roman" w:cs="Times New Roman"/>
                <w:sz w:val="24"/>
                <w:szCs w:val="24"/>
              </w:rPr>
              <w:t xml:space="preserve"> (</w:t>
            </w:r>
            <w:r w:rsidRPr="0098578A">
              <w:rPr>
                <w:rFonts w:ascii="Times New Roman" w:hAnsi="Times New Roman" w:cs="Times New Roman"/>
                <w:sz w:val="24"/>
                <w:szCs w:val="24"/>
              </w:rPr>
              <w:t>84 L</w:t>
            </w:r>
            <w:r>
              <w:rPr>
                <w:rFonts w:ascii="Times New Roman" w:hAnsi="Times New Roman" w:cs="Times New Roman"/>
                <w:sz w:val="24"/>
                <w:szCs w:val="24"/>
              </w:rPr>
              <w:t>VL/mēnesī)</w:t>
            </w:r>
          </w:p>
        </w:tc>
      </w:tr>
      <w:tr w:rsidR="0098578A" w:rsidRPr="0098578A" w:rsidTr="001B70AC">
        <w:tc>
          <w:tcPr>
            <w:tcW w:w="3510" w:type="dxa"/>
          </w:tcPr>
          <w:p w:rsidR="00EC51E7" w:rsidRPr="00EC51E7" w:rsidRDefault="00EC51E7" w:rsidP="00FD33B8">
            <w:pPr>
              <w:jc w:val="both"/>
              <w:rPr>
                <w:rFonts w:ascii="Times New Roman" w:hAnsi="Times New Roman" w:cs="Times New Roman"/>
                <w:sz w:val="24"/>
                <w:szCs w:val="24"/>
              </w:rPr>
            </w:pPr>
            <w:r w:rsidRPr="00EC51E7">
              <w:rPr>
                <w:rFonts w:ascii="Times New Roman" w:hAnsi="Times New Roman" w:cs="Times New Roman"/>
                <w:sz w:val="24"/>
                <w:szCs w:val="24"/>
              </w:rPr>
              <w:t>No 2 700,01 līdz 4 800 LVL/gadā</w:t>
            </w:r>
          </w:p>
          <w:p w:rsidR="0098578A" w:rsidRPr="00EC51E7" w:rsidRDefault="00FD33B8" w:rsidP="00FD33B8">
            <w:pPr>
              <w:spacing w:after="120"/>
              <w:jc w:val="both"/>
              <w:rPr>
                <w:rFonts w:ascii="Times New Roman" w:hAnsi="Times New Roman" w:cs="Times New Roman"/>
                <w:sz w:val="24"/>
                <w:szCs w:val="24"/>
              </w:rPr>
            </w:pPr>
            <w:r>
              <w:rPr>
                <w:rFonts w:ascii="Times New Roman" w:hAnsi="Times New Roman" w:cs="Times New Roman"/>
                <w:sz w:val="24"/>
                <w:szCs w:val="24"/>
              </w:rPr>
              <w:t>(</w:t>
            </w:r>
            <w:r w:rsidRPr="00FD33B8">
              <w:rPr>
                <w:rFonts w:ascii="Times New Roman" w:hAnsi="Times New Roman" w:cs="Times New Roman"/>
                <w:i/>
                <w:sz w:val="24"/>
                <w:szCs w:val="24"/>
              </w:rPr>
              <w:t>no 225,01 LVL/</w:t>
            </w:r>
            <w:proofErr w:type="spellStart"/>
            <w:r w:rsidRPr="00FD33B8">
              <w:rPr>
                <w:rFonts w:ascii="Times New Roman" w:hAnsi="Times New Roman" w:cs="Times New Roman"/>
                <w:i/>
                <w:sz w:val="24"/>
                <w:szCs w:val="24"/>
              </w:rPr>
              <w:t>mēnesī x</w:t>
            </w:r>
            <w:proofErr w:type="spellEnd"/>
            <w:r w:rsidRPr="00FD33B8">
              <w:rPr>
                <w:rFonts w:ascii="Times New Roman" w:hAnsi="Times New Roman" w:cs="Times New Roman"/>
                <w:i/>
                <w:sz w:val="24"/>
                <w:szCs w:val="24"/>
              </w:rPr>
              <w:t xml:space="preserve"> 12 </w:t>
            </w:r>
            <w:r>
              <w:rPr>
                <w:rFonts w:ascii="Times New Roman" w:hAnsi="Times New Roman" w:cs="Times New Roman"/>
                <w:i/>
                <w:sz w:val="24"/>
                <w:szCs w:val="24"/>
              </w:rPr>
              <w:t>līdz 400 LVL/mēnesī x 12</w:t>
            </w:r>
            <w:r>
              <w:rPr>
                <w:rFonts w:ascii="Times New Roman" w:hAnsi="Times New Roman" w:cs="Times New Roman"/>
                <w:sz w:val="24"/>
                <w:szCs w:val="24"/>
              </w:rPr>
              <w:t xml:space="preserve">)  </w:t>
            </w:r>
            <w:r w:rsidRPr="0098578A">
              <w:rPr>
                <w:rFonts w:ascii="Times New Roman" w:hAnsi="Times New Roman" w:cs="Times New Roman"/>
                <w:sz w:val="24"/>
                <w:szCs w:val="24"/>
              </w:rPr>
              <w:t xml:space="preserve">  </w:t>
            </w:r>
          </w:p>
        </w:tc>
        <w:tc>
          <w:tcPr>
            <w:tcW w:w="6379" w:type="dxa"/>
          </w:tcPr>
          <w:p w:rsidR="001B70AC" w:rsidRDefault="0098578A" w:rsidP="001B70AC">
            <w:pPr>
              <w:jc w:val="both"/>
              <w:rPr>
                <w:rFonts w:ascii="Times New Roman" w:hAnsi="Times New Roman" w:cs="Times New Roman"/>
                <w:sz w:val="24"/>
                <w:szCs w:val="24"/>
              </w:rPr>
            </w:pPr>
            <w:r w:rsidRPr="0098578A">
              <w:rPr>
                <w:rFonts w:ascii="Times New Roman" w:hAnsi="Times New Roman" w:cs="Times New Roman"/>
                <w:sz w:val="24"/>
                <w:szCs w:val="24"/>
              </w:rPr>
              <w:t>GNM = [1 008 – 0,22</w:t>
            </w:r>
            <w:r w:rsidRPr="000A66D0">
              <w:rPr>
                <w:rFonts w:ascii="Times New Roman" w:hAnsi="Times New Roman" w:cs="Times New Roman"/>
                <w:sz w:val="24"/>
                <w:szCs w:val="24"/>
                <w:vertAlign w:val="superscript"/>
              </w:rPr>
              <w:t>*</w:t>
            </w:r>
            <w:r w:rsidR="00EC51E7">
              <w:rPr>
                <w:rFonts w:ascii="Times New Roman" w:hAnsi="Times New Roman" w:cs="Times New Roman"/>
                <w:sz w:val="24"/>
                <w:szCs w:val="24"/>
                <w:vertAlign w:val="superscript"/>
              </w:rPr>
              <w:t>*</w:t>
            </w:r>
            <w:r w:rsidRPr="0098578A">
              <w:rPr>
                <w:rFonts w:ascii="Times New Roman" w:hAnsi="Times New Roman" w:cs="Times New Roman"/>
                <w:sz w:val="24"/>
                <w:szCs w:val="24"/>
              </w:rPr>
              <w:t> x</w:t>
            </w:r>
            <w:r w:rsidR="000A66D0">
              <w:rPr>
                <w:rFonts w:ascii="Times New Roman" w:hAnsi="Times New Roman" w:cs="Times New Roman"/>
                <w:sz w:val="24"/>
                <w:szCs w:val="24"/>
              </w:rPr>
              <w:t xml:space="preserve"> </w:t>
            </w:r>
            <w:r w:rsidRPr="0098578A">
              <w:rPr>
                <w:rFonts w:ascii="Times New Roman" w:hAnsi="Times New Roman" w:cs="Times New Roman"/>
                <w:sz w:val="24"/>
                <w:szCs w:val="24"/>
              </w:rPr>
              <w:t xml:space="preserve">(GAI – 2 700)], </w:t>
            </w:r>
          </w:p>
          <w:p w:rsidR="0098578A" w:rsidRPr="0098578A" w:rsidRDefault="0098578A" w:rsidP="001B70AC">
            <w:pPr>
              <w:jc w:val="both"/>
              <w:rPr>
                <w:rFonts w:ascii="Times New Roman" w:hAnsi="Times New Roman" w:cs="Times New Roman"/>
                <w:sz w:val="24"/>
                <w:szCs w:val="24"/>
              </w:rPr>
            </w:pPr>
            <w:r w:rsidRPr="0098578A">
              <w:rPr>
                <w:rFonts w:ascii="Times New Roman" w:hAnsi="Times New Roman" w:cs="Times New Roman"/>
                <w:sz w:val="24"/>
                <w:szCs w:val="24"/>
              </w:rPr>
              <w:t>bet ne mazāk kā 540 </w:t>
            </w:r>
            <w:r>
              <w:rPr>
                <w:rFonts w:ascii="Times New Roman" w:hAnsi="Times New Roman" w:cs="Times New Roman"/>
                <w:sz w:val="24"/>
                <w:szCs w:val="24"/>
              </w:rPr>
              <w:t>LVL</w:t>
            </w:r>
            <w:r w:rsidRPr="0098578A">
              <w:rPr>
                <w:rFonts w:ascii="Times New Roman" w:hAnsi="Times New Roman" w:cs="Times New Roman"/>
                <w:sz w:val="24"/>
                <w:szCs w:val="24"/>
              </w:rPr>
              <w:t>/gadā</w:t>
            </w:r>
            <w:r>
              <w:rPr>
                <w:rFonts w:ascii="Times New Roman" w:hAnsi="Times New Roman" w:cs="Times New Roman"/>
                <w:sz w:val="24"/>
                <w:szCs w:val="24"/>
              </w:rPr>
              <w:t xml:space="preserve"> (</w:t>
            </w:r>
            <w:r w:rsidRPr="0098578A">
              <w:rPr>
                <w:rFonts w:ascii="Times New Roman" w:hAnsi="Times New Roman" w:cs="Times New Roman"/>
                <w:sz w:val="24"/>
                <w:szCs w:val="24"/>
              </w:rPr>
              <w:t xml:space="preserve">45 </w:t>
            </w:r>
            <w:r>
              <w:rPr>
                <w:rFonts w:ascii="Times New Roman" w:hAnsi="Times New Roman" w:cs="Times New Roman"/>
                <w:sz w:val="24"/>
                <w:szCs w:val="24"/>
              </w:rPr>
              <w:t>LVL</w:t>
            </w:r>
            <w:r w:rsidRPr="0098578A">
              <w:rPr>
                <w:rFonts w:ascii="Times New Roman" w:hAnsi="Times New Roman" w:cs="Times New Roman"/>
                <w:sz w:val="24"/>
                <w:szCs w:val="24"/>
              </w:rPr>
              <w:t>/mēnesī</w:t>
            </w:r>
            <w:r>
              <w:rPr>
                <w:rFonts w:ascii="Times New Roman" w:hAnsi="Times New Roman" w:cs="Times New Roman"/>
                <w:sz w:val="24"/>
                <w:szCs w:val="24"/>
              </w:rPr>
              <w:t>)</w:t>
            </w:r>
          </w:p>
        </w:tc>
      </w:tr>
      <w:tr w:rsidR="0098578A" w:rsidRPr="0098578A" w:rsidTr="001B70AC">
        <w:tc>
          <w:tcPr>
            <w:tcW w:w="3510" w:type="dxa"/>
          </w:tcPr>
          <w:p w:rsidR="00EC51E7" w:rsidRDefault="00EC51E7" w:rsidP="001B70AC">
            <w:pPr>
              <w:jc w:val="both"/>
              <w:rPr>
                <w:rFonts w:ascii="Times New Roman" w:hAnsi="Times New Roman" w:cs="Times New Roman"/>
                <w:sz w:val="24"/>
                <w:szCs w:val="24"/>
              </w:rPr>
            </w:pPr>
            <w:r>
              <w:rPr>
                <w:rFonts w:ascii="Times New Roman" w:hAnsi="Times New Roman" w:cs="Times New Roman"/>
                <w:sz w:val="24"/>
                <w:szCs w:val="24"/>
              </w:rPr>
              <w:t>Virs 4 800,01 LVL/gadā</w:t>
            </w:r>
          </w:p>
          <w:p w:rsidR="0098578A" w:rsidRPr="0098578A" w:rsidRDefault="0098578A" w:rsidP="001B70AC">
            <w:pPr>
              <w:jc w:val="both"/>
              <w:rPr>
                <w:rFonts w:ascii="Times New Roman" w:hAnsi="Times New Roman" w:cs="Times New Roman"/>
                <w:sz w:val="24"/>
                <w:szCs w:val="24"/>
              </w:rPr>
            </w:pPr>
            <w:r w:rsidRPr="0098578A">
              <w:rPr>
                <w:rFonts w:ascii="Times New Roman" w:hAnsi="Times New Roman" w:cs="Times New Roman"/>
                <w:sz w:val="24"/>
                <w:szCs w:val="24"/>
              </w:rPr>
              <w:t>(</w:t>
            </w:r>
            <w:r w:rsidRPr="001B70AC">
              <w:rPr>
                <w:rFonts w:ascii="Times New Roman" w:hAnsi="Times New Roman" w:cs="Times New Roman"/>
                <w:i/>
                <w:sz w:val="24"/>
                <w:szCs w:val="24"/>
              </w:rPr>
              <w:t>400</w:t>
            </w:r>
            <w:r w:rsidR="00FD33B8">
              <w:rPr>
                <w:rFonts w:ascii="Times New Roman" w:hAnsi="Times New Roman" w:cs="Times New Roman"/>
                <w:i/>
                <w:sz w:val="24"/>
                <w:szCs w:val="24"/>
              </w:rPr>
              <w:t>,01</w:t>
            </w:r>
            <w:r w:rsidRPr="001B70AC">
              <w:rPr>
                <w:rFonts w:ascii="Times New Roman" w:hAnsi="Times New Roman" w:cs="Times New Roman"/>
                <w:i/>
                <w:sz w:val="24"/>
                <w:szCs w:val="24"/>
              </w:rPr>
              <w:t xml:space="preserve"> LVL</w:t>
            </w:r>
            <w:r w:rsidR="001B70AC" w:rsidRPr="001B70AC">
              <w:rPr>
                <w:rFonts w:ascii="Times New Roman" w:hAnsi="Times New Roman" w:cs="Times New Roman"/>
                <w:i/>
                <w:sz w:val="24"/>
                <w:szCs w:val="24"/>
              </w:rPr>
              <w:t>/mēnesī</w:t>
            </w:r>
            <w:r w:rsidR="000A66D0" w:rsidRPr="001B70AC">
              <w:rPr>
                <w:rFonts w:ascii="Times New Roman" w:hAnsi="Times New Roman" w:cs="Times New Roman"/>
                <w:i/>
                <w:sz w:val="24"/>
                <w:szCs w:val="24"/>
              </w:rPr>
              <w:t xml:space="preserve"> x </w:t>
            </w:r>
            <w:r w:rsidRPr="001B70AC">
              <w:rPr>
                <w:rFonts w:ascii="Times New Roman" w:hAnsi="Times New Roman" w:cs="Times New Roman"/>
                <w:i/>
                <w:sz w:val="24"/>
                <w:szCs w:val="24"/>
              </w:rPr>
              <w:t>12</w:t>
            </w:r>
            <w:r w:rsidRPr="0098578A">
              <w:rPr>
                <w:rFonts w:ascii="Times New Roman" w:hAnsi="Times New Roman" w:cs="Times New Roman"/>
                <w:sz w:val="24"/>
                <w:szCs w:val="24"/>
              </w:rPr>
              <w:t>)</w:t>
            </w:r>
          </w:p>
        </w:tc>
        <w:tc>
          <w:tcPr>
            <w:tcW w:w="6379" w:type="dxa"/>
          </w:tcPr>
          <w:p w:rsidR="0098578A" w:rsidRPr="0098578A" w:rsidRDefault="0098578A" w:rsidP="001B70AC">
            <w:pPr>
              <w:jc w:val="both"/>
              <w:rPr>
                <w:rFonts w:ascii="Times New Roman" w:hAnsi="Times New Roman" w:cs="Times New Roman"/>
                <w:sz w:val="24"/>
                <w:szCs w:val="24"/>
              </w:rPr>
            </w:pPr>
            <w:r w:rsidRPr="0098578A">
              <w:rPr>
                <w:rFonts w:ascii="Times New Roman" w:hAnsi="Times New Roman" w:cs="Times New Roman"/>
                <w:sz w:val="24"/>
                <w:szCs w:val="24"/>
              </w:rPr>
              <w:t>GNM = 540 L</w:t>
            </w:r>
            <w:r>
              <w:rPr>
                <w:rFonts w:ascii="Times New Roman" w:hAnsi="Times New Roman" w:cs="Times New Roman"/>
                <w:sz w:val="24"/>
                <w:szCs w:val="24"/>
              </w:rPr>
              <w:t>VL</w:t>
            </w:r>
            <w:r w:rsidRPr="0098578A">
              <w:rPr>
                <w:rFonts w:ascii="Times New Roman" w:hAnsi="Times New Roman" w:cs="Times New Roman"/>
                <w:sz w:val="24"/>
                <w:szCs w:val="24"/>
              </w:rPr>
              <w:t xml:space="preserve">/gadā </w:t>
            </w:r>
            <w:r>
              <w:rPr>
                <w:rFonts w:ascii="Times New Roman" w:hAnsi="Times New Roman" w:cs="Times New Roman"/>
                <w:sz w:val="24"/>
                <w:szCs w:val="24"/>
              </w:rPr>
              <w:t>(</w:t>
            </w:r>
            <w:r w:rsidRPr="0098578A">
              <w:rPr>
                <w:rFonts w:ascii="Times New Roman" w:hAnsi="Times New Roman" w:cs="Times New Roman"/>
                <w:sz w:val="24"/>
                <w:szCs w:val="24"/>
              </w:rPr>
              <w:t>45 L</w:t>
            </w:r>
            <w:r>
              <w:rPr>
                <w:rFonts w:ascii="Times New Roman" w:hAnsi="Times New Roman" w:cs="Times New Roman"/>
                <w:sz w:val="24"/>
                <w:szCs w:val="24"/>
              </w:rPr>
              <w:t>VL</w:t>
            </w:r>
            <w:r w:rsidRPr="0098578A">
              <w:rPr>
                <w:rFonts w:ascii="Times New Roman" w:hAnsi="Times New Roman" w:cs="Times New Roman"/>
                <w:sz w:val="24"/>
                <w:szCs w:val="24"/>
              </w:rPr>
              <w:t>/mēnesī</w:t>
            </w:r>
            <w:r>
              <w:rPr>
                <w:rFonts w:ascii="Times New Roman" w:hAnsi="Times New Roman" w:cs="Times New Roman"/>
                <w:sz w:val="24"/>
                <w:szCs w:val="24"/>
              </w:rPr>
              <w:t>)</w:t>
            </w:r>
            <w:r w:rsidRPr="0098578A">
              <w:rPr>
                <w:rFonts w:ascii="Times New Roman" w:hAnsi="Times New Roman" w:cs="Times New Roman"/>
                <w:sz w:val="24"/>
                <w:szCs w:val="24"/>
              </w:rPr>
              <w:t xml:space="preserve"> </w:t>
            </w:r>
          </w:p>
        </w:tc>
      </w:tr>
    </w:tbl>
    <w:p w:rsidR="0098578A" w:rsidRPr="0098578A" w:rsidRDefault="0098578A" w:rsidP="0098578A">
      <w:pPr>
        <w:pStyle w:val="ListParagraph"/>
        <w:tabs>
          <w:tab w:val="left" w:pos="142"/>
        </w:tabs>
        <w:spacing w:after="120" w:line="240" w:lineRule="auto"/>
        <w:ind w:left="142" w:hanging="142"/>
        <w:jc w:val="both"/>
        <w:rPr>
          <w:rFonts w:ascii="Times New Roman" w:hAnsi="Times New Roman" w:cs="Times New Roman"/>
          <w:sz w:val="20"/>
        </w:rPr>
      </w:pPr>
    </w:p>
    <w:p w:rsidR="00EC51E7" w:rsidRDefault="00EC51E7" w:rsidP="00EC51E7">
      <w:pPr>
        <w:pStyle w:val="ListParagraph"/>
        <w:tabs>
          <w:tab w:val="left" w:pos="426"/>
        </w:tabs>
        <w:spacing w:after="0" w:line="240" w:lineRule="auto"/>
        <w:ind w:left="426" w:hanging="426"/>
        <w:jc w:val="both"/>
        <w:rPr>
          <w:rFonts w:ascii="Times New Roman" w:hAnsi="Times New Roman" w:cs="Times New Roman"/>
          <w:sz w:val="20"/>
        </w:rPr>
      </w:pPr>
      <w:r w:rsidRPr="00EC51E7">
        <w:rPr>
          <w:rFonts w:ascii="Times New Roman" w:hAnsi="Times New Roman" w:cs="Times New Roman"/>
          <w:sz w:val="20"/>
          <w:vertAlign w:val="superscript"/>
        </w:rPr>
        <w:t>*</w:t>
      </w:r>
      <w:r w:rsidRPr="00EC51E7">
        <w:rPr>
          <w:rFonts w:ascii="Times New Roman" w:hAnsi="Times New Roman" w:cs="Times New Roman"/>
          <w:sz w:val="20"/>
          <w:vertAlign w:val="superscript"/>
        </w:rPr>
        <w:tab/>
      </w:r>
      <w:r w:rsidRPr="00EC51E7">
        <w:rPr>
          <w:rFonts w:ascii="Times New Roman" w:hAnsi="Times New Roman" w:cs="Times New Roman"/>
          <w:sz w:val="20"/>
        </w:rPr>
        <w:t>Pieņemot, ka minimālā darba alga no 2014.gada 1.janvāra ir 225 LVL/mēnesī</w:t>
      </w:r>
    </w:p>
    <w:p w:rsidR="00EC51E7" w:rsidRPr="00EC51E7" w:rsidRDefault="00EC51E7" w:rsidP="00EC51E7">
      <w:pPr>
        <w:pStyle w:val="ListParagraph"/>
        <w:tabs>
          <w:tab w:val="left" w:pos="426"/>
        </w:tabs>
        <w:spacing w:after="0" w:line="240" w:lineRule="auto"/>
        <w:ind w:left="426" w:hanging="426"/>
        <w:jc w:val="both"/>
        <w:rPr>
          <w:rFonts w:ascii="Times New Roman" w:hAnsi="Times New Roman" w:cs="Times New Roman"/>
          <w:sz w:val="8"/>
          <w:szCs w:val="8"/>
          <w:vertAlign w:val="superscript"/>
        </w:rPr>
      </w:pPr>
    </w:p>
    <w:p w:rsidR="00495BC0" w:rsidRDefault="00EC51E7" w:rsidP="00EC51E7">
      <w:pPr>
        <w:pStyle w:val="ListParagraph"/>
        <w:tabs>
          <w:tab w:val="left" w:pos="426"/>
        </w:tabs>
        <w:spacing w:after="0" w:line="240" w:lineRule="auto"/>
        <w:ind w:left="426" w:hanging="426"/>
        <w:jc w:val="both"/>
        <w:rPr>
          <w:rFonts w:ascii="Times New Roman" w:hAnsi="Times New Roman" w:cs="Times New Roman"/>
          <w:sz w:val="20"/>
        </w:rPr>
      </w:pPr>
      <w:r w:rsidRPr="00EC51E7">
        <w:rPr>
          <w:rFonts w:ascii="Times New Roman" w:hAnsi="Times New Roman" w:cs="Times New Roman"/>
          <w:sz w:val="20"/>
          <w:vertAlign w:val="superscript"/>
        </w:rPr>
        <w:t>**</w:t>
      </w:r>
      <w:r>
        <w:rPr>
          <w:rFonts w:ascii="Times New Roman" w:hAnsi="Times New Roman" w:cs="Times New Roman"/>
          <w:sz w:val="20"/>
        </w:rPr>
        <w:tab/>
      </w:r>
      <w:r w:rsidR="0098578A" w:rsidRPr="0098578A">
        <w:rPr>
          <w:rFonts w:ascii="Times New Roman" w:hAnsi="Times New Roman" w:cs="Times New Roman"/>
          <w:sz w:val="20"/>
        </w:rPr>
        <w:t xml:space="preserve">Koeficients 0,22 = (84-45)/(400-225) jeb par cik latiem </w:t>
      </w:r>
      <w:r w:rsidR="00BA6CED">
        <w:rPr>
          <w:rFonts w:ascii="Times New Roman" w:hAnsi="Times New Roman" w:cs="Times New Roman"/>
          <w:sz w:val="20"/>
        </w:rPr>
        <w:t>samazinās</w:t>
      </w:r>
      <w:r w:rsidR="00BA6CED" w:rsidRPr="0098578A">
        <w:rPr>
          <w:rFonts w:ascii="Times New Roman" w:hAnsi="Times New Roman" w:cs="Times New Roman"/>
          <w:sz w:val="20"/>
        </w:rPr>
        <w:t xml:space="preserve"> </w:t>
      </w:r>
      <w:r w:rsidR="0098578A" w:rsidRPr="0098578A">
        <w:rPr>
          <w:rFonts w:ascii="Times New Roman" w:hAnsi="Times New Roman" w:cs="Times New Roman"/>
          <w:sz w:val="20"/>
        </w:rPr>
        <w:t>neapliekamais minimums, ja darba alga pieaug par 1 latu, pie nosacījuma,</w:t>
      </w:r>
      <w:r w:rsidR="0098578A">
        <w:rPr>
          <w:rFonts w:ascii="Times New Roman" w:hAnsi="Times New Roman" w:cs="Times New Roman"/>
          <w:sz w:val="20"/>
        </w:rPr>
        <w:t xml:space="preserve"> ka pie minimālā sliekšņa 225 LVL</w:t>
      </w:r>
      <w:r w:rsidR="0098578A" w:rsidRPr="0098578A">
        <w:rPr>
          <w:rFonts w:ascii="Times New Roman" w:hAnsi="Times New Roman" w:cs="Times New Roman"/>
          <w:sz w:val="20"/>
        </w:rPr>
        <w:t xml:space="preserve">/mēnesī </w:t>
      </w:r>
      <w:r w:rsidR="0098578A">
        <w:rPr>
          <w:rFonts w:ascii="Times New Roman" w:hAnsi="Times New Roman" w:cs="Times New Roman"/>
          <w:sz w:val="20"/>
        </w:rPr>
        <w:t>neapliekamais minimums</w:t>
      </w:r>
      <w:r w:rsidR="0098578A" w:rsidRPr="0098578A">
        <w:rPr>
          <w:rFonts w:ascii="Times New Roman" w:hAnsi="Times New Roman" w:cs="Times New Roman"/>
          <w:sz w:val="20"/>
        </w:rPr>
        <w:t xml:space="preserve"> ir 84 L</w:t>
      </w:r>
      <w:r w:rsidR="0098578A">
        <w:rPr>
          <w:rFonts w:ascii="Times New Roman" w:hAnsi="Times New Roman" w:cs="Times New Roman"/>
          <w:sz w:val="20"/>
        </w:rPr>
        <w:t>VL</w:t>
      </w:r>
      <w:r w:rsidR="0098578A" w:rsidRPr="0098578A">
        <w:rPr>
          <w:rFonts w:ascii="Times New Roman" w:hAnsi="Times New Roman" w:cs="Times New Roman"/>
          <w:sz w:val="20"/>
        </w:rPr>
        <w:t>/mēnesī, bet pie maksimālā sliekšņa 400 L</w:t>
      </w:r>
      <w:r w:rsidR="0098578A">
        <w:rPr>
          <w:rFonts w:ascii="Times New Roman" w:hAnsi="Times New Roman" w:cs="Times New Roman"/>
          <w:sz w:val="20"/>
        </w:rPr>
        <w:t>VL</w:t>
      </w:r>
      <w:r w:rsidR="0098578A" w:rsidRPr="0098578A">
        <w:rPr>
          <w:rFonts w:ascii="Times New Roman" w:hAnsi="Times New Roman" w:cs="Times New Roman"/>
          <w:sz w:val="20"/>
        </w:rPr>
        <w:t xml:space="preserve">/mēnesī </w:t>
      </w:r>
      <w:r w:rsidR="0098578A">
        <w:rPr>
          <w:rFonts w:ascii="Times New Roman" w:hAnsi="Times New Roman" w:cs="Times New Roman"/>
          <w:sz w:val="20"/>
        </w:rPr>
        <w:t xml:space="preserve">neapliekamais minimums </w:t>
      </w:r>
      <w:r w:rsidR="0098578A" w:rsidRPr="0098578A">
        <w:rPr>
          <w:rFonts w:ascii="Times New Roman" w:hAnsi="Times New Roman" w:cs="Times New Roman"/>
          <w:sz w:val="20"/>
        </w:rPr>
        <w:t>ir 45 L</w:t>
      </w:r>
      <w:r w:rsidR="000A66D0">
        <w:rPr>
          <w:rFonts w:ascii="Times New Roman" w:hAnsi="Times New Roman" w:cs="Times New Roman"/>
          <w:sz w:val="20"/>
        </w:rPr>
        <w:t>VL</w:t>
      </w:r>
      <w:r w:rsidR="0098578A" w:rsidRPr="0098578A">
        <w:rPr>
          <w:rFonts w:ascii="Times New Roman" w:hAnsi="Times New Roman" w:cs="Times New Roman"/>
          <w:sz w:val="20"/>
        </w:rPr>
        <w:t>/mēnesī.</w:t>
      </w:r>
    </w:p>
    <w:p w:rsidR="00CC0909" w:rsidRDefault="00CC0909" w:rsidP="00CC0909">
      <w:pPr>
        <w:pStyle w:val="ListParagraph"/>
        <w:tabs>
          <w:tab w:val="left" w:pos="426"/>
        </w:tabs>
        <w:spacing w:after="120" w:line="240" w:lineRule="auto"/>
        <w:ind w:left="426" w:hanging="426"/>
        <w:jc w:val="both"/>
        <w:rPr>
          <w:rFonts w:ascii="Times New Roman" w:hAnsi="Times New Roman" w:cs="Times New Roman"/>
          <w:sz w:val="20"/>
          <w:szCs w:val="20"/>
        </w:rPr>
      </w:pPr>
    </w:p>
    <w:p w:rsidR="00CC0909" w:rsidRDefault="00CC0909" w:rsidP="00CC0909">
      <w:pPr>
        <w:pStyle w:val="ListParagraph"/>
        <w:tabs>
          <w:tab w:val="left" w:pos="426"/>
        </w:tabs>
        <w:spacing w:after="120" w:line="240" w:lineRule="auto"/>
        <w:ind w:left="426" w:hanging="284"/>
        <w:jc w:val="both"/>
        <w:rPr>
          <w:rFonts w:ascii="Times New Roman" w:hAnsi="Times New Roman" w:cs="Times New Roman"/>
          <w:sz w:val="20"/>
          <w:szCs w:val="20"/>
        </w:rPr>
      </w:pPr>
      <w:r w:rsidRPr="00CC0909">
        <w:rPr>
          <w:rFonts w:ascii="Times New Roman" w:hAnsi="Times New Roman" w:cs="Times New Roman"/>
          <w:sz w:val="20"/>
          <w:szCs w:val="20"/>
        </w:rPr>
        <w:t>Kur</w:t>
      </w:r>
      <w:r>
        <w:rPr>
          <w:rFonts w:ascii="Times New Roman" w:hAnsi="Times New Roman" w:cs="Times New Roman"/>
          <w:sz w:val="20"/>
          <w:szCs w:val="20"/>
        </w:rPr>
        <w:t>:</w:t>
      </w:r>
      <w:r>
        <w:rPr>
          <w:rFonts w:ascii="Times New Roman" w:hAnsi="Times New Roman" w:cs="Times New Roman"/>
          <w:sz w:val="20"/>
          <w:szCs w:val="20"/>
        </w:rPr>
        <w:tab/>
      </w:r>
      <w:r w:rsidRPr="00CC0909">
        <w:rPr>
          <w:rFonts w:ascii="Times New Roman" w:hAnsi="Times New Roman" w:cs="Times New Roman"/>
          <w:b/>
          <w:sz w:val="20"/>
          <w:szCs w:val="20"/>
        </w:rPr>
        <w:t>GI</w:t>
      </w:r>
      <w:r w:rsidRPr="00CC0909">
        <w:rPr>
          <w:rFonts w:ascii="Times New Roman" w:hAnsi="Times New Roman" w:cs="Times New Roman"/>
          <w:sz w:val="20"/>
          <w:szCs w:val="20"/>
        </w:rPr>
        <w:t xml:space="preserve"> – nodokļa maksātāja gada laikā gūtais ienākums, kurā ieskaita</w:t>
      </w:r>
      <w:r>
        <w:rPr>
          <w:rFonts w:ascii="Times New Roman" w:hAnsi="Times New Roman" w:cs="Times New Roman"/>
          <w:sz w:val="20"/>
          <w:szCs w:val="20"/>
        </w:rPr>
        <w:t>:</w:t>
      </w:r>
    </w:p>
    <w:p w:rsidR="00CC0909" w:rsidRPr="00CC0909" w:rsidRDefault="00CC0909" w:rsidP="00CC0909">
      <w:pPr>
        <w:pStyle w:val="ListParagraph"/>
        <w:numPr>
          <w:ilvl w:val="0"/>
          <w:numId w:val="40"/>
        </w:numPr>
        <w:tabs>
          <w:tab w:val="left" w:pos="993"/>
        </w:tabs>
        <w:spacing w:after="120" w:line="240" w:lineRule="auto"/>
        <w:ind w:left="1134" w:hanging="425"/>
        <w:jc w:val="both"/>
        <w:rPr>
          <w:rFonts w:ascii="Times New Roman" w:hAnsi="Times New Roman" w:cs="Times New Roman"/>
          <w:sz w:val="20"/>
          <w:szCs w:val="20"/>
        </w:rPr>
      </w:pPr>
      <w:r w:rsidRPr="00CC0909">
        <w:rPr>
          <w:rFonts w:ascii="Times New Roman" w:hAnsi="Times New Roman" w:cs="Times New Roman"/>
          <w:sz w:val="20"/>
          <w:szCs w:val="20"/>
        </w:rPr>
        <w:t>Latvijas Republikā gūto ienākumu, tai skaitā:</w:t>
      </w:r>
    </w:p>
    <w:p w:rsidR="00CC0909" w:rsidRDefault="00CC0909" w:rsidP="00CC0909">
      <w:pPr>
        <w:pStyle w:val="ListParagraph"/>
        <w:numPr>
          <w:ilvl w:val="1"/>
          <w:numId w:val="41"/>
        </w:numPr>
        <w:tabs>
          <w:tab w:val="left" w:pos="1418"/>
        </w:tabs>
        <w:spacing w:after="120" w:line="240" w:lineRule="auto"/>
        <w:ind w:left="1418" w:hanging="425"/>
        <w:jc w:val="both"/>
        <w:rPr>
          <w:rFonts w:ascii="Times New Roman" w:hAnsi="Times New Roman" w:cs="Times New Roman"/>
          <w:sz w:val="20"/>
          <w:szCs w:val="20"/>
        </w:rPr>
      </w:pPr>
      <w:r w:rsidRPr="00CC0909">
        <w:rPr>
          <w:rFonts w:ascii="Times New Roman" w:hAnsi="Times New Roman" w:cs="Times New Roman"/>
          <w:sz w:val="20"/>
          <w:szCs w:val="20"/>
        </w:rPr>
        <w:t xml:space="preserve">ienākumu no algota darba, slimības pabalstus, , kā arī citus apliekamos ienākumus, kas nav ienākums no saimnieciskās darbības, tai skaitā, konkursos un sacensībās saņemtās balvas, kā arī autoratlīdzības (honorārus), no kurām atņemti autoru izdevumi, </w:t>
      </w:r>
      <w:r w:rsidRPr="00CC0909">
        <w:rPr>
          <w:rFonts w:ascii="Times New Roman" w:hAnsi="Times New Roman" w:cs="Times New Roman"/>
          <w:sz w:val="20"/>
          <w:szCs w:val="20"/>
          <w:u w:val="single"/>
        </w:rPr>
        <w:t>izņemot valsts pensijas</w:t>
      </w:r>
      <w:r w:rsidRPr="00CC0909">
        <w:rPr>
          <w:rFonts w:ascii="Times New Roman" w:hAnsi="Times New Roman" w:cs="Times New Roman"/>
          <w:sz w:val="20"/>
          <w:szCs w:val="20"/>
        </w:rPr>
        <w:t>, jo tām piemēro pensionāru neapliekamo minimumu;</w:t>
      </w:r>
    </w:p>
    <w:p w:rsidR="00CC0909" w:rsidRDefault="00CC0909" w:rsidP="00CC0909">
      <w:pPr>
        <w:pStyle w:val="ListParagraph"/>
        <w:numPr>
          <w:ilvl w:val="1"/>
          <w:numId w:val="41"/>
        </w:numPr>
        <w:tabs>
          <w:tab w:val="left" w:pos="1418"/>
        </w:tabs>
        <w:spacing w:after="120" w:line="240" w:lineRule="auto"/>
        <w:ind w:left="1418" w:hanging="425"/>
        <w:jc w:val="both"/>
        <w:rPr>
          <w:rFonts w:ascii="Times New Roman" w:hAnsi="Times New Roman" w:cs="Times New Roman"/>
          <w:sz w:val="20"/>
          <w:szCs w:val="20"/>
        </w:rPr>
      </w:pPr>
      <w:r w:rsidRPr="00CC0909">
        <w:rPr>
          <w:rFonts w:ascii="Times New Roman" w:hAnsi="Times New Roman" w:cs="Times New Roman"/>
          <w:sz w:val="20"/>
          <w:szCs w:val="20"/>
        </w:rPr>
        <w:t>ienākumu, kuram tiek piemērota samazinātā nodokļa likme, tai skaitā, ienākumu no kokmateriālu un augoša meža atsavināšanas, ienākumu no valsts vai Eiropas Savienības atbalsta summām par saimnieciskās darbības ierobežojumiem meža īpašniekiem, kuriem meža apsaimniekošana nav saimnieciskās darbības veids, kā arī ienākumus no kapitāla, kas nav kapitāla pieaugums (dividendes un procentu ienākumi), no kuriem atņemti izdevumi, kas saistīti ar ienākumu gūšanu;</w:t>
      </w:r>
    </w:p>
    <w:p w:rsidR="00CC0909" w:rsidRDefault="00CC0909" w:rsidP="00CC0909">
      <w:pPr>
        <w:pStyle w:val="ListParagraph"/>
        <w:numPr>
          <w:ilvl w:val="1"/>
          <w:numId w:val="41"/>
        </w:numPr>
        <w:tabs>
          <w:tab w:val="left" w:pos="1418"/>
        </w:tabs>
        <w:spacing w:after="120" w:line="240" w:lineRule="auto"/>
        <w:ind w:left="1418" w:hanging="425"/>
        <w:jc w:val="both"/>
        <w:rPr>
          <w:rFonts w:ascii="Times New Roman" w:hAnsi="Times New Roman" w:cs="Times New Roman"/>
          <w:sz w:val="20"/>
          <w:szCs w:val="20"/>
        </w:rPr>
      </w:pPr>
      <w:r w:rsidRPr="00CC0909">
        <w:rPr>
          <w:rFonts w:ascii="Times New Roman" w:hAnsi="Times New Roman" w:cs="Times New Roman"/>
          <w:sz w:val="20"/>
          <w:szCs w:val="20"/>
        </w:rPr>
        <w:t>saimnieciskās darbības ienākumu, ja nodokļa maksātājs kārto grāmatvedību vienkāršā vai divkāršā ieraksta sistēmā;</w:t>
      </w:r>
    </w:p>
    <w:p w:rsidR="00CC0909" w:rsidRPr="00CC0909" w:rsidRDefault="00CC0909" w:rsidP="00CC0909">
      <w:pPr>
        <w:pStyle w:val="ListParagraph"/>
        <w:numPr>
          <w:ilvl w:val="1"/>
          <w:numId w:val="41"/>
        </w:numPr>
        <w:tabs>
          <w:tab w:val="left" w:pos="1418"/>
        </w:tabs>
        <w:spacing w:after="120" w:line="240" w:lineRule="auto"/>
        <w:ind w:left="1418" w:hanging="425"/>
        <w:jc w:val="both"/>
        <w:rPr>
          <w:rFonts w:ascii="Times New Roman" w:hAnsi="Times New Roman" w:cs="Times New Roman"/>
          <w:sz w:val="20"/>
          <w:szCs w:val="20"/>
        </w:rPr>
      </w:pPr>
      <w:r w:rsidRPr="00CC0909">
        <w:rPr>
          <w:rFonts w:ascii="Times New Roman" w:hAnsi="Times New Roman" w:cs="Times New Roman"/>
          <w:sz w:val="20"/>
          <w:szCs w:val="20"/>
        </w:rPr>
        <w:t>ienākumu no kapitāla pieauguma no kapitāla aktīva atsavināšanas, ja izmaksas vietā nav ieturēts IIN;</w:t>
      </w:r>
    </w:p>
    <w:p w:rsidR="00CC0909" w:rsidRDefault="00CC0909" w:rsidP="00CC0909">
      <w:pPr>
        <w:pStyle w:val="ListParagraph"/>
        <w:numPr>
          <w:ilvl w:val="0"/>
          <w:numId w:val="40"/>
        </w:numPr>
        <w:tabs>
          <w:tab w:val="left" w:pos="993"/>
        </w:tabs>
        <w:spacing w:after="120" w:line="240" w:lineRule="auto"/>
        <w:ind w:left="993" w:hanging="284"/>
        <w:jc w:val="both"/>
        <w:rPr>
          <w:rFonts w:ascii="Times New Roman" w:hAnsi="Times New Roman" w:cs="Times New Roman"/>
          <w:sz w:val="20"/>
          <w:szCs w:val="20"/>
        </w:rPr>
      </w:pPr>
      <w:r w:rsidRPr="00CC0909">
        <w:rPr>
          <w:rFonts w:ascii="Times New Roman" w:hAnsi="Times New Roman" w:cs="Times New Roman"/>
          <w:sz w:val="20"/>
          <w:szCs w:val="20"/>
        </w:rPr>
        <w:t>ārvalstīs gūto ienākumu</w:t>
      </w:r>
      <w:r>
        <w:rPr>
          <w:rFonts w:ascii="Times New Roman" w:hAnsi="Times New Roman" w:cs="Times New Roman"/>
          <w:sz w:val="20"/>
          <w:szCs w:val="20"/>
        </w:rPr>
        <w:t>.</w:t>
      </w:r>
    </w:p>
    <w:p w:rsidR="008E35FB" w:rsidRDefault="00CC0909" w:rsidP="008E35FB">
      <w:pPr>
        <w:ind w:left="709"/>
        <w:jc w:val="both"/>
        <w:rPr>
          <w:rFonts w:ascii="Times New Roman" w:hAnsi="Times New Roman" w:cs="Times New Roman"/>
          <w:sz w:val="20"/>
          <w:szCs w:val="20"/>
        </w:rPr>
      </w:pPr>
      <w:r w:rsidRPr="008E35FB">
        <w:rPr>
          <w:rFonts w:ascii="Times New Roman" w:hAnsi="Times New Roman" w:cs="Times New Roman"/>
          <w:b/>
          <w:sz w:val="20"/>
          <w:szCs w:val="20"/>
        </w:rPr>
        <w:t>GAI</w:t>
      </w:r>
      <w:r w:rsidRPr="008E35FB">
        <w:rPr>
          <w:rFonts w:ascii="Times New Roman" w:hAnsi="Times New Roman" w:cs="Times New Roman"/>
          <w:sz w:val="20"/>
          <w:szCs w:val="20"/>
        </w:rPr>
        <w:t xml:space="preserve"> – nodokļa maksātāja gada apliekamais ienākums</w:t>
      </w:r>
      <w:r w:rsidR="008E35FB" w:rsidRPr="008E35FB">
        <w:rPr>
          <w:rFonts w:ascii="Times New Roman" w:hAnsi="Times New Roman" w:cs="Times New Roman"/>
          <w:b/>
          <w:sz w:val="20"/>
          <w:szCs w:val="20"/>
        </w:rPr>
        <w:t>,</w:t>
      </w:r>
      <w:r w:rsidR="008E35FB" w:rsidRPr="008E35FB">
        <w:rPr>
          <w:rFonts w:ascii="Times New Roman" w:hAnsi="Times New Roman" w:cs="Times New Roman"/>
          <w:sz w:val="20"/>
          <w:szCs w:val="20"/>
        </w:rPr>
        <w:t xml:space="preserve"> kur</w:t>
      </w:r>
      <w:r w:rsidR="008E35FB">
        <w:rPr>
          <w:rFonts w:ascii="Times New Roman" w:hAnsi="Times New Roman" w:cs="Times New Roman"/>
          <w:sz w:val="20"/>
          <w:szCs w:val="20"/>
        </w:rPr>
        <w:t>a</w:t>
      </w:r>
      <w:r w:rsidR="008E35FB" w:rsidRPr="008E35FB">
        <w:rPr>
          <w:rFonts w:ascii="Times New Roman" w:hAnsi="Times New Roman" w:cs="Times New Roman"/>
          <w:sz w:val="20"/>
          <w:szCs w:val="20"/>
        </w:rPr>
        <w:t xml:space="preserve">m tiek piemērots mēneša neapliekamais minimums (viss iepriekš uzskaitītais, izņemot 1.2. un 1.4.punktu). </w:t>
      </w:r>
    </w:p>
    <w:p w:rsidR="008E35FB" w:rsidRPr="008E35FB" w:rsidRDefault="008E35FB" w:rsidP="008E35FB">
      <w:pPr>
        <w:ind w:left="709"/>
        <w:jc w:val="both"/>
        <w:rPr>
          <w:rFonts w:ascii="Times New Roman" w:hAnsi="Times New Roman" w:cs="Times New Roman"/>
          <w:sz w:val="20"/>
          <w:szCs w:val="20"/>
        </w:rPr>
      </w:pPr>
      <w:r>
        <w:rPr>
          <w:rFonts w:ascii="Times New Roman" w:hAnsi="Times New Roman" w:cs="Times New Roman"/>
          <w:b/>
          <w:sz w:val="20"/>
          <w:szCs w:val="20"/>
        </w:rPr>
        <w:t xml:space="preserve">GNM </w:t>
      </w:r>
      <w:r>
        <w:rPr>
          <w:rFonts w:ascii="Times New Roman" w:hAnsi="Times New Roman" w:cs="Times New Roman"/>
          <w:sz w:val="20"/>
          <w:szCs w:val="20"/>
        </w:rPr>
        <w:t>–gada neapliekamais minimums</w:t>
      </w:r>
    </w:p>
    <w:p w:rsidR="008863EC" w:rsidRPr="001D794D" w:rsidRDefault="008863EC" w:rsidP="001D794D">
      <w:pPr>
        <w:tabs>
          <w:tab w:val="left" w:pos="142"/>
        </w:tabs>
        <w:spacing w:before="120" w:after="120" w:line="240" w:lineRule="auto"/>
        <w:jc w:val="both"/>
        <w:rPr>
          <w:rFonts w:ascii="Times New Roman" w:hAnsi="Times New Roman" w:cs="Times New Roman"/>
          <w:sz w:val="24"/>
          <w:szCs w:val="24"/>
        </w:rPr>
      </w:pPr>
      <w:r w:rsidRPr="001D794D">
        <w:rPr>
          <w:rFonts w:ascii="Times New Roman" w:hAnsi="Times New Roman" w:cs="Times New Roman"/>
          <w:b/>
          <w:i/>
          <w:sz w:val="24"/>
          <w:szCs w:val="24"/>
        </w:rPr>
        <w:lastRenderedPageBreak/>
        <w:t>Avots:</w:t>
      </w:r>
      <w:r w:rsidRPr="001D794D">
        <w:rPr>
          <w:rFonts w:ascii="Times New Roman" w:hAnsi="Times New Roman" w:cs="Times New Roman"/>
          <w:sz w:val="24"/>
          <w:szCs w:val="24"/>
        </w:rPr>
        <w:t xml:space="preserve"> Finanšu ministrija</w:t>
      </w:r>
    </w:p>
    <w:p w:rsidR="0098578A" w:rsidRPr="0098578A" w:rsidRDefault="0098578A" w:rsidP="0098578A">
      <w:pPr>
        <w:pStyle w:val="ListParagraph"/>
        <w:spacing w:after="120" w:line="240" w:lineRule="auto"/>
        <w:ind w:left="927"/>
        <w:jc w:val="both"/>
        <w:rPr>
          <w:rFonts w:ascii="Times New Roman" w:hAnsi="Times New Roman" w:cs="Times New Roman"/>
          <w:sz w:val="28"/>
          <w:szCs w:val="28"/>
        </w:rPr>
      </w:pPr>
    </w:p>
    <w:p w:rsidR="0098578A" w:rsidRDefault="0098578A" w:rsidP="000A66D0">
      <w:pPr>
        <w:spacing w:after="120" w:line="240" w:lineRule="auto"/>
        <w:ind w:firstLine="709"/>
        <w:jc w:val="both"/>
        <w:rPr>
          <w:rFonts w:ascii="Times New Roman" w:hAnsi="Times New Roman" w:cs="Times New Roman"/>
          <w:sz w:val="28"/>
          <w:szCs w:val="28"/>
        </w:rPr>
      </w:pPr>
      <w:r w:rsidRPr="0098578A">
        <w:rPr>
          <w:rFonts w:ascii="Times New Roman" w:hAnsi="Times New Roman" w:cs="Times New Roman"/>
          <w:sz w:val="28"/>
          <w:szCs w:val="28"/>
        </w:rPr>
        <w:t xml:space="preserve">Nodokļa maksātājiem tāpat kā līdz šim likumdošanā paredzētajā kārtībā ir tiesības arī uz citiem </w:t>
      </w:r>
      <w:r w:rsidR="00FF4D4A">
        <w:rPr>
          <w:rFonts w:ascii="Times New Roman" w:hAnsi="Times New Roman" w:cs="Times New Roman"/>
          <w:sz w:val="28"/>
          <w:szCs w:val="28"/>
        </w:rPr>
        <w:t xml:space="preserve">nodokļa </w:t>
      </w:r>
      <w:r w:rsidRPr="0098578A">
        <w:rPr>
          <w:rFonts w:ascii="Times New Roman" w:hAnsi="Times New Roman" w:cs="Times New Roman"/>
          <w:sz w:val="28"/>
          <w:szCs w:val="28"/>
        </w:rPr>
        <w:t>atvieglojuma veidiem – atvieglojumu par apgādībā esošām personām, neapliekamo minimumu</w:t>
      </w:r>
      <w:r w:rsidR="008863EC" w:rsidRPr="008863EC">
        <w:rPr>
          <w:rFonts w:ascii="Times New Roman" w:hAnsi="Times New Roman" w:cs="Times New Roman"/>
          <w:sz w:val="28"/>
          <w:szCs w:val="28"/>
        </w:rPr>
        <w:t xml:space="preserve"> </w:t>
      </w:r>
      <w:r w:rsidR="008863EC">
        <w:rPr>
          <w:rFonts w:ascii="Times New Roman" w:hAnsi="Times New Roman" w:cs="Times New Roman"/>
          <w:sz w:val="28"/>
          <w:szCs w:val="28"/>
        </w:rPr>
        <w:t>personām, kurām piešķirta pensija</w:t>
      </w:r>
      <w:r w:rsidRPr="0098578A">
        <w:rPr>
          <w:rFonts w:ascii="Times New Roman" w:hAnsi="Times New Roman" w:cs="Times New Roman"/>
          <w:sz w:val="28"/>
          <w:szCs w:val="28"/>
        </w:rPr>
        <w:t xml:space="preserve">,  atvieglojumiem par invaliditāti </w:t>
      </w:r>
      <w:proofErr w:type="spellStart"/>
      <w:r w:rsidRPr="0098578A">
        <w:rPr>
          <w:rFonts w:ascii="Times New Roman" w:hAnsi="Times New Roman" w:cs="Times New Roman"/>
          <w:sz w:val="28"/>
          <w:szCs w:val="28"/>
        </w:rPr>
        <w:t>u.c</w:t>
      </w:r>
      <w:proofErr w:type="spellEnd"/>
      <w:r w:rsidRPr="0098578A">
        <w:rPr>
          <w:rFonts w:ascii="Times New Roman" w:hAnsi="Times New Roman" w:cs="Times New Roman"/>
          <w:sz w:val="28"/>
          <w:szCs w:val="28"/>
        </w:rPr>
        <w:t xml:space="preserve">.. </w:t>
      </w:r>
    </w:p>
    <w:p w:rsidR="00360C2A" w:rsidRDefault="00360C2A" w:rsidP="000A66D0">
      <w:pPr>
        <w:spacing w:after="12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908"/>
      </w:tblGrid>
      <w:tr w:rsidR="000A66D0" w:rsidRPr="00EE4C95" w:rsidTr="000A66D0">
        <w:tc>
          <w:tcPr>
            <w:tcW w:w="9908" w:type="dxa"/>
          </w:tcPr>
          <w:p w:rsidR="000A66D0" w:rsidRPr="008863EC" w:rsidRDefault="008E35FB" w:rsidP="000A66D0">
            <w:pPr>
              <w:pStyle w:val="ListParagraph"/>
              <w:ind w:left="0"/>
              <w:jc w:val="center"/>
              <w:rPr>
                <w:rFonts w:ascii="Times New Roman" w:hAnsi="Times New Roman" w:cs="Times New Roman"/>
                <w:b/>
                <w:sz w:val="26"/>
                <w:szCs w:val="26"/>
              </w:rPr>
            </w:pPr>
            <w:r>
              <w:rPr>
                <w:rFonts w:ascii="Times New Roman" w:hAnsi="Times New Roman" w:cs="Times New Roman"/>
                <w:sz w:val="28"/>
                <w:szCs w:val="28"/>
              </w:rPr>
              <w:br w:type="page"/>
            </w:r>
            <w:r w:rsidR="000A66D0" w:rsidRPr="008863EC">
              <w:rPr>
                <w:rFonts w:ascii="Times New Roman" w:hAnsi="Times New Roman" w:cs="Times New Roman"/>
                <w:b/>
                <w:sz w:val="26"/>
                <w:szCs w:val="26"/>
              </w:rPr>
              <w:t>1.piemērs</w:t>
            </w:r>
          </w:p>
          <w:p w:rsidR="000A66D0" w:rsidRPr="008863EC" w:rsidRDefault="000A66D0" w:rsidP="000A66D0">
            <w:pPr>
              <w:pStyle w:val="ListParagraph"/>
              <w:ind w:left="0" w:firstLine="567"/>
              <w:jc w:val="center"/>
              <w:rPr>
                <w:rFonts w:ascii="Times New Roman" w:hAnsi="Times New Roman" w:cs="Times New Roman"/>
                <w:b/>
                <w:sz w:val="26"/>
                <w:szCs w:val="26"/>
              </w:rPr>
            </w:pPr>
          </w:p>
          <w:p w:rsidR="001D794D" w:rsidRPr="008863EC" w:rsidRDefault="001D794D" w:rsidP="001D794D">
            <w:pPr>
              <w:pStyle w:val="ListParagraph"/>
              <w:ind w:left="0"/>
              <w:jc w:val="both"/>
              <w:rPr>
                <w:rFonts w:ascii="Times New Roman" w:hAnsi="Times New Roman" w:cs="Times New Roman"/>
                <w:b/>
                <w:sz w:val="26"/>
                <w:szCs w:val="26"/>
              </w:rPr>
            </w:pPr>
            <w:r w:rsidRPr="008863EC">
              <w:rPr>
                <w:rFonts w:ascii="Times New Roman" w:hAnsi="Times New Roman" w:cs="Times New Roman"/>
                <w:b/>
                <w:sz w:val="26"/>
                <w:szCs w:val="26"/>
              </w:rPr>
              <w:t>Nodokļu maksātājs A.Kalniņš strādā algotā darbā pie darba devēja X un saņem minimālo darba algu 225 L</w:t>
            </w:r>
            <w:r w:rsidR="008E35FB">
              <w:rPr>
                <w:rFonts w:ascii="Times New Roman" w:hAnsi="Times New Roman" w:cs="Times New Roman"/>
                <w:b/>
                <w:sz w:val="26"/>
                <w:szCs w:val="26"/>
              </w:rPr>
              <w:t>VL</w:t>
            </w:r>
            <w:r w:rsidRPr="008863EC">
              <w:rPr>
                <w:rFonts w:ascii="Times New Roman" w:hAnsi="Times New Roman" w:cs="Times New Roman"/>
                <w:b/>
                <w:sz w:val="26"/>
                <w:szCs w:val="26"/>
              </w:rPr>
              <w:t>/mēnesī. Papildus ienākumus A.Kalniņš nesaņem. Darba vietā ir iesniegta algas nodokļa grāmatiņa un tiek piemērots neapliekamais minimums 45 L</w:t>
            </w:r>
            <w:r w:rsidR="008E35FB">
              <w:rPr>
                <w:rFonts w:ascii="Times New Roman" w:hAnsi="Times New Roman" w:cs="Times New Roman"/>
                <w:b/>
                <w:sz w:val="26"/>
                <w:szCs w:val="26"/>
              </w:rPr>
              <w:t>VL</w:t>
            </w:r>
            <w:r w:rsidRPr="008863EC">
              <w:rPr>
                <w:rFonts w:ascii="Times New Roman" w:hAnsi="Times New Roman" w:cs="Times New Roman"/>
                <w:b/>
                <w:sz w:val="26"/>
                <w:szCs w:val="26"/>
              </w:rPr>
              <w:t>/mēnesī apmērā. A.Kalniņam nav apgādībā esošu personu.</w:t>
            </w:r>
          </w:p>
          <w:p w:rsidR="001D794D" w:rsidRPr="008863EC" w:rsidRDefault="001D794D" w:rsidP="001D794D">
            <w:pPr>
              <w:pStyle w:val="ListParagraph"/>
              <w:spacing w:after="120"/>
              <w:ind w:left="0" w:firstLine="567"/>
              <w:rPr>
                <w:rFonts w:ascii="Times New Roman" w:hAnsi="Times New Roman" w:cs="Times New Roman"/>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A.Kalniņa gada ienākums ir:</w:t>
            </w:r>
          </w:p>
          <w:p w:rsidR="001D794D" w:rsidRPr="008863EC" w:rsidRDefault="001D794D" w:rsidP="001D794D">
            <w:pPr>
              <w:rPr>
                <w:rFonts w:ascii="Times New Roman" w:hAnsi="Times New Roman" w:cs="Times New Roman"/>
                <w:sz w:val="26"/>
                <w:szCs w:val="26"/>
              </w:rPr>
            </w:pPr>
            <w:r w:rsidRPr="008863EC">
              <w:rPr>
                <w:rFonts w:ascii="Times New Roman" w:hAnsi="Times New Roman" w:cs="Times New Roman"/>
                <w:b/>
                <w:sz w:val="26"/>
                <w:szCs w:val="26"/>
              </w:rPr>
              <w:t>GI</w:t>
            </w:r>
            <w:r w:rsidRPr="008863EC">
              <w:rPr>
                <w:rFonts w:ascii="Times New Roman" w:hAnsi="Times New Roman" w:cs="Times New Roman"/>
                <w:sz w:val="26"/>
                <w:szCs w:val="26"/>
              </w:rPr>
              <w:t xml:space="preserve"> = 225 </w:t>
            </w:r>
            <w:r w:rsidR="008E35FB">
              <w:rPr>
                <w:rFonts w:ascii="Times New Roman" w:hAnsi="Times New Roman" w:cs="Times New Roman"/>
                <w:sz w:val="26"/>
                <w:szCs w:val="26"/>
              </w:rPr>
              <w:t xml:space="preserve">LVL/mēnesī </w:t>
            </w:r>
            <w:r w:rsidRPr="008863EC">
              <w:rPr>
                <w:rFonts w:ascii="Times New Roman" w:hAnsi="Times New Roman" w:cs="Times New Roman"/>
                <w:sz w:val="26"/>
                <w:szCs w:val="26"/>
              </w:rPr>
              <w:t>x 12  = 2 700 L</w:t>
            </w:r>
            <w:r w:rsidR="008E35FB">
              <w:rPr>
                <w:rFonts w:ascii="Times New Roman" w:hAnsi="Times New Roman" w:cs="Times New Roman"/>
                <w:sz w:val="26"/>
                <w:szCs w:val="26"/>
              </w:rPr>
              <w:t>VL</w:t>
            </w:r>
            <w:r w:rsidRPr="008863EC">
              <w:rPr>
                <w:rFonts w:ascii="Times New Roman" w:hAnsi="Times New Roman" w:cs="Times New Roman"/>
                <w:sz w:val="26"/>
                <w:szCs w:val="26"/>
              </w:rPr>
              <w:t xml:space="preserve">/gadā </w:t>
            </w:r>
          </w:p>
          <w:p w:rsidR="001D794D" w:rsidRPr="008863EC" w:rsidRDefault="001D794D" w:rsidP="001D794D">
            <w:pPr>
              <w:pStyle w:val="ListParagraph"/>
              <w:ind w:left="0" w:firstLine="567"/>
              <w:rPr>
                <w:rFonts w:ascii="Times New Roman" w:hAnsi="Times New Roman" w:cs="Times New Roman"/>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 xml:space="preserve">Tā kā  </w:t>
            </w:r>
            <w:r w:rsidRPr="008863EC">
              <w:rPr>
                <w:rFonts w:ascii="Times New Roman" w:hAnsi="Times New Roman" w:cs="Times New Roman"/>
                <w:b/>
                <w:sz w:val="26"/>
                <w:szCs w:val="26"/>
              </w:rPr>
              <w:t>GI 2 700 LVL gadā =</w:t>
            </w:r>
            <w:r w:rsidRPr="008863EC">
              <w:rPr>
                <w:rFonts w:ascii="Times New Roman" w:hAnsi="Times New Roman" w:cs="Times New Roman"/>
                <w:sz w:val="26"/>
                <w:szCs w:val="26"/>
              </w:rPr>
              <w:t> 2</w:t>
            </w:r>
            <w:r w:rsidR="003A4EBF">
              <w:rPr>
                <w:rFonts w:ascii="Times New Roman" w:hAnsi="Times New Roman" w:cs="Times New Roman"/>
                <w:sz w:val="26"/>
                <w:szCs w:val="26"/>
              </w:rPr>
              <w:t> </w:t>
            </w:r>
            <w:r w:rsidRPr="008863EC">
              <w:rPr>
                <w:rFonts w:ascii="Times New Roman" w:hAnsi="Times New Roman" w:cs="Times New Roman"/>
                <w:sz w:val="26"/>
                <w:szCs w:val="26"/>
              </w:rPr>
              <w:t>700</w:t>
            </w:r>
            <w:r w:rsidR="003A4EBF">
              <w:rPr>
                <w:rFonts w:ascii="Times New Roman" w:hAnsi="Times New Roman" w:cs="Times New Roman"/>
                <w:sz w:val="26"/>
                <w:szCs w:val="26"/>
              </w:rPr>
              <w:t> LVL/gadā</w:t>
            </w:r>
            <w:r w:rsidRPr="008863EC">
              <w:rPr>
                <w:rFonts w:ascii="Times New Roman" w:hAnsi="Times New Roman" w:cs="Times New Roman"/>
                <w:sz w:val="26"/>
                <w:szCs w:val="26"/>
              </w:rPr>
              <w:t>, tad A.Kalniņam ir tiesības uz maksimālo gada neapliekamo minimumu 1 008 L</w:t>
            </w:r>
            <w:r w:rsidR="008E35FB">
              <w:rPr>
                <w:rFonts w:ascii="Times New Roman" w:hAnsi="Times New Roman" w:cs="Times New Roman"/>
                <w:sz w:val="26"/>
                <w:szCs w:val="26"/>
              </w:rPr>
              <w:t>VL</w:t>
            </w:r>
            <w:r w:rsidRPr="008863EC">
              <w:rPr>
                <w:rFonts w:ascii="Times New Roman" w:hAnsi="Times New Roman" w:cs="Times New Roman"/>
                <w:sz w:val="26"/>
                <w:szCs w:val="26"/>
              </w:rPr>
              <w:t>/gadā (84 L</w:t>
            </w:r>
            <w:r w:rsidR="008E35FB">
              <w:rPr>
                <w:rFonts w:ascii="Times New Roman" w:hAnsi="Times New Roman" w:cs="Times New Roman"/>
                <w:sz w:val="26"/>
                <w:szCs w:val="26"/>
              </w:rPr>
              <w:t>VL</w:t>
            </w:r>
            <w:r w:rsidRPr="008863EC">
              <w:rPr>
                <w:rFonts w:ascii="Times New Roman" w:hAnsi="Times New Roman" w:cs="Times New Roman"/>
                <w:sz w:val="26"/>
                <w:szCs w:val="26"/>
              </w:rPr>
              <w:t xml:space="preserve">/mēnesī). </w:t>
            </w:r>
          </w:p>
          <w:p w:rsidR="001D794D" w:rsidRPr="008863EC" w:rsidRDefault="001D794D" w:rsidP="001D794D">
            <w:pPr>
              <w:spacing w:after="120"/>
              <w:jc w:val="both"/>
              <w:rPr>
                <w:rFonts w:ascii="Times New Roman" w:hAnsi="Times New Roman" w:cs="Times New Roman"/>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 xml:space="preserve">VID veic IIN pārrēķinu un pārmaksāto nodokli atmaksā A.Kalniņam uz bankas kontu: </w:t>
            </w:r>
          </w:p>
          <w:p w:rsidR="001D794D" w:rsidRPr="008863EC" w:rsidRDefault="001D794D" w:rsidP="001D794D">
            <w:pPr>
              <w:rPr>
                <w:rFonts w:ascii="Times New Roman" w:hAnsi="Times New Roman" w:cs="Times New Roman"/>
                <w:sz w:val="26"/>
                <w:szCs w:val="26"/>
              </w:rPr>
            </w:pPr>
            <w:r w:rsidRPr="008863EC">
              <w:rPr>
                <w:rFonts w:ascii="Times New Roman" w:hAnsi="Times New Roman" w:cs="Times New Roman"/>
                <w:b/>
                <w:sz w:val="26"/>
                <w:szCs w:val="26"/>
              </w:rPr>
              <w:t xml:space="preserve">IIN </w:t>
            </w:r>
            <w:r w:rsidRPr="008863EC">
              <w:rPr>
                <w:rFonts w:ascii="Times New Roman" w:hAnsi="Times New Roman" w:cs="Times New Roman"/>
                <w:sz w:val="26"/>
                <w:szCs w:val="26"/>
              </w:rPr>
              <w:t>(</w:t>
            </w:r>
            <w:r w:rsidRPr="008863EC">
              <w:rPr>
                <w:rFonts w:ascii="Times New Roman" w:hAnsi="Times New Roman" w:cs="Times New Roman"/>
                <w:i/>
                <w:sz w:val="26"/>
                <w:szCs w:val="26"/>
              </w:rPr>
              <w:t>aprēķins uzņēmuma grāmatvedībā</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 xml:space="preserve">= (225 – 225 x 11% – 45) x 22% = </w:t>
            </w:r>
          </w:p>
          <w:p w:rsidR="001D794D" w:rsidRPr="008863EC" w:rsidRDefault="001D794D" w:rsidP="001D794D">
            <w:pPr>
              <w:spacing w:after="120"/>
              <w:rPr>
                <w:rFonts w:ascii="Times New Roman" w:hAnsi="Times New Roman" w:cs="Times New Roman"/>
                <w:b/>
                <w:sz w:val="26"/>
                <w:szCs w:val="26"/>
              </w:rPr>
            </w:pPr>
            <w:r w:rsidRPr="008863EC">
              <w:rPr>
                <w:rFonts w:ascii="Times New Roman" w:hAnsi="Times New Roman" w:cs="Times New Roman"/>
                <w:sz w:val="26"/>
                <w:szCs w:val="26"/>
              </w:rPr>
              <w:t xml:space="preserve">= </w:t>
            </w:r>
            <w:r w:rsidRPr="008863EC">
              <w:rPr>
                <w:rFonts w:ascii="Times New Roman" w:hAnsi="Times New Roman" w:cs="Times New Roman"/>
                <w:b/>
                <w:sz w:val="26"/>
                <w:szCs w:val="26"/>
              </w:rPr>
              <w:t xml:space="preserve">34,16 LVL/mēnesī </w:t>
            </w:r>
            <w:r w:rsidRPr="008863EC">
              <w:rPr>
                <w:rFonts w:ascii="Times New Roman" w:hAnsi="Times New Roman" w:cs="Times New Roman"/>
                <w:sz w:val="26"/>
                <w:szCs w:val="26"/>
              </w:rPr>
              <w:t>(409,92 LVL</w:t>
            </w:r>
            <w:r w:rsidR="003A4EBF">
              <w:rPr>
                <w:rFonts w:ascii="Times New Roman" w:hAnsi="Times New Roman" w:cs="Times New Roman"/>
                <w:sz w:val="26"/>
                <w:szCs w:val="26"/>
              </w:rPr>
              <w:t>/</w:t>
            </w:r>
            <w:r w:rsidRPr="008863EC">
              <w:rPr>
                <w:rFonts w:ascii="Times New Roman" w:hAnsi="Times New Roman" w:cs="Times New Roman"/>
                <w:sz w:val="26"/>
                <w:szCs w:val="26"/>
              </w:rPr>
              <w:t>gadā)</w:t>
            </w:r>
          </w:p>
          <w:p w:rsidR="001D794D" w:rsidRPr="008863EC" w:rsidRDefault="001D794D" w:rsidP="001D794D">
            <w:pPr>
              <w:spacing w:after="120"/>
              <w:rPr>
                <w:rFonts w:ascii="Times New Roman" w:hAnsi="Times New Roman" w:cs="Times New Roman"/>
                <w:sz w:val="26"/>
                <w:szCs w:val="26"/>
              </w:rPr>
            </w:pPr>
            <w:r w:rsidRPr="008863EC">
              <w:rPr>
                <w:rFonts w:ascii="Times New Roman" w:hAnsi="Times New Roman" w:cs="Times New Roman"/>
                <w:b/>
                <w:sz w:val="26"/>
                <w:szCs w:val="26"/>
              </w:rPr>
              <w:t xml:space="preserve">IIN </w:t>
            </w:r>
            <w:r w:rsidRPr="008863EC">
              <w:rPr>
                <w:rFonts w:ascii="Times New Roman" w:hAnsi="Times New Roman" w:cs="Times New Roman"/>
                <w:sz w:val="26"/>
                <w:szCs w:val="26"/>
              </w:rPr>
              <w:t>(</w:t>
            </w:r>
            <w:r w:rsidRPr="008863EC">
              <w:rPr>
                <w:rFonts w:ascii="Times New Roman" w:hAnsi="Times New Roman" w:cs="Times New Roman"/>
                <w:i/>
                <w:sz w:val="26"/>
                <w:szCs w:val="26"/>
              </w:rPr>
              <w:t>VID pārrēķins</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 xml:space="preserve">(225 x 12 – 225 x 12 x 11% – 1 008) x 22% = </w:t>
            </w:r>
            <w:r w:rsidRPr="008863EC">
              <w:rPr>
                <w:rFonts w:ascii="Times New Roman" w:hAnsi="Times New Roman" w:cs="Times New Roman"/>
                <w:b/>
                <w:sz w:val="26"/>
                <w:szCs w:val="26"/>
              </w:rPr>
              <w:t>306,90 LVL/gadā</w:t>
            </w:r>
            <w:r w:rsidRPr="008863EC">
              <w:rPr>
                <w:rFonts w:ascii="Times New Roman" w:hAnsi="Times New Roman" w:cs="Times New Roman"/>
                <w:sz w:val="26"/>
                <w:szCs w:val="26"/>
              </w:rPr>
              <w:t xml:space="preserve">    </w:t>
            </w:r>
          </w:p>
          <w:p w:rsidR="001D794D" w:rsidRPr="008863EC" w:rsidRDefault="001D794D" w:rsidP="001D794D">
            <w:pPr>
              <w:rPr>
                <w:rFonts w:ascii="Times New Roman" w:hAnsi="Times New Roman" w:cs="Times New Roman"/>
                <w:sz w:val="26"/>
                <w:szCs w:val="26"/>
              </w:rPr>
            </w:pPr>
            <w:r w:rsidRPr="008863EC">
              <w:rPr>
                <w:rFonts w:ascii="Times New Roman" w:hAnsi="Times New Roman" w:cs="Times New Roman"/>
                <w:b/>
                <w:color w:val="C00000"/>
                <w:sz w:val="26"/>
                <w:szCs w:val="26"/>
              </w:rPr>
              <w:t>IIN pārmaksa</w:t>
            </w:r>
            <w:r w:rsidRPr="008863EC">
              <w:rPr>
                <w:rFonts w:ascii="Times New Roman" w:hAnsi="Times New Roman" w:cs="Times New Roman"/>
                <w:color w:val="C00000"/>
                <w:sz w:val="26"/>
                <w:szCs w:val="26"/>
              </w:rPr>
              <w:t xml:space="preserve"> </w:t>
            </w:r>
            <w:r w:rsidRPr="008863EC">
              <w:rPr>
                <w:rFonts w:ascii="Times New Roman" w:hAnsi="Times New Roman" w:cs="Times New Roman"/>
                <w:sz w:val="26"/>
                <w:szCs w:val="26"/>
              </w:rPr>
              <w:t xml:space="preserve">= 409,92 – 306,90 = </w:t>
            </w:r>
            <w:r w:rsidRPr="008863EC">
              <w:rPr>
                <w:rFonts w:ascii="Times New Roman" w:hAnsi="Times New Roman" w:cs="Times New Roman"/>
                <w:b/>
                <w:color w:val="C00000"/>
                <w:sz w:val="26"/>
                <w:szCs w:val="26"/>
              </w:rPr>
              <w:t xml:space="preserve">103,02 LVL </w:t>
            </w:r>
          </w:p>
          <w:p w:rsidR="000A66D0" w:rsidRPr="008863EC" w:rsidRDefault="000A66D0" w:rsidP="00043C6C">
            <w:pPr>
              <w:rPr>
                <w:rFonts w:ascii="Times New Roman" w:hAnsi="Times New Roman" w:cs="Times New Roman"/>
                <w:sz w:val="26"/>
                <w:szCs w:val="26"/>
              </w:rPr>
            </w:pPr>
            <w:r w:rsidRPr="008863EC">
              <w:rPr>
                <w:rFonts w:ascii="Times New Roman" w:hAnsi="Times New Roman" w:cs="Times New Roman"/>
                <w:color w:val="C00000"/>
                <w:sz w:val="26"/>
                <w:szCs w:val="26"/>
              </w:rPr>
              <w:t xml:space="preserve"> </w:t>
            </w:r>
          </w:p>
          <w:p w:rsidR="000A66D0" w:rsidRPr="008863EC" w:rsidRDefault="000A66D0" w:rsidP="00E0015A">
            <w:pPr>
              <w:ind w:firstLine="567"/>
              <w:rPr>
                <w:rFonts w:ascii="Times New Roman" w:hAnsi="Times New Roman" w:cs="Times New Roman"/>
                <w:sz w:val="26"/>
                <w:szCs w:val="26"/>
              </w:rPr>
            </w:pPr>
            <w:r w:rsidRPr="008863EC">
              <w:rPr>
                <w:rFonts w:ascii="Times New Roman" w:hAnsi="Times New Roman" w:cs="Times New Roman"/>
                <w:sz w:val="26"/>
                <w:szCs w:val="26"/>
              </w:rPr>
              <w:t xml:space="preserve">  </w:t>
            </w:r>
          </w:p>
          <w:p w:rsidR="00265283" w:rsidRPr="008863EC" w:rsidRDefault="00265283" w:rsidP="00265283">
            <w:pPr>
              <w:pStyle w:val="ListParagraph"/>
              <w:ind w:left="0"/>
              <w:jc w:val="center"/>
              <w:rPr>
                <w:rFonts w:ascii="Times New Roman" w:hAnsi="Times New Roman" w:cs="Times New Roman"/>
                <w:b/>
                <w:sz w:val="26"/>
                <w:szCs w:val="26"/>
              </w:rPr>
            </w:pPr>
            <w:r w:rsidRPr="008863EC">
              <w:rPr>
                <w:rFonts w:ascii="Times New Roman" w:hAnsi="Times New Roman" w:cs="Times New Roman"/>
                <w:b/>
                <w:sz w:val="26"/>
                <w:szCs w:val="26"/>
              </w:rPr>
              <w:t>2.piemērs</w:t>
            </w:r>
          </w:p>
          <w:p w:rsidR="00265283" w:rsidRPr="008863EC" w:rsidRDefault="00265283" w:rsidP="00265283">
            <w:pPr>
              <w:pStyle w:val="ListParagraph"/>
              <w:ind w:left="0" w:firstLine="567"/>
              <w:jc w:val="center"/>
              <w:rPr>
                <w:rFonts w:ascii="Times New Roman" w:hAnsi="Times New Roman" w:cs="Times New Roman"/>
                <w:b/>
                <w:sz w:val="26"/>
                <w:szCs w:val="26"/>
              </w:rPr>
            </w:pPr>
          </w:p>
          <w:p w:rsidR="001D794D" w:rsidRPr="008863EC" w:rsidRDefault="001D794D" w:rsidP="001D794D">
            <w:pPr>
              <w:pStyle w:val="ListParagraph"/>
              <w:ind w:left="0"/>
              <w:jc w:val="both"/>
              <w:rPr>
                <w:rFonts w:ascii="Times New Roman" w:hAnsi="Times New Roman" w:cs="Times New Roman"/>
                <w:b/>
                <w:sz w:val="26"/>
                <w:szCs w:val="26"/>
              </w:rPr>
            </w:pPr>
            <w:r w:rsidRPr="008863EC">
              <w:rPr>
                <w:rFonts w:ascii="Times New Roman" w:hAnsi="Times New Roman" w:cs="Times New Roman"/>
                <w:b/>
                <w:sz w:val="26"/>
                <w:szCs w:val="26"/>
              </w:rPr>
              <w:t>Nodokļu maksātājs A.Kalniņš strādā algotā darbā pie darba devēja X un saņem darba algu 360 LVL/mēnesī. Papildus A.Kalniņš saņem dividendes no uzņēmuma Y 300 LVL/gadā. Darba vietā ir iesniegta algas nodokļa grāmatiņa un tiek piemērots neapliekamais minimums 45 LVL/mēnesī apmērā. A.Kalniņam nav apgādībā esošu personu.</w:t>
            </w:r>
          </w:p>
          <w:p w:rsidR="001D794D" w:rsidRPr="008863EC" w:rsidRDefault="001D794D" w:rsidP="001D794D">
            <w:pPr>
              <w:pStyle w:val="ListParagraph"/>
              <w:ind w:left="0" w:firstLine="567"/>
              <w:rPr>
                <w:rFonts w:ascii="Times New Roman" w:hAnsi="Times New Roman" w:cs="Times New Roman"/>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A.Kalniņa gada ienākums ir:</w:t>
            </w:r>
          </w:p>
          <w:p w:rsidR="001D794D" w:rsidRPr="008863EC" w:rsidRDefault="001D794D" w:rsidP="001D794D">
            <w:pPr>
              <w:spacing w:after="120"/>
              <w:rPr>
                <w:rFonts w:ascii="Times New Roman" w:hAnsi="Times New Roman" w:cs="Times New Roman"/>
                <w:sz w:val="26"/>
                <w:szCs w:val="26"/>
              </w:rPr>
            </w:pPr>
            <w:r w:rsidRPr="008863EC">
              <w:rPr>
                <w:rFonts w:ascii="Times New Roman" w:hAnsi="Times New Roman" w:cs="Times New Roman"/>
                <w:b/>
                <w:sz w:val="26"/>
                <w:szCs w:val="26"/>
              </w:rPr>
              <w:t>GI</w:t>
            </w:r>
            <w:r w:rsidRPr="008863EC">
              <w:rPr>
                <w:rFonts w:ascii="Times New Roman" w:hAnsi="Times New Roman" w:cs="Times New Roman"/>
                <w:sz w:val="26"/>
                <w:szCs w:val="26"/>
              </w:rPr>
              <w:t xml:space="preserve"> = 360 </w:t>
            </w:r>
            <w:r w:rsidR="008E35FB">
              <w:rPr>
                <w:rFonts w:ascii="Times New Roman" w:hAnsi="Times New Roman" w:cs="Times New Roman"/>
                <w:sz w:val="26"/>
                <w:szCs w:val="26"/>
              </w:rPr>
              <w:t>LVL/mēnesī </w:t>
            </w:r>
            <w:r w:rsidRPr="008863EC">
              <w:rPr>
                <w:rFonts w:ascii="Times New Roman" w:hAnsi="Times New Roman" w:cs="Times New Roman"/>
                <w:sz w:val="26"/>
                <w:szCs w:val="26"/>
              </w:rPr>
              <w:t xml:space="preserve">x 12 + 300 </w:t>
            </w:r>
            <w:r w:rsidR="008E35FB">
              <w:rPr>
                <w:rFonts w:ascii="Times New Roman" w:hAnsi="Times New Roman" w:cs="Times New Roman"/>
                <w:sz w:val="26"/>
                <w:szCs w:val="26"/>
              </w:rPr>
              <w:t xml:space="preserve">LVL/gadā </w:t>
            </w:r>
            <w:r w:rsidRPr="008863EC">
              <w:rPr>
                <w:rFonts w:ascii="Times New Roman" w:hAnsi="Times New Roman" w:cs="Times New Roman"/>
                <w:sz w:val="26"/>
                <w:szCs w:val="26"/>
              </w:rPr>
              <w:t xml:space="preserve">= </w:t>
            </w:r>
            <w:r w:rsidRPr="008863EC">
              <w:rPr>
                <w:rFonts w:ascii="Times New Roman" w:hAnsi="Times New Roman" w:cs="Times New Roman"/>
                <w:b/>
                <w:sz w:val="26"/>
                <w:szCs w:val="26"/>
              </w:rPr>
              <w:t>4 620 LVL/gadā</w:t>
            </w:r>
            <w:r w:rsidRPr="008863EC">
              <w:rPr>
                <w:rFonts w:ascii="Times New Roman" w:hAnsi="Times New Roman" w:cs="Times New Roman"/>
                <w:sz w:val="26"/>
                <w:szCs w:val="26"/>
              </w:rPr>
              <w:t xml:space="preserve"> </w:t>
            </w: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Tā kā  4 800 </w:t>
            </w:r>
            <w:r w:rsidR="003A4EBF">
              <w:rPr>
                <w:rFonts w:ascii="Times New Roman" w:hAnsi="Times New Roman" w:cs="Times New Roman"/>
                <w:sz w:val="26"/>
                <w:szCs w:val="26"/>
              </w:rPr>
              <w:t>LVL/gadā</w:t>
            </w:r>
            <w:r w:rsidRPr="008863EC">
              <w:rPr>
                <w:rFonts w:ascii="Times New Roman" w:hAnsi="Times New Roman" w:cs="Times New Roman"/>
                <w:sz w:val="26"/>
                <w:szCs w:val="26"/>
              </w:rPr>
              <w:t>&gt;</w:t>
            </w:r>
            <w:r w:rsidRPr="008863EC">
              <w:rPr>
                <w:rFonts w:ascii="Times New Roman" w:hAnsi="Times New Roman" w:cs="Times New Roman"/>
                <w:b/>
                <w:sz w:val="26"/>
                <w:szCs w:val="26"/>
              </w:rPr>
              <w:t> GI 4 620 LVL</w:t>
            </w:r>
            <w:r w:rsidR="003A4EBF">
              <w:rPr>
                <w:rFonts w:ascii="Times New Roman" w:hAnsi="Times New Roman" w:cs="Times New Roman"/>
                <w:b/>
                <w:sz w:val="26"/>
                <w:szCs w:val="26"/>
              </w:rPr>
              <w:t>/</w:t>
            </w:r>
            <w:r w:rsidRPr="008863EC">
              <w:rPr>
                <w:rFonts w:ascii="Times New Roman" w:hAnsi="Times New Roman" w:cs="Times New Roman"/>
                <w:b/>
                <w:sz w:val="26"/>
                <w:szCs w:val="26"/>
              </w:rPr>
              <w:t xml:space="preserve">gadā </w:t>
            </w:r>
            <w:r w:rsidRPr="008863EC">
              <w:rPr>
                <w:rFonts w:ascii="Times New Roman" w:hAnsi="Times New Roman" w:cs="Times New Roman"/>
                <w:sz w:val="26"/>
                <w:szCs w:val="26"/>
              </w:rPr>
              <w:t>&gt; 2</w:t>
            </w:r>
            <w:r w:rsidR="003A4EBF">
              <w:rPr>
                <w:rFonts w:ascii="Times New Roman" w:hAnsi="Times New Roman" w:cs="Times New Roman"/>
                <w:sz w:val="26"/>
                <w:szCs w:val="26"/>
              </w:rPr>
              <w:t> </w:t>
            </w:r>
            <w:r w:rsidRPr="008863EC">
              <w:rPr>
                <w:rFonts w:ascii="Times New Roman" w:hAnsi="Times New Roman" w:cs="Times New Roman"/>
                <w:sz w:val="26"/>
                <w:szCs w:val="26"/>
              </w:rPr>
              <w:t>700</w:t>
            </w:r>
            <w:r w:rsidR="003A4EBF">
              <w:rPr>
                <w:rFonts w:ascii="Times New Roman" w:hAnsi="Times New Roman" w:cs="Times New Roman"/>
                <w:sz w:val="26"/>
                <w:szCs w:val="26"/>
              </w:rPr>
              <w:t> LVL/gadā</w:t>
            </w:r>
            <w:r w:rsidRPr="008863EC">
              <w:rPr>
                <w:rFonts w:ascii="Times New Roman" w:hAnsi="Times New Roman" w:cs="Times New Roman"/>
                <w:sz w:val="26"/>
                <w:szCs w:val="26"/>
              </w:rPr>
              <w:t>, tad gada neapliekam</w:t>
            </w:r>
            <w:r w:rsidR="00E02CD1">
              <w:rPr>
                <w:rFonts w:ascii="Times New Roman" w:hAnsi="Times New Roman" w:cs="Times New Roman"/>
                <w:sz w:val="26"/>
                <w:szCs w:val="26"/>
              </w:rPr>
              <w:t>o</w:t>
            </w:r>
            <w:r w:rsidRPr="008863EC">
              <w:rPr>
                <w:rFonts w:ascii="Times New Roman" w:hAnsi="Times New Roman" w:cs="Times New Roman"/>
                <w:sz w:val="26"/>
                <w:szCs w:val="26"/>
              </w:rPr>
              <w:t xml:space="preserve"> minimumu aprēķina pēc formulas</w:t>
            </w:r>
            <w:r w:rsidR="00FF4D4A">
              <w:rPr>
                <w:rFonts w:ascii="Times New Roman" w:hAnsi="Times New Roman" w:cs="Times New Roman"/>
                <w:sz w:val="26"/>
                <w:szCs w:val="26"/>
              </w:rPr>
              <w:t xml:space="preserve"> (</w:t>
            </w:r>
            <w:r w:rsidR="00FF4D4A" w:rsidRPr="00FF4D4A">
              <w:rPr>
                <w:rFonts w:ascii="Times New Roman" w:hAnsi="Times New Roman" w:cs="Times New Roman"/>
                <w:i/>
                <w:sz w:val="26"/>
                <w:szCs w:val="26"/>
              </w:rPr>
              <w:t>aprēķinot GNM, dividendes netiek ņemtas vērā, jo tām neapliekamais minimums netiek piemērots</w:t>
            </w:r>
            <w:r w:rsidR="00FF4D4A">
              <w:rPr>
                <w:rFonts w:ascii="Times New Roman" w:hAnsi="Times New Roman" w:cs="Times New Roman"/>
                <w:sz w:val="26"/>
                <w:szCs w:val="26"/>
              </w:rPr>
              <w:t>)</w:t>
            </w:r>
            <w:r w:rsidRPr="008863EC">
              <w:rPr>
                <w:rFonts w:ascii="Times New Roman" w:hAnsi="Times New Roman" w:cs="Times New Roman"/>
                <w:sz w:val="26"/>
                <w:szCs w:val="26"/>
              </w:rPr>
              <w:t xml:space="preserve">: </w:t>
            </w:r>
          </w:p>
          <w:p w:rsidR="001D794D" w:rsidRPr="008863EC" w:rsidRDefault="001D794D" w:rsidP="001D794D">
            <w:pPr>
              <w:rPr>
                <w:rFonts w:ascii="Times New Roman" w:hAnsi="Times New Roman" w:cs="Times New Roman"/>
                <w:sz w:val="26"/>
                <w:szCs w:val="26"/>
              </w:rPr>
            </w:pPr>
            <w:r w:rsidRPr="008863EC">
              <w:rPr>
                <w:rFonts w:ascii="Times New Roman" w:hAnsi="Times New Roman" w:cs="Times New Roman"/>
                <w:b/>
                <w:sz w:val="26"/>
                <w:szCs w:val="26"/>
              </w:rPr>
              <w:t>GNM</w:t>
            </w:r>
            <w:r w:rsidRPr="008863EC">
              <w:rPr>
                <w:rFonts w:ascii="Times New Roman" w:hAnsi="Times New Roman" w:cs="Times New Roman"/>
                <w:sz w:val="26"/>
                <w:szCs w:val="26"/>
              </w:rPr>
              <w:t xml:space="preserve">= [1 008 – 0,22 x (360 x 12 – 2 700)] = </w:t>
            </w:r>
            <w:r w:rsidRPr="008863EC">
              <w:rPr>
                <w:rFonts w:ascii="Times New Roman" w:hAnsi="Times New Roman" w:cs="Times New Roman"/>
                <w:b/>
                <w:sz w:val="26"/>
                <w:szCs w:val="26"/>
              </w:rPr>
              <w:t>651,60 LVL/gadā</w:t>
            </w:r>
            <w:r w:rsidRPr="008863EC">
              <w:rPr>
                <w:rFonts w:ascii="Times New Roman" w:hAnsi="Times New Roman" w:cs="Times New Roman"/>
                <w:sz w:val="26"/>
                <w:szCs w:val="26"/>
              </w:rPr>
              <w:t xml:space="preserve"> (54,30 LVL</w:t>
            </w:r>
            <w:r w:rsidR="003A4EBF">
              <w:rPr>
                <w:rFonts w:ascii="Times New Roman" w:hAnsi="Times New Roman" w:cs="Times New Roman"/>
                <w:sz w:val="26"/>
                <w:szCs w:val="26"/>
              </w:rPr>
              <w:t>/</w:t>
            </w:r>
            <w:r w:rsidRPr="008863EC">
              <w:rPr>
                <w:rFonts w:ascii="Times New Roman" w:hAnsi="Times New Roman" w:cs="Times New Roman"/>
                <w:sz w:val="26"/>
                <w:szCs w:val="26"/>
              </w:rPr>
              <w:t>mēnesī)</w:t>
            </w:r>
          </w:p>
          <w:p w:rsidR="001D794D" w:rsidRPr="008863EC" w:rsidRDefault="001D794D" w:rsidP="001D794D">
            <w:pPr>
              <w:ind w:left="567"/>
              <w:rPr>
                <w:rFonts w:ascii="Times New Roman" w:hAnsi="Times New Roman" w:cs="Times New Roman"/>
                <w:b/>
                <w:i/>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 xml:space="preserve">VID veic IIN pārrēķinu un pārmaksāto nodokli atmaksā A.Kalniņam uz bankas kontu: </w:t>
            </w:r>
          </w:p>
          <w:p w:rsidR="001D794D" w:rsidRPr="008863EC" w:rsidRDefault="001D794D" w:rsidP="001D794D">
            <w:pPr>
              <w:rPr>
                <w:rFonts w:ascii="Times New Roman" w:hAnsi="Times New Roman" w:cs="Times New Roman"/>
                <w:sz w:val="26"/>
                <w:szCs w:val="26"/>
              </w:rPr>
            </w:pPr>
            <w:r w:rsidRPr="008863EC">
              <w:rPr>
                <w:rFonts w:ascii="Times New Roman" w:hAnsi="Times New Roman" w:cs="Times New Roman"/>
                <w:b/>
                <w:sz w:val="26"/>
                <w:szCs w:val="26"/>
              </w:rPr>
              <w:t xml:space="preserve">IIN </w:t>
            </w:r>
            <w:r w:rsidRPr="008863EC">
              <w:rPr>
                <w:rFonts w:ascii="Times New Roman" w:hAnsi="Times New Roman" w:cs="Times New Roman"/>
                <w:sz w:val="26"/>
                <w:szCs w:val="26"/>
              </w:rPr>
              <w:t>(</w:t>
            </w:r>
            <w:r w:rsidRPr="008863EC">
              <w:rPr>
                <w:rFonts w:ascii="Times New Roman" w:hAnsi="Times New Roman" w:cs="Times New Roman"/>
                <w:i/>
                <w:sz w:val="26"/>
                <w:szCs w:val="26"/>
              </w:rPr>
              <w:t>aprēķins uzņēmuma grāmatvedībā</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 xml:space="preserve">= (360 – 360 x 11% – 45) x 22% = </w:t>
            </w:r>
          </w:p>
          <w:p w:rsidR="001D794D" w:rsidRPr="008863EC" w:rsidRDefault="001D794D" w:rsidP="001D794D">
            <w:pPr>
              <w:spacing w:after="120"/>
              <w:rPr>
                <w:rFonts w:ascii="Times New Roman" w:hAnsi="Times New Roman" w:cs="Times New Roman"/>
                <w:b/>
                <w:sz w:val="26"/>
                <w:szCs w:val="26"/>
              </w:rPr>
            </w:pPr>
            <w:r w:rsidRPr="008863EC">
              <w:rPr>
                <w:rFonts w:ascii="Times New Roman" w:hAnsi="Times New Roman" w:cs="Times New Roman"/>
                <w:sz w:val="26"/>
                <w:szCs w:val="26"/>
              </w:rPr>
              <w:t xml:space="preserve">= </w:t>
            </w:r>
            <w:r w:rsidRPr="008863EC">
              <w:rPr>
                <w:rFonts w:ascii="Times New Roman" w:hAnsi="Times New Roman" w:cs="Times New Roman"/>
                <w:b/>
                <w:sz w:val="26"/>
                <w:szCs w:val="26"/>
              </w:rPr>
              <w:t xml:space="preserve">60,59 LVL/mēnesī </w:t>
            </w:r>
            <w:r w:rsidRPr="008863EC">
              <w:rPr>
                <w:rFonts w:ascii="Times New Roman" w:hAnsi="Times New Roman" w:cs="Times New Roman"/>
                <w:sz w:val="26"/>
                <w:szCs w:val="26"/>
              </w:rPr>
              <w:t>(727,08 LVL</w:t>
            </w:r>
            <w:r w:rsidR="003A4EBF">
              <w:rPr>
                <w:rFonts w:ascii="Times New Roman" w:hAnsi="Times New Roman" w:cs="Times New Roman"/>
                <w:sz w:val="26"/>
                <w:szCs w:val="26"/>
              </w:rPr>
              <w:t>/</w:t>
            </w:r>
            <w:r w:rsidRPr="008863EC">
              <w:rPr>
                <w:rFonts w:ascii="Times New Roman" w:hAnsi="Times New Roman" w:cs="Times New Roman"/>
                <w:sz w:val="26"/>
                <w:szCs w:val="26"/>
              </w:rPr>
              <w:t>gadā)</w:t>
            </w:r>
          </w:p>
          <w:p w:rsidR="001D794D" w:rsidRPr="008863EC" w:rsidRDefault="001D794D" w:rsidP="001D794D">
            <w:pPr>
              <w:spacing w:after="120"/>
              <w:rPr>
                <w:rFonts w:ascii="Times New Roman" w:hAnsi="Times New Roman" w:cs="Times New Roman"/>
                <w:sz w:val="26"/>
                <w:szCs w:val="26"/>
              </w:rPr>
            </w:pPr>
            <w:r w:rsidRPr="008863EC">
              <w:rPr>
                <w:rFonts w:ascii="Times New Roman" w:hAnsi="Times New Roman" w:cs="Times New Roman"/>
                <w:b/>
                <w:sz w:val="26"/>
                <w:szCs w:val="26"/>
              </w:rPr>
              <w:t xml:space="preserve">IIN </w:t>
            </w:r>
            <w:r w:rsidRPr="008863EC">
              <w:rPr>
                <w:rFonts w:ascii="Times New Roman" w:hAnsi="Times New Roman" w:cs="Times New Roman"/>
                <w:sz w:val="26"/>
                <w:szCs w:val="26"/>
              </w:rPr>
              <w:t>(</w:t>
            </w:r>
            <w:r w:rsidRPr="008863EC">
              <w:rPr>
                <w:rFonts w:ascii="Times New Roman" w:hAnsi="Times New Roman" w:cs="Times New Roman"/>
                <w:i/>
                <w:sz w:val="26"/>
                <w:szCs w:val="26"/>
              </w:rPr>
              <w:t>VID pārrēķins</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w:t>
            </w:r>
            <w:r w:rsidRPr="008863EC">
              <w:rPr>
                <w:rFonts w:ascii="Times New Roman" w:hAnsi="Times New Roman" w:cs="Times New Roman"/>
                <w:b/>
                <w:sz w:val="26"/>
                <w:szCs w:val="26"/>
              </w:rPr>
              <w:t xml:space="preserve"> </w:t>
            </w:r>
            <w:r w:rsidRPr="008863EC">
              <w:rPr>
                <w:rFonts w:ascii="Times New Roman" w:hAnsi="Times New Roman" w:cs="Times New Roman"/>
                <w:sz w:val="26"/>
                <w:szCs w:val="26"/>
              </w:rPr>
              <w:t xml:space="preserve">(360 x 12 – 360 x 12 x 11% – 651,60) x 22% = </w:t>
            </w:r>
            <w:r w:rsidRPr="008863EC">
              <w:rPr>
                <w:rFonts w:ascii="Times New Roman" w:hAnsi="Times New Roman" w:cs="Times New Roman"/>
                <w:b/>
                <w:sz w:val="26"/>
                <w:szCs w:val="26"/>
              </w:rPr>
              <w:t>702,50 LVL/gadā</w:t>
            </w:r>
            <w:r w:rsidRPr="008863EC">
              <w:rPr>
                <w:rFonts w:ascii="Times New Roman" w:hAnsi="Times New Roman" w:cs="Times New Roman"/>
                <w:sz w:val="26"/>
                <w:szCs w:val="26"/>
              </w:rPr>
              <w:t xml:space="preserve">    </w:t>
            </w:r>
          </w:p>
          <w:p w:rsidR="001D794D" w:rsidRDefault="001D794D" w:rsidP="001D794D">
            <w:pPr>
              <w:pStyle w:val="ListParagraph"/>
              <w:ind w:left="0"/>
              <w:jc w:val="both"/>
              <w:rPr>
                <w:rFonts w:ascii="Times New Roman" w:hAnsi="Times New Roman" w:cs="Times New Roman"/>
                <w:color w:val="C00000"/>
                <w:sz w:val="26"/>
                <w:szCs w:val="26"/>
              </w:rPr>
            </w:pPr>
            <w:r w:rsidRPr="008863EC">
              <w:rPr>
                <w:rFonts w:ascii="Times New Roman" w:hAnsi="Times New Roman" w:cs="Times New Roman"/>
                <w:b/>
                <w:color w:val="C00000"/>
                <w:sz w:val="26"/>
                <w:szCs w:val="26"/>
              </w:rPr>
              <w:t>IIN pārmaksa</w:t>
            </w:r>
            <w:r w:rsidRPr="008863EC">
              <w:rPr>
                <w:rFonts w:ascii="Times New Roman" w:hAnsi="Times New Roman" w:cs="Times New Roman"/>
                <w:color w:val="C00000"/>
                <w:sz w:val="26"/>
                <w:szCs w:val="26"/>
              </w:rPr>
              <w:t xml:space="preserve"> </w:t>
            </w:r>
            <w:r w:rsidRPr="008863EC">
              <w:rPr>
                <w:rFonts w:ascii="Times New Roman" w:hAnsi="Times New Roman" w:cs="Times New Roman"/>
                <w:sz w:val="26"/>
                <w:szCs w:val="26"/>
              </w:rPr>
              <w:t xml:space="preserve">= 727,08 – 702,50 = </w:t>
            </w:r>
            <w:r w:rsidRPr="008863EC">
              <w:rPr>
                <w:rFonts w:ascii="Times New Roman" w:hAnsi="Times New Roman" w:cs="Times New Roman"/>
                <w:b/>
                <w:color w:val="C00000"/>
                <w:sz w:val="26"/>
                <w:szCs w:val="26"/>
              </w:rPr>
              <w:t>24,58 LVL</w:t>
            </w:r>
            <w:r w:rsidRPr="008863EC">
              <w:rPr>
                <w:rFonts w:ascii="Times New Roman" w:hAnsi="Times New Roman" w:cs="Times New Roman"/>
                <w:color w:val="C00000"/>
                <w:sz w:val="26"/>
                <w:szCs w:val="26"/>
              </w:rPr>
              <w:t xml:space="preserve">  </w:t>
            </w:r>
          </w:p>
          <w:p w:rsidR="001D794D" w:rsidRDefault="001D794D" w:rsidP="001D794D">
            <w:pPr>
              <w:pStyle w:val="ListParagraph"/>
              <w:ind w:left="0"/>
              <w:jc w:val="both"/>
              <w:rPr>
                <w:rFonts w:ascii="Times New Roman" w:hAnsi="Times New Roman" w:cs="Times New Roman"/>
                <w:color w:val="C00000"/>
                <w:sz w:val="26"/>
                <w:szCs w:val="26"/>
              </w:rPr>
            </w:pPr>
          </w:p>
          <w:p w:rsidR="00265283" w:rsidRPr="008863EC" w:rsidRDefault="00265283" w:rsidP="00265283">
            <w:pPr>
              <w:pStyle w:val="ListParagraph"/>
              <w:ind w:left="0"/>
              <w:jc w:val="center"/>
              <w:rPr>
                <w:rFonts w:ascii="Times New Roman" w:hAnsi="Times New Roman" w:cs="Times New Roman"/>
                <w:b/>
                <w:sz w:val="26"/>
                <w:szCs w:val="26"/>
              </w:rPr>
            </w:pPr>
            <w:r w:rsidRPr="008863EC">
              <w:rPr>
                <w:rFonts w:ascii="Times New Roman" w:hAnsi="Times New Roman" w:cs="Times New Roman"/>
                <w:b/>
                <w:sz w:val="26"/>
                <w:szCs w:val="26"/>
              </w:rPr>
              <w:lastRenderedPageBreak/>
              <w:t>3.piemērs</w:t>
            </w:r>
          </w:p>
          <w:p w:rsidR="00265283" w:rsidRPr="008863EC" w:rsidRDefault="00265283" w:rsidP="00265283">
            <w:pPr>
              <w:pStyle w:val="ListParagraph"/>
              <w:ind w:left="0" w:firstLine="567"/>
              <w:jc w:val="center"/>
              <w:rPr>
                <w:rFonts w:ascii="Times New Roman" w:hAnsi="Times New Roman" w:cs="Times New Roman"/>
                <w:b/>
                <w:sz w:val="26"/>
                <w:szCs w:val="26"/>
              </w:rPr>
            </w:pPr>
          </w:p>
          <w:p w:rsidR="001D794D" w:rsidRPr="008863EC" w:rsidRDefault="004E2C37" w:rsidP="001D794D">
            <w:pPr>
              <w:pStyle w:val="ListParagraph"/>
              <w:ind w:left="0"/>
              <w:jc w:val="both"/>
              <w:rPr>
                <w:rFonts w:ascii="Times New Roman" w:hAnsi="Times New Roman" w:cs="Times New Roman"/>
                <w:b/>
                <w:sz w:val="26"/>
                <w:szCs w:val="26"/>
              </w:rPr>
            </w:pPr>
            <w:r w:rsidRPr="008863EC">
              <w:rPr>
                <w:rFonts w:ascii="Times New Roman" w:hAnsi="Times New Roman" w:cs="Times New Roman"/>
                <w:sz w:val="26"/>
                <w:szCs w:val="26"/>
              </w:rPr>
              <w:t xml:space="preserve">  </w:t>
            </w:r>
            <w:r w:rsidR="001D794D" w:rsidRPr="008863EC">
              <w:rPr>
                <w:rFonts w:ascii="Times New Roman" w:hAnsi="Times New Roman" w:cs="Times New Roman"/>
                <w:b/>
                <w:sz w:val="26"/>
                <w:szCs w:val="26"/>
              </w:rPr>
              <w:t>Nodokļu maksātājs A.Kalniņš strādā algotā darbā pie darba devēja X un saņem minimālo darba algu 225 L</w:t>
            </w:r>
            <w:r w:rsidR="008E35FB">
              <w:rPr>
                <w:rFonts w:ascii="Times New Roman" w:hAnsi="Times New Roman" w:cs="Times New Roman"/>
                <w:b/>
                <w:sz w:val="26"/>
                <w:szCs w:val="26"/>
              </w:rPr>
              <w:t>VL</w:t>
            </w:r>
            <w:r w:rsidR="001D794D" w:rsidRPr="008863EC">
              <w:rPr>
                <w:rFonts w:ascii="Times New Roman" w:hAnsi="Times New Roman" w:cs="Times New Roman"/>
                <w:b/>
                <w:sz w:val="26"/>
                <w:szCs w:val="26"/>
              </w:rPr>
              <w:t>/mēnesī. Papildus A.Kalniņš saņem dividendes no uzņēmuma Y 3000 L</w:t>
            </w:r>
            <w:r w:rsidR="008E35FB">
              <w:rPr>
                <w:rFonts w:ascii="Times New Roman" w:hAnsi="Times New Roman" w:cs="Times New Roman"/>
                <w:b/>
                <w:sz w:val="26"/>
                <w:szCs w:val="26"/>
              </w:rPr>
              <w:t>VL</w:t>
            </w:r>
            <w:r w:rsidR="001D794D" w:rsidRPr="008863EC">
              <w:rPr>
                <w:rFonts w:ascii="Times New Roman" w:hAnsi="Times New Roman" w:cs="Times New Roman"/>
                <w:b/>
                <w:sz w:val="26"/>
                <w:szCs w:val="26"/>
              </w:rPr>
              <w:t>/gadā. Darba vietā ir iesniegta algas nodokļa grāmatiņa un tiek piemērots neapliekamais minimums 45 L</w:t>
            </w:r>
            <w:r w:rsidR="008E35FB">
              <w:rPr>
                <w:rFonts w:ascii="Times New Roman" w:hAnsi="Times New Roman" w:cs="Times New Roman"/>
                <w:b/>
                <w:sz w:val="26"/>
                <w:szCs w:val="26"/>
              </w:rPr>
              <w:t>VL</w:t>
            </w:r>
            <w:r w:rsidR="001D794D" w:rsidRPr="008863EC">
              <w:rPr>
                <w:rFonts w:ascii="Times New Roman" w:hAnsi="Times New Roman" w:cs="Times New Roman"/>
                <w:b/>
                <w:sz w:val="26"/>
                <w:szCs w:val="26"/>
              </w:rPr>
              <w:t>/mēnesī apmērā. A.Kalniņam nav apgādībā esošu personu.</w:t>
            </w:r>
          </w:p>
          <w:p w:rsidR="001D794D" w:rsidRPr="008863EC" w:rsidRDefault="001D794D" w:rsidP="001D794D">
            <w:pPr>
              <w:pStyle w:val="ListParagraph"/>
              <w:spacing w:after="120"/>
              <w:ind w:left="0" w:firstLine="567"/>
              <w:rPr>
                <w:rFonts w:ascii="Times New Roman" w:hAnsi="Times New Roman" w:cs="Times New Roman"/>
                <w:sz w:val="26"/>
                <w:szCs w:val="26"/>
              </w:rPr>
            </w:pPr>
          </w:p>
          <w:p w:rsidR="001D794D" w:rsidRPr="008863EC" w:rsidRDefault="001D794D" w:rsidP="001D794D">
            <w:pPr>
              <w:spacing w:after="120"/>
              <w:jc w:val="both"/>
              <w:rPr>
                <w:rFonts w:ascii="Times New Roman" w:hAnsi="Times New Roman" w:cs="Times New Roman"/>
                <w:sz w:val="26"/>
                <w:szCs w:val="26"/>
              </w:rPr>
            </w:pPr>
            <w:r w:rsidRPr="008863EC">
              <w:rPr>
                <w:rFonts w:ascii="Times New Roman" w:hAnsi="Times New Roman" w:cs="Times New Roman"/>
                <w:sz w:val="26"/>
                <w:szCs w:val="26"/>
              </w:rPr>
              <w:t>A.Kalniņa gada ienākums ir:</w:t>
            </w:r>
          </w:p>
          <w:p w:rsidR="001D794D" w:rsidRPr="008863EC" w:rsidRDefault="001D794D" w:rsidP="001D794D">
            <w:pPr>
              <w:spacing w:after="120"/>
              <w:rPr>
                <w:rFonts w:ascii="Times New Roman" w:hAnsi="Times New Roman" w:cs="Times New Roman"/>
                <w:sz w:val="26"/>
                <w:szCs w:val="26"/>
              </w:rPr>
            </w:pPr>
            <w:r w:rsidRPr="008863EC">
              <w:rPr>
                <w:rFonts w:ascii="Times New Roman" w:hAnsi="Times New Roman" w:cs="Times New Roman"/>
                <w:b/>
                <w:sz w:val="26"/>
                <w:szCs w:val="26"/>
              </w:rPr>
              <w:t>GI</w:t>
            </w:r>
            <w:r w:rsidRPr="008863EC">
              <w:rPr>
                <w:rFonts w:ascii="Times New Roman" w:hAnsi="Times New Roman" w:cs="Times New Roman"/>
                <w:sz w:val="26"/>
                <w:szCs w:val="26"/>
              </w:rPr>
              <w:t xml:space="preserve"> = 225 </w:t>
            </w:r>
            <w:r w:rsidR="008E35FB">
              <w:rPr>
                <w:rFonts w:ascii="Times New Roman" w:hAnsi="Times New Roman" w:cs="Times New Roman"/>
                <w:sz w:val="26"/>
                <w:szCs w:val="26"/>
              </w:rPr>
              <w:t xml:space="preserve">LVL/mēnesī </w:t>
            </w:r>
            <w:r w:rsidRPr="008863EC">
              <w:rPr>
                <w:rFonts w:ascii="Times New Roman" w:hAnsi="Times New Roman" w:cs="Times New Roman"/>
                <w:sz w:val="26"/>
                <w:szCs w:val="26"/>
              </w:rPr>
              <w:t xml:space="preserve">x 12 + 3000 </w:t>
            </w:r>
            <w:r w:rsidR="003A4EBF">
              <w:rPr>
                <w:rFonts w:ascii="Times New Roman" w:hAnsi="Times New Roman" w:cs="Times New Roman"/>
                <w:sz w:val="26"/>
                <w:szCs w:val="26"/>
              </w:rPr>
              <w:t xml:space="preserve">LVL/gadā </w:t>
            </w:r>
            <w:r w:rsidRPr="008863EC">
              <w:rPr>
                <w:rFonts w:ascii="Times New Roman" w:hAnsi="Times New Roman" w:cs="Times New Roman"/>
                <w:sz w:val="26"/>
                <w:szCs w:val="26"/>
              </w:rPr>
              <w:t xml:space="preserve">= </w:t>
            </w:r>
            <w:r w:rsidRPr="008863EC">
              <w:rPr>
                <w:rFonts w:ascii="Times New Roman" w:hAnsi="Times New Roman" w:cs="Times New Roman"/>
                <w:b/>
                <w:sz w:val="26"/>
                <w:szCs w:val="26"/>
              </w:rPr>
              <w:t>5 700 LVL/gadā</w:t>
            </w:r>
            <w:r w:rsidRPr="008863EC">
              <w:rPr>
                <w:rFonts w:ascii="Times New Roman" w:hAnsi="Times New Roman" w:cs="Times New Roman"/>
                <w:sz w:val="26"/>
                <w:szCs w:val="26"/>
              </w:rPr>
              <w:t xml:space="preserve"> </w:t>
            </w:r>
          </w:p>
          <w:p w:rsidR="001D794D" w:rsidRPr="003F34A2" w:rsidRDefault="001D794D" w:rsidP="001D794D">
            <w:pPr>
              <w:spacing w:after="120"/>
              <w:jc w:val="both"/>
              <w:rPr>
                <w:rFonts w:ascii="Times New Roman" w:hAnsi="Times New Roman" w:cs="Times New Roman"/>
                <w:sz w:val="26"/>
                <w:szCs w:val="26"/>
              </w:rPr>
            </w:pPr>
            <w:r w:rsidRPr="003F34A2">
              <w:rPr>
                <w:rFonts w:ascii="Times New Roman" w:hAnsi="Times New Roman" w:cs="Times New Roman"/>
                <w:sz w:val="26"/>
                <w:szCs w:val="26"/>
              </w:rPr>
              <w:t xml:space="preserve">Tā kā  </w:t>
            </w:r>
            <w:r w:rsidRPr="003F34A2">
              <w:rPr>
                <w:rFonts w:ascii="Times New Roman" w:hAnsi="Times New Roman" w:cs="Times New Roman"/>
                <w:b/>
                <w:sz w:val="26"/>
                <w:szCs w:val="26"/>
              </w:rPr>
              <w:t>GI 5 700 LVL</w:t>
            </w:r>
            <w:r w:rsidR="003A4EBF" w:rsidRPr="003F34A2">
              <w:rPr>
                <w:rFonts w:ascii="Times New Roman" w:hAnsi="Times New Roman" w:cs="Times New Roman"/>
                <w:b/>
                <w:sz w:val="26"/>
                <w:szCs w:val="26"/>
              </w:rPr>
              <w:t>/</w:t>
            </w:r>
            <w:r w:rsidRPr="003F34A2">
              <w:rPr>
                <w:rFonts w:ascii="Times New Roman" w:hAnsi="Times New Roman" w:cs="Times New Roman"/>
                <w:b/>
                <w:sz w:val="26"/>
                <w:szCs w:val="26"/>
              </w:rPr>
              <w:t xml:space="preserve">gadā </w:t>
            </w:r>
            <w:r w:rsidRPr="003F34A2">
              <w:rPr>
                <w:rFonts w:ascii="Times New Roman" w:hAnsi="Times New Roman" w:cs="Times New Roman"/>
                <w:sz w:val="26"/>
                <w:szCs w:val="26"/>
              </w:rPr>
              <w:t>&gt; 4</w:t>
            </w:r>
            <w:r w:rsidR="003A4EBF" w:rsidRPr="003F34A2">
              <w:rPr>
                <w:rFonts w:ascii="Times New Roman" w:hAnsi="Times New Roman" w:cs="Times New Roman"/>
                <w:sz w:val="26"/>
                <w:szCs w:val="26"/>
              </w:rPr>
              <w:t> </w:t>
            </w:r>
            <w:r w:rsidRPr="003F34A2">
              <w:rPr>
                <w:rFonts w:ascii="Times New Roman" w:hAnsi="Times New Roman" w:cs="Times New Roman"/>
                <w:sz w:val="26"/>
                <w:szCs w:val="26"/>
              </w:rPr>
              <w:t>800</w:t>
            </w:r>
            <w:r w:rsidR="003A4EBF" w:rsidRPr="003F34A2">
              <w:rPr>
                <w:rFonts w:ascii="Times New Roman" w:hAnsi="Times New Roman" w:cs="Times New Roman"/>
                <w:sz w:val="26"/>
                <w:szCs w:val="26"/>
              </w:rPr>
              <w:t> LVL/gadā</w:t>
            </w:r>
            <w:r w:rsidRPr="003F34A2">
              <w:rPr>
                <w:rFonts w:ascii="Times New Roman" w:hAnsi="Times New Roman" w:cs="Times New Roman"/>
                <w:sz w:val="26"/>
                <w:szCs w:val="26"/>
              </w:rPr>
              <w:t xml:space="preserve">, tad </w:t>
            </w:r>
            <w:r w:rsidR="003F34A2" w:rsidRPr="003F34A2">
              <w:rPr>
                <w:rFonts w:ascii="Times New Roman" w:hAnsi="Times New Roman" w:cs="Times New Roman"/>
                <w:sz w:val="26"/>
                <w:szCs w:val="26"/>
              </w:rPr>
              <w:t>A.Kalniņam tiek piemērots neapliekamais minimums 45 LVL/mēnesī un tā rezultātā IIN pārmaksa neveidojas</w:t>
            </w:r>
            <w:r w:rsidRPr="003F34A2">
              <w:rPr>
                <w:rFonts w:ascii="Times New Roman" w:hAnsi="Times New Roman" w:cs="Times New Roman"/>
                <w:sz w:val="26"/>
                <w:szCs w:val="26"/>
              </w:rPr>
              <w:t xml:space="preserve">. </w:t>
            </w:r>
          </w:p>
          <w:p w:rsidR="000A66D0" w:rsidRPr="008863EC" w:rsidRDefault="000A66D0" w:rsidP="004E2C37">
            <w:pPr>
              <w:ind w:firstLine="567"/>
              <w:rPr>
                <w:rFonts w:ascii="Times New Roman" w:hAnsi="Times New Roman" w:cs="Times New Roman"/>
                <w:sz w:val="26"/>
                <w:szCs w:val="26"/>
              </w:rPr>
            </w:pPr>
          </w:p>
        </w:tc>
      </w:tr>
    </w:tbl>
    <w:p w:rsidR="008863EC" w:rsidRDefault="008863EC" w:rsidP="00495BC0">
      <w:pPr>
        <w:pStyle w:val="ListParagraph"/>
        <w:spacing w:before="120" w:after="60" w:line="240" w:lineRule="auto"/>
        <w:ind w:left="0"/>
        <w:rPr>
          <w:rFonts w:ascii="Times New Roman" w:hAnsi="Times New Roman" w:cs="Times New Roman"/>
          <w:sz w:val="24"/>
          <w:szCs w:val="24"/>
        </w:rPr>
      </w:pPr>
      <w:r w:rsidRPr="000F144F">
        <w:rPr>
          <w:rFonts w:ascii="Times New Roman" w:hAnsi="Times New Roman" w:cs="Times New Roman"/>
          <w:b/>
          <w:i/>
          <w:sz w:val="24"/>
          <w:szCs w:val="24"/>
        </w:rPr>
        <w:lastRenderedPageBreak/>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0A66D0" w:rsidRPr="005E3061" w:rsidRDefault="000A66D0" w:rsidP="00F86632">
      <w:pPr>
        <w:spacing w:after="0" w:line="240" w:lineRule="auto"/>
        <w:ind w:firstLine="567"/>
        <w:rPr>
          <w:rFonts w:ascii="Times New Roman" w:hAnsi="Times New Roman" w:cs="Times New Roman"/>
          <w:sz w:val="28"/>
          <w:szCs w:val="28"/>
        </w:rPr>
      </w:pPr>
    </w:p>
    <w:p w:rsidR="00E333BB" w:rsidRDefault="00E333BB" w:rsidP="00E33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B51381">
        <w:rPr>
          <w:rFonts w:ascii="Times New Roman" w:hAnsi="Times New Roman" w:cs="Times New Roman"/>
          <w:b/>
          <w:sz w:val="24"/>
          <w:szCs w:val="24"/>
        </w:rPr>
        <w:t>.tab.</w:t>
      </w:r>
      <w:r w:rsidRPr="00B51381">
        <w:rPr>
          <w:rFonts w:ascii="Times New Roman" w:hAnsi="Times New Roman" w:cs="Times New Roman"/>
          <w:b/>
          <w:sz w:val="24"/>
          <w:szCs w:val="24"/>
        </w:rPr>
        <w:tab/>
      </w:r>
      <w:r>
        <w:rPr>
          <w:rFonts w:ascii="Times New Roman" w:hAnsi="Times New Roman" w:cs="Times New Roman"/>
          <w:b/>
          <w:sz w:val="24"/>
          <w:szCs w:val="24"/>
        </w:rPr>
        <w:t xml:space="preserve">Fiskālā ietekme uz valsts kopbudžetu 2015.gadā </w:t>
      </w:r>
      <w:r w:rsidRPr="00E333BB">
        <w:rPr>
          <w:rFonts w:ascii="Times New Roman" w:hAnsi="Times New Roman" w:cs="Times New Roman"/>
          <w:sz w:val="24"/>
          <w:szCs w:val="24"/>
        </w:rPr>
        <w:t>(ar viena gada nobīdi)</w:t>
      </w:r>
      <w:r>
        <w:rPr>
          <w:rFonts w:ascii="Times New Roman" w:hAnsi="Times New Roman" w:cs="Times New Roman"/>
          <w:b/>
          <w:sz w:val="24"/>
          <w:szCs w:val="24"/>
        </w:rPr>
        <w:t xml:space="preserve"> </w:t>
      </w:r>
    </w:p>
    <w:p w:rsidR="00E333BB" w:rsidRPr="00B51381" w:rsidRDefault="00E333BB" w:rsidP="00E333B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no neapliekamā minimuma diferencēšanas</w:t>
      </w:r>
    </w:p>
    <w:tbl>
      <w:tblPr>
        <w:tblStyle w:val="TableGrid"/>
        <w:tblW w:w="0" w:type="auto"/>
        <w:tblLayout w:type="fixed"/>
        <w:tblLook w:val="04A0" w:firstRow="1" w:lastRow="0" w:firstColumn="1" w:lastColumn="0" w:noHBand="0" w:noVBand="1"/>
      </w:tblPr>
      <w:tblGrid>
        <w:gridCol w:w="1668"/>
        <w:gridCol w:w="1088"/>
        <w:gridCol w:w="1038"/>
        <w:gridCol w:w="1978"/>
        <w:gridCol w:w="1388"/>
        <w:gridCol w:w="1397"/>
        <w:gridCol w:w="1351"/>
      </w:tblGrid>
      <w:tr w:rsidR="00E333BB" w:rsidRPr="00E333BB" w:rsidTr="00E333BB">
        <w:tc>
          <w:tcPr>
            <w:tcW w:w="166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E333BB" w:rsidRPr="00E333BB" w:rsidRDefault="00E333BB" w:rsidP="00277E41">
            <w:pPr>
              <w:jc w:val="both"/>
              <w:rPr>
                <w:rFonts w:ascii="Times New Roman" w:hAnsi="Times New Roman" w:cs="Times New Roman"/>
                <w:sz w:val="24"/>
                <w:szCs w:val="24"/>
              </w:rPr>
            </w:pPr>
            <w:r w:rsidRPr="00E333BB">
              <w:rPr>
                <w:rFonts w:ascii="Times New Roman" w:eastAsiaTheme="majorEastAsia" w:hAnsi="Times New Roman" w:cs="Times New Roman"/>
                <w:b/>
                <w:bCs/>
                <w:sz w:val="24"/>
                <w:szCs w:val="24"/>
              </w:rPr>
              <w:t>Darba alga</w:t>
            </w:r>
            <w:r>
              <w:rPr>
                <w:rFonts w:ascii="Times New Roman" w:eastAsiaTheme="majorEastAsia" w:hAnsi="Times New Roman" w:cs="Times New Roman"/>
                <w:b/>
                <w:bCs/>
                <w:sz w:val="24"/>
                <w:szCs w:val="24"/>
              </w:rPr>
              <w:t xml:space="preserve">, </w:t>
            </w:r>
            <w:r w:rsidRPr="00E333BB">
              <w:rPr>
                <w:rFonts w:ascii="Times New Roman" w:eastAsiaTheme="majorEastAsia" w:hAnsi="Times New Roman" w:cs="Times New Roman"/>
                <w:bCs/>
                <w:i/>
                <w:sz w:val="24"/>
                <w:szCs w:val="24"/>
              </w:rPr>
              <w:t>LVL/</w:t>
            </w:r>
            <w:proofErr w:type="spellStart"/>
            <w:r w:rsidRPr="00E333BB">
              <w:rPr>
                <w:rFonts w:ascii="Times New Roman" w:eastAsiaTheme="majorEastAsia" w:hAnsi="Times New Roman" w:cs="Times New Roman"/>
                <w:bCs/>
                <w:i/>
                <w:sz w:val="24"/>
                <w:szCs w:val="24"/>
              </w:rPr>
              <w:t>mēn</w:t>
            </w:r>
            <w:proofErr w:type="spellEnd"/>
            <w:r w:rsidRPr="00E333BB">
              <w:rPr>
                <w:rFonts w:ascii="Times New Roman" w:eastAsiaTheme="majorEastAsia" w:hAnsi="Times New Roman" w:cs="Times New Roman"/>
                <w:bCs/>
                <w:i/>
                <w:sz w:val="24"/>
                <w:szCs w:val="24"/>
              </w:rPr>
              <w:t>.</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333BB" w:rsidRPr="00E333BB" w:rsidRDefault="00E333BB" w:rsidP="00E333BB">
            <w:pPr>
              <w:jc w:val="center"/>
              <w:rPr>
                <w:rFonts w:ascii="Times New Roman" w:hAnsi="Times New Roman" w:cs="Times New Roman"/>
                <w:sz w:val="24"/>
                <w:szCs w:val="24"/>
              </w:rPr>
            </w:pPr>
            <w:r w:rsidRPr="00E333BB">
              <w:rPr>
                <w:rFonts w:ascii="Times New Roman" w:eastAsiaTheme="majorEastAsia" w:hAnsi="Times New Roman" w:cs="Times New Roman"/>
                <w:b/>
                <w:bCs/>
                <w:sz w:val="24"/>
                <w:szCs w:val="24"/>
              </w:rPr>
              <w:t>Iedzīvotāju skaits,</w:t>
            </w:r>
          </w:p>
        </w:tc>
        <w:tc>
          <w:tcPr>
            <w:tcW w:w="197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333BB" w:rsidRPr="00E333BB" w:rsidRDefault="00E333BB" w:rsidP="00277E41">
            <w:pPr>
              <w:jc w:val="center"/>
              <w:rPr>
                <w:rFonts w:ascii="Times New Roman" w:eastAsiaTheme="majorEastAsia" w:hAnsi="Times New Roman" w:cs="Times New Roman"/>
                <w:b/>
                <w:bCs/>
                <w:sz w:val="24"/>
                <w:szCs w:val="24"/>
              </w:rPr>
            </w:pPr>
            <w:r w:rsidRPr="00E333BB">
              <w:rPr>
                <w:rFonts w:ascii="Times New Roman" w:eastAsiaTheme="majorEastAsia" w:hAnsi="Times New Roman" w:cs="Times New Roman"/>
                <w:b/>
                <w:bCs/>
                <w:sz w:val="24"/>
                <w:szCs w:val="24"/>
              </w:rPr>
              <w:t xml:space="preserve">Neapliekamais minimums, </w:t>
            </w:r>
            <w:r w:rsidRPr="00E333BB">
              <w:rPr>
                <w:rFonts w:ascii="Times New Roman" w:eastAsiaTheme="majorEastAsia" w:hAnsi="Times New Roman" w:cs="Times New Roman"/>
                <w:bCs/>
                <w:i/>
                <w:iCs/>
                <w:sz w:val="24"/>
                <w:szCs w:val="24"/>
              </w:rPr>
              <w:t>LVL/</w:t>
            </w:r>
            <w:proofErr w:type="spellStart"/>
            <w:r w:rsidRPr="00E333BB">
              <w:rPr>
                <w:rFonts w:ascii="Times New Roman" w:eastAsiaTheme="majorEastAsia" w:hAnsi="Times New Roman" w:cs="Times New Roman"/>
                <w:bCs/>
                <w:i/>
                <w:iCs/>
                <w:sz w:val="24"/>
                <w:szCs w:val="24"/>
              </w:rPr>
              <w:t>mēn</w:t>
            </w:r>
            <w:proofErr w:type="spellEnd"/>
            <w:r w:rsidRPr="00E333BB">
              <w:rPr>
                <w:rFonts w:ascii="Times New Roman" w:eastAsiaTheme="majorEastAsia" w:hAnsi="Times New Roman" w:cs="Times New Roman"/>
                <w:bCs/>
                <w:i/>
                <w:iCs/>
                <w:sz w:val="24"/>
                <w:szCs w:val="24"/>
              </w:rPr>
              <w:t>.</w:t>
            </w:r>
          </w:p>
        </w:tc>
        <w:tc>
          <w:tcPr>
            <w:tcW w:w="41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E333BB" w:rsidRPr="00E333BB" w:rsidRDefault="00E333BB" w:rsidP="00277E41">
            <w:pPr>
              <w:jc w:val="center"/>
              <w:rPr>
                <w:rFonts w:ascii="Times New Roman" w:hAnsi="Times New Roman" w:cs="Times New Roman"/>
                <w:sz w:val="24"/>
                <w:szCs w:val="24"/>
              </w:rPr>
            </w:pPr>
            <w:r w:rsidRPr="00E333BB">
              <w:rPr>
                <w:rFonts w:ascii="Times New Roman" w:eastAsiaTheme="majorEastAsia" w:hAnsi="Times New Roman" w:cs="Times New Roman"/>
                <w:b/>
                <w:bCs/>
                <w:sz w:val="24"/>
                <w:szCs w:val="24"/>
              </w:rPr>
              <w:t xml:space="preserve">Fiskālā ietekme*, </w:t>
            </w:r>
            <w:proofErr w:type="spellStart"/>
            <w:r w:rsidRPr="00E333BB">
              <w:rPr>
                <w:rFonts w:ascii="Times New Roman" w:eastAsiaTheme="majorEastAsia" w:hAnsi="Times New Roman" w:cs="Times New Roman"/>
                <w:bCs/>
                <w:i/>
                <w:sz w:val="24"/>
                <w:szCs w:val="24"/>
              </w:rPr>
              <w:t>milj</w:t>
            </w:r>
            <w:proofErr w:type="spellEnd"/>
            <w:r w:rsidRPr="00E333BB">
              <w:rPr>
                <w:rFonts w:ascii="Times New Roman" w:eastAsiaTheme="majorEastAsia" w:hAnsi="Times New Roman" w:cs="Times New Roman"/>
                <w:bCs/>
                <w:i/>
                <w:sz w:val="24"/>
                <w:szCs w:val="24"/>
              </w:rPr>
              <w:t>. latu</w:t>
            </w:r>
          </w:p>
        </w:tc>
      </w:tr>
      <w:tr w:rsidR="00E333BB" w:rsidRPr="00E333BB" w:rsidTr="00810AFE">
        <w:tc>
          <w:tcPr>
            <w:tcW w:w="1668" w:type="dxa"/>
            <w:vMerge/>
            <w:tcBorders>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277E41">
            <w:pPr>
              <w:jc w:val="both"/>
              <w:rPr>
                <w:rFonts w:ascii="Times New Roman" w:eastAsiaTheme="majorEastAsia" w:hAnsi="Times New Roman" w:cs="Times New Roman"/>
                <w:b/>
                <w:bCs/>
                <w:sz w:val="24"/>
                <w:szCs w:val="24"/>
              </w:rPr>
            </w:pPr>
          </w:p>
        </w:tc>
        <w:tc>
          <w:tcPr>
            <w:tcW w:w="108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E333BB">
            <w:pPr>
              <w:jc w:val="center"/>
              <w:rPr>
                <w:rFonts w:ascii="Times New Roman" w:eastAsiaTheme="majorEastAsia" w:hAnsi="Times New Roman" w:cs="Times New Roman"/>
                <w:b/>
                <w:bCs/>
                <w:sz w:val="24"/>
                <w:szCs w:val="24"/>
              </w:rPr>
            </w:pPr>
            <w:proofErr w:type="spellStart"/>
            <w:r w:rsidRPr="00E333BB">
              <w:rPr>
                <w:rFonts w:ascii="Times New Roman" w:eastAsiaTheme="majorEastAsia" w:hAnsi="Times New Roman" w:cs="Times New Roman"/>
                <w:bCs/>
                <w:i/>
                <w:iCs/>
                <w:sz w:val="24"/>
                <w:szCs w:val="24"/>
              </w:rPr>
              <w:t>tūkst</w:t>
            </w:r>
            <w:proofErr w:type="spellEnd"/>
            <w:r w:rsidRPr="00E333BB">
              <w:rPr>
                <w:rFonts w:ascii="Times New Roman" w:eastAsiaTheme="majorEastAsia" w:hAnsi="Times New Roman" w:cs="Times New Roman"/>
                <w:bCs/>
                <w:i/>
                <w:iCs/>
                <w:sz w:val="24"/>
                <w:szCs w:val="24"/>
              </w:rPr>
              <w:t>.</w:t>
            </w:r>
          </w:p>
        </w:tc>
        <w:tc>
          <w:tcPr>
            <w:tcW w:w="103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E333BB">
            <w:pPr>
              <w:jc w:val="center"/>
              <w:rPr>
                <w:rFonts w:ascii="Times New Roman" w:hAnsi="Times New Roman" w:cs="Times New Roman"/>
                <w:sz w:val="24"/>
                <w:szCs w:val="24"/>
              </w:rPr>
            </w:pPr>
            <w:r w:rsidRPr="00E333BB">
              <w:rPr>
                <w:rFonts w:ascii="Times New Roman" w:eastAsiaTheme="majorEastAsia" w:hAnsi="Times New Roman" w:cs="Times New Roman"/>
                <w:bCs/>
                <w:sz w:val="24"/>
                <w:szCs w:val="24"/>
              </w:rPr>
              <w:t>%</w:t>
            </w:r>
          </w:p>
        </w:tc>
        <w:tc>
          <w:tcPr>
            <w:tcW w:w="1978" w:type="dxa"/>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277E41">
            <w:pPr>
              <w:jc w:val="center"/>
              <w:rPr>
                <w:rFonts w:ascii="Times New Roman" w:eastAsiaTheme="majorEastAsia" w:hAnsi="Times New Roman" w:cs="Times New Roman"/>
                <w:b/>
                <w:bCs/>
                <w:sz w:val="24"/>
                <w:szCs w:val="24"/>
              </w:rPr>
            </w:pPr>
          </w:p>
        </w:tc>
        <w:tc>
          <w:tcPr>
            <w:tcW w:w="138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E333BB">
            <w:pPr>
              <w:jc w:val="center"/>
              <w:rPr>
                <w:rFonts w:ascii="Times New Roman" w:eastAsiaTheme="majorEastAsia" w:hAnsi="Times New Roman" w:cs="Times New Roman"/>
                <w:b/>
                <w:bCs/>
                <w:sz w:val="24"/>
                <w:szCs w:val="24"/>
              </w:rPr>
            </w:pPr>
            <w:r w:rsidRPr="00E333BB">
              <w:rPr>
                <w:rFonts w:ascii="Times New Roman" w:eastAsiaTheme="majorEastAsia" w:hAnsi="Times New Roman" w:cs="Times New Roman"/>
                <w:bCs/>
                <w:iCs/>
                <w:sz w:val="24"/>
                <w:szCs w:val="24"/>
              </w:rPr>
              <w:t>Pamat-budžets</w:t>
            </w:r>
          </w:p>
        </w:tc>
        <w:tc>
          <w:tcPr>
            <w:tcW w:w="139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E333BB">
            <w:pPr>
              <w:jc w:val="center"/>
              <w:rPr>
                <w:rFonts w:ascii="Times New Roman" w:hAnsi="Times New Roman" w:cs="Times New Roman"/>
                <w:sz w:val="24"/>
                <w:szCs w:val="24"/>
              </w:rPr>
            </w:pPr>
            <w:r w:rsidRPr="00E333BB">
              <w:rPr>
                <w:rFonts w:ascii="Times New Roman" w:eastAsiaTheme="majorEastAsia" w:hAnsi="Times New Roman" w:cs="Times New Roman"/>
                <w:bCs/>
                <w:iCs/>
                <w:sz w:val="24"/>
                <w:szCs w:val="24"/>
              </w:rPr>
              <w:t>Pašvaldību budžeti</w:t>
            </w:r>
          </w:p>
        </w:tc>
        <w:tc>
          <w:tcPr>
            <w:tcW w:w="135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E333BB" w:rsidRPr="00E333BB" w:rsidRDefault="00E333BB" w:rsidP="00E333BB">
            <w:pPr>
              <w:jc w:val="center"/>
              <w:rPr>
                <w:rFonts w:ascii="Times New Roman" w:hAnsi="Times New Roman" w:cs="Times New Roman"/>
                <w:sz w:val="24"/>
                <w:szCs w:val="24"/>
              </w:rPr>
            </w:pPr>
            <w:r w:rsidRPr="00E333BB">
              <w:rPr>
                <w:rFonts w:ascii="Times New Roman" w:eastAsiaTheme="majorEastAsia" w:hAnsi="Times New Roman" w:cs="Times New Roman"/>
                <w:b/>
                <w:bCs/>
                <w:iCs/>
                <w:sz w:val="24"/>
                <w:szCs w:val="24"/>
              </w:rPr>
              <w:t>KOPĀ</w:t>
            </w:r>
          </w:p>
        </w:tc>
      </w:tr>
      <w:tr w:rsidR="00E333BB" w:rsidRPr="00E333BB" w:rsidTr="00810AFE">
        <w:tc>
          <w:tcPr>
            <w:tcW w:w="1668" w:type="dxa"/>
            <w:tcBorders>
              <w:top w:val="single" w:sz="4" w:space="0" w:color="000000" w:themeColor="text1"/>
              <w:bottom w:val="nil"/>
            </w:tcBorders>
          </w:tcPr>
          <w:p w:rsidR="00E333BB" w:rsidRPr="00E333BB" w:rsidRDefault="00E333BB" w:rsidP="00810AFE">
            <w:pPr>
              <w:spacing w:after="60"/>
              <w:jc w:val="both"/>
              <w:rPr>
                <w:rFonts w:ascii="Times New Roman" w:eastAsiaTheme="majorEastAsia" w:hAnsi="Times New Roman" w:cs="Times New Roman"/>
                <w:bCs/>
                <w:sz w:val="24"/>
                <w:szCs w:val="24"/>
              </w:rPr>
            </w:pPr>
            <w:r w:rsidRPr="00E333BB">
              <w:rPr>
                <w:rFonts w:ascii="Times New Roman" w:eastAsiaTheme="majorEastAsia" w:hAnsi="Times New Roman" w:cs="Times New Roman"/>
                <w:bCs/>
                <w:sz w:val="24"/>
                <w:szCs w:val="24"/>
              </w:rPr>
              <w:t>Līdz 50</w:t>
            </w:r>
          </w:p>
        </w:tc>
        <w:tc>
          <w:tcPr>
            <w:tcW w:w="1088" w:type="dxa"/>
            <w:tcBorders>
              <w:top w:val="single" w:sz="4" w:space="0" w:color="000000" w:themeColor="text1"/>
              <w:bottom w:val="nil"/>
            </w:tcBorders>
          </w:tcPr>
          <w:p w:rsidR="00E333BB" w:rsidRPr="00E333BB" w:rsidRDefault="00E333BB"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3</w:t>
            </w:r>
            <w:r w:rsidR="005C484F">
              <w:rPr>
                <w:rFonts w:ascii="Times New Roman" w:eastAsiaTheme="majorEastAsia" w:hAnsi="Times New Roman" w:cs="Times New Roman"/>
                <w:bCs/>
                <w:iCs/>
                <w:sz w:val="24"/>
                <w:szCs w:val="24"/>
              </w:rPr>
              <w:t>4</w:t>
            </w:r>
            <w:r>
              <w:rPr>
                <w:rFonts w:ascii="Times New Roman" w:eastAsiaTheme="majorEastAsia" w:hAnsi="Times New Roman" w:cs="Times New Roman"/>
                <w:bCs/>
                <w:iCs/>
                <w:sz w:val="24"/>
                <w:szCs w:val="24"/>
              </w:rPr>
              <w:t>,</w:t>
            </w:r>
            <w:r w:rsidR="005C484F">
              <w:rPr>
                <w:rFonts w:ascii="Times New Roman" w:eastAsiaTheme="majorEastAsia" w:hAnsi="Times New Roman" w:cs="Times New Roman"/>
                <w:bCs/>
                <w:iCs/>
                <w:sz w:val="24"/>
                <w:szCs w:val="24"/>
              </w:rPr>
              <w:t>4</w:t>
            </w:r>
          </w:p>
        </w:tc>
        <w:tc>
          <w:tcPr>
            <w:tcW w:w="1038" w:type="dxa"/>
            <w:tcBorders>
              <w:top w:val="single" w:sz="4" w:space="0" w:color="000000" w:themeColor="text1"/>
              <w:bottom w:val="nil"/>
            </w:tcBorders>
          </w:tcPr>
          <w:p w:rsidR="00E333BB" w:rsidRP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p>
        </w:tc>
        <w:tc>
          <w:tcPr>
            <w:tcW w:w="1978" w:type="dxa"/>
            <w:tcBorders>
              <w:top w:val="single" w:sz="4" w:space="0" w:color="000000" w:themeColor="text1"/>
              <w:bottom w:val="nil"/>
            </w:tcBorders>
          </w:tcPr>
          <w:p w:rsidR="00E333BB" w:rsidRP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84</w:t>
            </w:r>
          </w:p>
        </w:tc>
        <w:tc>
          <w:tcPr>
            <w:tcW w:w="1388" w:type="dxa"/>
            <w:tcBorders>
              <w:top w:val="single" w:sz="4" w:space="0" w:color="000000" w:themeColor="text1"/>
              <w:bottom w:val="nil"/>
            </w:tcBorders>
          </w:tcPr>
          <w:p w:rsidR="00E333BB" w:rsidRPr="00E333BB" w:rsidRDefault="00E333BB"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w:t>
            </w:r>
          </w:p>
        </w:tc>
        <w:tc>
          <w:tcPr>
            <w:tcW w:w="1397" w:type="dxa"/>
            <w:tcBorders>
              <w:top w:val="single" w:sz="4" w:space="0" w:color="000000" w:themeColor="text1"/>
              <w:bottom w:val="nil"/>
            </w:tcBorders>
          </w:tcPr>
          <w:p w:rsidR="00E333BB" w:rsidRPr="00E333BB" w:rsidRDefault="00E333BB"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w:t>
            </w:r>
          </w:p>
        </w:tc>
        <w:tc>
          <w:tcPr>
            <w:tcW w:w="1351" w:type="dxa"/>
            <w:tcBorders>
              <w:top w:val="single" w:sz="4" w:space="0" w:color="000000" w:themeColor="text1"/>
              <w:bottom w:val="nil"/>
            </w:tcBorders>
            <w:shd w:val="clear" w:color="auto" w:fill="FFFFCC"/>
          </w:tcPr>
          <w:p w:rsidR="00E333BB" w:rsidRPr="00E333BB" w:rsidRDefault="00E333BB" w:rsidP="00810AFE">
            <w:pPr>
              <w:spacing w:after="60"/>
              <w:jc w:val="center"/>
              <w:rPr>
                <w:rFonts w:ascii="Times New Roman" w:eastAsiaTheme="majorEastAsia" w:hAnsi="Times New Roman" w:cs="Times New Roman"/>
                <w:b/>
                <w:bCs/>
                <w:iCs/>
                <w:sz w:val="24"/>
                <w:szCs w:val="24"/>
              </w:rPr>
            </w:pPr>
            <w:r w:rsidRPr="00E333BB">
              <w:rPr>
                <w:rFonts w:ascii="Times New Roman" w:eastAsiaTheme="majorEastAsia" w:hAnsi="Times New Roman" w:cs="Times New Roman"/>
                <w:b/>
                <w:bCs/>
                <w:iCs/>
                <w:sz w:val="24"/>
                <w:szCs w:val="24"/>
              </w:rPr>
              <w:t>-</w:t>
            </w:r>
          </w:p>
        </w:tc>
      </w:tr>
      <w:tr w:rsidR="00E333BB" w:rsidRPr="00E333BB" w:rsidTr="00810AFE">
        <w:tc>
          <w:tcPr>
            <w:tcW w:w="1668" w:type="dxa"/>
            <w:tcBorders>
              <w:top w:val="nil"/>
              <w:bottom w:val="nil"/>
            </w:tcBorders>
          </w:tcPr>
          <w:p w:rsidR="00E333BB" w:rsidRPr="00E333BB" w:rsidRDefault="00E333BB" w:rsidP="00810AFE">
            <w:pPr>
              <w:spacing w:after="6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50-100</w:t>
            </w:r>
          </w:p>
        </w:tc>
        <w:tc>
          <w:tcPr>
            <w:tcW w:w="1088" w:type="dxa"/>
            <w:tcBorders>
              <w:top w:val="nil"/>
              <w:bottom w:val="nil"/>
            </w:tcBorders>
          </w:tcPr>
          <w:p w:rsidR="00E333BB" w:rsidRDefault="00E333BB"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4</w:t>
            </w:r>
            <w:r w:rsidR="005C484F">
              <w:rPr>
                <w:rFonts w:ascii="Times New Roman" w:eastAsiaTheme="majorEastAsia" w:hAnsi="Times New Roman" w:cs="Times New Roman"/>
                <w:bCs/>
                <w:iCs/>
                <w:sz w:val="24"/>
                <w:szCs w:val="24"/>
              </w:rPr>
              <w:t>7</w:t>
            </w:r>
            <w:r>
              <w:rPr>
                <w:rFonts w:ascii="Times New Roman" w:eastAsiaTheme="majorEastAsia" w:hAnsi="Times New Roman" w:cs="Times New Roman"/>
                <w:bCs/>
                <w:iCs/>
                <w:sz w:val="24"/>
                <w:szCs w:val="24"/>
              </w:rPr>
              <w:t>,</w:t>
            </w:r>
            <w:r w:rsidR="005C484F">
              <w:rPr>
                <w:rFonts w:ascii="Times New Roman" w:eastAsiaTheme="majorEastAsia" w:hAnsi="Times New Roman" w:cs="Times New Roman"/>
                <w:bCs/>
                <w:iCs/>
                <w:sz w:val="24"/>
                <w:szCs w:val="24"/>
              </w:rPr>
              <w:t>4</w:t>
            </w:r>
          </w:p>
        </w:tc>
        <w:tc>
          <w:tcPr>
            <w:tcW w:w="103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6%</w:t>
            </w:r>
          </w:p>
        </w:tc>
        <w:tc>
          <w:tcPr>
            <w:tcW w:w="197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84</w:t>
            </w:r>
          </w:p>
        </w:tc>
        <w:tc>
          <w:tcPr>
            <w:tcW w:w="1388" w:type="dxa"/>
            <w:tcBorders>
              <w:top w:val="nil"/>
              <w:bottom w:val="nil"/>
            </w:tcBorders>
          </w:tcPr>
          <w:p w:rsidR="00E333BB" w:rsidRDefault="00E333BB" w:rsidP="00C026AC">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w:t>
            </w:r>
            <w:r w:rsidR="00C026AC">
              <w:rPr>
                <w:rFonts w:ascii="Times New Roman" w:eastAsiaTheme="majorEastAsia" w:hAnsi="Times New Roman" w:cs="Times New Roman"/>
                <w:bCs/>
                <w:iCs/>
                <w:sz w:val="24"/>
                <w:szCs w:val="24"/>
              </w:rPr>
              <w:t>06</w:t>
            </w:r>
          </w:p>
        </w:tc>
        <w:tc>
          <w:tcPr>
            <w:tcW w:w="1397" w:type="dxa"/>
            <w:tcBorders>
              <w:top w:val="nil"/>
              <w:bottom w:val="nil"/>
            </w:tcBorders>
          </w:tcPr>
          <w:p w:rsidR="00E333BB" w:rsidRDefault="00E333BB" w:rsidP="00C026AC">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w:t>
            </w:r>
            <w:r w:rsidR="00C026AC">
              <w:rPr>
                <w:rFonts w:ascii="Times New Roman" w:eastAsiaTheme="majorEastAsia" w:hAnsi="Times New Roman" w:cs="Times New Roman"/>
                <w:bCs/>
                <w:iCs/>
                <w:sz w:val="24"/>
                <w:szCs w:val="24"/>
              </w:rPr>
              <w:t>26</w:t>
            </w:r>
          </w:p>
        </w:tc>
        <w:tc>
          <w:tcPr>
            <w:tcW w:w="1351" w:type="dxa"/>
            <w:tcBorders>
              <w:top w:val="nil"/>
              <w:bottom w:val="nil"/>
            </w:tcBorders>
            <w:shd w:val="clear" w:color="auto" w:fill="FFFFCC"/>
          </w:tcPr>
          <w:p w:rsidR="00E333BB" w:rsidRPr="00E333BB" w:rsidRDefault="00E333BB" w:rsidP="00C026AC">
            <w:pPr>
              <w:spacing w:after="60"/>
              <w:jc w:val="center"/>
              <w:rPr>
                <w:rFonts w:ascii="Times New Roman" w:eastAsiaTheme="majorEastAsia" w:hAnsi="Times New Roman" w:cs="Times New Roman"/>
                <w:b/>
                <w:bCs/>
                <w:iCs/>
                <w:sz w:val="24"/>
                <w:szCs w:val="24"/>
              </w:rPr>
            </w:pPr>
            <w:r w:rsidRPr="00E333BB">
              <w:rPr>
                <w:rFonts w:ascii="Times New Roman" w:eastAsiaTheme="majorEastAsia" w:hAnsi="Times New Roman" w:cs="Times New Roman"/>
                <w:b/>
                <w:bCs/>
                <w:iCs/>
                <w:sz w:val="24"/>
                <w:szCs w:val="24"/>
              </w:rPr>
              <w:t>-0,</w:t>
            </w:r>
            <w:r w:rsidR="00C026AC">
              <w:rPr>
                <w:rFonts w:ascii="Times New Roman" w:eastAsiaTheme="majorEastAsia" w:hAnsi="Times New Roman" w:cs="Times New Roman"/>
                <w:b/>
                <w:bCs/>
                <w:iCs/>
                <w:sz w:val="24"/>
                <w:szCs w:val="24"/>
              </w:rPr>
              <w:t>32</w:t>
            </w:r>
          </w:p>
        </w:tc>
      </w:tr>
      <w:tr w:rsidR="00E333BB" w:rsidRPr="00E333BB" w:rsidTr="00810AFE">
        <w:tc>
          <w:tcPr>
            <w:tcW w:w="1668" w:type="dxa"/>
            <w:tcBorders>
              <w:top w:val="nil"/>
              <w:bottom w:val="nil"/>
            </w:tcBorders>
          </w:tcPr>
          <w:p w:rsidR="00E333BB" w:rsidRDefault="00E333BB" w:rsidP="00810AFE">
            <w:pPr>
              <w:spacing w:after="6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100-200</w:t>
            </w:r>
          </w:p>
        </w:tc>
        <w:tc>
          <w:tcPr>
            <w:tcW w:w="1088" w:type="dxa"/>
            <w:tcBorders>
              <w:top w:val="nil"/>
              <w:bottom w:val="nil"/>
            </w:tcBorders>
          </w:tcPr>
          <w:p w:rsidR="00E333BB" w:rsidRDefault="00E333BB"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12</w:t>
            </w:r>
            <w:r w:rsidR="005C484F">
              <w:rPr>
                <w:rFonts w:ascii="Times New Roman" w:eastAsiaTheme="majorEastAsia" w:hAnsi="Times New Roman" w:cs="Times New Roman"/>
                <w:bCs/>
                <w:iCs/>
                <w:sz w:val="24"/>
                <w:szCs w:val="24"/>
              </w:rPr>
              <w:t>2</w:t>
            </w:r>
            <w:r>
              <w:rPr>
                <w:rFonts w:ascii="Times New Roman" w:eastAsiaTheme="majorEastAsia" w:hAnsi="Times New Roman" w:cs="Times New Roman"/>
                <w:bCs/>
                <w:iCs/>
                <w:sz w:val="24"/>
                <w:szCs w:val="24"/>
              </w:rPr>
              <w:t>,</w:t>
            </w:r>
            <w:r w:rsidR="005C484F">
              <w:rPr>
                <w:rFonts w:ascii="Times New Roman" w:eastAsiaTheme="majorEastAsia" w:hAnsi="Times New Roman" w:cs="Times New Roman"/>
                <w:bCs/>
                <w:iCs/>
                <w:sz w:val="24"/>
                <w:szCs w:val="24"/>
              </w:rPr>
              <w:t>0</w:t>
            </w:r>
          </w:p>
        </w:tc>
        <w:tc>
          <w:tcPr>
            <w:tcW w:w="103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16%</w:t>
            </w:r>
          </w:p>
        </w:tc>
        <w:tc>
          <w:tcPr>
            <w:tcW w:w="197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84</w:t>
            </w:r>
          </w:p>
        </w:tc>
        <w:tc>
          <w:tcPr>
            <w:tcW w:w="1388" w:type="dxa"/>
            <w:tcBorders>
              <w:top w:val="nil"/>
              <w:bottom w:val="nil"/>
            </w:tcBorders>
          </w:tcPr>
          <w:p w:rsidR="00E333BB" w:rsidRDefault="00E333BB"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-2,0</w:t>
            </w:r>
            <w:r w:rsidR="00C026AC">
              <w:rPr>
                <w:rFonts w:ascii="Times New Roman" w:eastAsiaTheme="majorEastAsia" w:hAnsi="Times New Roman" w:cs="Times New Roman"/>
                <w:bCs/>
                <w:iCs/>
                <w:sz w:val="24"/>
                <w:szCs w:val="24"/>
              </w:rPr>
              <w:t>3</w:t>
            </w:r>
          </w:p>
        </w:tc>
        <w:tc>
          <w:tcPr>
            <w:tcW w:w="1397" w:type="dxa"/>
            <w:tcBorders>
              <w:top w:val="nil"/>
              <w:bottom w:val="nil"/>
            </w:tcBorders>
          </w:tcPr>
          <w:p w:rsidR="00E333BB" w:rsidRDefault="00E333BB" w:rsidP="00C026AC">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-8,1</w:t>
            </w:r>
            <w:r w:rsidR="00C026AC">
              <w:rPr>
                <w:rFonts w:ascii="Times New Roman" w:eastAsiaTheme="majorEastAsia" w:hAnsi="Times New Roman" w:cs="Times New Roman"/>
                <w:bCs/>
                <w:iCs/>
                <w:sz w:val="24"/>
                <w:szCs w:val="24"/>
              </w:rPr>
              <w:t>3</w:t>
            </w:r>
          </w:p>
        </w:tc>
        <w:tc>
          <w:tcPr>
            <w:tcW w:w="1351" w:type="dxa"/>
            <w:tcBorders>
              <w:top w:val="nil"/>
              <w:bottom w:val="nil"/>
            </w:tcBorders>
            <w:shd w:val="clear" w:color="auto" w:fill="FFFFCC"/>
          </w:tcPr>
          <w:p w:rsidR="00E333BB" w:rsidRPr="00E333BB" w:rsidRDefault="00E333BB" w:rsidP="00C026AC">
            <w:pPr>
              <w:spacing w:after="60"/>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-10,1</w:t>
            </w:r>
            <w:r w:rsidR="00C026AC">
              <w:rPr>
                <w:rFonts w:ascii="Times New Roman" w:eastAsiaTheme="majorEastAsia" w:hAnsi="Times New Roman" w:cs="Times New Roman"/>
                <w:b/>
                <w:bCs/>
                <w:iCs/>
                <w:sz w:val="24"/>
                <w:szCs w:val="24"/>
              </w:rPr>
              <w:t>6</w:t>
            </w:r>
          </w:p>
        </w:tc>
      </w:tr>
      <w:tr w:rsidR="00E333BB" w:rsidRPr="00E333BB" w:rsidTr="00810AFE">
        <w:trPr>
          <w:trHeight w:val="320"/>
        </w:trPr>
        <w:tc>
          <w:tcPr>
            <w:tcW w:w="1668" w:type="dxa"/>
            <w:tcBorders>
              <w:top w:val="nil"/>
              <w:bottom w:val="nil"/>
            </w:tcBorders>
          </w:tcPr>
          <w:p w:rsidR="00E333BB" w:rsidRDefault="00E333BB" w:rsidP="00810AFE">
            <w:pPr>
              <w:spacing w:after="6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200-300</w:t>
            </w:r>
          </w:p>
        </w:tc>
        <w:tc>
          <w:tcPr>
            <w:tcW w:w="1088" w:type="dxa"/>
            <w:tcBorders>
              <w:top w:val="nil"/>
              <w:bottom w:val="nil"/>
            </w:tcBorders>
          </w:tcPr>
          <w:p w:rsidR="00E333BB" w:rsidRDefault="00810AFE"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1</w:t>
            </w:r>
            <w:r w:rsidR="005C484F">
              <w:rPr>
                <w:rFonts w:ascii="Times New Roman" w:eastAsiaTheme="majorEastAsia" w:hAnsi="Times New Roman" w:cs="Times New Roman"/>
                <w:bCs/>
                <w:iCs/>
                <w:sz w:val="24"/>
                <w:szCs w:val="24"/>
              </w:rPr>
              <w:t>37,4</w:t>
            </w:r>
          </w:p>
        </w:tc>
        <w:tc>
          <w:tcPr>
            <w:tcW w:w="1038" w:type="dxa"/>
            <w:tcBorders>
              <w:top w:val="nil"/>
              <w:bottom w:val="nil"/>
            </w:tcBorders>
          </w:tcPr>
          <w:p w:rsidR="00E333BB" w:rsidRDefault="00810AFE" w:rsidP="005C484F">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w:t>
            </w:r>
            <w:r w:rsidR="005C484F">
              <w:rPr>
                <w:rFonts w:ascii="Times New Roman" w:eastAsiaTheme="majorEastAsia" w:hAnsi="Times New Roman" w:cs="Times New Roman"/>
                <w:bCs/>
                <w:sz w:val="24"/>
                <w:szCs w:val="24"/>
              </w:rPr>
              <w:t>8</w:t>
            </w:r>
            <w:r w:rsidR="00E333BB">
              <w:rPr>
                <w:rFonts w:ascii="Times New Roman" w:eastAsiaTheme="majorEastAsia" w:hAnsi="Times New Roman" w:cs="Times New Roman"/>
                <w:bCs/>
                <w:sz w:val="24"/>
                <w:szCs w:val="24"/>
              </w:rPr>
              <w:t>%</w:t>
            </w:r>
          </w:p>
        </w:tc>
        <w:tc>
          <w:tcPr>
            <w:tcW w:w="197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79</w:t>
            </w:r>
          </w:p>
        </w:tc>
        <w:tc>
          <w:tcPr>
            <w:tcW w:w="1388" w:type="dxa"/>
            <w:tcBorders>
              <w:top w:val="nil"/>
              <w:bottom w:val="nil"/>
            </w:tcBorders>
          </w:tcPr>
          <w:p w:rsidR="00E333BB" w:rsidRDefault="00E333BB" w:rsidP="00367DB6">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w:t>
            </w:r>
            <w:r w:rsidR="00367DB6">
              <w:rPr>
                <w:rFonts w:ascii="Times New Roman" w:eastAsiaTheme="majorEastAsia" w:hAnsi="Times New Roman" w:cs="Times New Roman"/>
                <w:bCs/>
                <w:iCs/>
                <w:sz w:val="24"/>
                <w:szCs w:val="24"/>
              </w:rPr>
              <w:t>1</w:t>
            </w:r>
            <w:r>
              <w:rPr>
                <w:rFonts w:ascii="Times New Roman" w:eastAsiaTheme="majorEastAsia" w:hAnsi="Times New Roman" w:cs="Times New Roman"/>
                <w:bCs/>
                <w:iCs/>
                <w:sz w:val="24"/>
                <w:szCs w:val="24"/>
              </w:rPr>
              <w:t>,</w:t>
            </w:r>
            <w:r w:rsidR="00367DB6">
              <w:rPr>
                <w:rFonts w:ascii="Times New Roman" w:eastAsiaTheme="majorEastAsia" w:hAnsi="Times New Roman" w:cs="Times New Roman"/>
                <w:bCs/>
                <w:iCs/>
                <w:sz w:val="24"/>
                <w:szCs w:val="24"/>
              </w:rPr>
              <w:t>97</w:t>
            </w:r>
          </w:p>
        </w:tc>
        <w:tc>
          <w:tcPr>
            <w:tcW w:w="1397" w:type="dxa"/>
            <w:tcBorders>
              <w:top w:val="nil"/>
              <w:bottom w:val="nil"/>
            </w:tcBorders>
          </w:tcPr>
          <w:p w:rsidR="00E333BB" w:rsidRDefault="00E333BB" w:rsidP="00367DB6">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w:t>
            </w:r>
            <w:r w:rsidR="00367DB6">
              <w:rPr>
                <w:rFonts w:ascii="Times New Roman" w:eastAsiaTheme="majorEastAsia" w:hAnsi="Times New Roman" w:cs="Times New Roman"/>
                <w:bCs/>
                <w:iCs/>
                <w:sz w:val="24"/>
                <w:szCs w:val="24"/>
              </w:rPr>
              <w:t>7</w:t>
            </w:r>
            <w:r>
              <w:rPr>
                <w:rFonts w:ascii="Times New Roman" w:eastAsiaTheme="majorEastAsia" w:hAnsi="Times New Roman" w:cs="Times New Roman"/>
                <w:bCs/>
                <w:iCs/>
                <w:sz w:val="24"/>
                <w:szCs w:val="24"/>
              </w:rPr>
              <w:t>,</w:t>
            </w:r>
            <w:r w:rsidR="00367DB6">
              <w:rPr>
                <w:rFonts w:ascii="Times New Roman" w:eastAsiaTheme="majorEastAsia" w:hAnsi="Times New Roman" w:cs="Times New Roman"/>
                <w:bCs/>
                <w:iCs/>
                <w:sz w:val="24"/>
                <w:szCs w:val="24"/>
              </w:rPr>
              <w:t>86</w:t>
            </w:r>
          </w:p>
        </w:tc>
        <w:tc>
          <w:tcPr>
            <w:tcW w:w="1351" w:type="dxa"/>
            <w:tcBorders>
              <w:top w:val="nil"/>
              <w:bottom w:val="nil"/>
            </w:tcBorders>
            <w:shd w:val="clear" w:color="auto" w:fill="FFFFCC"/>
          </w:tcPr>
          <w:p w:rsidR="00E333BB" w:rsidRDefault="00E333BB" w:rsidP="00C026AC">
            <w:pPr>
              <w:spacing w:after="60"/>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w:t>
            </w:r>
            <w:r w:rsidR="00C026AC">
              <w:rPr>
                <w:rFonts w:ascii="Times New Roman" w:eastAsiaTheme="majorEastAsia" w:hAnsi="Times New Roman" w:cs="Times New Roman"/>
                <w:b/>
                <w:bCs/>
                <w:iCs/>
                <w:sz w:val="24"/>
                <w:szCs w:val="24"/>
              </w:rPr>
              <w:t>9</w:t>
            </w:r>
            <w:r>
              <w:rPr>
                <w:rFonts w:ascii="Times New Roman" w:eastAsiaTheme="majorEastAsia" w:hAnsi="Times New Roman" w:cs="Times New Roman"/>
                <w:b/>
                <w:bCs/>
                <w:iCs/>
                <w:sz w:val="24"/>
                <w:szCs w:val="24"/>
              </w:rPr>
              <w:t>,</w:t>
            </w:r>
            <w:r w:rsidR="00C026AC">
              <w:rPr>
                <w:rFonts w:ascii="Times New Roman" w:eastAsiaTheme="majorEastAsia" w:hAnsi="Times New Roman" w:cs="Times New Roman"/>
                <w:b/>
                <w:bCs/>
                <w:iCs/>
                <w:sz w:val="24"/>
                <w:szCs w:val="24"/>
              </w:rPr>
              <w:t>83</w:t>
            </w:r>
          </w:p>
        </w:tc>
      </w:tr>
      <w:tr w:rsidR="00E333BB" w:rsidRPr="00E333BB" w:rsidTr="00810AFE">
        <w:trPr>
          <w:trHeight w:val="323"/>
        </w:trPr>
        <w:tc>
          <w:tcPr>
            <w:tcW w:w="1668" w:type="dxa"/>
            <w:tcBorders>
              <w:top w:val="nil"/>
              <w:bottom w:val="nil"/>
            </w:tcBorders>
          </w:tcPr>
          <w:p w:rsidR="00E333BB" w:rsidRDefault="00E333BB" w:rsidP="00810AFE">
            <w:pPr>
              <w:spacing w:after="6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300-400</w:t>
            </w:r>
          </w:p>
        </w:tc>
        <w:tc>
          <w:tcPr>
            <w:tcW w:w="1088" w:type="dxa"/>
            <w:tcBorders>
              <w:top w:val="nil"/>
              <w:bottom w:val="nil"/>
            </w:tcBorders>
          </w:tcPr>
          <w:p w:rsidR="00E333BB" w:rsidRDefault="00E333BB"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9</w:t>
            </w:r>
            <w:r w:rsidR="005C484F">
              <w:rPr>
                <w:rFonts w:ascii="Times New Roman" w:eastAsiaTheme="majorEastAsia" w:hAnsi="Times New Roman" w:cs="Times New Roman"/>
                <w:bCs/>
                <w:iCs/>
                <w:sz w:val="24"/>
                <w:szCs w:val="24"/>
              </w:rPr>
              <w:t>5</w:t>
            </w:r>
            <w:r>
              <w:rPr>
                <w:rFonts w:ascii="Times New Roman" w:eastAsiaTheme="majorEastAsia" w:hAnsi="Times New Roman" w:cs="Times New Roman"/>
                <w:bCs/>
                <w:iCs/>
                <w:sz w:val="24"/>
                <w:szCs w:val="24"/>
              </w:rPr>
              <w:t>,</w:t>
            </w:r>
            <w:r w:rsidR="005C484F">
              <w:rPr>
                <w:rFonts w:ascii="Times New Roman" w:eastAsiaTheme="majorEastAsia" w:hAnsi="Times New Roman" w:cs="Times New Roman"/>
                <w:bCs/>
                <w:iCs/>
                <w:sz w:val="24"/>
                <w:szCs w:val="24"/>
              </w:rPr>
              <w:t>7</w:t>
            </w:r>
          </w:p>
        </w:tc>
        <w:tc>
          <w:tcPr>
            <w:tcW w:w="103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12%</w:t>
            </w:r>
          </w:p>
        </w:tc>
        <w:tc>
          <w:tcPr>
            <w:tcW w:w="1978" w:type="dxa"/>
            <w:tcBorders>
              <w:top w:val="nil"/>
              <w:bottom w:val="nil"/>
            </w:tcBorders>
          </w:tcPr>
          <w:p w:rsidR="00E333BB" w:rsidRDefault="00E333BB"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57</w:t>
            </w:r>
          </w:p>
        </w:tc>
        <w:tc>
          <w:tcPr>
            <w:tcW w:w="1388" w:type="dxa"/>
            <w:tcBorders>
              <w:top w:val="nil"/>
              <w:bottom w:val="nil"/>
            </w:tcBorders>
          </w:tcPr>
          <w:p w:rsidR="00E333BB" w:rsidRDefault="00E333BB"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-0,48</w:t>
            </w:r>
          </w:p>
        </w:tc>
        <w:tc>
          <w:tcPr>
            <w:tcW w:w="1397" w:type="dxa"/>
            <w:tcBorders>
              <w:top w:val="nil"/>
              <w:bottom w:val="nil"/>
            </w:tcBorders>
          </w:tcPr>
          <w:p w:rsidR="00E333BB" w:rsidRDefault="00E333BB" w:rsidP="00C026AC">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-1,9</w:t>
            </w:r>
            <w:r w:rsidR="00C026AC">
              <w:rPr>
                <w:rFonts w:ascii="Times New Roman" w:eastAsiaTheme="majorEastAsia" w:hAnsi="Times New Roman" w:cs="Times New Roman"/>
                <w:bCs/>
                <w:iCs/>
                <w:sz w:val="24"/>
                <w:szCs w:val="24"/>
              </w:rPr>
              <w:t>1</w:t>
            </w:r>
          </w:p>
        </w:tc>
        <w:tc>
          <w:tcPr>
            <w:tcW w:w="1351" w:type="dxa"/>
            <w:tcBorders>
              <w:top w:val="nil"/>
              <w:bottom w:val="nil"/>
            </w:tcBorders>
            <w:shd w:val="clear" w:color="auto" w:fill="FFFFCC"/>
          </w:tcPr>
          <w:p w:rsidR="00E333BB" w:rsidRDefault="00E333BB" w:rsidP="00C026AC">
            <w:pPr>
              <w:spacing w:after="60"/>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-2,</w:t>
            </w:r>
            <w:r w:rsidR="00C026AC">
              <w:rPr>
                <w:rFonts w:ascii="Times New Roman" w:eastAsiaTheme="majorEastAsia" w:hAnsi="Times New Roman" w:cs="Times New Roman"/>
                <w:b/>
                <w:bCs/>
                <w:iCs/>
                <w:sz w:val="24"/>
                <w:szCs w:val="24"/>
              </w:rPr>
              <w:t>39</w:t>
            </w:r>
          </w:p>
        </w:tc>
      </w:tr>
      <w:tr w:rsidR="00810AFE" w:rsidRPr="00E333BB" w:rsidTr="00810AFE">
        <w:trPr>
          <w:trHeight w:val="342"/>
        </w:trPr>
        <w:tc>
          <w:tcPr>
            <w:tcW w:w="1668" w:type="dxa"/>
            <w:tcBorders>
              <w:top w:val="nil"/>
              <w:bottom w:val="single" w:sz="4" w:space="0" w:color="000000" w:themeColor="text1"/>
            </w:tcBorders>
          </w:tcPr>
          <w:p w:rsidR="00810AFE" w:rsidRDefault="00810AFE" w:rsidP="00810AFE">
            <w:pPr>
              <w:spacing w:after="6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Virs 400</w:t>
            </w:r>
          </w:p>
        </w:tc>
        <w:tc>
          <w:tcPr>
            <w:tcW w:w="1088" w:type="dxa"/>
            <w:tcBorders>
              <w:top w:val="nil"/>
              <w:bottom w:val="single" w:sz="4" w:space="0" w:color="000000" w:themeColor="text1"/>
            </w:tcBorders>
          </w:tcPr>
          <w:p w:rsidR="00810AFE" w:rsidRDefault="00810AFE" w:rsidP="005C484F">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34</w:t>
            </w:r>
            <w:r w:rsidR="005C484F">
              <w:rPr>
                <w:rFonts w:ascii="Times New Roman" w:eastAsiaTheme="majorEastAsia" w:hAnsi="Times New Roman" w:cs="Times New Roman"/>
                <w:bCs/>
                <w:iCs/>
                <w:sz w:val="24"/>
                <w:szCs w:val="24"/>
              </w:rPr>
              <w:t>1</w:t>
            </w:r>
            <w:r>
              <w:rPr>
                <w:rFonts w:ascii="Times New Roman" w:eastAsiaTheme="majorEastAsia" w:hAnsi="Times New Roman" w:cs="Times New Roman"/>
                <w:bCs/>
                <w:iCs/>
                <w:sz w:val="24"/>
                <w:szCs w:val="24"/>
              </w:rPr>
              <w:t>,</w:t>
            </w:r>
            <w:r w:rsidR="005C484F">
              <w:rPr>
                <w:rFonts w:ascii="Times New Roman" w:eastAsiaTheme="majorEastAsia" w:hAnsi="Times New Roman" w:cs="Times New Roman"/>
                <w:bCs/>
                <w:iCs/>
                <w:sz w:val="24"/>
                <w:szCs w:val="24"/>
              </w:rPr>
              <w:t>7</w:t>
            </w:r>
          </w:p>
        </w:tc>
        <w:tc>
          <w:tcPr>
            <w:tcW w:w="1038" w:type="dxa"/>
            <w:tcBorders>
              <w:top w:val="nil"/>
              <w:bottom w:val="single" w:sz="4" w:space="0" w:color="000000" w:themeColor="text1"/>
            </w:tcBorders>
          </w:tcPr>
          <w:p w:rsidR="00810AFE" w:rsidRDefault="00810AFE"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r w:rsidR="005C484F">
              <w:rPr>
                <w:rFonts w:ascii="Times New Roman" w:eastAsiaTheme="majorEastAsia" w:hAnsi="Times New Roman" w:cs="Times New Roman"/>
                <w:bCs/>
                <w:sz w:val="24"/>
                <w:szCs w:val="24"/>
              </w:rPr>
              <w:t>4</w:t>
            </w:r>
            <w:r>
              <w:rPr>
                <w:rFonts w:ascii="Times New Roman" w:eastAsiaTheme="majorEastAsia" w:hAnsi="Times New Roman" w:cs="Times New Roman"/>
                <w:bCs/>
                <w:sz w:val="24"/>
                <w:szCs w:val="24"/>
              </w:rPr>
              <w:t>%</w:t>
            </w:r>
          </w:p>
        </w:tc>
        <w:tc>
          <w:tcPr>
            <w:tcW w:w="1978" w:type="dxa"/>
            <w:tcBorders>
              <w:top w:val="nil"/>
              <w:bottom w:val="single" w:sz="4" w:space="0" w:color="000000" w:themeColor="text1"/>
            </w:tcBorders>
          </w:tcPr>
          <w:p w:rsidR="00810AFE" w:rsidRDefault="00810AFE" w:rsidP="00810AFE">
            <w:pPr>
              <w:spacing w:after="6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45</w:t>
            </w:r>
          </w:p>
        </w:tc>
        <w:tc>
          <w:tcPr>
            <w:tcW w:w="1388" w:type="dxa"/>
            <w:tcBorders>
              <w:top w:val="nil"/>
              <w:bottom w:val="single" w:sz="4" w:space="0" w:color="000000" w:themeColor="text1"/>
            </w:tcBorders>
          </w:tcPr>
          <w:p w:rsidR="00810AFE" w:rsidRDefault="00810AFE"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0,00</w:t>
            </w:r>
          </w:p>
        </w:tc>
        <w:tc>
          <w:tcPr>
            <w:tcW w:w="1397" w:type="dxa"/>
            <w:tcBorders>
              <w:top w:val="nil"/>
              <w:bottom w:val="single" w:sz="4" w:space="0" w:color="000000" w:themeColor="text1"/>
            </w:tcBorders>
          </w:tcPr>
          <w:p w:rsidR="00810AFE" w:rsidRDefault="00810AFE" w:rsidP="00810AFE">
            <w:pPr>
              <w:spacing w:after="60"/>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0,00</w:t>
            </w:r>
          </w:p>
        </w:tc>
        <w:tc>
          <w:tcPr>
            <w:tcW w:w="1351" w:type="dxa"/>
            <w:tcBorders>
              <w:top w:val="nil"/>
              <w:bottom w:val="single" w:sz="4" w:space="0" w:color="000000" w:themeColor="text1"/>
            </w:tcBorders>
            <w:shd w:val="clear" w:color="auto" w:fill="FFFFCC"/>
          </w:tcPr>
          <w:p w:rsidR="00810AFE" w:rsidRDefault="00810AFE" w:rsidP="00810AFE">
            <w:pPr>
              <w:spacing w:after="60"/>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0,00</w:t>
            </w:r>
          </w:p>
        </w:tc>
      </w:tr>
      <w:tr w:rsidR="00810AFE" w:rsidRPr="00810AFE" w:rsidTr="00810AFE">
        <w:tc>
          <w:tcPr>
            <w:tcW w:w="1668" w:type="dxa"/>
            <w:tcBorders>
              <w:top w:val="single" w:sz="4" w:space="0" w:color="000000" w:themeColor="text1"/>
            </w:tcBorders>
            <w:shd w:val="clear" w:color="auto" w:fill="FFFFCC"/>
          </w:tcPr>
          <w:p w:rsidR="00810AFE" w:rsidRPr="00810AFE" w:rsidRDefault="00810AFE" w:rsidP="00277E41">
            <w:pPr>
              <w:jc w:val="both"/>
              <w:rPr>
                <w:rFonts w:ascii="Times New Roman" w:eastAsiaTheme="majorEastAsia" w:hAnsi="Times New Roman" w:cs="Times New Roman"/>
                <w:b/>
                <w:bCs/>
                <w:sz w:val="24"/>
                <w:szCs w:val="24"/>
              </w:rPr>
            </w:pPr>
            <w:r w:rsidRPr="00810AFE">
              <w:rPr>
                <w:rFonts w:ascii="Times New Roman" w:eastAsiaTheme="majorEastAsia" w:hAnsi="Times New Roman" w:cs="Times New Roman"/>
                <w:b/>
                <w:bCs/>
                <w:sz w:val="24"/>
                <w:szCs w:val="24"/>
              </w:rPr>
              <w:t>KOPĀ</w:t>
            </w:r>
          </w:p>
        </w:tc>
        <w:tc>
          <w:tcPr>
            <w:tcW w:w="1088" w:type="dxa"/>
            <w:tcBorders>
              <w:top w:val="single" w:sz="4" w:space="0" w:color="000000" w:themeColor="text1"/>
            </w:tcBorders>
            <w:shd w:val="clear" w:color="auto" w:fill="FFFFCC"/>
          </w:tcPr>
          <w:p w:rsidR="00810AFE" w:rsidRPr="00810AFE" w:rsidRDefault="00810AFE" w:rsidP="005C484F">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778</w:t>
            </w:r>
            <w:r w:rsidR="005C484F">
              <w:rPr>
                <w:rFonts w:ascii="Times New Roman" w:eastAsiaTheme="majorEastAsia" w:hAnsi="Times New Roman" w:cs="Times New Roman"/>
                <w:b/>
                <w:bCs/>
                <w:iCs/>
                <w:sz w:val="24"/>
                <w:szCs w:val="24"/>
              </w:rPr>
              <w:t>,6</w:t>
            </w:r>
          </w:p>
        </w:tc>
        <w:tc>
          <w:tcPr>
            <w:tcW w:w="1038" w:type="dxa"/>
            <w:tcBorders>
              <w:top w:val="single" w:sz="4" w:space="0" w:color="000000" w:themeColor="text1"/>
            </w:tcBorders>
            <w:shd w:val="clear" w:color="auto" w:fill="FFFFCC"/>
          </w:tcPr>
          <w:p w:rsidR="00810AFE" w:rsidRPr="00810AFE" w:rsidRDefault="00810AFE" w:rsidP="00E333BB">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100%</w:t>
            </w:r>
          </w:p>
        </w:tc>
        <w:tc>
          <w:tcPr>
            <w:tcW w:w="1978" w:type="dxa"/>
            <w:tcBorders>
              <w:top w:val="single" w:sz="4" w:space="0" w:color="000000" w:themeColor="text1"/>
            </w:tcBorders>
            <w:shd w:val="clear" w:color="auto" w:fill="FFFFCC"/>
          </w:tcPr>
          <w:p w:rsidR="00810AFE" w:rsidRPr="00810AFE" w:rsidRDefault="00810AFE" w:rsidP="00277E41">
            <w:pPr>
              <w:jc w:val="center"/>
              <w:rPr>
                <w:rFonts w:ascii="Times New Roman" w:eastAsiaTheme="majorEastAsia" w:hAnsi="Times New Roman" w:cs="Times New Roman"/>
                <w:b/>
                <w:bCs/>
                <w:sz w:val="24"/>
                <w:szCs w:val="24"/>
              </w:rPr>
            </w:pPr>
          </w:p>
        </w:tc>
        <w:tc>
          <w:tcPr>
            <w:tcW w:w="1388" w:type="dxa"/>
            <w:tcBorders>
              <w:top w:val="single" w:sz="4" w:space="0" w:color="000000" w:themeColor="text1"/>
            </w:tcBorders>
            <w:shd w:val="clear" w:color="auto" w:fill="FFFFCC"/>
          </w:tcPr>
          <w:p w:rsidR="00810AFE" w:rsidRPr="00810AFE" w:rsidRDefault="00810AFE" w:rsidP="00367DB6">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w:t>
            </w:r>
            <w:r w:rsidR="00367DB6">
              <w:rPr>
                <w:rFonts w:ascii="Times New Roman" w:eastAsiaTheme="majorEastAsia" w:hAnsi="Times New Roman" w:cs="Times New Roman"/>
                <w:b/>
                <w:bCs/>
                <w:iCs/>
                <w:sz w:val="24"/>
                <w:szCs w:val="24"/>
              </w:rPr>
              <w:t>4</w:t>
            </w:r>
            <w:r>
              <w:rPr>
                <w:rFonts w:ascii="Times New Roman" w:eastAsiaTheme="majorEastAsia" w:hAnsi="Times New Roman" w:cs="Times New Roman"/>
                <w:b/>
                <w:bCs/>
                <w:iCs/>
                <w:sz w:val="24"/>
                <w:szCs w:val="24"/>
              </w:rPr>
              <w:t>,</w:t>
            </w:r>
            <w:r w:rsidR="00367DB6">
              <w:rPr>
                <w:rFonts w:ascii="Times New Roman" w:eastAsiaTheme="majorEastAsia" w:hAnsi="Times New Roman" w:cs="Times New Roman"/>
                <w:b/>
                <w:bCs/>
                <w:iCs/>
                <w:sz w:val="24"/>
                <w:szCs w:val="24"/>
              </w:rPr>
              <w:t>5</w:t>
            </w:r>
            <w:r w:rsidR="00C026AC">
              <w:rPr>
                <w:rFonts w:ascii="Times New Roman" w:eastAsiaTheme="majorEastAsia" w:hAnsi="Times New Roman" w:cs="Times New Roman"/>
                <w:b/>
                <w:bCs/>
                <w:iCs/>
                <w:sz w:val="24"/>
                <w:szCs w:val="24"/>
              </w:rPr>
              <w:t>4</w:t>
            </w:r>
          </w:p>
        </w:tc>
        <w:tc>
          <w:tcPr>
            <w:tcW w:w="1397" w:type="dxa"/>
            <w:tcBorders>
              <w:top w:val="single" w:sz="4" w:space="0" w:color="000000" w:themeColor="text1"/>
            </w:tcBorders>
            <w:shd w:val="clear" w:color="auto" w:fill="FFFFCC"/>
          </w:tcPr>
          <w:p w:rsidR="00810AFE" w:rsidRPr="00810AFE" w:rsidRDefault="00810AFE" w:rsidP="00367DB6">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w:t>
            </w:r>
            <w:r w:rsidR="00367DB6">
              <w:rPr>
                <w:rFonts w:ascii="Times New Roman" w:eastAsiaTheme="majorEastAsia" w:hAnsi="Times New Roman" w:cs="Times New Roman"/>
                <w:b/>
                <w:bCs/>
                <w:iCs/>
                <w:sz w:val="24"/>
                <w:szCs w:val="24"/>
              </w:rPr>
              <w:t>8</w:t>
            </w:r>
            <w:r>
              <w:rPr>
                <w:rFonts w:ascii="Times New Roman" w:eastAsiaTheme="majorEastAsia" w:hAnsi="Times New Roman" w:cs="Times New Roman"/>
                <w:b/>
                <w:bCs/>
                <w:iCs/>
                <w:sz w:val="24"/>
                <w:szCs w:val="24"/>
              </w:rPr>
              <w:t>,</w:t>
            </w:r>
            <w:r w:rsidR="00367DB6">
              <w:rPr>
                <w:rFonts w:ascii="Times New Roman" w:eastAsiaTheme="majorEastAsia" w:hAnsi="Times New Roman" w:cs="Times New Roman"/>
                <w:b/>
                <w:bCs/>
                <w:iCs/>
                <w:sz w:val="24"/>
                <w:szCs w:val="24"/>
              </w:rPr>
              <w:t>17</w:t>
            </w:r>
          </w:p>
        </w:tc>
        <w:tc>
          <w:tcPr>
            <w:tcW w:w="1351" w:type="dxa"/>
            <w:tcBorders>
              <w:top w:val="single" w:sz="4" w:space="0" w:color="000000" w:themeColor="text1"/>
            </w:tcBorders>
            <w:shd w:val="clear" w:color="auto" w:fill="FFFFCC"/>
          </w:tcPr>
          <w:p w:rsidR="00810AFE" w:rsidRPr="00810AFE" w:rsidRDefault="00810AFE" w:rsidP="00C026AC">
            <w:pPr>
              <w:jc w:val="center"/>
              <w:rPr>
                <w:rFonts w:ascii="Times New Roman" w:eastAsiaTheme="majorEastAsia" w:hAnsi="Times New Roman" w:cs="Times New Roman"/>
                <w:b/>
                <w:bCs/>
                <w:iCs/>
                <w:sz w:val="24"/>
                <w:szCs w:val="24"/>
              </w:rPr>
            </w:pPr>
            <w:r w:rsidRPr="00810AFE">
              <w:rPr>
                <w:rFonts w:ascii="Times New Roman" w:eastAsiaTheme="majorEastAsia" w:hAnsi="Times New Roman" w:cs="Times New Roman"/>
                <w:b/>
                <w:bCs/>
                <w:iCs/>
                <w:color w:val="C00000"/>
                <w:sz w:val="24"/>
                <w:szCs w:val="24"/>
              </w:rPr>
              <w:t>-2</w:t>
            </w:r>
            <w:r w:rsidR="00C026AC">
              <w:rPr>
                <w:rFonts w:ascii="Times New Roman" w:eastAsiaTheme="majorEastAsia" w:hAnsi="Times New Roman" w:cs="Times New Roman"/>
                <w:b/>
                <w:bCs/>
                <w:iCs/>
                <w:color w:val="C00000"/>
                <w:sz w:val="24"/>
                <w:szCs w:val="24"/>
              </w:rPr>
              <w:t>2</w:t>
            </w:r>
            <w:r w:rsidRPr="00810AFE">
              <w:rPr>
                <w:rFonts w:ascii="Times New Roman" w:eastAsiaTheme="majorEastAsia" w:hAnsi="Times New Roman" w:cs="Times New Roman"/>
                <w:b/>
                <w:bCs/>
                <w:iCs/>
                <w:color w:val="C00000"/>
                <w:sz w:val="24"/>
                <w:szCs w:val="24"/>
              </w:rPr>
              <w:t>,</w:t>
            </w:r>
            <w:r w:rsidR="00C026AC">
              <w:rPr>
                <w:rFonts w:ascii="Times New Roman" w:eastAsiaTheme="majorEastAsia" w:hAnsi="Times New Roman" w:cs="Times New Roman"/>
                <w:b/>
                <w:bCs/>
                <w:iCs/>
                <w:color w:val="C00000"/>
                <w:sz w:val="24"/>
                <w:szCs w:val="24"/>
              </w:rPr>
              <w:t>71</w:t>
            </w:r>
          </w:p>
        </w:tc>
      </w:tr>
    </w:tbl>
    <w:p w:rsidR="008863EC" w:rsidRDefault="008863EC" w:rsidP="00495BC0">
      <w:pPr>
        <w:pStyle w:val="ListParagraph"/>
        <w:spacing w:before="120" w:after="60" w:line="240" w:lineRule="auto"/>
        <w:ind w:left="0"/>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277E41" w:rsidRDefault="00277E41" w:rsidP="00F86632">
      <w:pPr>
        <w:spacing w:after="0" w:line="240" w:lineRule="auto"/>
        <w:ind w:firstLine="567"/>
        <w:jc w:val="both"/>
        <w:rPr>
          <w:rFonts w:ascii="Times New Roman" w:hAnsi="Times New Roman" w:cs="Times New Roman"/>
          <w:sz w:val="28"/>
          <w:szCs w:val="28"/>
        </w:rPr>
      </w:pPr>
    </w:p>
    <w:p w:rsidR="00A270D1" w:rsidRPr="00CB7C6C" w:rsidRDefault="00810AFE" w:rsidP="00B7647D">
      <w:pPr>
        <w:spacing w:after="120" w:line="240" w:lineRule="auto"/>
        <w:ind w:firstLine="709"/>
        <w:rPr>
          <w:rFonts w:ascii="Times New Roman" w:eastAsiaTheme="majorEastAsia" w:hAnsi="Times New Roman" w:cs="Times New Roman"/>
          <w:b/>
          <w:bCs/>
          <w:sz w:val="28"/>
          <w:szCs w:val="28"/>
        </w:rPr>
      </w:pPr>
      <w:r w:rsidRPr="00CB7C6C">
        <w:rPr>
          <w:rFonts w:ascii="Times New Roman" w:eastAsiaTheme="majorEastAsia" w:hAnsi="Times New Roman" w:cs="Times New Roman"/>
          <w:b/>
          <w:bCs/>
          <w:sz w:val="28"/>
          <w:szCs w:val="28"/>
        </w:rPr>
        <w:t xml:space="preserve">Diferencētā </w:t>
      </w:r>
      <w:r w:rsidR="008863EC">
        <w:rPr>
          <w:rFonts w:ascii="Times New Roman" w:eastAsiaTheme="majorEastAsia" w:hAnsi="Times New Roman" w:cs="Times New Roman"/>
          <w:b/>
          <w:bCs/>
          <w:sz w:val="28"/>
          <w:szCs w:val="28"/>
        </w:rPr>
        <w:t>neapliekamā minimuma</w:t>
      </w:r>
      <w:r w:rsidR="008863EC" w:rsidRPr="00CB7C6C">
        <w:rPr>
          <w:rFonts w:ascii="Times New Roman" w:eastAsiaTheme="majorEastAsia" w:hAnsi="Times New Roman" w:cs="Times New Roman"/>
          <w:b/>
          <w:bCs/>
          <w:sz w:val="28"/>
          <w:szCs w:val="28"/>
        </w:rPr>
        <w:t xml:space="preserve"> </w:t>
      </w:r>
      <w:r w:rsidRPr="00CB7C6C">
        <w:rPr>
          <w:rFonts w:ascii="Times New Roman" w:eastAsiaTheme="majorEastAsia" w:hAnsi="Times New Roman" w:cs="Times New Roman"/>
          <w:b/>
          <w:bCs/>
          <w:sz w:val="28"/>
          <w:szCs w:val="28"/>
        </w:rPr>
        <w:t>administrēšanas riski:</w:t>
      </w:r>
    </w:p>
    <w:p w:rsidR="00810AFE" w:rsidRDefault="00810AFE" w:rsidP="00F86632">
      <w:pPr>
        <w:pStyle w:val="ListParagraph"/>
        <w:numPr>
          <w:ilvl w:val="0"/>
          <w:numId w:val="35"/>
        </w:numPr>
        <w:spacing w:after="0" w:line="240" w:lineRule="auto"/>
        <w:ind w:left="1077" w:hanging="357"/>
        <w:jc w:val="both"/>
        <w:rPr>
          <w:rFonts w:ascii="Times New Roman" w:eastAsiaTheme="majorEastAsia" w:hAnsi="Times New Roman" w:cs="Times New Roman"/>
          <w:bCs/>
          <w:sz w:val="28"/>
          <w:szCs w:val="28"/>
        </w:rPr>
      </w:pPr>
      <w:r w:rsidRPr="00CB7C6C">
        <w:rPr>
          <w:rFonts w:ascii="Times New Roman" w:eastAsiaTheme="majorEastAsia" w:hAnsi="Times New Roman" w:cs="Times New Roman"/>
          <w:bCs/>
          <w:sz w:val="28"/>
          <w:szCs w:val="28"/>
        </w:rPr>
        <w:t>iespēja precizēt deklarācijas par 3 iepriekšējiem taksācijas periodiem – risks atmaksāt par daudz, ja persona saņem pārmaksu un tad precizē deklarāciju, palielinot gada ienākumus;</w:t>
      </w:r>
    </w:p>
    <w:p w:rsidR="00810AFE" w:rsidRPr="006533A5" w:rsidRDefault="00810AFE" w:rsidP="00F86632">
      <w:pPr>
        <w:pStyle w:val="ListParagraph"/>
        <w:numPr>
          <w:ilvl w:val="0"/>
          <w:numId w:val="35"/>
        </w:numPr>
        <w:spacing w:after="0" w:line="240" w:lineRule="auto"/>
        <w:ind w:left="1077" w:hanging="357"/>
        <w:jc w:val="both"/>
        <w:rPr>
          <w:rFonts w:ascii="Times New Roman" w:eastAsiaTheme="majorEastAsia" w:hAnsi="Times New Roman" w:cs="Times New Roman"/>
          <w:bCs/>
          <w:sz w:val="28"/>
          <w:szCs w:val="28"/>
        </w:rPr>
      </w:pPr>
      <w:r w:rsidRPr="00CB7C6C">
        <w:rPr>
          <w:rFonts w:ascii="Times New Roman" w:eastAsiaTheme="majorEastAsia" w:hAnsi="Times New Roman" w:cs="Times New Roman"/>
          <w:bCs/>
          <w:sz w:val="28"/>
          <w:szCs w:val="28"/>
        </w:rPr>
        <w:t>pieaug VID apstrādājamo datu apjoms un administrēšanas izmaksas</w:t>
      </w:r>
      <w:r w:rsidR="00AE2A85">
        <w:rPr>
          <w:rFonts w:ascii="Times New Roman" w:eastAsiaTheme="majorEastAsia" w:hAnsi="Times New Roman" w:cs="Times New Roman"/>
          <w:bCs/>
          <w:sz w:val="28"/>
          <w:szCs w:val="28"/>
        </w:rPr>
        <w:t>. P</w:t>
      </w:r>
      <w:r w:rsidR="00CB7C6C">
        <w:rPr>
          <w:rFonts w:ascii="Times New Roman" w:eastAsiaTheme="majorEastAsia" w:hAnsi="Times New Roman" w:cs="Times New Roman"/>
          <w:bCs/>
          <w:sz w:val="28"/>
          <w:szCs w:val="28"/>
        </w:rPr>
        <w:t xml:space="preserve">ēc </w:t>
      </w:r>
      <w:r w:rsidR="00CB7C6C" w:rsidRPr="006533A5">
        <w:rPr>
          <w:rFonts w:ascii="Times New Roman" w:eastAsiaTheme="majorEastAsia" w:hAnsi="Times New Roman" w:cs="Times New Roman"/>
          <w:bCs/>
          <w:sz w:val="28"/>
          <w:szCs w:val="28"/>
        </w:rPr>
        <w:t>VID provizoriskajiem aprēķiniem</w:t>
      </w:r>
      <w:r w:rsidR="006533A5">
        <w:rPr>
          <w:rFonts w:ascii="Times New Roman" w:eastAsiaTheme="majorEastAsia" w:hAnsi="Times New Roman" w:cs="Times New Roman"/>
          <w:bCs/>
          <w:sz w:val="28"/>
          <w:szCs w:val="28"/>
        </w:rPr>
        <w:t xml:space="preserve"> papildus nepieciešamas finansējums:</w:t>
      </w:r>
      <w:r w:rsidR="00CB7C6C" w:rsidRPr="006533A5">
        <w:rPr>
          <w:rFonts w:ascii="Times New Roman" w:eastAsiaTheme="majorEastAsia" w:hAnsi="Times New Roman" w:cs="Times New Roman"/>
          <w:bCs/>
          <w:sz w:val="28"/>
          <w:szCs w:val="28"/>
        </w:rPr>
        <w:t xml:space="preserve"> </w:t>
      </w:r>
      <w:r w:rsidR="006533A5" w:rsidRPr="006533A5">
        <w:rPr>
          <w:rFonts w:ascii="Times New Roman" w:hAnsi="Times New Roman" w:cs="Times New Roman"/>
          <w:sz w:val="28"/>
          <w:szCs w:val="28"/>
        </w:rPr>
        <w:t>2014.gadā i</w:t>
      </w:r>
      <w:r w:rsidR="006533A5" w:rsidRPr="006533A5">
        <w:rPr>
          <w:rFonts w:ascii="Times New Roman" w:eastAsiaTheme="majorEastAsia" w:hAnsi="Times New Roman" w:cs="Times New Roman"/>
          <w:bCs/>
          <w:sz w:val="28"/>
          <w:szCs w:val="28"/>
        </w:rPr>
        <w:t xml:space="preserve">nformācijas sistēmu pilnveidošanai </w:t>
      </w:r>
      <w:r w:rsidR="006533A5" w:rsidRPr="006533A5">
        <w:rPr>
          <w:rFonts w:ascii="Times New Roman" w:eastAsiaTheme="majorEastAsia" w:hAnsi="Times New Roman" w:cs="Times New Roman"/>
          <w:bCs/>
          <w:iCs/>
          <w:sz w:val="28"/>
          <w:szCs w:val="28"/>
        </w:rPr>
        <w:t>25 320 - 30 765 latu apmērā, bet 2015.gadā un turpmāk 1 772 - 2 154 latu apmērā; u</w:t>
      </w:r>
      <w:r w:rsidR="006533A5" w:rsidRPr="006533A5">
        <w:rPr>
          <w:rFonts w:ascii="Times New Roman" w:eastAsiaTheme="majorEastAsia" w:hAnsi="Times New Roman" w:cs="Times New Roman"/>
          <w:bCs/>
          <w:sz w:val="28"/>
          <w:szCs w:val="28"/>
        </w:rPr>
        <w:t xml:space="preserve">zturēšanas izmaksas papildus štata vietām </w:t>
      </w:r>
      <w:r w:rsidR="006533A5" w:rsidRPr="006533A5">
        <w:rPr>
          <w:rFonts w:ascii="Times New Roman" w:eastAsiaTheme="majorEastAsia" w:hAnsi="Times New Roman" w:cs="Times New Roman"/>
          <w:bCs/>
          <w:iCs/>
          <w:sz w:val="28"/>
          <w:szCs w:val="28"/>
        </w:rPr>
        <w:t xml:space="preserve">2015.gadā </w:t>
      </w:r>
      <w:r w:rsidR="006533A5" w:rsidRPr="006533A5">
        <w:rPr>
          <w:rFonts w:ascii="Times New Roman" w:hAnsi="Times New Roman" w:cs="Times New Roman"/>
          <w:sz w:val="28"/>
          <w:szCs w:val="28"/>
        </w:rPr>
        <w:t>1 009 060 latu apmērā, bet 2016.gadā un turpmāk – 946 985 latu apmērā.</w:t>
      </w:r>
      <w:r w:rsidR="006533A5" w:rsidRPr="006533A5">
        <w:rPr>
          <w:rFonts w:ascii="Times New Roman" w:eastAsiaTheme="majorEastAsia" w:hAnsi="Times New Roman" w:cs="Times New Roman"/>
          <w:bCs/>
          <w:sz w:val="28"/>
          <w:szCs w:val="28"/>
        </w:rPr>
        <w:t xml:space="preserve"> </w:t>
      </w:r>
      <w:r w:rsidR="00AE2A85" w:rsidRPr="006533A5">
        <w:rPr>
          <w:rFonts w:ascii="Times New Roman" w:eastAsiaTheme="majorEastAsia" w:hAnsi="Times New Roman" w:cs="Times New Roman"/>
          <w:bCs/>
          <w:sz w:val="28"/>
          <w:szCs w:val="28"/>
        </w:rPr>
        <w:t>(skat.5.tab.)</w:t>
      </w:r>
      <w:r w:rsidRPr="006533A5">
        <w:rPr>
          <w:rFonts w:ascii="Times New Roman" w:eastAsiaTheme="majorEastAsia" w:hAnsi="Times New Roman" w:cs="Times New Roman"/>
          <w:bCs/>
          <w:sz w:val="28"/>
          <w:szCs w:val="28"/>
        </w:rPr>
        <w:t>;</w:t>
      </w:r>
    </w:p>
    <w:p w:rsidR="00810AFE" w:rsidRDefault="00810AFE" w:rsidP="00F86632">
      <w:pPr>
        <w:pStyle w:val="ListParagraph"/>
        <w:numPr>
          <w:ilvl w:val="0"/>
          <w:numId w:val="35"/>
        </w:numPr>
        <w:spacing w:after="0" w:line="240" w:lineRule="auto"/>
        <w:ind w:left="1077" w:hanging="357"/>
        <w:jc w:val="both"/>
        <w:rPr>
          <w:rFonts w:ascii="Times New Roman" w:eastAsiaTheme="majorEastAsia" w:hAnsi="Times New Roman" w:cs="Times New Roman"/>
          <w:bCs/>
          <w:sz w:val="28"/>
          <w:szCs w:val="28"/>
        </w:rPr>
      </w:pPr>
      <w:r w:rsidRPr="00CB7C6C">
        <w:rPr>
          <w:rFonts w:ascii="Times New Roman" w:eastAsiaTheme="majorEastAsia" w:hAnsi="Times New Roman" w:cs="Times New Roman"/>
          <w:bCs/>
          <w:sz w:val="28"/>
          <w:szCs w:val="28"/>
        </w:rPr>
        <w:lastRenderedPageBreak/>
        <w:t xml:space="preserve">tā kā nodokļa maksātājs nodokļa pārmaksu varēs atgūt «ar viena gada nobīdi» par visu taksācijas periodu, </w:t>
      </w:r>
      <w:r w:rsidR="006A453B">
        <w:rPr>
          <w:rFonts w:ascii="Times New Roman" w:eastAsiaTheme="majorEastAsia" w:hAnsi="Times New Roman" w:cs="Times New Roman"/>
          <w:bCs/>
          <w:sz w:val="28"/>
          <w:szCs w:val="28"/>
        </w:rPr>
        <w:t xml:space="preserve">tas </w:t>
      </w:r>
      <w:r w:rsidRPr="00CB7C6C">
        <w:rPr>
          <w:rFonts w:ascii="Times New Roman" w:eastAsiaTheme="majorEastAsia" w:hAnsi="Times New Roman" w:cs="Times New Roman"/>
          <w:bCs/>
          <w:sz w:val="28"/>
          <w:szCs w:val="28"/>
        </w:rPr>
        <w:t>ietekm</w:t>
      </w:r>
      <w:r w:rsidR="006A453B">
        <w:rPr>
          <w:rFonts w:ascii="Times New Roman" w:eastAsiaTheme="majorEastAsia" w:hAnsi="Times New Roman" w:cs="Times New Roman"/>
          <w:bCs/>
          <w:sz w:val="28"/>
          <w:szCs w:val="28"/>
        </w:rPr>
        <w:t>ēs</w:t>
      </w:r>
      <w:r w:rsidRPr="00CB7C6C">
        <w:rPr>
          <w:rFonts w:ascii="Times New Roman" w:eastAsiaTheme="majorEastAsia" w:hAnsi="Times New Roman" w:cs="Times New Roman"/>
          <w:bCs/>
          <w:sz w:val="28"/>
          <w:szCs w:val="28"/>
        </w:rPr>
        <w:t xml:space="preserve"> naudas plūsmu gan fiziskām personām, gan budžet</w:t>
      </w:r>
      <w:r w:rsidR="006A453B">
        <w:rPr>
          <w:rFonts w:ascii="Times New Roman" w:eastAsiaTheme="majorEastAsia" w:hAnsi="Times New Roman" w:cs="Times New Roman"/>
          <w:bCs/>
          <w:sz w:val="28"/>
          <w:szCs w:val="28"/>
        </w:rPr>
        <w:t>ā</w:t>
      </w:r>
      <w:r w:rsidRPr="00CB7C6C">
        <w:rPr>
          <w:rFonts w:ascii="Times New Roman" w:eastAsiaTheme="majorEastAsia" w:hAnsi="Times New Roman" w:cs="Times New Roman"/>
          <w:bCs/>
          <w:sz w:val="28"/>
          <w:szCs w:val="28"/>
        </w:rPr>
        <w:t>.</w:t>
      </w:r>
    </w:p>
    <w:p w:rsidR="00AE2A85" w:rsidRDefault="00AE2A85" w:rsidP="00AE2A85">
      <w:pPr>
        <w:pStyle w:val="ListParagraph"/>
        <w:spacing w:after="0" w:line="240" w:lineRule="auto"/>
        <w:ind w:left="1077"/>
        <w:jc w:val="both"/>
        <w:rPr>
          <w:rFonts w:ascii="Times New Roman" w:eastAsiaTheme="majorEastAsia" w:hAnsi="Times New Roman" w:cs="Times New Roman"/>
          <w:bCs/>
          <w:sz w:val="28"/>
          <w:szCs w:val="28"/>
        </w:rPr>
      </w:pPr>
    </w:p>
    <w:p w:rsidR="00550848" w:rsidRPr="00550848" w:rsidRDefault="00550848" w:rsidP="00D55661">
      <w:pPr>
        <w:pStyle w:val="ListParagraph"/>
        <w:spacing w:after="120" w:line="240" w:lineRule="auto"/>
        <w:ind w:left="0"/>
        <w:jc w:val="center"/>
        <w:rPr>
          <w:rFonts w:ascii="Times New Roman" w:hAnsi="Times New Roman" w:cs="Times New Roman"/>
          <w:b/>
          <w:sz w:val="24"/>
          <w:szCs w:val="24"/>
        </w:rPr>
      </w:pPr>
      <w:r>
        <w:rPr>
          <w:rFonts w:ascii="Times New Roman" w:hAnsi="Times New Roman" w:cs="Times New Roman"/>
          <w:b/>
          <w:sz w:val="24"/>
          <w:szCs w:val="24"/>
        </w:rPr>
        <w:t>5.tab. VID administrēšanas izmaksas</w:t>
      </w:r>
      <w:r w:rsidR="00173008">
        <w:rPr>
          <w:rFonts w:ascii="Times New Roman" w:hAnsi="Times New Roman" w:cs="Times New Roman"/>
          <w:b/>
          <w:sz w:val="24"/>
          <w:szCs w:val="24"/>
        </w:rPr>
        <w:t>,</w:t>
      </w:r>
      <w:r w:rsidR="00173008" w:rsidRPr="00173008">
        <w:rPr>
          <w:rFonts w:ascii="Times New Roman" w:hAnsi="Times New Roman" w:cs="Times New Roman"/>
          <w:b/>
          <w:sz w:val="24"/>
          <w:szCs w:val="24"/>
        </w:rPr>
        <w:t xml:space="preserve"> </w:t>
      </w:r>
      <w:r w:rsidR="00173008">
        <w:rPr>
          <w:rFonts w:ascii="Times New Roman" w:hAnsi="Times New Roman" w:cs="Times New Roman"/>
          <w:b/>
          <w:sz w:val="24"/>
          <w:szCs w:val="24"/>
        </w:rPr>
        <w:t>ieviešot diferencēto neapliekamo minimumu</w:t>
      </w:r>
    </w:p>
    <w:tbl>
      <w:tblPr>
        <w:tblStyle w:val="TableGrid"/>
        <w:tblW w:w="10031" w:type="dxa"/>
        <w:tblLayout w:type="fixed"/>
        <w:tblLook w:val="04A0" w:firstRow="1" w:lastRow="0" w:firstColumn="1" w:lastColumn="0" w:noHBand="0" w:noVBand="1"/>
      </w:tblPr>
      <w:tblGrid>
        <w:gridCol w:w="4928"/>
        <w:gridCol w:w="1843"/>
        <w:gridCol w:w="1559"/>
        <w:gridCol w:w="1701"/>
      </w:tblGrid>
      <w:tr w:rsidR="00173008" w:rsidRPr="00E333BB" w:rsidTr="00173008">
        <w:tc>
          <w:tcPr>
            <w:tcW w:w="492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173008" w:rsidRPr="00E333BB" w:rsidRDefault="00173008" w:rsidP="00550848">
            <w:pPr>
              <w:jc w:val="center"/>
              <w:rPr>
                <w:rFonts w:ascii="Times New Roman" w:hAnsi="Times New Roman" w:cs="Times New Roman"/>
                <w:sz w:val="24"/>
                <w:szCs w:val="24"/>
              </w:rPr>
            </w:pPr>
          </w:p>
        </w:tc>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73008" w:rsidRDefault="00173008" w:rsidP="00550848">
            <w:pPr>
              <w:jc w:val="center"/>
              <w:rPr>
                <w:rFonts w:ascii="Times New Roman" w:hAnsi="Times New Roman" w:cs="Times New Roman"/>
                <w:b/>
                <w:sz w:val="24"/>
                <w:szCs w:val="24"/>
              </w:rPr>
            </w:pPr>
            <w:r>
              <w:rPr>
                <w:rFonts w:ascii="Times New Roman" w:hAnsi="Times New Roman" w:cs="Times New Roman"/>
                <w:b/>
                <w:sz w:val="24"/>
                <w:szCs w:val="24"/>
              </w:rPr>
              <w:t xml:space="preserve">Izmaksas (ieskaitot PVN), </w:t>
            </w:r>
          </w:p>
          <w:p w:rsidR="00173008" w:rsidRDefault="00173008" w:rsidP="00550848">
            <w:pPr>
              <w:jc w:val="center"/>
              <w:rPr>
                <w:rFonts w:ascii="Times New Roman" w:hAnsi="Times New Roman" w:cs="Times New Roman"/>
                <w:b/>
                <w:sz w:val="24"/>
                <w:szCs w:val="24"/>
              </w:rPr>
            </w:pPr>
            <w:r w:rsidRPr="00A64113">
              <w:rPr>
                <w:rFonts w:ascii="Times New Roman" w:hAnsi="Times New Roman" w:cs="Times New Roman"/>
                <w:i/>
                <w:sz w:val="24"/>
                <w:szCs w:val="24"/>
              </w:rPr>
              <w:t>LVL gadā</w:t>
            </w:r>
          </w:p>
        </w:tc>
      </w:tr>
      <w:tr w:rsidR="005B07B2" w:rsidRPr="00E333BB" w:rsidTr="00EB0DFF">
        <w:tc>
          <w:tcPr>
            <w:tcW w:w="4928" w:type="dxa"/>
            <w:vMerge/>
            <w:tcBorders>
              <w:left w:val="single" w:sz="4" w:space="0" w:color="FFFFFF" w:themeColor="background1"/>
              <w:bottom w:val="single" w:sz="4" w:space="0" w:color="000000" w:themeColor="text1"/>
              <w:right w:val="single" w:sz="4" w:space="0" w:color="FFFFFF" w:themeColor="background1"/>
            </w:tcBorders>
            <w:shd w:val="clear" w:color="auto" w:fill="002060"/>
          </w:tcPr>
          <w:p w:rsidR="005B07B2" w:rsidRPr="00E333BB" w:rsidRDefault="005B07B2" w:rsidP="00550848">
            <w:pPr>
              <w:jc w:val="center"/>
              <w:rPr>
                <w:rFonts w:ascii="Times New Roman" w:hAnsi="Times New Roman" w:cs="Times New Roman"/>
                <w:sz w:val="24"/>
                <w:szCs w:val="24"/>
              </w:rPr>
            </w:pP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5B07B2" w:rsidRPr="00E333BB" w:rsidRDefault="005B07B2" w:rsidP="00550848">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2014</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5B07B2" w:rsidRPr="00D55661" w:rsidRDefault="005B07B2" w:rsidP="005B07B2">
            <w:pPr>
              <w:jc w:val="center"/>
              <w:rPr>
                <w:rFonts w:ascii="Times New Roman" w:hAnsi="Times New Roman" w:cs="Times New Roman"/>
                <w:b/>
                <w:sz w:val="24"/>
                <w:szCs w:val="24"/>
              </w:rPr>
            </w:pPr>
            <w:r w:rsidRPr="00D55661">
              <w:rPr>
                <w:rFonts w:ascii="Times New Roman" w:hAnsi="Times New Roman" w:cs="Times New Roman"/>
                <w:b/>
                <w:sz w:val="24"/>
                <w:szCs w:val="24"/>
              </w:rPr>
              <w:t xml:space="preserve">2015 </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2060"/>
          </w:tcPr>
          <w:p w:rsidR="005B07B2" w:rsidRPr="00D55661" w:rsidRDefault="005B07B2" w:rsidP="00550848">
            <w:pPr>
              <w:jc w:val="center"/>
              <w:rPr>
                <w:rFonts w:ascii="Times New Roman" w:hAnsi="Times New Roman" w:cs="Times New Roman"/>
                <w:b/>
                <w:sz w:val="24"/>
                <w:szCs w:val="24"/>
              </w:rPr>
            </w:pPr>
            <w:r w:rsidRPr="00D55661">
              <w:rPr>
                <w:rFonts w:ascii="Times New Roman" w:hAnsi="Times New Roman" w:cs="Times New Roman"/>
                <w:b/>
                <w:sz w:val="24"/>
                <w:szCs w:val="24"/>
              </w:rPr>
              <w:t>Turpmāk</w:t>
            </w:r>
            <w:r>
              <w:rPr>
                <w:rFonts w:ascii="Times New Roman" w:hAnsi="Times New Roman" w:cs="Times New Roman"/>
                <w:b/>
                <w:sz w:val="24"/>
                <w:szCs w:val="24"/>
              </w:rPr>
              <w:t>ajos gados</w:t>
            </w:r>
          </w:p>
        </w:tc>
      </w:tr>
      <w:tr w:rsidR="005B07B2" w:rsidRPr="00D55661" w:rsidTr="00EB0DFF">
        <w:tc>
          <w:tcPr>
            <w:tcW w:w="4928" w:type="dxa"/>
            <w:tcBorders>
              <w:top w:val="single" w:sz="4" w:space="0" w:color="000000" w:themeColor="text1"/>
              <w:bottom w:val="dotted" w:sz="4" w:space="0" w:color="auto"/>
            </w:tcBorders>
          </w:tcPr>
          <w:p w:rsidR="005B07B2" w:rsidRPr="007C5F5C" w:rsidRDefault="005B07B2" w:rsidP="008F2B6E">
            <w:pPr>
              <w:pStyle w:val="ListParagraph"/>
              <w:numPr>
                <w:ilvl w:val="0"/>
                <w:numId w:val="44"/>
              </w:numPr>
              <w:ind w:left="426" w:hanging="426"/>
              <w:rPr>
                <w:rFonts w:ascii="Times New Roman" w:eastAsiaTheme="majorEastAsia" w:hAnsi="Times New Roman" w:cs="Times New Roman"/>
                <w:b/>
                <w:bCs/>
                <w:sz w:val="24"/>
                <w:szCs w:val="24"/>
              </w:rPr>
            </w:pPr>
            <w:r w:rsidRPr="007C5F5C">
              <w:rPr>
                <w:rFonts w:ascii="Times New Roman" w:eastAsiaTheme="majorEastAsia" w:hAnsi="Times New Roman" w:cs="Times New Roman"/>
                <w:b/>
                <w:bCs/>
                <w:sz w:val="24"/>
                <w:szCs w:val="24"/>
              </w:rPr>
              <w:t xml:space="preserve">Informācijas sistēmu pilnveidošanas izmaksas, </w:t>
            </w:r>
            <w:r w:rsidRPr="007C5F5C">
              <w:rPr>
                <w:rFonts w:ascii="Times New Roman" w:eastAsiaTheme="majorEastAsia" w:hAnsi="Times New Roman" w:cs="Times New Roman"/>
                <w:bCs/>
                <w:sz w:val="24"/>
                <w:szCs w:val="24"/>
              </w:rPr>
              <w:t>tai skaitā:</w:t>
            </w:r>
          </w:p>
        </w:tc>
        <w:tc>
          <w:tcPr>
            <w:tcW w:w="1843" w:type="dxa"/>
            <w:tcBorders>
              <w:top w:val="single" w:sz="4" w:space="0" w:color="000000" w:themeColor="text1"/>
              <w:bottom w:val="dotted" w:sz="4" w:space="0" w:color="auto"/>
            </w:tcBorders>
          </w:tcPr>
          <w:p w:rsidR="005B07B2" w:rsidRPr="00D55661" w:rsidRDefault="005B07B2" w:rsidP="008F2B6E">
            <w:pP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25</w:t>
            </w:r>
            <w:r w:rsidR="00173008">
              <w:rPr>
                <w:rFonts w:ascii="Times New Roman" w:eastAsiaTheme="majorEastAsia" w:hAnsi="Times New Roman" w:cs="Times New Roman"/>
                <w:b/>
                <w:bCs/>
                <w:iCs/>
                <w:sz w:val="24"/>
                <w:szCs w:val="24"/>
              </w:rPr>
              <w:t> </w:t>
            </w:r>
            <w:r>
              <w:rPr>
                <w:rFonts w:ascii="Times New Roman" w:eastAsiaTheme="majorEastAsia" w:hAnsi="Times New Roman" w:cs="Times New Roman"/>
                <w:b/>
                <w:bCs/>
                <w:iCs/>
                <w:sz w:val="24"/>
                <w:szCs w:val="24"/>
              </w:rPr>
              <w:t>320</w:t>
            </w:r>
            <w:r w:rsidR="00173008">
              <w:rPr>
                <w:rFonts w:ascii="Times New Roman" w:eastAsiaTheme="majorEastAsia" w:hAnsi="Times New Roman" w:cs="Times New Roman"/>
                <w:b/>
                <w:bCs/>
                <w:iCs/>
                <w:sz w:val="24"/>
                <w:szCs w:val="24"/>
              </w:rPr>
              <w:t> </w:t>
            </w:r>
            <w:r>
              <w:rPr>
                <w:rFonts w:ascii="Times New Roman" w:eastAsiaTheme="majorEastAsia" w:hAnsi="Times New Roman" w:cs="Times New Roman"/>
                <w:b/>
                <w:bCs/>
                <w:iCs/>
                <w:sz w:val="24"/>
                <w:szCs w:val="24"/>
              </w:rPr>
              <w:t>-</w:t>
            </w:r>
            <w:r w:rsidR="00173008">
              <w:rPr>
                <w:rFonts w:ascii="Times New Roman" w:eastAsiaTheme="majorEastAsia" w:hAnsi="Times New Roman" w:cs="Times New Roman"/>
                <w:b/>
                <w:bCs/>
                <w:iCs/>
                <w:sz w:val="24"/>
                <w:szCs w:val="24"/>
              </w:rPr>
              <w:t> </w:t>
            </w:r>
            <w:r>
              <w:rPr>
                <w:rFonts w:ascii="Times New Roman" w:eastAsiaTheme="majorEastAsia" w:hAnsi="Times New Roman" w:cs="Times New Roman"/>
                <w:b/>
                <w:bCs/>
                <w:iCs/>
                <w:sz w:val="24"/>
                <w:szCs w:val="24"/>
              </w:rPr>
              <w:t>30 765</w:t>
            </w:r>
          </w:p>
        </w:tc>
        <w:tc>
          <w:tcPr>
            <w:tcW w:w="1559" w:type="dxa"/>
            <w:tcBorders>
              <w:top w:val="single" w:sz="4" w:space="0" w:color="000000" w:themeColor="text1"/>
              <w:bottom w:val="dotted" w:sz="4" w:space="0" w:color="auto"/>
            </w:tcBorders>
          </w:tcPr>
          <w:p w:rsidR="005B07B2" w:rsidRPr="00D55661" w:rsidRDefault="009A0C44" w:rsidP="008F2B6E">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1 772-2 154</w:t>
            </w:r>
          </w:p>
        </w:tc>
        <w:tc>
          <w:tcPr>
            <w:tcW w:w="1701" w:type="dxa"/>
            <w:tcBorders>
              <w:top w:val="single" w:sz="4" w:space="0" w:color="000000" w:themeColor="text1"/>
              <w:bottom w:val="dotted" w:sz="4" w:space="0" w:color="auto"/>
            </w:tcBorders>
          </w:tcPr>
          <w:p w:rsidR="005B07B2" w:rsidRPr="00D55661" w:rsidRDefault="009A0C44" w:rsidP="008F2B6E">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1 772-2 154</w:t>
            </w:r>
          </w:p>
        </w:tc>
      </w:tr>
      <w:tr w:rsidR="005B07B2" w:rsidRPr="00810AFE" w:rsidTr="00EB0DFF">
        <w:tc>
          <w:tcPr>
            <w:tcW w:w="4928" w:type="dxa"/>
            <w:tcBorders>
              <w:top w:val="dotted" w:sz="4" w:space="0" w:color="auto"/>
              <w:bottom w:val="dotted" w:sz="4" w:space="0" w:color="auto"/>
            </w:tcBorders>
            <w:shd w:val="clear" w:color="auto" w:fill="FFFFFF" w:themeFill="background1"/>
          </w:tcPr>
          <w:p w:rsidR="00173008" w:rsidRPr="00173008" w:rsidRDefault="005B07B2" w:rsidP="008F2B6E">
            <w:pPr>
              <w:pStyle w:val="ListParagraph"/>
              <w:numPr>
                <w:ilvl w:val="1"/>
                <w:numId w:val="44"/>
              </w:numPr>
              <w:ind w:left="851" w:hanging="491"/>
              <w:rPr>
                <w:rFonts w:ascii="Times New Roman" w:hAnsi="Times New Roman" w:cs="Times New Roman"/>
                <w:i/>
                <w:sz w:val="24"/>
                <w:szCs w:val="24"/>
              </w:rPr>
            </w:pPr>
            <w:r w:rsidRPr="00173008">
              <w:rPr>
                <w:rFonts w:ascii="Times New Roman" w:eastAsiaTheme="majorEastAsia" w:hAnsi="Times New Roman" w:cs="Times New Roman"/>
                <w:b/>
                <w:bCs/>
                <w:i/>
                <w:sz w:val="24"/>
                <w:szCs w:val="24"/>
              </w:rPr>
              <w:t>Nodokļu informācijas sistēma (NIS)</w:t>
            </w:r>
            <w:r w:rsidRPr="00173008">
              <w:rPr>
                <w:rFonts w:ascii="Times New Roman" w:eastAsiaTheme="majorEastAsia" w:hAnsi="Times New Roman" w:cs="Times New Roman"/>
                <w:b/>
                <w:bCs/>
                <w:i/>
                <w:sz w:val="24"/>
                <w:szCs w:val="24"/>
                <w:vertAlign w:val="superscript"/>
              </w:rPr>
              <w:t>*</w:t>
            </w:r>
            <w:r w:rsidR="00173008" w:rsidRPr="00173008">
              <w:rPr>
                <w:rFonts w:ascii="Times New Roman" w:hAnsi="Times New Roman" w:cs="Times New Roman"/>
                <w:i/>
                <w:sz w:val="24"/>
                <w:szCs w:val="24"/>
              </w:rPr>
              <w:t xml:space="preserve"> </w:t>
            </w:r>
          </w:p>
          <w:p w:rsidR="005B07B2" w:rsidRPr="00173008" w:rsidRDefault="00173008" w:rsidP="008F2B6E">
            <w:pPr>
              <w:pStyle w:val="ListParagraph"/>
              <w:ind w:left="851"/>
              <w:rPr>
                <w:rFonts w:ascii="Times New Roman" w:eastAsiaTheme="majorEastAsia" w:hAnsi="Times New Roman" w:cs="Times New Roman"/>
                <w:b/>
                <w:bCs/>
                <w:sz w:val="24"/>
                <w:szCs w:val="24"/>
              </w:rPr>
            </w:pPr>
            <w:r>
              <w:rPr>
                <w:rFonts w:ascii="Times New Roman" w:hAnsi="Times New Roman" w:cs="Times New Roman"/>
                <w:sz w:val="24"/>
                <w:szCs w:val="24"/>
              </w:rPr>
              <w:t>(</w:t>
            </w:r>
            <w:r w:rsidRPr="00173008">
              <w:rPr>
                <w:rFonts w:ascii="Times New Roman" w:hAnsi="Times New Roman" w:cs="Times New Roman"/>
                <w:sz w:val="24"/>
                <w:szCs w:val="24"/>
              </w:rPr>
              <w:t>ja tiek realizēta arī funkcionalitāte, kas nodrošina automātiska lēmuma par atmaksu un sagatavotā maksājuma izveidošanu, kā arī NIS pārskatu izveidošanu par gadījumiem, kad pēc atmaksas deklarācijas izveidošanas ir mainījušies neapliekamā minimuma piemērošanas nosacījumi</w:t>
            </w:r>
            <w:r>
              <w:rPr>
                <w:rFonts w:ascii="Times New Roman" w:hAnsi="Times New Roman" w:cs="Times New Roman"/>
                <w:sz w:val="24"/>
                <w:szCs w:val="24"/>
              </w:rPr>
              <w:t>)</w:t>
            </w:r>
          </w:p>
        </w:tc>
        <w:tc>
          <w:tcPr>
            <w:tcW w:w="1843" w:type="dxa"/>
            <w:tcBorders>
              <w:top w:val="dotted" w:sz="4" w:space="0" w:color="auto"/>
              <w:bottom w:val="dotted" w:sz="4" w:space="0" w:color="auto"/>
            </w:tcBorders>
            <w:shd w:val="clear" w:color="auto" w:fill="FFFFFF" w:themeFill="background1"/>
          </w:tcPr>
          <w:p w:rsidR="005B07B2" w:rsidRPr="00173008" w:rsidRDefault="005B07B2" w:rsidP="008F2B6E">
            <w:pPr>
              <w:pStyle w:val="ListParagraph"/>
              <w:numPr>
                <w:ilvl w:val="0"/>
                <w:numId w:val="45"/>
              </w:numPr>
              <w:rPr>
                <w:rFonts w:ascii="Times New Roman" w:eastAsiaTheme="majorEastAsia" w:hAnsi="Times New Roman" w:cs="Times New Roman"/>
                <w:bCs/>
                <w:iCs/>
                <w:sz w:val="24"/>
                <w:szCs w:val="24"/>
              </w:rPr>
            </w:pPr>
            <w:r w:rsidRPr="00173008">
              <w:rPr>
                <w:rFonts w:ascii="Times New Roman" w:eastAsiaTheme="majorEastAsia" w:hAnsi="Times New Roman" w:cs="Times New Roman"/>
                <w:bCs/>
                <w:iCs/>
                <w:sz w:val="24"/>
                <w:szCs w:val="24"/>
              </w:rPr>
              <w:t>597</w:t>
            </w:r>
          </w:p>
        </w:tc>
        <w:tc>
          <w:tcPr>
            <w:tcW w:w="1559" w:type="dxa"/>
            <w:tcBorders>
              <w:top w:val="dotted" w:sz="4" w:space="0" w:color="auto"/>
              <w:bottom w:val="dotted" w:sz="4" w:space="0" w:color="auto"/>
            </w:tcBorders>
            <w:shd w:val="clear" w:color="auto" w:fill="FFFFFF" w:themeFill="background1"/>
          </w:tcPr>
          <w:p w:rsidR="005B07B2" w:rsidRPr="00810AFE" w:rsidRDefault="005B07B2" w:rsidP="008F2B6E">
            <w:pPr>
              <w:jc w:val="center"/>
              <w:rPr>
                <w:rFonts w:ascii="Times New Roman" w:eastAsiaTheme="majorEastAsia" w:hAnsi="Times New Roman" w:cs="Times New Roman"/>
                <w:b/>
                <w:bCs/>
                <w:iCs/>
                <w:sz w:val="24"/>
                <w:szCs w:val="24"/>
              </w:rPr>
            </w:pPr>
          </w:p>
        </w:tc>
        <w:tc>
          <w:tcPr>
            <w:tcW w:w="1701" w:type="dxa"/>
            <w:tcBorders>
              <w:top w:val="dotted" w:sz="4" w:space="0" w:color="auto"/>
              <w:bottom w:val="dotted" w:sz="4" w:space="0" w:color="auto"/>
            </w:tcBorders>
            <w:shd w:val="clear" w:color="auto" w:fill="FFFFFF" w:themeFill="background1"/>
          </w:tcPr>
          <w:p w:rsidR="005B07B2" w:rsidRPr="00810AFE" w:rsidRDefault="005B07B2" w:rsidP="008F2B6E">
            <w:pPr>
              <w:jc w:val="center"/>
              <w:rPr>
                <w:rFonts w:ascii="Times New Roman" w:eastAsiaTheme="majorEastAsia" w:hAnsi="Times New Roman" w:cs="Times New Roman"/>
                <w:b/>
                <w:bCs/>
                <w:iCs/>
                <w:sz w:val="24"/>
                <w:szCs w:val="24"/>
              </w:rPr>
            </w:pPr>
          </w:p>
        </w:tc>
      </w:tr>
      <w:tr w:rsidR="005B07B2" w:rsidRPr="00810AFE" w:rsidTr="00EB0DFF">
        <w:tc>
          <w:tcPr>
            <w:tcW w:w="4928" w:type="dxa"/>
            <w:tcBorders>
              <w:top w:val="dotted" w:sz="4" w:space="0" w:color="auto"/>
              <w:bottom w:val="single" w:sz="4" w:space="0" w:color="000000" w:themeColor="text1"/>
            </w:tcBorders>
            <w:shd w:val="clear" w:color="auto" w:fill="FFFFFF" w:themeFill="background1"/>
          </w:tcPr>
          <w:p w:rsidR="005B07B2" w:rsidRPr="00173008" w:rsidRDefault="005B07B2" w:rsidP="008F2B6E">
            <w:pPr>
              <w:pStyle w:val="ListParagraph"/>
              <w:numPr>
                <w:ilvl w:val="1"/>
                <w:numId w:val="44"/>
              </w:numPr>
              <w:tabs>
                <w:tab w:val="left" w:pos="851"/>
              </w:tabs>
              <w:ind w:left="851" w:hanging="491"/>
              <w:rPr>
                <w:rFonts w:ascii="Times New Roman" w:eastAsiaTheme="majorEastAsia" w:hAnsi="Times New Roman" w:cs="Times New Roman"/>
                <w:b/>
                <w:bCs/>
                <w:i/>
                <w:sz w:val="24"/>
                <w:szCs w:val="24"/>
              </w:rPr>
            </w:pPr>
            <w:r w:rsidRPr="00173008">
              <w:rPr>
                <w:rFonts w:ascii="Times New Roman" w:eastAsiaTheme="majorEastAsia" w:hAnsi="Times New Roman" w:cs="Times New Roman"/>
                <w:b/>
                <w:bCs/>
                <w:i/>
                <w:sz w:val="24"/>
                <w:szCs w:val="24"/>
              </w:rPr>
              <w:t>Datu noliktavas sistēma (DNS)</w:t>
            </w:r>
          </w:p>
          <w:p w:rsidR="005B07B2" w:rsidRPr="00A64113" w:rsidRDefault="005B07B2" w:rsidP="008F2B6E">
            <w:pPr>
              <w:pStyle w:val="ListParagraph"/>
              <w:tabs>
                <w:tab w:val="left" w:pos="851"/>
              </w:tabs>
              <w:ind w:left="851"/>
              <w:rPr>
                <w:rFonts w:ascii="Times New Roman" w:eastAsiaTheme="majorEastAsia" w:hAnsi="Times New Roman" w:cs="Times New Roman"/>
                <w:bCs/>
                <w:sz w:val="24"/>
                <w:szCs w:val="24"/>
              </w:rPr>
            </w:pPr>
            <w:r w:rsidRPr="00A64113">
              <w:rPr>
                <w:rFonts w:ascii="Times New Roman" w:eastAsiaTheme="majorEastAsia" w:hAnsi="Times New Roman" w:cs="Times New Roman"/>
                <w:bCs/>
                <w:sz w:val="24"/>
                <w:szCs w:val="24"/>
              </w:rPr>
              <w:t>Jauna DNS pārskata izveidošana</w:t>
            </w:r>
          </w:p>
        </w:tc>
        <w:tc>
          <w:tcPr>
            <w:tcW w:w="1843" w:type="dxa"/>
            <w:tcBorders>
              <w:top w:val="dotted" w:sz="4" w:space="0" w:color="auto"/>
              <w:bottom w:val="single" w:sz="4" w:space="0" w:color="000000" w:themeColor="text1"/>
            </w:tcBorders>
            <w:shd w:val="clear" w:color="auto" w:fill="FFFFFF" w:themeFill="background1"/>
            <w:vAlign w:val="center"/>
          </w:tcPr>
          <w:p w:rsidR="005B07B2" w:rsidRPr="00173008" w:rsidRDefault="00173008" w:rsidP="008F2B6E">
            <w:pPr>
              <w:pStyle w:val="ListParagraph"/>
              <w:ind w:left="0"/>
              <w:jc w:val="center"/>
              <w:rPr>
                <w:rFonts w:ascii="Times New Roman" w:eastAsiaTheme="majorEastAsia" w:hAnsi="Times New Roman" w:cs="Times New Roman"/>
                <w:bCs/>
                <w:iCs/>
                <w:sz w:val="24"/>
                <w:szCs w:val="24"/>
              </w:rPr>
            </w:pPr>
            <w:r w:rsidRPr="00173008">
              <w:rPr>
                <w:rFonts w:ascii="Times New Roman" w:eastAsiaTheme="majorEastAsia" w:hAnsi="Times New Roman" w:cs="Times New Roman"/>
                <w:bCs/>
                <w:iCs/>
                <w:sz w:val="24"/>
                <w:szCs w:val="24"/>
              </w:rPr>
              <w:t>2</w:t>
            </w:r>
            <w:r w:rsidR="00AE2A85">
              <w:rPr>
                <w:rFonts w:ascii="Times New Roman" w:eastAsiaTheme="majorEastAsia" w:hAnsi="Times New Roman" w:cs="Times New Roman"/>
                <w:bCs/>
                <w:iCs/>
                <w:sz w:val="24"/>
                <w:szCs w:val="24"/>
              </w:rPr>
              <w:t> </w:t>
            </w:r>
            <w:r w:rsidR="005B07B2" w:rsidRPr="00173008">
              <w:rPr>
                <w:rFonts w:ascii="Times New Roman" w:eastAsiaTheme="majorEastAsia" w:hAnsi="Times New Roman" w:cs="Times New Roman"/>
                <w:bCs/>
                <w:iCs/>
                <w:sz w:val="24"/>
                <w:szCs w:val="24"/>
              </w:rPr>
              <w:t>723 - 8 168</w:t>
            </w:r>
          </w:p>
        </w:tc>
        <w:tc>
          <w:tcPr>
            <w:tcW w:w="1559" w:type="dxa"/>
            <w:tcBorders>
              <w:top w:val="dotted" w:sz="4" w:space="0" w:color="auto"/>
              <w:bottom w:val="single" w:sz="4" w:space="0" w:color="000000" w:themeColor="text1"/>
            </w:tcBorders>
            <w:shd w:val="clear" w:color="auto" w:fill="FFFFFF" w:themeFill="background1"/>
          </w:tcPr>
          <w:p w:rsidR="005B07B2" w:rsidRPr="00810AFE" w:rsidRDefault="005B07B2" w:rsidP="008F2B6E">
            <w:pPr>
              <w:rPr>
                <w:rFonts w:ascii="Times New Roman" w:eastAsiaTheme="majorEastAsia" w:hAnsi="Times New Roman" w:cs="Times New Roman"/>
                <w:b/>
                <w:bCs/>
                <w:iCs/>
                <w:sz w:val="24"/>
                <w:szCs w:val="24"/>
              </w:rPr>
            </w:pPr>
          </w:p>
        </w:tc>
        <w:tc>
          <w:tcPr>
            <w:tcW w:w="1701" w:type="dxa"/>
            <w:tcBorders>
              <w:top w:val="dotted" w:sz="4" w:space="0" w:color="auto"/>
              <w:bottom w:val="single" w:sz="4" w:space="0" w:color="000000" w:themeColor="text1"/>
            </w:tcBorders>
            <w:shd w:val="clear" w:color="auto" w:fill="FFFFFF" w:themeFill="background1"/>
          </w:tcPr>
          <w:p w:rsidR="005B07B2" w:rsidRPr="00810AFE" w:rsidRDefault="005B07B2" w:rsidP="008F2B6E">
            <w:pPr>
              <w:rPr>
                <w:rFonts w:ascii="Times New Roman" w:eastAsiaTheme="majorEastAsia" w:hAnsi="Times New Roman" w:cs="Times New Roman"/>
                <w:b/>
                <w:bCs/>
                <w:iCs/>
                <w:sz w:val="24"/>
                <w:szCs w:val="24"/>
              </w:rPr>
            </w:pPr>
          </w:p>
        </w:tc>
      </w:tr>
      <w:tr w:rsidR="005B07B2" w:rsidRPr="00810AFE" w:rsidTr="00173008">
        <w:trPr>
          <w:trHeight w:val="605"/>
        </w:trPr>
        <w:tc>
          <w:tcPr>
            <w:tcW w:w="4928" w:type="dxa"/>
            <w:tcBorders>
              <w:top w:val="single" w:sz="4" w:space="0" w:color="000000" w:themeColor="text1"/>
              <w:bottom w:val="single" w:sz="4" w:space="0" w:color="000000" w:themeColor="text1"/>
            </w:tcBorders>
            <w:shd w:val="clear" w:color="auto" w:fill="FFFFFF" w:themeFill="background1"/>
          </w:tcPr>
          <w:p w:rsidR="005B07B2" w:rsidRPr="00173008" w:rsidRDefault="005B07B2" w:rsidP="008F2B6E">
            <w:pPr>
              <w:pStyle w:val="ListParagraph"/>
              <w:numPr>
                <w:ilvl w:val="0"/>
                <w:numId w:val="44"/>
              </w:numPr>
              <w:tabs>
                <w:tab w:val="left" w:pos="426"/>
              </w:tabs>
              <w:ind w:left="426" w:hanging="426"/>
              <w:rPr>
                <w:rFonts w:ascii="Times New Roman" w:eastAsiaTheme="majorEastAsia" w:hAnsi="Times New Roman" w:cs="Times New Roman"/>
                <w:b/>
                <w:bCs/>
                <w:sz w:val="24"/>
                <w:szCs w:val="24"/>
              </w:rPr>
            </w:pPr>
            <w:r w:rsidRPr="00173008">
              <w:rPr>
                <w:rFonts w:ascii="Times New Roman" w:eastAsiaTheme="majorEastAsia" w:hAnsi="Times New Roman" w:cs="Times New Roman"/>
                <w:b/>
                <w:bCs/>
                <w:sz w:val="24"/>
                <w:szCs w:val="24"/>
              </w:rPr>
              <w:t xml:space="preserve">Uzturēšanas izmaksas papildus štata vietām </w:t>
            </w:r>
            <w:r w:rsidRPr="00173008">
              <w:rPr>
                <w:rFonts w:ascii="Times New Roman" w:eastAsiaTheme="majorEastAsia" w:hAnsi="Times New Roman" w:cs="Times New Roman"/>
                <w:bCs/>
                <w:sz w:val="24"/>
                <w:szCs w:val="24"/>
              </w:rPr>
              <w:t>(65 papildus štata viet</w:t>
            </w:r>
            <w:r w:rsidR="00173008">
              <w:rPr>
                <w:rFonts w:ascii="Times New Roman" w:eastAsiaTheme="majorEastAsia" w:hAnsi="Times New Roman" w:cs="Times New Roman"/>
                <w:bCs/>
                <w:sz w:val="24"/>
                <w:szCs w:val="24"/>
              </w:rPr>
              <w:t>ām</w:t>
            </w:r>
            <w:r w:rsidRPr="00173008">
              <w:rPr>
                <w:rFonts w:ascii="Times New Roman" w:eastAsiaTheme="majorEastAsia" w:hAnsi="Times New Roman" w:cs="Times New Roman"/>
                <w:bCs/>
                <w:sz w:val="24"/>
                <w:szCs w:val="24"/>
              </w:rPr>
              <w:t>)</w:t>
            </w:r>
            <w:r w:rsidRPr="00173008">
              <w:rPr>
                <w:rFonts w:ascii="Times New Roman" w:eastAsiaTheme="majorEastAsia" w:hAnsi="Times New Roman" w:cs="Times New Roman"/>
                <w:b/>
                <w:bCs/>
                <w:sz w:val="24"/>
                <w:szCs w:val="24"/>
              </w:rPr>
              <w:t xml:space="preserve"> </w:t>
            </w:r>
          </w:p>
        </w:tc>
        <w:tc>
          <w:tcPr>
            <w:tcW w:w="1843" w:type="dxa"/>
            <w:tcBorders>
              <w:top w:val="single" w:sz="4" w:space="0" w:color="000000" w:themeColor="text1"/>
              <w:bottom w:val="single" w:sz="4" w:space="0" w:color="000000" w:themeColor="text1"/>
            </w:tcBorders>
            <w:shd w:val="clear" w:color="auto" w:fill="FFFFFF" w:themeFill="background1"/>
            <w:vAlign w:val="center"/>
          </w:tcPr>
          <w:p w:rsidR="005B07B2" w:rsidRDefault="005B07B2" w:rsidP="008F2B6E">
            <w:pPr>
              <w:pStyle w:val="ListParagraph"/>
              <w:ind w:left="34"/>
              <w:rPr>
                <w:rFonts w:ascii="Times New Roman" w:eastAsiaTheme="majorEastAsia" w:hAnsi="Times New Roman" w:cs="Times New Roman"/>
                <w:b/>
                <w:bCs/>
                <w:iCs/>
                <w:sz w:val="24"/>
                <w:szCs w:val="24"/>
              </w:rPr>
            </w:pPr>
          </w:p>
        </w:tc>
        <w:tc>
          <w:tcPr>
            <w:tcW w:w="1559" w:type="dxa"/>
            <w:tcBorders>
              <w:top w:val="single" w:sz="4" w:space="0" w:color="000000" w:themeColor="text1"/>
              <w:bottom w:val="single" w:sz="4" w:space="0" w:color="000000" w:themeColor="text1"/>
            </w:tcBorders>
            <w:shd w:val="clear" w:color="auto" w:fill="FFFFFF" w:themeFill="background1"/>
            <w:vAlign w:val="center"/>
          </w:tcPr>
          <w:p w:rsidR="005B07B2" w:rsidRPr="00810AFE" w:rsidRDefault="005B07B2" w:rsidP="008F2B6E">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1 009 060</w:t>
            </w:r>
          </w:p>
        </w:tc>
        <w:tc>
          <w:tcPr>
            <w:tcW w:w="1701" w:type="dxa"/>
            <w:tcBorders>
              <w:top w:val="single" w:sz="4" w:space="0" w:color="000000" w:themeColor="text1"/>
              <w:bottom w:val="single" w:sz="4" w:space="0" w:color="000000" w:themeColor="text1"/>
            </w:tcBorders>
            <w:shd w:val="clear" w:color="auto" w:fill="FFFFFF" w:themeFill="background1"/>
            <w:vAlign w:val="center"/>
          </w:tcPr>
          <w:p w:rsidR="005B07B2" w:rsidRDefault="00173008" w:rsidP="008F2B6E">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946 985</w:t>
            </w:r>
          </w:p>
        </w:tc>
      </w:tr>
      <w:tr w:rsidR="005B07B2" w:rsidRPr="00810AFE" w:rsidTr="00173008">
        <w:tc>
          <w:tcPr>
            <w:tcW w:w="4928" w:type="dxa"/>
            <w:tcBorders>
              <w:top w:val="single" w:sz="4" w:space="0" w:color="000000" w:themeColor="text1"/>
            </w:tcBorders>
            <w:shd w:val="clear" w:color="auto" w:fill="FFFFCC"/>
            <w:vAlign w:val="center"/>
          </w:tcPr>
          <w:p w:rsidR="005B07B2" w:rsidRPr="005B07B2" w:rsidRDefault="005B07B2" w:rsidP="008F2B6E">
            <w:pPr>
              <w:tabs>
                <w:tab w:val="left" w:pos="709"/>
              </w:tabs>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KOPĀ</w:t>
            </w:r>
          </w:p>
        </w:tc>
        <w:tc>
          <w:tcPr>
            <w:tcW w:w="1843" w:type="dxa"/>
            <w:tcBorders>
              <w:top w:val="single" w:sz="4" w:space="0" w:color="000000" w:themeColor="text1"/>
            </w:tcBorders>
            <w:shd w:val="clear" w:color="auto" w:fill="FFFFCC"/>
            <w:vAlign w:val="center"/>
          </w:tcPr>
          <w:p w:rsidR="005B07B2" w:rsidRPr="00173008" w:rsidRDefault="00173008" w:rsidP="008F2B6E">
            <w:pPr>
              <w:pStyle w:val="ListParagraph"/>
              <w:ind w:left="34"/>
              <w:jc w:val="center"/>
              <w:rPr>
                <w:rFonts w:ascii="Times New Roman" w:eastAsiaTheme="majorEastAsia" w:hAnsi="Times New Roman" w:cs="Times New Roman"/>
                <w:bCs/>
                <w:iCs/>
                <w:sz w:val="24"/>
                <w:szCs w:val="24"/>
              </w:rPr>
            </w:pPr>
            <w:r>
              <w:rPr>
                <w:rFonts w:ascii="Times New Roman" w:eastAsiaTheme="majorEastAsia" w:hAnsi="Times New Roman" w:cs="Times New Roman"/>
                <w:b/>
                <w:bCs/>
                <w:iCs/>
                <w:sz w:val="24"/>
                <w:szCs w:val="24"/>
              </w:rPr>
              <w:t>25 320 - 30 765</w:t>
            </w:r>
          </w:p>
        </w:tc>
        <w:tc>
          <w:tcPr>
            <w:tcW w:w="1559" w:type="dxa"/>
            <w:tcBorders>
              <w:top w:val="single" w:sz="4" w:space="0" w:color="000000" w:themeColor="text1"/>
            </w:tcBorders>
            <w:shd w:val="clear" w:color="auto" w:fill="FFFFCC"/>
            <w:vAlign w:val="center"/>
          </w:tcPr>
          <w:p w:rsidR="005B07B2" w:rsidRPr="00810AFE" w:rsidRDefault="00173008" w:rsidP="009A0C44">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1 0</w:t>
            </w:r>
            <w:r w:rsidR="009A0C44">
              <w:rPr>
                <w:rFonts w:ascii="Times New Roman" w:eastAsiaTheme="majorEastAsia" w:hAnsi="Times New Roman" w:cs="Times New Roman"/>
                <w:b/>
                <w:bCs/>
                <w:iCs/>
                <w:sz w:val="24"/>
                <w:szCs w:val="24"/>
              </w:rPr>
              <w:t>10 832 – 1 011 214</w:t>
            </w:r>
          </w:p>
        </w:tc>
        <w:tc>
          <w:tcPr>
            <w:tcW w:w="1701" w:type="dxa"/>
            <w:tcBorders>
              <w:top w:val="single" w:sz="4" w:space="0" w:color="000000" w:themeColor="text1"/>
            </w:tcBorders>
            <w:shd w:val="clear" w:color="auto" w:fill="FFFFCC"/>
            <w:vAlign w:val="center"/>
          </w:tcPr>
          <w:p w:rsidR="005B07B2" w:rsidRPr="00810AFE" w:rsidRDefault="00173008" w:rsidP="00AE2A85">
            <w:pPr>
              <w:jc w:val="center"/>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94</w:t>
            </w:r>
            <w:r w:rsidR="00AE2A85">
              <w:rPr>
                <w:rFonts w:ascii="Times New Roman" w:eastAsiaTheme="majorEastAsia" w:hAnsi="Times New Roman" w:cs="Times New Roman"/>
                <w:b/>
                <w:bCs/>
                <w:iCs/>
                <w:sz w:val="24"/>
                <w:szCs w:val="24"/>
              </w:rPr>
              <w:t>8 7</w:t>
            </w:r>
            <w:r>
              <w:rPr>
                <w:rFonts w:ascii="Times New Roman" w:eastAsiaTheme="majorEastAsia" w:hAnsi="Times New Roman" w:cs="Times New Roman"/>
                <w:b/>
                <w:bCs/>
                <w:iCs/>
                <w:sz w:val="24"/>
                <w:szCs w:val="24"/>
              </w:rPr>
              <w:t>5</w:t>
            </w:r>
            <w:r w:rsidR="00AE2A85">
              <w:rPr>
                <w:rFonts w:ascii="Times New Roman" w:eastAsiaTheme="majorEastAsia" w:hAnsi="Times New Roman" w:cs="Times New Roman"/>
                <w:b/>
                <w:bCs/>
                <w:iCs/>
                <w:sz w:val="24"/>
                <w:szCs w:val="24"/>
              </w:rPr>
              <w:t>7 – 949 139</w:t>
            </w:r>
          </w:p>
        </w:tc>
      </w:tr>
    </w:tbl>
    <w:p w:rsidR="00A64113" w:rsidRPr="00A64113" w:rsidRDefault="00A64113" w:rsidP="00A64113">
      <w:pPr>
        <w:tabs>
          <w:tab w:val="left" w:pos="426"/>
        </w:tabs>
        <w:spacing w:before="120" w:after="60" w:line="240" w:lineRule="auto"/>
        <w:ind w:left="426" w:hanging="426"/>
        <w:rPr>
          <w:rFonts w:ascii="Times New Roman" w:hAnsi="Times New Roman" w:cs="Times New Roman"/>
          <w:sz w:val="20"/>
          <w:szCs w:val="20"/>
        </w:rPr>
      </w:pPr>
      <w:r w:rsidRPr="00A64113">
        <w:rPr>
          <w:rFonts w:ascii="Times New Roman" w:hAnsi="Times New Roman" w:cs="Times New Roman"/>
          <w:b/>
          <w:i/>
          <w:sz w:val="20"/>
          <w:szCs w:val="20"/>
          <w:vertAlign w:val="superscript"/>
        </w:rPr>
        <w:t>* </w:t>
      </w:r>
      <w:r w:rsidRPr="00A64113">
        <w:rPr>
          <w:rFonts w:ascii="Times New Roman" w:hAnsi="Times New Roman" w:cs="Times New Roman"/>
          <w:b/>
          <w:i/>
          <w:sz w:val="20"/>
          <w:szCs w:val="20"/>
          <w:vertAlign w:val="superscript"/>
        </w:rPr>
        <w:tab/>
      </w:r>
      <w:r w:rsidR="0066598E">
        <w:rPr>
          <w:rFonts w:ascii="Times New Roman" w:hAnsi="Times New Roman" w:cs="Times New Roman"/>
          <w:sz w:val="20"/>
          <w:szCs w:val="20"/>
        </w:rPr>
        <w:t>R</w:t>
      </w:r>
      <w:r w:rsidRPr="00A64113">
        <w:rPr>
          <w:rFonts w:ascii="Times New Roman" w:hAnsi="Times New Roman" w:cs="Times New Roman"/>
          <w:sz w:val="20"/>
          <w:szCs w:val="20"/>
        </w:rPr>
        <w:t>isinājuma vērtējumā tiek pieņemts, ka netiks veidota jauna ievadforma, ar kuras palīdzību nodokļu maksātājam būtu iespējams deklarēt vēlamo kontu pārmaksātā nodokļa saņemšanai, kā arī  to, ka progresīvā gada neapliekamā minimuma atmaksas apstrāde NIS tiks veikta, pamatojoties uz IIN gada deklarācijas  funkcionalitāti, kā arī esošo lēmuma formu par nodokļa atmaksu, novirzīšanu parādu segšanai, novirzīšanu avansa maksājumiem.</w:t>
      </w:r>
    </w:p>
    <w:p w:rsidR="00550848" w:rsidRPr="00A64113" w:rsidRDefault="00550848" w:rsidP="00A64113">
      <w:pPr>
        <w:spacing w:before="120" w:after="60" w:line="240" w:lineRule="auto"/>
        <w:rPr>
          <w:rFonts w:ascii="Times New Roman" w:hAnsi="Times New Roman" w:cs="Times New Roman"/>
          <w:sz w:val="24"/>
          <w:szCs w:val="24"/>
        </w:rPr>
      </w:pPr>
      <w:r w:rsidRPr="00A64113">
        <w:rPr>
          <w:rFonts w:ascii="Times New Roman" w:hAnsi="Times New Roman" w:cs="Times New Roman"/>
          <w:b/>
          <w:i/>
          <w:sz w:val="24"/>
          <w:szCs w:val="24"/>
        </w:rPr>
        <w:t>Avots:</w:t>
      </w:r>
      <w:r w:rsidRPr="00A64113">
        <w:rPr>
          <w:rFonts w:ascii="Times New Roman" w:hAnsi="Times New Roman" w:cs="Times New Roman"/>
          <w:sz w:val="24"/>
          <w:szCs w:val="24"/>
        </w:rPr>
        <w:t xml:space="preserve"> </w:t>
      </w:r>
      <w:r w:rsidR="007C5F5C">
        <w:rPr>
          <w:rFonts w:ascii="Times New Roman" w:hAnsi="Times New Roman" w:cs="Times New Roman"/>
          <w:sz w:val="24"/>
          <w:szCs w:val="24"/>
        </w:rPr>
        <w:t xml:space="preserve">VID provizoriskie </w:t>
      </w:r>
      <w:r w:rsidRPr="00A64113">
        <w:rPr>
          <w:rFonts w:ascii="Times New Roman" w:hAnsi="Times New Roman" w:cs="Times New Roman"/>
          <w:sz w:val="24"/>
          <w:szCs w:val="24"/>
        </w:rPr>
        <w:t>aprēķini</w:t>
      </w:r>
    </w:p>
    <w:p w:rsidR="00CB7C6C" w:rsidRPr="00CB7C6C" w:rsidRDefault="00CB7C6C" w:rsidP="00F86632">
      <w:pPr>
        <w:pStyle w:val="ListParagraph"/>
        <w:spacing w:after="0" w:line="240" w:lineRule="auto"/>
        <w:ind w:left="1077"/>
        <w:jc w:val="both"/>
        <w:rPr>
          <w:rFonts w:ascii="Times New Roman" w:eastAsiaTheme="majorEastAsia" w:hAnsi="Times New Roman" w:cs="Times New Roman"/>
          <w:bCs/>
          <w:sz w:val="28"/>
          <w:szCs w:val="28"/>
        </w:rPr>
      </w:pPr>
    </w:p>
    <w:p w:rsidR="00CB7C6C" w:rsidRPr="00CB7C6C" w:rsidRDefault="00CB7C6C" w:rsidP="00B7647D">
      <w:pPr>
        <w:spacing w:after="120" w:line="240" w:lineRule="auto"/>
        <w:ind w:firstLine="709"/>
        <w:jc w:val="both"/>
        <w:rPr>
          <w:rFonts w:ascii="Times New Roman" w:eastAsiaTheme="majorEastAsia" w:hAnsi="Times New Roman" w:cs="Times New Roman"/>
          <w:bCs/>
          <w:sz w:val="28"/>
          <w:szCs w:val="28"/>
        </w:rPr>
      </w:pPr>
      <w:r w:rsidRPr="00CB7C6C">
        <w:rPr>
          <w:rFonts w:ascii="Times New Roman" w:eastAsiaTheme="majorEastAsia" w:hAnsi="Times New Roman" w:cs="Times New Roman"/>
          <w:bCs/>
          <w:sz w:val="28"/>
          <w:szCs w:val="28"/>
        </w:rPr>
        <w:t xml:space="preserve">Kā redzams </w:t>
      </w:r>
      <w:r w:rsidR="008863EC">
        <w:rPr>
          <w:rFonts w:ascii="Times New Roman" w:eastAsiaTheme="majorEastAsia" w:hAnsi="Times New Roman" w:cs="Times New Roman"/>
          <w:bCs/>
          <w:sz w:val="28"/>
          <w:szCs w:val="28"/>
        </w:rPr>
        <w:t>4.</w:t>
      </w:r>
      <w:r w:rsidRPr="00CB7C6C">
        <w:rPr>
          <w:rFonts w:ascii="Times New Roman" w:eastAsiaTheme="majorEastAsia" w:hAnsi="Times New Roman" w:cs="Times New Roman"/>
          <w:bCs/>
          <w:sz w:val="28"/>
          <w:szCs w:val="28"/>
        </w:rPr>
        <w:t>attēlā</w:t>
      </w:r>
      <w:r w:rsidR="009178A8">
        <w:rPr>
          <w:rFonts w:ascii="Times New Roman" w:eastAsiaTheme="majorEastAsia" w:hAnsi="Times New Roman" w:cs="Times New Roman"/>
          <w:bCs/>
          <w:sz w:val="28"/>
          <w:szCs w:val="28"/>
        </w:rPr>
        <w:t xml:space="preserve">, diferencētā neapliekamā minimuma ieviešana nodrošinātu IIN sistēmas lielāku progresivitāti, kas vairāk ietekmēs </w:t>
      </w:r>
      <w:r w:rsidR="003A4EBF">
        <w:rPr>
          <w:rFonts w:ascii="Times New Roman" w:eastAsiaTheme="majorEastAsia" w:hAnsi="Times New Roman" w:cs="Times New Roman"/>
          <w:bCs/>
          <w:sz w:val="28"/>
          <w:szCs w:val="28"/>
        </w:rPr>
        <w:t xml:space="preserve">tos </w:t>
      </w:r>
      <w:r w:rsidR="009178A8">
        <w:rPr>
          <w:rFonts w:ascii="Times New Roman" w:eastAsiaTheme="majorEastAsia" w:hAnsi="Times New Roman" w:cs="Times New Roman"/>
          <w:bCs/>
          <w:sz w:val="28"/>
          <w:szCs w:val="28"/>
        </w:rPr>
        <w:t>strādājošos, k</w:t>
      </w:r>
      <w:r w:rsidR="003A4EBF">
        <w:rPr>
          <w:rFonts w:ascii="Times New Roman" w:eastAsiaTheme="majorEastAsia" w:hAnsi="Times New Roman" w:cs="Times New Roman"/>
          <w:bCs/>
          <w:sz w:val="28"/>
          <w:szCs w:val="28"/>
        </w:rPr>
        <w:t>uri</w:t>
      </w:r>
      <w:r w:rsidR="009178A8">
        <w:rPr>
          <w:rFonts w:ascii="Times New Roman" w:eastAsiaTheme="majorEastAsia" w:hAnsi="Times New Roman" w:cs="Times New Roman"/>
          <w:bCs/>
          <w:sz w:val="28"/>
          <w:szCs w:val="28"/>
        </w:rPr>
        <w:t xml:space="preserve"> saņem zem</w:t>
      </w:r>
      <w:r w:rsidR="008863EC">
        <w:rPr>
          <w:rFonts w:ascii="Times New Roman" w:eastAsiaTheme="majorEastAsia" w:hAnsi="Times New Roman" w:cs="Times New Roman"/>
          <w:bCs/>
          <w:sz w:val="28"/>
          <w:szCs w:val="28"/>
        </w:rPr>
        <w:t>ākas</w:t>
      </w:r>
      <w:r w:rsidR="009178A8">
        <w:rPr>
          <w:rFonts w:ascii="Times New Roman" w:eastAsiaTheme="majorEastAsia" w:hAnsi="Times New Roman" w:cs="Times New Roman"/>
          <w:bCs/>
          <w:sz w:val="28"/>
          <w:szCs w:val="28"/>
        </w:rPr>
        <w:t xml:space="preserve"> algas. </w:t>
      </w:r>
      <w:r w:rsidRPr="00CB7C6C">
        <w:rPr>
          <w:rFonts w:ascii="Times New Roman" w:eastAsiaTheme="majorEastAsia" w:hAnsi="Times New Roman" w:cs="Times New Roman"/>
          <w:bCs/>
          <w:sz w:val="28"/>
          <w:szCs w:val="28"/>
        </w:rPr>
        <w:t xml:space="preserve"> </w:t>
      </w:r>
    </w:p>
    <w:p w:rsidR="00CB7C6C" w:rsidRDefault="00CB7C6C">
      <w:pPr>
        <w:rPr>
          <w:rFonts w:ascii="Times New Roman" w:eastAsiaTheme="majorEastAsia" w:hAnsi="Times New Roman" w:cs="Times New Roman"/>
          <w:b/>
          <w:bCs/>
          <w:i/>
          <w:sz w:val="28"/>
          <w:szCs w:val="28"/>
        </w:rPr>
      </w:pPr>
      <w:r>
        <w:rPr>
          <w:noProof/>
          <w:lang w:eastAsia="lv-LV"/>
        </w:rPr>
        <w:lastRenderedPageBreak/>
        <w:drawing>
          <wp:inline distT="0" distB="0" distL="0" distR="0" wp14:anchorId="41290082" wp14:editId="5D055E94">
            <wp:extent cx="4648200" cy="2533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78A8" w:rsidRDefault="009A669B" w:rsidP="000D1282">
      <w:pPr>
        <w:tabs>
          <w:tab w:val="left" w:pos="709"/>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w:t>
      </w:r>
      <w:r w:rsidR="009178A8" w:rsidRPr="00995D03">
        <w:rPr>
          <w:rFonts w:ascii="Times New Roman" w:hAnsi="Times New Roman" w:cs="Times New Roman"/>
          <w:b/>
          <w:sz w:val="24"/>
          <w:szCs w:val="24"/>
        </w:rPr>
        <w:t xml:space="preserve">.att. </w:t>
      </w:r>
      <w:r w:rsidR="009178A8">
        <w:rPr>
          <w:rFonts w:ascii="Times New Roman" w:hAnsi="Times New Roman" w:cs="Times New Roman"/>
          <w:b/>
          <w:sz w:val="24"/>
          <w:szCs w:val="24"/>
        </w:rPr>
        <w:t xml:space="preserve">Darbaspēka nodokļu netiešā likme, ieviešot diferencētu neapliekamo minimumu  </w:t>
      </w:r>
    </w:p>
    <w:p w:rsidR="009178A8" w:rsidRDefault="009178A8" w:rsidP="000D1282">
      <w:pPr>
        <w:tabs>
          <w:tab w:val="left" w:pos="709"/>
        </w:tabs>
        <w:spacing w:after="0" w:line="240" w:lineRule="auto"/>
        <w:ind w:left="709" w:hanging="709"/>
        <w:jc w:val="both"/>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AE2A85" w:rsidRDefault="00AE2A85" w:rsidP="000D1282">
      <w:pPr>
        <w:tabs>
          <w:tab w:val="left" w:pos="709"/>
        </w:tabs>
        <w:spacing w:after="0" w:line="240" w:lineRule="auto"/>
        <w:ind w:left="709" w:hanging="709"/>
        <w:jc w:val="both"/>
        <w:rPr>
          <w:rFonts w:ascii="Times New Roman" w:hAnsi="Times New Roman" w:cs="Times New Roman"/>
          <w:b/>
          <w:sz w:val="24"/>
          <w:szCs w:val="24"/>
        </w:rPr>
      </w:pPr>
    </w:p>
    <w:p w:rsidR="00AE2A85" w:rsidRPr="00EA77A9" w:rsidRDefault="00AE2A85" w:rsidP="000D1282">
      <w:pPr>
        <w:tabs>
          <w:tab w:val="left" w:pos="709"/>
        </w:tabs>
        <w:spacing w:after="0" w:line="240" w:lineRule="auto"/>
        <w:ind w:left="709" w:hanging="709"/>
        <w:jc w:val="both"/>
        <w:rPr>
          <w:rFonts w:ascii="Times New Roman" w:hAnsi="Times New Roman" w:cs="Times New Roman"/>
          <w:b/>
          <w:sz w:val="24"/>
          <w:szCs w:val="24"/>
        </w:rPr>
      </w:pPr>
    </w:p>
    <w:p w:rsidR="00441C04" w:rsidRPr="00F056CB" w:rsidRDefault="00441C04" w:rsidP="001B4E24">
      <w:pPr>
        <w:pStyle w:val="Heading2"/>
        <w:numPr>
          <w:ilvl w:val="1"/>
          <w:numId w:val="15"/>
        </w:numPr>
        <w:spacing w:before="120" w:after="240" w:line="240" w:lineRule="auto"/>
        <w:jc w:val="both"/>
        <w:rPr>
          <w:rFonts w:ascii="Times New Roman" w:hAnsi="Times New Roman" w:cs="Times New Roman"/>
          <w:i/>
          <w:color w:val="auto"/>
          <w:sz w:val="28"/>
          <w:szCs w:val="28"/>
        </w:rPr>
      </w:pPr>
      <w:bookmarkStart w:id="9" w:name="_Toc355878360"/>
      <w:bookmarkStart w:id="10" w:name="_Toc355878545"/>
      <w:bookmarkStart w:id="11" w:name="_Toc355878626"/>
      <w:bookmarkEnd w:id="9"/>
      <w:bookmarkEnd w:id="10"/>
      <w:bookmarkEnd w:id="11"/>
      <w:r w:rsidRPr="00F056CB">
        <w:rPr>
          <w:rFonts w:ascii="Times New Roman" w:hAnsi="Times New Roman" w:cs="Times New Roman"/>
          <w:i/>
          <w:color w:val="auto"/>
          <w:sz w:val="28"/>
          <w:szCs w:val="28"/>
        </w:rPr>
        <w:t xml:space="preserve"> </w:t>
      </w:r>
      <w:bookmarkStart w:id="12" w:name="_Toc357009515"/>
      <w:r w:rsidR="00F056CB">
        <w:rPr>
          <w:rFonts w:ascii="Times New Roman" w:hAnsi="Times New Roman" w:cs="Times New Roman"/>
          <w:i/>
          <w:color w:val="auto"/>
          <w:sz w:val="28"/>
          <w:szCs w:val="28"/>
        </w:rPr>
        <w:t>Atvieglojuma par apgādībā esošām personām palielināšana</w:t>
      </w:r>
      <w:bookmarkEnd w:id="12"/>
    </w:p>
    <w:p w:rsidR="00441C04" w:rsidRDefault="00441C04" w:rsidP="00B7647D">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Atvieglojums par apgādībā esošām personām, no kuriem lielākā daļa ir bērni, </w:t>
      </w:r>
      <w:r w:rsidRPr="00995D03">
        <w:rPr>
          <w:rFonts w:ascii="Times New Roman" w:hAnsi="Times New Roman" w:cs="Times New Roman"/>
          <w:sz w:val="28"/>
          <w:szCs w:val="28"/>
        </w:rPr>
        <w:t xml:space="preserve">sniedz atbalstu ģimenēm </w:t>
      </w:r>
      <w:r>
        <w:rPr>
          <w:rFonts w:ascii="Times New Roman" w:hAnsi="Times New Roman" w:cs="Times New Roman"/>
          <w:sz w:val="28"/>
          <w:szCs w:val="28"/>
        </w:rPr>
        <w:t>ar bērniem, jo palielina st</w:t>
      </w:r>
      <w:r w:rsidR="006A453B">
        <w:rPr>
          <w:rFonts w:ascii="Times New Roman" w:hAnsi="Times New Roman" w:cs="Times New Roman"/>
          <w:sz w:val="28"/>
          <w:szCs w:val="28"/>
        </w:rPr>
        <w:t>rādājošo vecāku neto atalgojumu</w:t>
      </w:r>
      <w:r w:rsidRPr="00995D03">
        <w:rPr>
          <w:rFonts w:ascii="Times New Roman" w:hAnsi="Times New Roman" w:cs="Times New Roman"/>
          <w:sz w:val="28"/>
          <w:szCs w:val="28"/>
        </w:rPr>
        <w:t>.</w:t>
      </w:r>
      <w:r>
        <w:rPr>
          <w:rFonts w:ascii="Times New Roman" w:hAnsi="Times New Roman" w:cs="Times New Roman"/>
          <w:sz w:val="28"/>
          <w:szCs w:val="28"/>
        </w:rPr>
        <w:t xml:space="preserve"> </w:t>
      </w:r>
      <w:r w:rsidRPr="00995D03">
        <w:rPr>
          <w:rFonts w:ascii="Times New Roman" w:hAnsi="Times New Roman" w:cs="Times New Roman"/>
          <w:sz w:val="28"/>
          <w:szCs w:val="28"/>
        </w:rPr>
        <w:t>Tomēr jāatzīmē, ka, pieaugot gan neapliekamajam minimumam, gan atvieglojumam</w:t>
      </w:r>
      <w:r>
        <w:rPr>
          <w:rFonts w:ascii="Times New Roman" w:hAnsi="Times New Roman" w:cs="Times New Roman"/>
          <w:sz w:val="28"/>
          <w:szCs w:val="28"/>
        </w:rPr>
        <w:t xml:space="preserve"> par apgādībā esošām personām</w:t>
      </w:r>
      <w:r w:rsidRPr="00995D03">
        <w:rPr>
          <w:rFonts w:ascii="Times New Roman" w:hAnsi="Times New Roman" w:cs="Times New Roman"/>
          <w:sz w:val="28"/>
          <w:szCs w:val="28"/>
        </w:rPr>
        <w:t xml:space="preserve">, parādās atsevišķas </w:t>
      </w:r>
      <w:proofErr w:type="spellStart"/>
      <w:r w:rsidRPr="00995D03">
        <w:rPr>
          <w:rFonts w:ascii="Times New Roman" w:hAnsi="Times New Roman" w:cs="Times New Roman"/>
          <w:sz w:val="28"/>
          <w:szCs w:val="28"/>
        </w:rPr>
        <w:t>mazatalgotu</w:t>
      </w:r>
      <w:proofErr w:type="spellEnd"/>
      <w:r w:rsidRPr="00995D03">
        <w:rPr>
          <w:rFonts w:ascii="Times New Roman" w:hAnsi="Times New Roman" w:cs="Times New Roman"/>
          <w:sz w:val="28"/>
          <w:szCs w:val="28"/>
        </w:rPr>
        <w:t xml:space="preserve"> iedzīvotāju kategorija, kas nevar </w:t>
      </w:r>
      <w:r w:rsidRPr="00341C11">
        <w:rPr>
          <w:rFonts w:ascii="Times New Roman" w:hAnsi="Times New Roman" w:cs="Times New Roman"/>
          <w:sz w:val="28"/>
          <w:szCs w:val="28"/>
        </w:rPr>
        <w:t>pilnībā</w:t>
      </w:r>
      <w:r w:rsidRPr="0060080E">
        <w:rPr>
          <w:rFonts w:ascii="Times New Roman" w:hAnsi="Times New Roman" w:cs="Times New Roman"/>
          <w:sz w:val="28"/>
          <w:szCs w:val="28"/>
        </w:rPr>
        <w:t xml:space="preserve"> </w:t>
      </w:r>
      <w:r w:rsidRPr="00995D03">
        <w:rPr>
          <w:rFonts w:ascii="Times New Roman" w:hAnsi="Times New Roman" w:cs="Times New Roman"/>
          <w:sz w:val="28"/>
          <w:szCs w:val="28"/>
        </w:rPr>
        <w:t xml:space="preserve">izmantot </w:t>
      </w:r>
      <w:r>
        <w:rPr>
          <w:rFonts w:ascii="Times New Roman" w:hAnsi="Times New Roman" w:cs="Times New Roman"/>
          <w:sz w:val="28"/>
          <w:szCs w:val="28"/>
        </w:rPr>
        <w:t xml:space="preserve">piedāvātos </w:t>
      </w:r>
      <w:r w:rsidRPr="00995D03">
        <w:rPr>
          <w:rFonts w:ascii="Times New Roman" w:hAnsi="Times New Roman" w:cs="Times New Roman"/>
          <w:sz w:val="28"/>
          <w:szCs w:val="28"/>
        </w:rPr>
        <w:t xml:space="preserve">atvieglojumus, </w:t>
      </w:r>
      <w:proofErr w:type="spellStart"/>
      <w:r w:rsidRPr="00995D03">
        <w:rPr>
          <w:rFonts w:ascii="Times New Roman" w:hAnsi="Times New Roman" w:cs="Times New Roman"/>
          <w:sz w:val="28"/>
          <w:szCs w:val="28"/>
        </w:rPr>
        <w:t>t.i</w:t>
      </w:r>
      <w:proofErr w:type="spellEnd"/>
      <w:r w:rsidRPr="00995D03">
        <w:rPr>
          <w:rFonts w:ascii="Times New Roman" w:hAnsi="Times New Roman" w:cs="Times New Roman"/>
          <w:sz w:val="28"/>
          <w:szCs w:val="28"/>
        </w:rPr>
        <w:t>.</w:t>
      </w:r>
      <w:r>
        <w:rPr>
          <w:rFonts w:ascii="Times New Roman" w:hAnsi="Times New Roman" w:cs="Times New Roman"/>
          <w:sz w:val="28"/>
          <w:szCs w:val="28"/>
        </w:rPr>
        <w:t>,</w:t>
      </w:r>
      <w:r w:rsidRPr="00995D03">
        <w:rPr>
          <w:rFonts w:ascii="Times New Roman" w:hAnsi="Times New Roman" w:cs="Times New Roman"/>
          <w:sz w:val="28"/>
          <w:szCs w:val="28"/>
        </w:rPr>
        <w:t xml:space="preserve"> tas nerada papildus ieņēmumus strādājošajam. Papildus jāatzīmē, ka šis atvieglojums neskar tādu darba tirgus riska grupu</w:t>
      </w:r>
      <w:r w:rsidR="003A4EBF">
        <w:rPr>
          <w:rFonts w:ascii="Times New Roman" w:hAnsi="Times New Roman" w:cs="Times New Roman"/>
          <w:sz w:val="28"/>
          <w:szCs w:val="28"/>
        </w:rPr>
        <w:t>,</w:t>
      </w:r>
      <w:r w:rsidRPr="00995D03">
        <w:rPr>
          <w:rFonts w:ascii="Times New Roman" w:hAnsi="Times New Roman" w:cs="Times New Roman"/>
          <w:sz w:val="28"/>
          <w:szCs w:val="28"/>
        </w:rPr>
        <w:t xml:space="preserve"> kā jauniešus bez darba pieredzes un pirmspensijas vecuma iedzīvotājus</w:t>
      </w:r>
      <w:r w:rsidR="003A4EBF">
        <w:rPr>
          <w:rFonts w:ascii="Times New Roman" w:hAnsi="Times New Roman" w:cs="Times New Roman"/>
          <w:sz w:val="28"/>
          <w:szCs w:val="28"/>
        </w:rPr>
        <w:t>,</w:t>
      </w:r>
      <w:r w:rsidRPr="00995D03">
        <w:rPr>
          <w:rFonts w:ascii="Times New Roman" w:hAnsi="Times New Roman" w:cs="Times New Roman"/>
          <w:sz w:val="28"/>
          <w:szCs w:val="28"/>
        </w:rPr>
        <w:t xml:space="preserve"> to darba atalgojumu un motivāciju</w:t>
      </w:r>
      <w:r>
        <w:rPr>
          <w:rFonts w:ascii="Times New Roman" w:hAnsi="Times New Roman" w:cs="Times New Roman"/>
          <w:sz w:val="28"/>
          <w:szCs w:val="28"/>
        </w:rPr>
        <w:t>, jo lielākoties šīm grupām ir mazāk apgādājamo</w:t>
      </w:r>
      <w:r w:rsidRPr="00995D03">
        <w:rPr>
          <w:rFonts w:ascii="Times New Roman" w:hAnsi="Times New Roman" w:cs="Times New Roman"/>
          <w:sz w:val="28"/>
          <w:szCs w:val="28"/>
        </w:rPr>
        <w:t>.</w:t>
      </w:r>
    </w:p>
    <w:p w:rsidR="007B70FA" w:rsidRDefault="007B70FA" w:rsidP="00B7647D">
      <w:pPr>
        <w:spacing w:before="120" w:after="120" w:line="240" w:lineRule="auto"/>
        <w:ind w:firstLine="709"/>
        <w:jc w:val="both"/>
        <w:rPr>
          <w:rFonts w:ascii="Times New Roman" w:hAnsi="Times New Roman" w:cs="Times New Roman"/>
          <w:sz w:val="28"/>
          <w:szCs w:val="28"/>
        </w:rPr>
      </w:pPr>
      <w:r w:rsidRPr="007B70FA">
        <w:rPr>
          <w:rFonts w:ascii="Times New Roman" w:hAnsi="Times New Roman" w:cs="Times New Roman"/>
          <w:sz w:val="28"/>
          <w:szCs w:val="28"/>
        </w:rPr>
        <w:t xml:space="preserve">Nacionālā attīstības plāna 2014.-2020.gadam prioritātes „Cilvēka </w:t>
      </w:r>
      <w:proofErr w:type="spellStart"/>
      <w:r w:rsidRPr="007B70FA">
        <w:rPr>
          <w:rFonts w:ascii="Times New Roman" w:hAnsi="Times New Roman" w:cs="Times New Roman"/>
          <w:sz w:val="28"/>
          <w:szCs w:val="28"/>
        </w:rPr>
        <w:t>drošumspēja</w:t>
      </w:r>
      <w:proofErr w:type="spellEnd"/>
      <w:r w:rsidRPr="007B70FA">
        <w:rPr>
          <w:rFonts w:ascii="Times New Roman" w:hAnsi="Times New Roman" w:cs="Times New Roman"/>
          <w:sz w:val="28"/>
          <w:szCs w:val="28"/>
        </w:rPr>
        <w:t>” rīcības virzienā „Stabili pamati tautas ataudzei” noteiktajam uzdevumam (270.rindkopa) ir paredzēta nodokļu sistēmas pilnveidošana, lai atbalstītu personu ar bērniem iesaisti darba tirgū: a) iedzīvotāju ienākuma nodokļa atvieglojumu par apgādībā esošu personu likmes paaugstināšana, paredzot to vismaz 50% apmērā no minimālās mēneša darba algas; b) neapliekamā minimuma paaugstināšana atkarībā no apgādājamo bērnu skaita un ienākumu līmeņa; c) attaisnoto izdevumu limita un satura pārskatīšana.</w:t>
      </w:r>
    </w:p>
    <w:p w:rsidR="00B7647D" w:rsidRPr="00B7647D" w:rsidRDefault="00B7647D" w:rsidP="00B7647D">
      <w:pPr>
        <w:spacing w:after="120" w:line="240" w:lineRule="auto"/>
        <w:ind w:firstLine="709"/>
        <w:jc w:val="both"/>
        <w:rPr>
          <w:rFonts w:ascii="Times New Roman" w:hAnsi="Times New Roman" w:cs="Times New Roman"/>
          <w:sz w:val="28"/>
          <w:szCs w:val="28"/>
        </w:rPr>
      </w:pPr>
      <w:r w:rsidRPr="00B7647D">
        <w:rPr>
          <w:rFonts w:ascii="Times New Roman" w:hAnsi="Times New Roman" w:cs="Times New Roman"/>
          <w:sz w:val="28"/>
          <w:szCs w:val="28"/>
        </w:rPr>
        <w:t xml:space="preserve">Saskaņā ar Ministru kabineta  2012.gada 16.augusta ārkārtas sēdes protokola Nr.46 11.§ 6.punktu, lai atbalstītu ģimenes ar bērniem </w:t>
      </w:r>
      <w:r w:rsidR="007A1483">
        <w:rPr>
          <w:rFonts w:ascii="Times New Roman" w:hAnsi="Times New Roman" w:cs="Times New Roman"/>
          <w:sz w:val="28"/>
          <w:szCs w:val="28"/>
        </w:rPr>
        <w:t xml:space="preserve">un ņemot vērā reālās budžeta iespējas, </w:t>
      </w:r>
      <w:r w:rsidRPr="00B7647D">
        <w:rPr>
          <w:rFonts w:ascii="Times New Roman" w:hAnsi="Times New Roman" w:cs="Times New Roman"/>
          <w:sz w:val="28"/>
          <w:szCs w:val="28"/>
        </w:rPr>
        <w:t>valdība ir apņēmusies atbalstīt atvieglojuma par apgādībā esošu personu palielināšanu no 2013.gada 1.jūlija no līdzšinējiem L</w:t>
      </w:r>
      <w:r w:rsidR="008E35FB">
        <w:rPr>
          <w:rFonts w:ascii="Times New Roman" w:hAnsi="Times New Roman" w:cs="Times New Roman"/>
          <w:sz w:val="28"/>
          <w:szCs w:val="28"/>
        </w:rPr>
        <w:t>VL</w:t>
      </w:r>
      <w:r w:rsidRPr="00B7647D">
        <w:rPr>
          <w:rFonts w:ascii="Times New Roman" w:hAnsi="Times New Roman" w:cs="Times New Roman"/>
          <w:sz w:val="28"/>
          <w:szCs w:val="28"/>
        </w:rPr>
        <w:t> 70 uz L</w:t>
      </w:r>
      <w:r w:rsidR="008E35FB">
        <w:rPr>
          <w:rFonts w:ascii="Times New Roman" w:hAnsi="Times New Roman" w:cs="Times New Roman"/>
          <w:sz w:val="28"/>
          <w:szCs w:val="28"/>
        </w:rPr>
        <w:t>VL</w:t>
      </w:r>
      <w:r w:rsidRPr="00B7647D">
        <w:rPr>
          <w:rFonts w:ascii="Times New Roman" w:hAnsi="Times New Roman" w:cs="Times New Roman"/>
          <w:sz w:val="28"/>
          <w:szCs w:val="28"/>
        </w:rPr>
        <w:t xml:space="preserve"> 80 mēnesī. </w:t>
      </w:r>
    </w:p>
    <w:p w:rsidR="001B4E24" w:rsidRDefault="00B7647D" w:rsidP="00B7647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1B4E24" w:rsidRPr="002B0603">
        <w:rPr>
          <w:rFonts w:ascii="Times New Roman" w:hAnsi="Times New Roman" w:cs="Times New Roman"/>
          <w:sz w:val="28"/>
          <w:szCs w:val="28"/>
        </w:rPr>
        <w:t xml:space="preserve">tvieglojums par apgādībā </w:t>
      </w:r>
      <w:r w:rsidR="001B4E24">
        <w:rPr>
          <w:rFonts w:ascii="Times New Roman" w:hAnsi="Times New Roman" w:cs="Times New Roman"/>
          <w:sz w:val="28"/>
          <w:szCs w:val="28"/>
        </w:rPr>
        <w:t xml:space="preserve">esošām </w:t>
      </w:r>
      <w:r w:rsidR="001B4E24" w:rsidRPr="002B0603">
        <w:rPr>
          <w:rFonts w:ascii="Times New Roman" w:hAnsi="Times New Roman" w:cs="Times New Roman"/>
          <w:sz w:val="28"/>
          <w:szCs w:val="28"/>
        </w:rPr>
        <w:t xml:space="preserve">personām Latvijā ir zemāks kā Igaunijā (101 lats mēnesī), tomēr jāņem vērā, ka Igaunijā atvieglojumu par apgādībā esošām </w:t>
      </w:r>
      <w:r w:rsidR="001B4E24" w:rsidRPr="002B0603">
        <w:rPr>
          <w:rFonts w:ascii="Times New Roman" w:hAnsi="Times New Roman" w:cs="Times New Roman"/>
          <w:sz w:val="28"/>
          <w:szCs w:val="28"/>
        </w:rPr>
        <w:lastRenderedPageBreak/>
        <w:t>personām piemēro</w:t>
      </w:r>
      <w:r w:rsidR="001B4E24">
        <w:rPr>
          <w:rFonts w:ascii="Times New Roman" w:hAnsi="Times New Roman" w:cs="Times New Roman"/>
          <w:sz w:val="28"/>
          <w:szCs w:val="28"/>
        </w:rPr>
        <w:t xml:space="preserve"> tikai</w:t>
      </w:r>
      <w:r w:rsidR="001B4E24" w:rsidRPr="002B0603">
        <w:rPr>
          <w:rFonts w:ascii="Times New Roman" w:hAnsi="Times New Roman" w:cs="Times New Roman"/>
          <w:sz w:val="28"/>
          <w:szCs w:val="28"/>
        </w:rPr>
        <w:t xml:space="preserve"> sākot no otrā bērna.</w:t>
      </w:r>
      <w:r w:rsidR="001B4E24" w:rsidRPr="002B0603">
        <w:rPr>
          <w:rFonts w:ascii="Times New Roman" w:hAnsi="Times New Roman" w:cs="Times New Roman"/>
          <w:sz w:val="28"/>
          <w:szCs w:val="28"/>
          <w:vertAlign w:val="superscript"/>
        </w:rPr>
        <w:t xml:space="preserve"> </w:t>
      </w:r>
      <w:r w:rsidR="001B4E24" w:rsidRPr="002B0603">
        <w:rPr>
          <w:rFonts w:ascii="Times New Roman" w:hAnsi="Times New Roman" w:cs="Times New Roman"/>
          <w:sz w:val="28"/>
          <w:szCs w:val="28"/>
        </w:rPr>
        <w:t>Savukārt Lietuvā</w:t>
      </w:r>
      <w:r w:rsidR="001B4E24">
        <w:rPr>
          <w:rFonts w:ascii="Times New Roman" w:hAnsi="Times New Roman" w:cs="Times New Roman"/>
          <w:sz w:val="28"/>
          <w:szCs w:val="28"/>
        </w:rPr>
        <w:t xml:space="preserve"> </w:t>
      </w:r>
      <w:r w:rsidR="001B4E24" w:rsidRPr="002B0603">
        <w:rPr>
          <w:rFonts w:ascii="Times New Roman" w:hAnsi="Times New Roman" w:cs="Times New Roman"/>
          <w:sz w:val="28"/>
          <w:szCs w:val="28"/>
        </w:rPr>
        <w:t xml:space="preserve">atvieglojumu par apgādībā esošām personām piemēro: </w:t>
      </w:r>
      <w:r w:rsidR="001B4E24" w:rsidRPr="002B0603">
        <w:rPr>
          <w:rFonts w:ascii="Times New Roman" w:hAnsi="Times New Roman" w:cs="Times New Roman"/>
          <w:sz w:val="28"/>
          <w:szCs w:val="28"/>
          <w:vertAlign w:val="superscript"/>
        </w:rPr>
        <w:t xml:space="preserve"> </w:t>
      </w:r>
      <w:r w:rsidR="001B4E24" w:rsidRPr="002B0603">
        <w:rPr>
          <w:rFonts w:ascii="Times New Roman" w:hAnsi="Times New Roman" w:cs="Times New Roman"/>
          <w:sz w:val="28"/>
          <w:szCs w:val="28"/>
        </w:rPr>
        <w:t>par pirmo bērnu 100 liti jeb 20</w:t>
      </w:r>
      <w:r w:rsidR="001B4E24">
        <w:rPr>
          <w:rFonts w:ascii="Times New Roman" w:hAnsi="Times New Roman" w:cs="Times New Roman"/>
          <w:sz w:val="28"/>
          <w:szCs w:val="28"/>
        </w:rPr>
        <w:t> </w:t>
      </w:r>
      <w:r w:rsidR="001B4E24" w:rsidRPr="006F38E9">
        <w:rPr>
          <w:rFonts w:ascii="Times New Roman" w:hAnsi="Times New Roman" w:cs="Times New Roman"/>
          <w:sz w:val="28"/>
          <w:szCs w:val="28"/>
        </w:rPr>
        <w:t>lati mēnesī un par otro un katru nākamo bērnu 200 liti jeb 41 lat</w:t>
      </w:r>
      <w:r w:rsidR="001B4E24">
        <w:rPr>
          <w:rFonts w:ascii="Times New Roman" w:hAnsi="Times New Roman" w:cs="Times New Roman"/>
          <w:sz w:val="28"/>
          <w:szCs w:val="28"/>
        </w:rPr>
        <w:t>s</w:t>
      </w:r>
      <w:r w:rsidR="001B4E24" w:rsidRPr="006F38E9">
        <w:rPr>
          <w:rFonts w:ascii="Times New Roman" w:hAnsi="Times New Roman" w:cs="Times New Roman"/>
          <w:sz w:val="28"/>
          <w:szCs w:val="28"/>
        </w:rPr>
        <w:t xml:space="preserve"> mēnesī.</w:t>
      </w:r>
    </w:p>
    <w:p w:rsidR="007B70FA" w:rsidRDefault="007B70FA" w:rsidP="000264C9">
      <w:pPr>
        <w:spacing w:after="0" w:line="240" w:lineRule="auto"/>
        <w:jc w:val="center"/>
        <w:rPr>
          <w:rFonts w:ascii="Times New Roman" w:hAnsi="Times New Roman" w:cs="Times New Roman"/>
          <w:b/>
          <w:sz w:val="24"/>
          <w:szCs w:val="24"/>
        </w:rPr>
      </w:pPr>
    </w:p>
    <w:p w:rsidR="000264C9" w:rsidRDefault="00C4058E" w:rsidP="00026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264C9" w:rsidRPr="00B51381">
        <w:rPr>
          <w:rFonts w:ascii="Times New Roman" w:hAnsi="Times New Roman" w:cs="Times New Roman"/>
          <w:b/>
          <w:sz w:val="24"/>
          <w:szCs w:val="24"/>
        </w:rPr>
        <w:t>.tab.</w:t>
      </w:r>
      <w:r w:rsidR="000264C9" w:rsidRPr="00B51381">
        <w:rPr>
          <w:rFonts w:ascii="Times New Roman" w:hAnsi="Times New Roman" w:cs="Times New Roman"/>
          <w:b/>
          <w:sz w:val="24"/>
          <w:szCs w:val="24"/>
        </w:rPr>
        <w:tab/>
      </w:r>
      <w:r w:rsidR="000264C9">
        <w:rPr>
          <w:rFonts w:ascii="Times New Roman" w:hAnsi="Times New Roman" w:cs="Times New Roman"/>
          <w:b/>
          <w:sz w:val="24"/>
          <w:szCs w:val="24"/>
        </w:rPr>
        <w:t xml:space="preserve">Fiskālā ietekme uz valsts kopbudžetu 2014.gadā, palielinot </w:t>
      </w:r>
    </w:p>
    <w:p w:rsidR="000264C9" w:rsidRDefault="000264C9" w:rsidP="000264C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atvieglojumu par apgādībā esošām personām   </w:t>
      </w:r>
    </w:p>
    <w:tbl>
      <w:tblPr>
        <w:tblStyle w:val="TableGrid"/>
        <w:tblW w:w="0" w:type="auto"/>
        <w:tblLook w:val="04A0" w:firstRow="1" w:lastRow="0" w:firstColumn="1" w:lastColumn="0" w:noHBand="0" w:noVBand="1"/>
      </w:tblPr>
      <w:tblGrid>
        <w:gridCol w:w="1927"/>
        <w:gridCol w:w="2576"/>
        <w:gridCol w:w="1984"/>
        <w:gridCol w:w="1839"/>
        <w:gridCol w:w="1582"/>
      </w:tblGrid>
      <w:tr w:rsidR="000264C9" w:rsidRPr="00B7647D" w:rsidTr="000264C9">
        <w:tc>
          <w:tcPr>
            <w:tcW w:w="192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0264C9" w:rsidRPr="00B7647D" w:rsidRDefault="000264C9" w:rsidP="00B7647D">
            <w:pPr>
              <w:jc w:val="both"/>
              <w:rPr>
                <w:rFonts w:ascii="Times New Roman" w:hAnsi="Times New Roman" w:cs="Times New Roman"/>
                <w:sz w:val="24"/>
                <w:szCs w:val="24"/>
              </w:rPr>
            </w:pPr>
          </w:p>
        </w:tc>
        <w:tc>
          <w:tcPr>
            <w:tcW w:w="257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0264C9" w:rsidRPr="00B7647D" w:rsidRDefault="000264C9" w:rsidP="000264C9">
            <w:pPr>
              <w:jc w:val="center"/>
              <w:rPr>
                <w:rFonts w:ascii="Times New Roman" w:hAnsi="Times New Roman" w:cs="Times New Roman"/>
                <w:sz w:val="24"/>
                <w:szCs w:val="24"/>
              </w:rPr>
            </w:pPr>
            <w:r w:rsidRPr="00B7647D">
              <w:rPr>
                <w:rFonts w:ascii="Times New Roman" w:hAnsi="Times New Roman" w:cs="Times New Roman"/>
                <w:b/>
                <w:sz w:val="24"/>
                <w:szCs w:val="24"/>
              </w:rPr>
              <w:t>Atvieglojums par apgādībā esošu personu</w:t>
            </w:r>
            <w:r>
              <w:rPr>
                <w:rFonts w:ascii="Times New Roman" w:hAnsi="Times New Roman" w:cs="Times New Roman"/>
                <w:sz w:val="24"/>
                <w:szCs w:val="24"/>
              </w:rPr>
              <w:t xml:space="preserve">, </w:t>
            </w:r>
            <w:r w:rsidRPr="00B7647D">
              <w:rPr>
                <w:rFonts w:ascii="Times New Roman" w:hAnsi="Times New Roman" w:cs="Times New Roman"/>
                <w:i/>
                <w:sz w:val="24"/>
                <w:szCs w:val="24"/>
              </w:rPr>
              <w:t>LVL mēnesī</w:t>
            </w:r>
          </w:p>
        </w:tc>
        <w:tc>
          <w:tcPr>
            <w:tcW w:w="54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Pr="000264C9" w:rsidRDefault="000264C9" w:rsidP="000264C9">
            <w:pPr>
              <w:jc w:val="center"/>
              <w:rPr>
                <w:rFonts w:ascii="Times New Roman" w:hAnsi="Times New Roman" w:cs="Times New Roman"/>
                <w:sz w:val="24"/>
                <w:szCs w:val="24"/>
              </w:rPr>
            </w:pPr>
            <w:r w:rsidRPr="00B7647D">
              <w:rPr>
                <w:rFonts w:ascii="Times New Roman" w:hAnsi="Times New Roman" w:cs="Times New Roman"/>
                <w:b/>
                <w:sz w:val="24"/>
                <w:szCs w:val="24"/>
              </w:rPr>
              <w:t>Fiskālā ietekme</w:t>
            </w:r>
            <w:r w:rsidRPr="000264C9">
              <w:rPr>
                <w:rFonts w:ascii="Times New Roman" w:hAnsi="Times New Roman" w:cs="Times New Roman"/>
                <w:b/>
                <w:sz w:val="24"/>
                <w:szCs w:val="24"/>
                <w:vertAlign w:val="superscript"/>
              </w:rPr>
              <w:t>*</w:t>
            </w:r>
            <w:r>
              <w:rPr>
                <w:rFonts w:ascii="Times New Roman" w:hAnsi="Times New Roman" w:cs="Times New Roman"/>
                <w:sz w:val="24"/>
                <w:szCs w:val="24"/>
              </w:rPr>
              <w:t xml:space="preserve">, </w:t>
            </w:r>
            <w:proofErr w:type="spellStart"/>
            <w:r w:rsidRPr="000264C9">
              <w:rPr>
                <w:rFonts w:ascii="Times New Roman" w:hAnsi="Times New Roman" w:cs="Times New Roman"/>
                <w:i/>
                <w:sz w:val="24"/>
                <w:szCs w:val="24"/>
              </w:rPr>
              <w:t>milj</w:t>
            </w:r>
            <w:proofErr w:type="spellEnd"/>
            <w:r w:rsidRPr="000264C9">
              <w:rPr>
                <w:rFonts w:ascii="Times New Roman" w:hAnsi="Times New Roman" w:cs="Times New Roman"/>
                <w:i/>
                <w:sz w:val="24"/>
                <w:szCs w:val="24"/>
              </w:rPr>
              <w:t>. latu</w:t>
            </w:r>
          </w:p>
        </w:tc>
      </w:tr>
      <w:tr w:rsidR="000264C9" w:rsidRPr="00B7647D" w:rsidTr="000264C9">
        <w:tc>
          <w:tcPr>
            <w:tcW w:w="1927"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Default="000264C9" w:rsidP="00B7647D">
            <w:pPr>
              <w:jc w:val="both"/>
              <w:rPr>
                <w:rFonts w:ascii="Times New Roman" w:hAnsi="Times New Roman" w:cs="Times New Roman"/>
                <w:sz w:val="24"/>
                <w:szCs w:val="24"/>
              </w:rPr>
            </w:pPr>
          </w:p>
        </w:tc>
        <w:tc>
          <w:tcPr>
            <w:tcW w:w="2576"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Default="000264C9" w:rsidP="000264C9">
            <w:pPr>
              <w:jc w:val="center"/>
              <w:rPr>
                <w:rFonts w:ascii="Times New Roman" w:hAnsi="Times New Roman" w:cs="Times New Roman"/>
                <w:b/>
                <w:sz w:val="24"/>
                <w:szCs w:val="24"/>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Pr="00E333BB" w:rsidRDefault="000264C9" w:rsidP="000264C9">
            <w:pPr>
              <w:jc w:val="center"/>
              <w:rPr>
                <w:rFonts w:ascii="Times New Roman" w:eastAsiaTheme="majorEastAsia" w:hAnsi="Times New Roman" w:cs="Times New Roman"/>
                <w:b/>
                <w:bCs/>
                <w:sz w:val="24"/>
                <w:szCs w:val="24"/>
              </w:rPr>
            </w:pPr>
            <w:r>
              <w:rPr>
                <w:rFonts w:ascii="Times New Roman" w:eastAsiaTheme="majorEastAsia" w:hAnsi="Times New Roman" w:cs="Times New Roman"/>
                <w:bCs/>
                <w:iCs/>
                <w:sz w:val="24"/>
                <w:szCs w:val="24"/>
              </w:rPr>
              <w:t>Pamat</w:t>
            </w:r>
            <w:r w:rsidRPr="00E333BB">
              <w:rPr>
                <w:rFonts w:ascii="Times New Roman" w:eastAsiaTheme="majorEastAsia" w:hAnsi="Times New Roman" w:cs="Times New Roman"/>
                <w:bCs/>
                <w:iCs/>
                <w:sz w:val="24"/>
                <w:szCs w:val="24"/>
              </w:rPr>
              <w:t>budžets</w:t>
            </w:r>
          </w:p>
        </w:tc>
        <w:tc>
          <w:tcPr>
            <w:tcW w:w="1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Pr="00E333BB" w:rsidRDefault="000264C9" w:rsidP="000264C9">
            <w:pPr>
              <w:jc w:val="center"/>
              <w:rPr>
                <w:rFonts w:ascii="Times New Roman" w:hAnsi="Times New Roman" w:cs="Times New Roman"/>
                <w:sz w:val="24"/>
                <w:szCs w:val="24"/>
              </w:rPr>
            </w:pPr>
            <w:r w:rsidRPr="00E333BB">
              <w:rPr>
                <w:rFonts w:ascii="Times New Roman" w:eastAsiaTheme="majorEastAsia" w:hAnsi="Times New Roman" w:cs="Times New Roman"/>
                <w:bCs/>
                <w:iCs/>
                <w:sz w:val="24"/>
                <w:szCs w:val="24"/>
              </w:rPr>
              <w:t>Pašvaldību budžeti</w:t>
            </w:r>
          </w:p>
        </w:tc>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0264C9" w:rsidRPr="00E333BB" w:rsidRDefault="000264C9" w:rsidP="000264C9">
            <w:pPr>
              <w:jc w:val="center"/>
              <w:rPr>
                <w:rFonts w:ascii="Times New Roman" w:hAnsi="Times New Roman" w:cs="Times New Roman"/>
                <w:sz w:val="24"/>
                <w:szCs w:val="24"/>
              </w:rPr>
            </w:pPr>
            <w:r w:rsidRPr="00E333BB">
              <w:rPr>
                <w:rFonts w:ascii="Times New Roman" w:eastAsiaTheme="majorEastAsia" w:hAnsi="Times New Roman" w:cs="Times New Roman"/>
                <w:b/>
                <w:bCs/>
                <w:iCs/>
                <w:sz w:val="24"/>
                <w:szCs w:val="24"/>
              </w:rPr>
              <w:t>KOPĀ</w:t>
            </w:r>
          </w:p>
        </w:tc>
      </w:tr>
      <w:tr w:rsidR="000264C9" w:rsidRPr="00B7647D" w:rsidTr="000264C9">
        <w:tc>
          <w:tcPr>
            <w:tcW w:w="1927" w:type="dxa"/>
            <w:tcBorders>
              <w:top w:val="single" w:sz="4" w:space="0" w:color="FFFFFF" w:themeColor="background1"/>
            </w:tcBorders>
          </w:tcPr>
          <w:p w:rsidR="000264C9" w:rsidRPr="000264C9" w:rsidRDefault="000264C9" w:rsidP="00B7647D">
            <w:pPr>
              <w:jc w:val="both"/>
              <w:rPr>
                <w:rFonts w:ascii="Times New Roman" w:hAnsi="Times New Roman" w:cs="Times New Roman"/>
                <w:sz w:val="24"/>
                <w:szCs w:val="24"/>
              </w:rPr>
            </w:pPr>
            <w:r w:rsidRPr="000264C9">
              <w:rPr>
                <w:rFonts w:ascii="Times New Roman" w:hAnsi="Times New Roman" w:cs="Times New Roman"/>
                <w:sz w:val="24"/>
                <w:szCs w:val="24"/>
              </w:rPr>
              <w:t>No 01.07.2013.</w:t>
            </w:r>
          </w:p>
        </w:tc>
        <w:tc>
          <w:tcPr>
            <w:tcW w:w="2576" w:type="dxa"/>
            <w:tcBorders>
              <w:top w:val="single" w:sz="4" w:space="0" w:color="FFFFFF" w:themeColor="background1"/>
            </w:tcBorders>
          </w:tcPr>
          <w:p w:rsidR="000264C9" w:rsidRPr="000264C9" w:rsidRDefault="000264C9" w:rsidP="000264C9">
            <w:pPr>
              <w:jc w:val="center"/>
              <w:rPr>
                <w:rFonts w:ascii="Times New Roman" w:hAnsi="Times New Roman" w:cs="Times New Roman"/>
                <w:sz w:val="24"/>
                <w:szCs w:val="24"/>
              </w:rPr>
            </w:pPr>
            <w:r w:rsidRPr="000264C9">
              <w:rPr>
                <w:rFonts w:ascii="Times New Roman" w:hAnsi="Times New Roman" w:cs="Times New Roman"/>
                <w:sz w:val="24"/>
                <w:szCs w:val="24"/>
              </w:rPr>
              <w:t>80</w:t>
            </w:r>
          </w:p>
        </w:tc>
        <w:tc>
          <w:tcPr>
            <w:tcW w:w="5405" w:type="dxa"/>
            <w:gridSpan w:val="3"/>
            <w:tcBorders>
              <w:top w:val="single" w:sz="4" w:space="0" w:color="FFFFFF" w:themeColor="background1"/>
            </w:tcBorders>
          </w:tcPr>
          <w:p w:rsidR="000264C9" w:rsidRPr="000264C9" w:rsidRDefault="000264C9" w:rsidP="00B7647D">
            <w:pPr>
              <w:jc w:val="center"/>
              <w:rPr>
                <w:rFonts w:ascii="Times New Roman" w:hAnsi="Times New Roman" w:cs="Times New Roman"/>
                <w:sz w:val="24"/>
                <w:szCs w:val="24"/>
              </w:rPr>
            </w:pPr>
            <w:r w:rsidRPr="000264C9">
              <w:rPr>
                <w:rFonts w:ascii="Times New Roman" w:hAnsi="Times New Roman" w:cs="Times New Roman"/>
                <w:sz w:val="24"/>
                <w:szCs w:val="24"/>
              </w:rPr>
              <w:t>Jau ņemta vērā izstrādājot valsts budžetu 2013.-2</w:t>
            </w:r>
            <w:r>
              <w:rPr>
                <w:rFonts w:ascii="Times New Roman" w:hAnsi="Times New Roman" w:cs="Times New Roman"/>
                <w:sz w:val="24"/>
                <w:szCs w:val="24"/>
              </w:rPr>
              <w:t>0</w:t>
            </w:r>
            <w:r w:rsidRPr="000264C9">
              <w:rPr>
                <w:rFonts w:ascii="Times New Roman" w:hAnsi="Times New Roman" w:cs="Times New Roman"/>
                <w:sz w:val="24"/>
                <w:szCs w:val="24"/>
              </w:rPr>
              <w:t>15.gadam</w:t>
            </w:r>
          </w:p>
        </w:tc>
      </w:tr>
      <w:tr w:rsidR="000264C9" w:rsidRPr="00B7647D" w:rsidTr="000264C9">
        <w:tc>
          <w:tcPr>
            <w:tcW w:w="1927" w:type="dxa"/>
          </w:tcPr>
          <w:p w:rsidR="000264C9" w:rsidRPr="000264C9" w:rsidRDefault="000264C9" w:rsidP="00B7647D">
            <w:pPr>
              <w:jc w:val="both"/>
              <w:rPr>
                <w:rFonts w:ascii="Times New Roman" w:hAnsi="Times New Roman" w:cs="Times New Roman"/>
                <w:sz w:val="24"/>
                <w:szCs w:val="24"/>
              </w:rPr>
            </w:pPr>
            <w:r w:rsidRPr="000264C9">
              <w:rPr>
                <w:rFonts w:ascii="Times New Roman" w:hAnsi="Times New Roman" w:cs="Times New Roman"/>
                <w:sz w:val="24"/>
                <w:szCs w:val="24"/>
              </w:rPr>
              <w:t>No 01.01.2014.</w:t>
            </w:r>
            <w:r w:rsidRPr="000264C9">
              <w:rPr>
                <w:rFonts w:ascii="Times New Roman" w:hAnsi="Times New Roman" w:cs="Times New Roman"/>
                <w:sz w:val="24"/>
                <w:szCs w:val="24"/>
                <w:vertAlign w:val="superscript"/>
              </w:rPr>
              <w:t>**</w:t>
            </w:r>
          </w:p>
        </w:tc>
        <w:tc>
          <w:tcPr>
            <w:tcW w:w="2576" w:type="dxa"/>
          </w:tcPr>
          <w:p w:rsidR="000264C9" w:rsidRPr="000264C9" w:rsidRDefault="000264C9" w:rsidP="000264C9">
            <w:pPr>
              <w:jc w:val="center"/>
              <w:rPr>
                <w:rFonts w:ascii="Times New Roman" w:hAnsi="Times New Roman" w:cs="Times New Roman"/>
                <w:sz w:val="24"/>
                <w:szCs w:val="24"/>
              </w:rPr>
            </w:pPr>
            <w:r w:rsidRPr="000264C9">
              <w:rPr>
                <w:rFonts w:ascii="Times New Roman" w:hAnsi="Times New Roman" w:cs="Times New Roman"/>
                <w:sz w:val="24"/>
                <w:szCs w:val="24"/>
              </w:rPr>
              <w:t>98</w:t>
            </w:r>
          </w:p>
        </w:tc>
        <w:tc>
          <w:tcPr>
            <w:tcW w:w="1984" w:type="dxa"/>
          </w:tcPr>
          <w:p w:rsidR="000264C9" w:rsidRPr="000264C9" w:rsidRDefault="000264C9" w:rsidP="00C026AC">
            <w:pPr>
              <w:jc w:val="center"/>
              <w:rPr>
                <w:rFonts w:ascii="Times New Roman" w:hAnsi="Times New Roman" w:cs="Times New Roman"/>
                <w:sz w:val="24"/>
                <w:szCs w:val="24"/>
              </w:rPr>
            </w:pPr>
            <w:r w:rsidRPr="000264C9">
              <w:rPr>
                <w:rFonts w:ascii="Times New Roman" w:hAnsi="Times New Roman" w:cs="Times New Roman"/>
                <w:sz w:val="24"/>
                <w:szCs w:val="24"/>
              </w:rPr>
              <w:t>-2,4</w:t>
            </w:r>
            <w:r w:rsidR="00C026AC">
              <w:rPr>
                <w:rFonts w:ascii="Times New Roman" w:hAnsi="Times New Roman" w:cs="Times New Roman"/>
                <w:sz w:val="24"/>
                <w:szCs w:val="24"/>
              </w:rPr>
              <w:t>5</w:t>
            </w:r>
          </w:p>
        </w:tc>
        <w:tc>
          <w:tcPr>
            <w:tcW w:w="1839" w:type="dxa"/>
          </w:tcPr>
          <w:p w:rsidR="000264C9" w:rsidRPr="000264C9" w:rsidRDefault="000264C9" w:rsidP="00C026AC">
            <w:pPr>
              <w:jc w:val="center"/>
              <w:rPr>
                <w:rFonts w:ascii="Times New Roman" w:hAnsi="Times New Roman" w:cs="Times New Roman"/>
                <w:sz w:val="24"/>
                <w:szCs w:val="24"/>
              </w:rPr>
            </w:pPr>
            <w:r w:rsidRPr="000264C9">
              <w:rPr>
                <w:rFonts w:ascii="Times New Roman" w:hAnsi="Times New Roman" w:cs="Times New Roman"/>
                <w:sz w:val="24"/>
                <w:szCs w:val="24"/>
              </w:rPr>
              <w:t>-9,</w:t>
            </w:r>
            <w:r w:rsidR="00C026AC">
              <w:rPr>
                <w:rFonts w:ascii="Times New Roman" w:hAnsi="Times New Roman" w:cs="Times New Roman"/>
                <w:sz w:val="24"/>
                <w:szCs w:val="24"/>
              </w:rPr>
              <w:t>79</w:t>
            </w:r>
          </w:p>
        </w:tc>
        <w:tc>
          <w:tcPr>
            <w:tcW w:w="1582" w:type="dxa"/>
            <w:shd w:val="clear" w:color="auto" w:fill="FFFFCC"/>
          </w:tcPr>
          <w:p w:rsidR="000264C9" w:rsidRPr="000264C9" w:rsidRDefault="000264C9" w:rsidP="00C026AC">
            <w:pPr>
              <w:jc w:val="center"/>
              <w:rPr>
                <w:rFonts w:ascii="Times New Roman" w:hAnsi="Times New Roman" w:cs="Times New Roman"/>
                <w:b/>
                <w:color w:val="C00000"/>
                <w:sz w:val="24"/>
                <w:szCs w:val="24"/>
              </w:rPr>
            </w:pPr>
            <w:r w:rsidRPr="000264C9">
              <w:rPr>
                <w:rFonts w:ascii="Times New Roman" w:hAnsi="Times New Roman" w:cs="Times New Roman"/>
                <w:b/>
                <w:color w:val="C00000"/>
                <w:sz w:val="24"/>
                <w:szCs w:val="24"/>
              </w:rPr>
              <w:t>-12,</w:t>
            </w:r>
            <w:r w:rsidR="00C026AC">
              <w:rPr>
                <w:rFonts w:ascii="Times New Roman" w:hAnsi="Times New Roman" w:cs="Times New Roman"/>
                <w:b/>
                <w:color w:val="C00000"/>
                <w:sz w:val="24"/>
                <w:szCs w:val="24"/>
              </w:rPr>
              <w:t>24</w:t>
            </w:r>
          </w:p>
        </w:tc>
      </w:tr>
      <w:tr w:rsidR="000264C9" w:rsidRPr="00B7647D" w:rsidTr="000264C9">
        <w:tc>
          <w:tcPr>
            <w:tcW w:w="1927" w:type="dxa"/>
          </w:tcPr>
          <w:p w:rsidR="000264C9" w:rsidRPr="000264C9" w:rsidRDefault="000264C9" w:rsidP="00B7647D">
            <w:pPr>
              <w:jc w:val="both"/>
              <w:rPr>
                <w:rFonts w:ascii="Times New Roman" w:hAnsi="Times New Roman" w:cs="Times New Roman"/>
                <w:sz w:val="24"/>
                <w:szCs w:val="24"/>
              </w:rPr>
            </w:pPr>
            <w:r w:rsidRPr="000264C9">
              <w:rPr>
                <w:rFonts w:ascii="Times New Roman" w:hAnsi="Times New Roman" w:cs="Times New Roman"/>
                <w:sz w:val="24"/>
                <w:szCs w:val="24"/>
              </w:rPr>
              <w:t>No 01.01.2015.</w:t>
            </w:r>
            <w:r w:rsidRPr="000264C9">
              <w:rPr>
                <w:rFonts w:ascii="Times New Roman" w:hAnsi="Times New Roman" w:cs="Times New Roman"/>
                <w:sz w:val="24"/>
                <w:szCs w:val="24"/>
                <w:vertAlign w:val="superscript"/>
              </w:rPr>
              <w:t>**</w:t>
            </w:r>
          </w:p>
        </w:tc>
        <w:tc>
          <w:tcPr>
            <w:tcW w:w="2576" w:type="dxa"/>
          </w:tcPr>
          <w:p w:rsidR="000264C9" w:rsidRPr="000264C9" w:rsidRDefault="000264C9" w:rsidP="000264C9">
            <w:pPr>
              <w:jc w:val="center"/>
              <w:rPr>
                <w:rFonts w:ascii="Times New Roman" w:hAnsi="Times New Roman" w:cs="Times New Roman"/>
                <w:sz w:val="24"/>
                <w:szCs w:val="24"/>
              </w:rPr>
            </w:pPr>
            <w:r w:rsidRPr="000264C9">
              <w:rPr>
                <w:rFonts w:ascii="Times New Roman" w:hAnsi="Times New Roman" w:cs="Times New Roman"/>
                <w:sz w:val="24"/>
                <w:szCs w:val="24"/>
              </w:rPr>
              <w:t>112</w:t>
            </w:r>
          </w:p>
        </w:tc>
        <w:tc>
          <w:tcPr>
            <w:tcW w:w="1984" w:type="dxa"/>
          </w:tcPr>
          <w:p w:rsidR="000264C9" w:rsidRPr="000264C9" w:rsidRDefault="009C0E00" w:rsidP="00C026AC">
            <w:pPr>
              <w:jc w:val="center"/>
              <w:rPr>
                <w:rFonts w:ascii="Times New Roman" w:hAnsi="Times New Roman" w:cs="Times New Roman"/>
                <w:sz w:val="24"/>
                <w:szCs w:val="24"/>
              </w:rPr>
            </w:pPr>
            <w:r>
              <w:rPr>
                <w:rFonts w:ascii="Times New Roman" w:hAnsi="Times New Roman" w:cs="Times New Roman"/>
                <w:sz w:val="24"/>
                <w:szCs w:val="24"/>
              </w:rPr>
              <w:t>-1,</w:t>
            </w:r>
            <w:r w:rsidR="00C026AC">
              <w:rPr>
                <w:rFonts w:ascii="Times New Roman" w:hAnsi="Times New Roman" w:cs="Times New Roman"/>
                <w:sz w:val="24"/>
                <w:szCs w:val="24"/>
              </w:rPr>
              <w:t>57</w:t>
            </w:r>
          </w:p>
        </w:tc>
        <w:tc>
          <w:tcPr>
            <w:tcW w:w="1839" w:type="dxa"/>
          </w:tcPr>
          <w:p w:rsidR="000264C9" w:rsidRPr="000264C9" w:rsidRDefault="000264C9" w:rsidP="00C026AC">
            <w:pPr>
              <w:jc w:val="center"/>
              <w:rPr>
                <w:rFonts w:ascii="Times New Roman" w:hAnsi="Times New Roman" w:cs="Times New Roman"/>
                <w:sz w:val="24"/>
                <w:szCs w:val="24"/>
              </w:rPr>
            </w:pPr>
            <w:r w:rsidRPr="000264C9">
              <w:rPr>
                <w:rFonts w:ascii="Times New Roman" w:hAnsi="Times New Roman" w:cs="Times New Roman"/>
                <w:sz w:val="24"/>
                <w:szCs w:val="24"/>
              </w:rPr>
              <w:t>-</w:t>
            </w:r>
            <w:r w:rsidR="00C026AC">
              <w:rPr>
                <w:rFonts w:ascii="Times New Roman" w:hAnsi="Times New Roman" w:cs="Times New Roman"/>
                <w:sz w:val="24"/>
                <w:szCs w:val="24"/>
              </w:rPr>
              <w:t>6</w:t>
            </w:r>
            <w:r w:rsidRPr="000264C9">
              <w:rPr>
                <w:rFonts w:ascii="Times New Roman" w:hAnsi="Times New Roman" w:cs="Times New Roman"/>
                <w:sz w:val="24"/>
                <w:szCs w:val="24"/>
              </w:rPr>
              <w:t>,2</w:t>
            </w:r>
            <w:r w:rsidR="00C026AC">
              <w:rPr>
                <w:rFonts w:ascii="Times New Roman" w:hAnsi="Times New Roman" w:cs="Times New Roman"/>
                <w:sz w:val="24"/>
                <w:szCs w:val="24"/>
              </w:rPr>
              <w:t>8</w:t>
            </w:r>
          </w:p>
        </w:tc>
        <w:tc>
          <w:tcPr>
            <w:tcW w:w="1582" w:type="dxa"/>
            <w:shd w:val="clear" w:color="auto" w:fill="FFFFCC"/>
          </w:tcPr>
          <w:p w:rsidR="000264C9" w:rsidRPr="000264C9" w:rsidRDefault="000264C9" w:rsidP="00C026AC">
            <w:pPr>
              <w:jc w:val="center"/>
              <w:rPr>
                <w:rFonts w:ascii="Times New Roman" w:hAnsi="Times New Roman" w:cs="Times New Roman"/>
                <w:b/>
                <w:color w:val="C00000"/>
                <w:sz w:val="24"/>
                <w:szCs w:val="24"/>
              </w:rPr>
            </w:pPr>
            <w:r w:rsidRPr="000264C9">
              <w:rPr>
                <w:rFonts w:ascii="Times New Roman" w:hAnsi="Times New Roman" w:cs="Times New Roman"/>
                <w:b/>
                <w:color w:val="C00000"/>
                <w:sz w:val="24"/>
                <w:szCs w:val="24"/>
              </w:rPr>
              <w:t>-</w:t>
            </w:r>
            <w:r w:rsidR="00C026AC">
              <w:rPr>
                <w:rFonts w:ascii="Times New Roman" w:hAnsi="Times New Roman" w:cs="Times New Roman"/>
                <w:b/>
                <w:color w:val="C00000"/>
                <w:sz w:val="24"/>
                <w:szCs w:val="24"/>
              </w:rPr>
              <w:t>7</w:t>
            </w:r>
            <w:r w:rsidRPr="000264C9">
              <w:rPr>
                <w:rFonts w:ascii="Times New Roman" w:hAnsi="Times New Roman" w:cs="Times New Roman"/>
                <w:b/>
                <w:color w:val="C00000"/>
                <w:sz w:val="24"/>
                <w:szCs w:val="24"/>
              </w:rPr>
              <w:t>,</w:t>
            </w:r>
            <w:r w:rsidR="00C026AC">
              <w:rPr>
                <w:rFonts w:ascii="Times New Roman" w:hAnsi="Times New Roman" w:cs="Times New Roman"/>
                <w:b/>
                <w:color w:val="C00000"/>
                <w:sz w:val="24"/>
                <w:szCs w:val="24"/>
              </w:rPr>
              <w:t>85</w:t>
            </w:r>
          </w:p>
        </w:tc>
      </w:tr>
    </w:tbl>
    <w:p w:rsidR="00B7647D" w:rsidRPr="000264C9" w:rsidRDefault="00B7647D" w:rsidP="000264C9">
      <w:pPr>
        <w:spacing w:after="0" w:line="240" w:lineRule="auto"/>
        <w:ind w:firstLine="851"/>
        <w:jc w:val="both"/>
        <w:rPr>
          <w:rFonts w:ascii="Times New Roman" w:hAnsi="Times New Roman" w:cs="Times New Roman"/>
          <w:sz w:val="20"/>
          <w:szCs w:val="20"/>
        </w:rPr>
      </w:pPr>
    </w:p>
    <w:p w:rsidR="000264C9" w:rsidRPr="000264C9" w:rsidRDefault="000264C9" w:rsidP="000264C9">
      <w:pPr>
        <w:pStyle w:val="ListParagraph"/>
        <w:tabs>
          <w:tab w:val="left" w:pos="284"/>
        </w:tabs>
        <w:spacing w:after="0" w:line="240" w:lineRule="auto"/>
        <w:ind w:left="284" w:hanging="284"/>
        <w:rPr>
          <w:rFonts w:ascii="Times New Roman" w:hAnsi="Times New Roman" w:cs="Times New Roman"/>
          <w:sz w:val="20"/>
          <w:szCs w:val="20"/>
        </w:rPr>
      </w:pPr>
      <w:r w:rsidRPr="000264C9">
        <w:rPr>
          <w:rFonts w:ascii="Times New Roman" w:hAnsi="Times New Roman" w:cs="Times New Roman"/>
          <w:sz w:val="20"/>
          <w:szCs w:val="20"/>
          <w:vertAlign w:val="superscript"/>
        </w:rPr>
        <w:t>*</w:t>
      </w:r>
      <w:r w:rsidRPr="000264C9">
        <w:rPr>
          <w:rFonts w:ascii="Times New Roman" w:hAnsi="Times New Roman" w:cs="Times New Roman"/>
          <w:sz w:val="20"/>
          <w:szCs w:val="20"/>
        </w:rPr>
        <w:tab/>
        <w:t>Tīrā viena gada ietekme, ņemot vērā viena mēneša nobīdi, kad darba algas par decembri tiek maksātas janv</w:t>
      </w:r>
      <w:r>
        <w:rPr>
          <w:rFonts w:ascii="Times New Roman" w:hAnsi="Times New Roman" w:cs="Times New Roman"/>
          <w:sz w:val="20"/>
          <w:szCs w:val="20"/>
        </w:rPr>
        <w:t>ā</w:t>
      </w:r>
      <w:r w:rsidRPr="000264C9">
        <w:rPr>
          <w:rFonts w:ascii="Times New Roman" w:hAnsi="Times New Roman" w:cs="Times New Roman"/>
          <w:sz w:val="20"/>
          <w:szCs w:val="20"/>
        </w:rPr>
        <w:t>rī</w:t>
      </w:r>
    </w:p>
    <w:p w:rsidR="000264C9" w:rsidRPr="000264C9" w:rsidRDefault="000264C9" w:rsidP="000264C9">
      <w:pPr>
        <w:tabs>
          <w:tab w:val="left" w:pos="284"/>
        </w:tabs>
        <w:spacing w:after="120" w:line="240" w:lineRule="auto"/>
        <w:rPr>
          <w:rFonts w:ascii="Times New Roman" w:hAnsi="Times New Roman" w:cs="Times New Roman"/>
          <w:sz w:val="20"/>
          <w:szCs w:val="20"/>
        </w:rPr>
      </w:pPr>
      <w:r w:rsidRPr="000264C9">
        <w:rPr>
          <w:rFonts w:ascii="Times New Roman" w:hAnsi="Times New Roman" w:cs="Times New Roman"/>
          <w:sz w:val="20"/>
          <w:szCs w:val="20"/>
          <w:vertAlign w:val="superscript"/>
        </w:rPr>
        <w:t>**</w:t>
      </w:r>
      <w:r>
        <w:rPr>
          <w:rFonts w:ascii="Times New Roman" w:hAnsi="Times New Roman" w:cs="Times New Roman"/>
          <w:sz w:val="20"/>
          <w:szCs w:val="20"/>
        </w:rPr>
        <w:tab/>
      </w:r>
      <w:r w:rsidRPr="000264C9">
        <w:rPr>
          <w:rFonts w:ascii="Times New Roman" w:hAnsi="Times New Roman" w:cs="Times New Roman"/>
          <w:sz w:val="20"/>
          <w:szCs w:val="20"/>
        </w:rPr>
        <w:t xml:space="preserve">Ņemot vērā IIN likmes izmaiņas, diferencētā NM ieviešanu </w:t>
      </w:r>
    </w:p>
    <w:p w:rsidR="008863EC" w:rsidRPr="00EA77A9" w:rsidRDefault="008863EC" w:rsidP="008863EC">
      <w:pPr>
        <w:tabs>
          <w:tab w:val="left" w:pos="709"/>
        </w:tabs>
        <w:spacing w:after="60" w:line="240" w:lineRule="auto"/>
        <w:ind w:left="709" w:hanging="709"/>
        <w:jc w:val="both"/>
        <w:rPr>
          <w:rFonts w:ascii="Times New Roman" w:hAnsi="Times New Roman" w:cs="Times New Roman"/>
          <w:b/>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3158F3" w:rsidRDefault="003158F3" w:rsidP="00F86632">
      <w:pPr>
        <w:pStyle w:val="ListParagraph"/>
        <w:spacing w:after="0" w:line="240" w:lineRule="auto"/>
        <w:ind w:left="0" w:firstLine="709"/>
        <w:jc w:val="both"/>
        <w:rPr>
          <w:rFonts w:ascii="Times New Roman" w:hAnsi="Times New Roman" w:cs="Times New Roman"/>
          <w:sz w:val="28"/>
          <w:szCs w:val="28"/>
        </w:rPr>
      </w:pPr>
    </w:p>
    <w:p w:rsidR="00145922" w:rsidRDefault="00145922" w:rsidP="00145922">
      <w:pPr>
        <w:spacing w:after="120" w:line="240" w:lineRule="auto"/>
        <w:ind w:firstLine="709"/>
        <w:jc w:val="both"/>
        <w:rPr>
          <w:rFonts w:ascii="Times New Roman" w:eastAsiaTheme="majorEastAsia" w:hAnsi="Times New Roman" w:cs="Times New Roman"/>
          <w:bCs/>
          <w:sz w:val="28"/>
          <w:szCs w:val="28"/>
        </w:rPr>
      </w:pPr>
      <w:r w:rsidRPr="00CB7C6C">
        <w:rPr>
          <w:rFonts w:ascii="Times New Roman" w:eastAsiaTheme="majorEastAsia" w:hAnsi="Times New Roman" w:cs="Times New Roman"/>
          <w:bCs/>
          <w:sz w:val="28"/>
          <w:szCs w:val="28"/>
        </w:rPr>
        <w:t xml:space="preserve">Kā redzams </w:t>
      </w:r>
      <w:r w:rsidR="008863EC">
        <w:rPr>
          <w:rFonts w:ascii="Times New Roman" w:eastAsiaTheme="majorEastAsia" w:hAnsi="Times New Roman" w:cs="Times New Roman"/>
          <w:bCs/>
          <w:sz w:val="28"/>
          <w:szCs w:val="28"/>
        </w:rPr>
        <w:t>5.</w:t>
      </w:r>
      <w:r w:rsidRPr="00CB7C6C">
        <w:rPr>
          <w:rFonts w:ascii="Times New Roman" w:eastAsiaTheme="majorEastAsia" w:hAnsi="Times New Roman" w:cs="Times New Roman"/>
          <w:bCs/>
          <w:sz w:val="28"/>
          <w:szCs w:val="28"/>
        </w:rPr>
        <w:t>attēlā</w:t>
      </w:r>
      <w:r>
        <w:rPr>
          <w:rFonts w:ascii="Times New Roman" w:eastAsiaTheme="majorEastAsia" w:hAnsi="Times New Roman" w:cs="Times New Roman"/>
          <w:bCs/>
          <w:sz w:val="28"/>
          <w:szCs w:val="28"/>
        </w:rPr>
        <w:t>, atvieglojuma par apgādībā esošu personu paaugstināšana samazinātu darbaspēka nodokļu slogu</w:t>
      </w:r>
      <w:r w:rsidR="008863EC">
        <w:rPr>
          <w:rFonts w:ascii="Times New Roman" w:eastAsiaTheme="majorEastAsia" w:hAnsi="Times New Roman" w:cs="Times New Roman"/>
          <w:bCs/>
          <w:sz w:val="28"/>
          <w:szCs w:val="28"/>
        </w:rPr>
        <w:t>, it īpaši</w:t>
      </w:r>
      <w:r>
        <w:rPr>
          <w:rFonts w:ascii="Times New Roman" w:eastAsiaTheme="majorEastAsia" w:hAnsi="Times New Roman" w:cs="Times New Roman"/>
          <w:bCs/>
          <w:sz w:val="28"/>
          <w:szCs w:val="28"/>
        </w:rPr>
        <w:t xml:space="preserve"> ģimenēm ar bērniem. </w:t>
      </w:r>
      <w:r w:rsidRPr="00CB7C6C">
        <w:rPr>
          <w:rFonts w:ascii="Times New Roman" w:eastAsiaTheme="majorEastAsia" w:hAnsi="Times New Roman" w:cs="Times New Roman"/>
          <w:bCs/>
          <w:sz w:val="28"/>
          <w:szCs w:val="28"/>
        </w:rPr>
        <w:t xml:space="preserve"> </w:t>
      </w:r>
    </w:p>
    <w:p w:rsidR="006A453B" w:rsidRDefault="006A453B" w:rsidP="00145922">
      <w:pPr>
        <w:spacing w:after="120" w:line="240" w:lineRule="auto"/>
        <w:ind w:firstLine="709"/>
        <w:jc w:val="both"/>
        <w:rPr>
          <w:rFonts w:ascii="Times New Roman" w:eastAsiaTheme="majorEastAsia" w:hAnsi="Times New Roman" w:cs="Times New Roman"/>
          <w:bCs/>
          <w:sz w:val="28"/>
          <w:szCs w:val="28"/>
        </w:rPr>
      </w:pPr>
    </w:p>
    <w:p w:rsidR="009C0E00" w:rsidRDefault="009C0E00">
      <w:pPr>
        <w:rPr>
          <w:rFonts w:ascii="Times New Roman Bold" w:hAnsi="Times New Roman Bold" w:cs="Times New Roman"/>
          <w:smallCaps/>
          <w:sz w:val="32"/>
          <w:szCs w:val="32"/>
        </w:rPr>
      </w:pPr>
      <w:r>
        <w:rPr>
          <w:noProof/>
          <w:lang w:eastAsia="lv-LV"/>
        </w:rPr>
        <w:drawing>
          <wp:inline distT="0" distB="0" distL="0" distR="0" wp14:anchorId="320A4E6D" wp14:editId="506F6C56">
            <wp:extent cx="3010619" cy="280358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drawing>
          <wp:inline distT="0" distB="0" distL="0" distR="0" wp14:anchorId="5D9BF6AF" wp14:editId="43537070">
            <wp:extent cx="3062377" cy="2794959"/>
            <wp:effectExtent l="0" t="0" r="508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0E00" w:rsidRDefault="009A669B" w:rsidP="009C0E00">
      <w:pPr>
        <w:tabs>
          <w:tab w:val="left" w:pos="709"/>
        </w:tabs>
        <w:spacing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5</w:t>
      </w:r>
      <w:r w:rsidR="009C0E00" w:rsidRPr="00995D03">
        <w:rPr>
          <w:rFonts w:ascii="Times New Roman" w:hAnsi="Times New Roman" w:cs="Times New Roman"/>
          <w:b/>
          <w:sz w:val="24"/>
          <w:szCs w:val="24"/>
        </w:rPr>
        <w:t xml:space="preserve">.att. </w:t>
      </w:r>
      <w:r w:rsidR="009C0E00">
        <w:rPr>
          <w:rFonts w:ascii="Times New Roman" w:hAnsi="Times New Roman" w:cs="Times New Roman"/>
          <w:b/>
          <w:sz w:val="24"/>
          <w:szCs w:val="24"/>
        </w:rPr>
        <w:t>Darbaspēka nodokļu netiešā likme, palielinot atvieglojumu par apgādībā esošām personām</w:t>
      </w:r>
      <w:r w:rsidR="009C0E00">
        <w:rPr>
          <w:rFonts w:ascii="Times New Roman" w:hAnsi="Times New Roman" w:cs="Times New Roman"/>
          <w:b/>
          <w:sz w:val="24"/>
          <w:szCs w:val="24"/>
          <w:vertAlign w:val="superscript"/>
        </w:rPr>
        <w:t>*</w:t>
      </w:r>
      <w:r w:rsidR="009C0E00">
        <w:rPr>
          <w:rFonts w:ascii="Times New Roman" w:hAnsi="Times New Roman" w:cs="Times New Roman"/>
          <w:b/>
          <w:sz w:val="24"/>
          <w:szCs w:val="24"/>
        </w:rPr>
        <w:t xml:space="preserve"> </w:t>
      </w:r>
    </w:p>
    <w:p w:rsidR="009C0E00" w:rsidRPr="009C0E00" w:rsidRDefault="009C0E00" w:rsidP="00F86632">
      <w:pPr>
        <w:tabs>
          <w:tab w:val="left" w:pos="284"/>
        </w:tabs>
        <w:spacing w:after="0" w:line="240" w:lineRule="auto"/>
        <w:ind w:left="284" w:hanging="284"/>
        <w:jc w:val="both"/>
        <w:rPr>
          <w:rFonts w:ascii="Times New Roman" w:hAnsi="Times New Roman" w:cs="Times New Roman"/>
          <w:b/>
          <w:sz w:val="20"/>
          <w:szCs w:val="20"/>
        </w:rPr>
      </w:pPr>
      <w:r w:rsidRPr="009C0E00">
        <w:rPr>
          <w:rFonts w:ascii="Times New Roman" w:hAnsi="Times New Roman" w:cs="Times New Roman"/>
          <w:sz w:val="20"/>
          <w:szCs w:val="20"/>
        </w:rPr>
        <w:t>*</w:t>
      </w:r>
      <w:r w:rsidRPr="009C0E00">
        <w:rPr>
          <w:rFonts w:ascii="Times New Roman" w:hAnsi="Times New Roman" w:cs="Times New Roman"/>
          <w:sz w:val="20"/>
          <w:szCs w:val="20"/>
        </w:rPr>
        <w:tab/>
      </w:r>
      <w:r>
        <w:rPr>
          <w:rFonts w:ascii="Times New Roman" w:hAnsi="Times New Roman" w:cs="Times New Roman"/>
          <w:sz w:val="20"/>
          <w:szCs w:val="20"/>
        </w:rPr>
        <w:t>Ņ</w:t>
      </w:r>
      <w:r w:rsidRPr="009C0E00">
        <w:rPr>
          <w:rFonts w:ascii="Times New Roman" w:hAnsi="Times New Roman" w:cs="Times New Roman"/>
          <w:sz w:val="20"/>
          <w:szCs w:val="20"/>
        </w:rPr>
        <w:t xml:space="preserve">emot vērā IIN likmes samazinājumu, minimālās </w:t>
      </w:r>
      <w:r w:rsidR="00145922">
        <w:rPr>
          <w:rFonts w:ascii="Times New Roman" w:hAnsi="Times New Roman" w:cs="Times New Roman"/>
          <w:sz w:val="20"/>
          <w:szCs w:val="20"/>
        </w:rPr>
        <w:t xml:space="preserve">darba </w:t>
      </w:r>
      <w:r w:rsidRPr="009C0E00">
        <w:rPr>
          <w:rFonts w:ascii="Times New Roman" w:hAnsi="Times New Roman" w:cs="Times New Roman"/>
          <w:sz w:val="20"/>
          <w:szCs w:val="20"/>
        </w:rPr>
        <w:t>algas paaugstināšanas priekšlikumu un neapliekamā minimuma diferencēšanas priekšlikumu)</w:t>
      </w:r>
      <w:r w:rsidRPr="009C0E00">
        <w:rPr>
          <w:rFonts w:ascii="Times New Roman" w:hAnsi="Times New Roman" w:cs="Times New Roman"/>
          <w:b/>
          <w:sz w:val="20"/>
          <w:szCs w:val="20"/>
        </w:rPr>
        <w:t xml:space="preserve">   </w:t>
      </w:r>
    </w:p>
    <w:p w:rsidR="009C0E00" w:rsidRDefault="009C0E00" w:rsidP="006A453B">
      <w:pPr>
        <w:tabs>
          <w:tab w:val="left" w:pos="709"/>
        </w:tabs>
        <w:spacing w:before="120" w:after="60" w:line="240" w:lineRule="auto"/>
        <w:ind w:left="709" w:hanging="709"/>
        <w:jc w:val="both"/>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6A453B" w:rsidRDefault="006A453B">
      <w:pPr>
        <w:rPr>
          <w:rFonts w:ascii="Times New Roman" w:hAnsi="Times New Roman" w:cs="Times New Roman"/>
          <w:b/>
          <w:i/>
          <w:sz w:val="24"/>
          <w:szCs w:val="24"/>
        </w:rPr>
      </w:pPr>
      <w:r>
        <w:rPr>
          <w:rFonts w:ascii="Times New Roman" w:hAnsi="Times New Roman" w:cs="Times New Roman"/>
          <w:b/>
          <w:i/>
          <w:sz w:val="24"/>
          <w:szCs w:val="24"/>
        </w:rPr>
        <w:br w:type="page"/>
      </w:r>
    </w:p>
    <w:p w:rsidR="00DC52CD" w:rsidRPr="00B7647D" w:rsidRDefault="009C0E00" w:rsidP="009C0E00">
      <w:pPr>
        <w:pStyle w:val="Heading1"/>
        <w:numPr>
          <w:ilvl w:val="0"/>
          <w:numId w:val="15"/>
        </w:numPr>
        <w:spacing w:before="240" w:line="240" w:lineRule="auto"/>
        <w:ind w:left="709" w:hanging="703"/>
        <w:jc w:val="both"/>
        <w:rPr>
          <w:rFonts w:ascii="Times New Roman Bold" w:hAnsi="Times New Roman Bold" w:cs="Times New Roman"/>
          <w:smallCaps/>
          <w:color w:val="auto"/>
          <w:sz w:val="32"/>
          <w:szCs w:val="32"/>
        </w:rPr>
      </w:pPr>
      <w:bookmarkStart w:id="13" w:name="_Toc357009516"/>
      <w:r>
        <w:rPr>
          <w:rFonts w:ascii="Times New Roman Bold" w:hAnsi="Times New Roman Bold" w:cs="Times New Roman"/>
          <w:smallCaps/>
          <w:color w:val="auto"/>
          <w:sz w:val="32"/>
          <w:szCs w:val="32"/>
        </w:rPr>
        <w:lastRenderedPageBreak/>
        <w:t>Kopējā fiskālā ietekme un i</w:t>
      </w:r>
      <w:r w:rsidR="003158F3" w:rsidRPr="00B7647D">
        <w:rPr>
          <w:rFonts w:ascii="Times New Roman Bold" w:hAnsi="Times New Roman Bold" w:cs="Times New Roman"/>
          <w:smallCaps/>
          <w:color w:val="auto"/>
          <w:sz w:val="32"/>
          <w:szCs w:val="32"/>
        </w:rPr>
        <w:t>espējamie kompensējošie pasākumi</w:t>
      </w:r>
      <w:bookmarkEnd w:id="13"/>
    </w:p>
    <w:p w:rsidR="0096181B" w:rsidRDefault="0096181B" w:rsidP="00F72B6A">
      <w:pPr>
        <w:spacing w:after="0" w:line="240" w:lineRule="auto"/>
        <w:ind w:firstLine="709"/>
        <w:jc w:val="both"/>
        <w:rPr>
          <w:rFonts w:ascii="Times New Roman" w:hAnsi="Times New Roman" w:cs="Times New Roman"/>
          <w:sz w:val="28"/>
          <w:szCs w:val="28"/>
        </w:rPr>
      </w:pPr>
    </w:p>
    <w:p w:rsidR="00145922" w:rsidRDefault="00145922" w:rsidP="00F72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Visu iepriekš minēto priekšlikumu fiskālā ietekme ir apkopota </w:t>
      </w:r>
      <w:r w:rsidR="00C4058E">
        <w:rPr>
          <w:rFonts w:ascii="Times New Roman" w:hAnsi="Times New Roman" w:cs="Times New Roman"/>
          <w:sz w:val="28"/>
          <w:szCs w:val="28"/>
        </w:rPr>
        <w:t>7</w:t>
      </w:r>
      <w:r w:rsidR="004908FF">
        <w:rPr>
          <w:rFonts w:ascii="Times New Roman" w:hAnsi="Times New Roman" w:cs="Times New Roman"/>
          <w:sz w:val="28"/>
          <w:szCs w:val="28"/>
        </w:rPr>
        <w:t>.</w:t>
      </w:r>
      <w:r>
        <w:rPr>
          <w:rFonts w:ascii="Times New Roman" w:hAnsi="Times New Roman" w:cs="Times New Roman"/>
          <w:sz w:val="28"/>
          <w:szCs w:val="28"/>
        </w:rPr>
        <w:t>tabulā.</w:t>
      </w:r>
    </w:p>
    <w:p w:rsidR="00145922" w:rsidRDefault="00145922" w:rsidP="00F72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45922" w:rsidRDefault="00C4058E" w:rsidP="0014592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145922" w:rsidRPr="00B51381">
        <w:rPr>
          <w:rFonts w:ascii="Times New Roman" w:hAnsi="Times New Roman" w:cs="Times New Roman"/>
          <w:b/>
          <w:sz w:val="24"/>
          <w:szCs w:val="24"/>
        </w:rPr>
        <w:t>.tab.</w:t>
      </w:r>
      <w:r w:rsidR="00145922" w:rsidRPr="00B51381">
        <w:rPr>
          <w:rFonts w:ascii="Times New Roman" w:hAnsi="Times New Roman" w:cs="Times New Roman"/>
          <w:b/>
          <w:sz w:val="24"/>
          <w:szCs w:val="24"/>
        </w:rPr>
        <w:tab/>
      </w:r>
      <w:r w:rsidR="00145922">
        <w:rPr>
          <w:rFonts w:ascii="Times New Roman" w:hAnsi="Times New Roman" w:cs="Times New Roman"/>
          <w:b/>
          <w:sz w:val="24"/>
          <w:szCs w:val="24"/>
        </w:rPr>
        <w:t>Fiskālā ietekme uz valsts kopbudžetu</w:t>
      </w:r>
      <w:r w:rsidR="00BE708C">
        <w:rPr>
          <w:rFonts w:ascii="Times New Roman" w:hAnsi="Times New Roman" w:cs="Times New Roman"/>
          <w:b/>
          <w:sz w:val="24"/>
          <w:szCs w:val="24"/>
        </w:rPr>
        <w:t xml:space="preserve"> un valsts fondēto pensiju shēmu</w:t>
      </w:r>
      <w:r w:rsidR="00145922">
        <w:rPr>
          <w:rFonts w:ascii="Times New Roman" w:hAnsi="Times New Roman" w:cs="Times New Roman"/>
          <w:b/>
          <w:sz w:val="24"/>
          <w:szCs w:val="24"/>
        </w:rPr>
        <w:t xml:space="preserve">, </w:t>
      </w:r>
      <w:proofErr w:type="spellStart"/>
      <w:r w:rsidR="00145922" w:rsidRPr="00145922">
        <w:rPr>
          <w:rFonts w:ascii="Times New Roman" w:hAnsi="Times New Roman" w:cs="Times New Roman"/>
          <w:i/>
          <w:sz w:val="24"/>
          <w:szCs w:val="24"/>
        </w:rPr>
        <w:t>milj</w:t>
      </w:r>
      <w:proofErr w:type="spellEnd"/>
      <w:r w:rsidR="00145922" w:rsidRPr="00145922">
        <w:rPr>
          <w:rFonts w:ascii="Times New Roman" w:hAnsi="Times New Roman" w:cs="Times New Roman"/>
          <w:i/>
          <w:sz w:val="24"/>
          <w:szCs w:val="24"/>
        </w:rPr>
        <w:t>. latu</w:t>
      </w:r>
      <w:r w:rsidR="00145922">
        <w:rPr>
          <w:rFonts w:ascii="Times New Roman" w:hAnsi="Times New Roman" w:cs="Times New Roman"/>
          <w:b/>
          <w:sz w:val="24"/>
          <w:szCs w:val="24"/>
        </w:rPr>
        <w:t xml:space="preserve"> </w:t>
      </w:r>
    </w:p>
    <w:tbl>
      <w:tblPr>
        <w:tblStyle w:val="TableGrid"/>
        <w:tblW w:w="10031" w:type="dxa"/>
        <w:tblLayout w:type="fixed"/>
        <w:tblLook w:val="04A0" w:firstRow="1" w:lastRow="0" w:firstColumn="1" w:lastColumn="0" w:noHBand="0" w:noVBand="1"/>
      </w:tblPr>
      <w:tblGrid>
        <w:gridCol w:w="817"/>
        <w:gridCol w:w="4253"/>
        <w:gridCol w:w="992"/>
        <w:gridCol w:w="992"/>
        <w:gridCol w:w="992"/>
        <w:gridCol w:w="993"/>
        <w:gridCol w:w="992"/>
      </w:tblGrid>
      <w:tr w:rsidR="008337CC" w:rsidTr="008337CC">
        <w:tc>
          <w:tcPr>
            <w:tcW w:w="8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Gads</w:t>
            </w:r>
          </w:p>
        </w:tc>
        <w:tc>
          <w:tcPr>
            <w:tcW w:w="425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Priekšlikums</w:t>
            </w:r>
          </w:p>
        </w:tc>
        <w:tc>
          <w:tcPr>
            <w:tcW w:w="4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 xml:space="preserve">Fiskālā ietekme, </w:t>
            </w:r>
            <w:proofErr w:type="spellStart"/>
            <w:r w:rsidRPr="00145922">
              <w:rPr>
                <w:rFonts w:ascii="Times New Roman" w:hAnsi="Times New Roman" w:cs="Times New Roman"/>
                <w:i/>
                <w:sz w:val="24"/>
                <w:szCs w:val="24"/>
              </w:rPr>
              <w:t>milj</w:t>
            </w:r>
            <w:proofErr w:type="spellEnd"/>
            <w:r w:rsidRPr="00145922">
              <w:rPr>
                <w:rFonts w:ascii="Times New Roman" w:hAnsi="Times New Roman" w:cs="Times New Roman"/>
                <w:i/>
                <w:sz w:val="24"/>
                <w:szCs w:val="24"/>
              </w:rPr>
              <w:t>. latu</w:t>
            </w:r>
            <w:r>
              <w:rPr>
                <w:rFonts w:ascii="Times New Roman" w:hAnsi="Times New Roman" w:cs="Times New Roman"/>
                <w:b/>
                <w:sz w:val="24"/>
                <w:szCs w:val="24"/>
              </w:rPr>
              <w:t xml:space="preserve"> </w:t>
            </w:r>
          </w:p>
        </w:tc>
      </w:tr>
      <w:tr w:rsidR="008337CC" w:rsidTr="008337CC">
        <w:tc>
          <w:tcPr>
            <w:tcW w:w="81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p>
        </w:tc>
        <w:tc>
          <w:tcPr>
            <w:tcW w:w="425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Pr="00145922" w:rsidRDefault="008337CC" w:rsidP="00145922">
            <w:pPr>
              <w:jc w:val="center"/>
              <w:rPr>
                <w:rFonts w:ascii="Times New Roman" w:hAnsi="Times New Roman" w:cs="Times New Roman"/>
                <w:sz w:val="24"/>
                <w:szCs w:val="24"/>
              </w:rPr>
            </w:pPr>
            <w:r w:rsidRPr="00145922">
              <w:rPr>
                <w:rFonts w:ascii="Times New Roman" w:hAnsi="Times New Roman" w:cs="Times New Roman"/>
                <w:sz w:val="24"/>
                <w:szCs w:val="24"/>
              </w:rPr>
              <w:t>Pamat</w:t>
            </w:r>
            <w:r>
              <w:rPr>
                <w:rFonts w:ascii="Times New Roman" w:hAnsi="Times New Roman" w:cs="Times New Roman"/>
                <w:sz w:val="24"/>
                <w:szCs w:val="24"/>
              </w:rPr>
              <w:t>-</w:t>
            </w:r>
            <w:r w:rsidRPr="00145922">
              <w:rPr>
                <w:rFonts w:ascii="Times New Roman" w:hAnsi="Times New Roman" w:cs="Times New Roman"/>
                <w:sz w:val="24"/>
                <w:szCs w:val="24"/>
              </w:rPr>
              <w:t>budžets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Pr="00145922" w:rsidRDefault="008337CC" w:rsidP="00145922">
            <w:pPr>
              <w:jc w:val="center"/>
              <w:rPr>
                <w:rFonts w:ascii="Times New Roman" w:hAnsi="Times New Roman" w:cs="Times New Roman"/>
                <w:sz w:val="24"/>
                <w:szCs w:val="24"/>
              </w:rPr>
            </w:pPr>
            <w:proofErr w:type="spellStart"/>
            <w:r w:rsidRPr="00145922">
              <w:rPr>
                <w:rFonts w:ascii="Times New Roman" w:hAnsi="Times New Roman" w:cs="Times New Roman"/>
                <w:sz w:val="24"/>
                <w:szCs w:val="24"/>
              </w:rPr>
              <w:t>Pašval</w:t>
            </w:r>
            <w:r>
              <w:rPr>
                <w:rFonts w:ascii="Times New Roman" w:hAnsi="Times New Roman" w:cs="Times New Roman"/>
                <w:sz w:val="24"/>
                <w:szCs w:val="24"/>
              </w:rPr>
              <w:t>-</w:t>
            </w:r>
            <w:r w:rsidRPr="00145922">
              <w:rPr>
                <w:rFonts w:ascii="Times New Roman" w:hAnsi="Times New Roman" w:cs="Times New Roman"/>
                <w:sz w:val="24"/>
                <w:szCs w:val="24"/>
              </w:rPr>
              <w:t>dību</w:t>
            </w:r>
            <w:proofErr w:type="spellEnd"/>
            <w:r w:rsidRPr="00145922">
              <w:rPr>
                <w:rFonts w:ascii="Times New Roman" w:hAnsi="Times New Roman" w:cs="Times New Roman"/>
                <w:sz w:val="24"/>
                <w:szCs w:val="24"/>
              </w:rPr>
              <w:t xml:space="preserve"> budžeti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Pr="00145922" w:rsidRDefault="008337CC" w:rsidP="00145922">
            <w:pPr>
              <w:jc w:val="center"/>
              <w:rPr>
                <w:rFonts w:ascii="Times New Roman" w:hAnsi="Times New Roman" w:cs="Times New Roman"/>
                <w:sz w:val="24"/>
                <w:szCs w:val="24"/>
              </w:rPr>
            </w:pPr>
            <w:proofErr w:type="spellStart"/>
            <w:r>
              <w:rPr>
                <w:rFonts w:ascii="Times New Roman" w:hAnsi="Times New Roman" w:cs="Times New Roman"/>
                <w:sz w:val="24"/>
                <w:szCs w:val="24"/>
              </w:rPr>
              <w:t>Speciā-l</w:t>
            </w:r>
            <w:r w:rsidRPr="00145922">
              <w:rPr>
                <w:rFonts w:ascii="Times New Roman" w:hAnsi="Times New Roman" w:cs="Times New Roman"/>
                <w:sz w:val="24"/>
                <w:szCs w:val="24"/>
              </w:rPr>
              <w:t>ais</w:t>
            </w:r>
            <w:proofErr w:type="spellEnd"/>
            <w:r w:rsidRPr="00145922">
              <w:rPr>
                <w:rFonts w:ascii="Times New Roman" w:hAnsi="Times New Roman" w:cs="Times New Roman"/>
                <w:sz w:val="24"/>
                <w:szCs w:val="24"/>
              </w:rPr>
              <w:t xml:space="preserve"> </w:t>
            </w:r>
          </w:p>
          <w:p w:rsidR="008337CC" w:rsidRPr="00145922" w:rsidRDefault="008337CC" w:rsidP="00145922">
            <w:pPr>
              <w:jc w:val="center"/>
              <w:rPr>
                <w:rFonts w:ascii="Times New Roman" w:hAnsi="Times New Roman" w:cs="Times New Roman"/>
                <w:sz w:val="24"/>
                <w:szCs w:val="24"/>
              </w:rPr>
            </w:pPr>
            <w:r w:rsidRPr="00145922">
              <w:rPr>
                <w:rFonts w:ascii="Times New Roman" w:hAnsi="Times New Roman" w:cs="Times New Roman"/>
                <w:sz w:val="24"/>
                <w:szCs w:val="24"/>
              </w:rPr>
              <w:t>budžets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Pr="008337CC" w:rsidRDefault="008337CC" w:rsidP="00145922">
            <w:pPr>
              <w:jc w:val="center"/>
              <w:rPr>
                <w:rFonts w:ascii="Times New Roman" w:hAnsi="Times New Roman" w:cs="Times New Roman"/>
                <w:sz w:val="24"/>
                <w:szCs w:val="24"/>
              </w:rPr>
            </w:pPr>
            <w:r w:rsidRPr="008337CC">
              <w:rPr>
                <w:rFonts w:ascii="Times New Roman" w:hAnsi="Times New Roman" w:cs="Times New Roman"/>
                <w:sz w:val="24"/>
                <w:szCs w:val="24"/>
              </w:rPr>
              <w:t>Valsts fondēto pensiju shēma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KOPĀ</w:t>
            </w:r>
          </w:p>
        </w:tc>
      </w:tr>
      <w:tr w:rsidR="008337CC" w:rsidTr="008337CC">
        <w:tc>
          <w:tcPr>
            <w:tcW w:w="817" w:type="dxa"/>
            <w:vMerge w:val="restart"/>
            <w:tcBorders>
              <w:top w:val="single" w:sz="4" w:space="0" w:color="FFFFFF" w:themeColor="background1"/>
            </w:tcBorders>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2014</w:t>
            </w:r>
          </w:p>
        </w:tc>
        <w:tc>
          <w:tcPr>
            <w:tcW w:w="4253" w:type="dxa"/>
            <w:tcBorders>
              <w:top w:val="single" w:sz="4" w:space="0" w:color="FFFFFF" w:themeColor="background1"/>
              <w:bottom w:val="single" w:sz="4" w:space="0" w:color="000000" w:themeColor="text1"/>
            </w:tcBorders>
          </w:tcPr>
          <w:p w:rsidR="008337CC" w:rsidRPr="00DF43E8" w:rsidRDefault="008337CC" w:rsidP="00DF43E8">
            <w:pPr>
              <w:rPr>
                <w:rFonts w:ascii="Times New Roman" w:hAnsi="Times New Roman" w:cs="Times New Roman"/>
                <w:b/>
                <w:sz w:val="24"/>
                <w:szCs w:val="24"/>
              </w:rPr>
            </w:pPr>
            <w:r w:rsidRPr="00DF43E8">
              <w:rPr>
                <w:rFonts w:ascii="Times New Roman" w:hAnsi="Times New Roman" w:cs="Times New Roman"/>
                <w:b/>
                <w:sz w:val="24"/>
                <w:szCs w:val="24"/>
              </w:rPr>
              <w:t xml:space="preserve">Minimālās algas paaugstināšana </w:t>
            </w:r>
          </w:p>
          <w:p w:rsidR="008337CC" w:rsidRPr="00DF43E8" w:rsidRDefault="008337CC" w:rsidP="00DF43E8">
            <w:pPr>
              <w:rPr>
                <w:rFonts w:ascii="Times New Roman" w:hAnsi="Times New Roman" w:cs="Times New Roman"/>
                <w:sz w:val="24"/>
                <w:szCs w:val="24"/>
              </w:rPr>
            </w:pPr>
            <w:r w:rsidRPr="00DF43E8">
              <w:rPr>
                <w:rFonts w:ascii="Times New Roman" w:hAnsi="Times New Roman" w:cs="Times New Roman"/>
                <w:sz w:val="24"/>
                <w:szCs w:val="24"/>
              </w:rPr>
              <w:t>(no 200 uz 225 LVL mēnesī)</w:t>
            </w:r>
          </w:p>
        </w:tc>
        <w:tc>
          <w:tcPr>
            <w:tcW w:w="992" w:type="dxa"/>
            <w:tcBorders>
              <w:top w:val="single" w:sz="4" w:space="0" w:color="FFFFFF" w:themeColor="background1"/>
              <w:bottom w:val="single" w:sz="4" w:space="0" w:color="000000" w:themeColor="text1"/>
            </w:tcBorders>
          </w:tcPr>
          <w:p w:rsidR="008337CC" w:rsidRPr="00DF43E8" w:rsidRDefault="008337CC" w:rsidP="00D05FF5">
            <w:pPr>
              <w:pStyle w:val="ListParagraph"/>
              <w:ind w:left="0"/>
              <w:jc w:val="center"/>
              <w:rPr>
                <w:rFonts w:ascii="Times New Roman" w:hAnsi="Times New Roman" w:cs="Times New Roman"/>
                <w:sz w:val="24"/>
                <w:szCs w:val="24"/>
              </w:rPr>
            </w:pPr>
            <w:r w:rsidRPr="00DF43E8">
              <w:rPr>
                <w:rFonts w:ascii="Times New Roman" w:hAnsi="Times New Roman" w:cs="Times New Roman"/>
                <w:sz w:val="24"/>
                <w:szCs w:val="24"/>
              </w:rPr>
              <w:t>-6,</w:t>
            </w:r>
            <w:r w:rsidR="00D05FF5">
              <w:rPr>
                <w:rFonts w:ascii="Times New Roman" w:hAnsi="Times New Roman" w:cs="Times New Roman"/>
                <w:sz w:val="24"/>
                <w:szCs w:val="24"/>
              </w:rPr>
              <w:t>5</w:t>
            </w:r>
            <w:r w:rsidRPr="00DF43E8">
              <w:rPr>
                <w:rFonts w:ascii="Times New Roman" w:hAnsi="Times New Roman" w:cs="Times New Roman"/>
                <w:sz w:val="24"/>
                <w:szCs w:val="24"/>
              </w:rPr>
              <w:t>8</w:t>
            </w:r>
          </w:p>
        </w:tc>
        <w:tc>
          <w:tcPr>
            <w:tcW w:w="992" w:type="dxa"/>
            <w:tcBorders>
              <w:top w:val="single" w:sz="4" w:space="0" w:color="FFFFFF" w:themeColor="background1"/>
              <w:bottom w:val="single" w:sz="4" w:space="0" w:color="000000" w:themeColor="text1"/>
            </w:tcBorders>
          </w:tcPr>
          <w:p w:rsidR="008337CC" w:rsidRPr="00DF43E8" w:rsidRDefault="008337CC" w:rsidP="00D05FF5">
            <w:pPr>
              <w:pStyle w:val="ListParagraph"/>
              <w:ind w:left="0"/>
              <w:jc w:val="center"/>
              <w:rPr>
                <w:rFonts w:ascii="Times New Roman" w:hAnsi="Times New Roman" w:cs="Times New Roman"/>
                <w:sz w:val="24"/>
                <w:szCs w:val="24"/>
              </w:rPr>
            </w:pPr>
            <w:r w:rsidRPr="00DF43E8">
              <w:rPr>
                <w:rFonts w:ascii="Times New Roman" w:hAnsi="Times New Roman" w:cs="Times New Roman"/>
                <w:sz w:val="24"/>
                <w:szCs w:val="24"/>
              </w:rPr>
              <w:t>+</w:t>
            </w:r>
            <w:r w:rsidR="00D05FF5">
              <w:rPr>
                <w:rFonts w:ascii="Times New Roman" w:hAnsi="Times New Roman" w:cs="Times New Roman"/>
                <w:sz w:val="24"/>
                <w:szCs w:val="24"/>
              </w:rPr>
              <w:t>2</w:t>
            </w:r>
            <w:r w:rsidRPr="00DF43E8">
              <w:rPr>
                <w:rFonts w:ascii="Times New Roman" w:hAnsi="Times New Roman" w:cs="Times New Roman"/>
                <w:sz w:val="24"/>
                <w:szCs w:val="24"/>
              </w:rPr>
              <w:t>,</w:t>
            </w:r>
            <w:r w:rsidR="00D05FF5">
              <w:rPr>
                <w:rFonts w:ascii="Times New Roman" w:hAnsi="Times New Roman" w:cs="Times New Roman"/>
                <w:sz w:val="24"/>
                <w:szCs w:val="24"/>
              </w:rPr>
              <w:t>04</w:t>
            </w:r>
          </w:p>
        </w:tc>
        <w:tc>
          <w:tcPr>
            <w:tcW w:w="992" w:type="dxa"/>
            <w:tcBorders>
              <w:top w:val="single" w:sz="4" w:space="0" w:color="FFFFFF" w:themeColor="background1"/>
              <w:bottom w:val="single" w:sz="4" w:space="0" w:color="000000" w:themeColor="text1"/>
            </w:tcBorders>
          </w:tcPr>
          <w:p w:rsidR="008337CC" w:rsidRPr="00DF43E8" w:rsidRDefault="008337CC" w:rsidP="00D05FF5">
            <w:pPr>
              <w:pStyle w:val="ListParagraph"/>
              <w:ind w:left="0"/>
              <w:jc w:val="center"/>
              <w:rPr>
                <w:rFonts w:ascii="Times New Roman" w:hAnsi="Times New Roman" w:cs="Times New Roman"/>
                <w:sz w:val="24"/>
                <w:szCs w:val="24"/>
              </w:rPr>
            </w:pPr>
            <w:r w:rsidRPr="00DF43E8">
              <w:rPr>
                <w:rFonts w:ascii="Times New Roman" w:hAnsi="Times New Roman" w:cs="Times New Roman"/>
                <w:sz w:val="24"/>
                <w:szCs w:val="24"/>
              </w:rPr>
              <w:t>+1</w:t>
            </w:r>
            <w:r w:rsidR="00D05FF5">
              <w:rPr>
                <w:rFonts w:ascii="Times New Roman" w:hAnsi="Times New Roman" w:cs="Times New Roman"/>
                <w:sz w:val="24"/>
                <w:szCs w:val="24"/>
              </w:rPr>
              <w:t>2</w:t>
            </w:r>
            <w:r w:rsidRPr="00DF43E8">
              <w:rPr>
                <w:rFonts w:ascii="Times New Roman" w:hAnsi="Times New Roman" w:cs="Times New Roman"/>
                <w:sz w:val="24"/>
                <w:szCs w:val="24"/>
              </w:rPr>
              <w:t>,</w:t>
            </w:r>
            <w:r w:rsidR="00D05FF5">
              <w:rPr>
                <w:rFonts w:ascii="Times New Roman" w:hAnsi="Times New Roman" w:cs="Times New Roman"/>
                <w:sz w:val="24"/>
                <w:szCs w:val="24"/>
              </w:rPr>
              <w:t>13</w:t>
            </w:r>
          </w:p>
        </w:tc>
        <w:tc>
          <w:tcPr>
            <w:tcW w:w="993" w:type="dxa"/>
            <w:tcBorders>
              <w:top w:val="single" w:sz="4" w:space="0" w:color="FFFFFF" w:themeColor="background1"/>
              <w:bottom w:val="single" w:sz="4" w:space="0" w:color="000000" w:themeColor="text1"/>
            </w:tcBorders>
            <w:shd w:val="clear" w:color="auto" w:fill="FFFFFF" w:themeFill="background1"/>
          </w:tcPr>
          <w:p w:rsidR="008337CC" w:rsidRPr="00D05FF5" w:rsidRDefault="00D05FF5" w:rsidP="00DF43E8">
            <w:pPr>
              <w:pStyle w:val="ListParagraph"/>
              <w:ind w:left="0"/>
              <w:jc w:val="center"/>
              <w:rPr>
                <w:rFonts w:ascii="Times New Roman" w:hAnsi="Times New Roman" w:cs="Times New Roman"/>
                <w:color w:val="C00000"/>
                <w:sz w:val="24"/>
                <w:szCs w:val="24"/>
              </w:rPr>
            </w:pPr>
            <w:r w:rsidRPr="00D05FF5">
              <w:rPr>
                <w:rFonts w:ascii="Times New Roman" w:hAnsi="Times New Roman" w:cs="Times New Roman"/>
                <w:sz w:val="24"/>
                <w:szCs w:val="24"/>
              </w:rPr>
              <w:t>+1,42</w:t>
            </w:r>
          </w:p>
        </w:tc>
        <w:tc>
          <w:tcPr>
            <w:tcW w:w="992" w:type="dxa"/>
            <w:tcBorders>
              <w:top w:val="single" w:sz="4" w:space="0" w:color="FFFFFF" w:themeColor="background1"/>
              <w:bottom w:val="single" w:sz="4" w:space="0" w:color="000000" w:themeColor="text1"/>
            </w:tcBorders>
            <w:shd w:val="clear" w:color="auto" w:fill="FFFFCC"/>
          </w:tcPr>
          <w:p w:rsidR="008337CC" w:rsidRPr="00180121" w:rsidRDefault="008337CC" w:rsidP="004F3703">
            <w:pPr>
              <w:pStyle w:val="ListParagraph"/>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+9,</w:t>
            </w:r>
            <w:r w:rsidR="004F3703">
              <w:rPr>
                <w:rFonts w:ascii="Times New Roman" w:hAnsi="Times New Roman" w:cs="Times New Roman"/>
                <w:b/>
                <w:color w:val="C00000"/>
                <w:sz w:val="24"/>
                <w:szCs w:val="24"/>
              </w:rPr>
              <w:t>0</w:t>
            </w:r>
            <w:r>
              <w:rPr>
                <w:rFonts w:ascii="Times New Roman" w:hAnsi="Times New Roman" w:cs="Times New Roman"/>
                <w:b/>
                <w:color w:val="C00000"/>
                <w:sz w:val="24"/>
                <w:szCs w:val="24"/>
              </w:rPr>
              <w:t>1</w:t>
            </w:r>
          </w:p>
        </w:tc>
      </w:tr>
      <w:tr w:rsidR="008337CC" w:rsidTr="008337CC">
        <w:tc>
          <w:tcPr>
            <w:tcW w:w="817" w:type="dxa"/>
            <w:vMerge/>
          </w:tcPr>
          <w:p w:rsidR="008337CC" w:rsidRDefault="008337CC" w:rsidP="00145922">
            <w:pPr>
              <w:jc w:val="center"/>
              <w:rPr>
                <w:rFonts w:ascii="Times New Roman" w:hAnsi="Times New Roman" w:cs="Times New Roman"/>
                <w:b/>
                <w:sz w:val="24"/>
                <w:szCs w:val="24"/>
              </w:rPr>
            </w:pPr>
          </w:p>
        </w:tc>
        <w:tc>
          <w:tcPr>
            <w:tcW w:w="4253" w:type="dxa"/>
            <w:tcBorders>
              <w:top w:val="single" w:sz="4" w:space="0" w:color="000000" w:themeColor="text1"/>
              <w:bottom w:val="single" w:sz="4" w:space="0" w:color="000000" w:themeColor="text1"/>
            </w:tcBorders>
          </w:tcPr>
          <w:p w:rsidR="008337CC" w:rsidRDefault="008337CC" w:rsidP="00DF43E8">
            <w:pPr>
              <w:rPr>
                <w:rFonts w:ascii="Times New Roman" w:hAnsi="Times New Roman" w:cs="Times New Roman"/>
                <w:b/>
                <w:sz w:val="24"/>
                <w:szCs w:val="24"/>
              </w:rPr>
            </w:pPr>
            <w:r>
              <w:rPr>
                <w:rFonts w:ascii="Times New Roman" w:hAnsi="Times New Roman" w:cs="Times New Roman"/>
                <w:b/>
                <w:sz w:val="24"/>
                <w:szCs w:val="24"/>
              </w:rPr>
              <w:t xml:space="preserve">Atvieglojuma par apgādībā esošām personām palielināšana </w:t>
            </w:r>
          </w:p>
          <w:p w:rsidR="008337CC" w:rsidRPr="00DF43E8" w:rsidRDefault="008337CC" w:rsidP="00DF43E8">
            <w:pPr>
              <w:rPr>
                <w:rFonts w:ascii="Times New Roman" w:hAnsi="Times New Roman" w:cs="Times New Roman"/>
                <w:sz w:val="24"/>
                <w:szCs w:val="24"/>
              </w:rPr>
            </w:pPr>
            <w:r w:rsidRPr="00DF43E8">
              <w:rPr>
                <w:rFonts w:ascii="Times New Roman" w:hAnsi="Times New Roman" w:cs="Times New Roman"/>
                <w:sz w:val="24"/>
                <w:szCs w:val="24"/>
              </w:rPr>
              <w:t>(no 80 uz 98 LVL mēnesī)</w:t>
            </w:r>
          </w:p>
        </w:tc>
        <w:tc>
          <w:tcPr>
            <w:tcW w:w="992" w:type="dxa"/>
            <w:tcBorders>
              <w:top w:val="single" w:sz="4" w:space="0" w:color="000000" w:themeColor="text1"/>
              <w:bottom w:val="single" w:sz="4" w:space="0" w:color="000000" w:themeColor="text1"/>
            </w:tcBorders>
          </w:tcPr>
          <w:p w:rsidR="008337CC" w:rsidRPr="000264C9" w:rsidRDefault="008337CC" w:rsidP="00C026AC">
            <w:pPr>
              <w:jc w:val="center"/>
              <w:rPr>
                <w:rFonts w:ascii="Times New Roman" w:hAnsi="Times New Roman" w:cs="Times New Roman"/>
                <w:sz w:val="24"/>
                <w:szCs w:val="24"/>
              </w:rPr>
            </w:pPr>
            <w:r w:rsidRPr="000264C9">
              <w:rPr>
                <w:rFonts w:ascii="Times New Roman" w:hAnsi="Times New Roman" w:cs="Times New Roman"/>
                <w:sz w:val="24"/>
                <w:szCs w:val="24"/>
              </w:rPr>
              <w:t>-2,4</w:t>
            </w:r>
            <w:r w:rsidR="00C026AC">
              <w:rPr>
                <w:rFonts w:ascii="Times New Roman" w:hAnsi="Times New Roman" w:cs="Times New Roman"/>
                <w:sz w:val="24"/>
                <w:szCs w:val="24"/>
              </w:rPr>
              <w:t>5</w:t>
            </w:r>
          </w:p>
        </w:tc>
        <w:tc>
          <w:tcPr>
            <w:tcW w:w="992" w:type="dxa"/>
            <w:tcBorders>
              <w:top w:val="single" w:sz="4" w:space="0" w:color="000000" w:themeColor="text1"/>
              <w:bottom w:val="single" w:sz="4" w:space="0" w:color="000000" w:themeColor="text1"/>
            </w:tcBorders>
          </w:tcPr>
          <w:p w:rsidR="008337CC" w:rsidRPr="000264C9" w:rsidRDefault="008337CC" w:rsidP="00C026AC">
            <w:pPr>
              <w:jc w:val="center"/>
              <w:rPr>
                <w:rFonts w:ascii="Times New Roman" w:hAnsi="Times New Roman" w:cs="Times New Roman"/>
                <w:sz w:val="24"/>
                <w:szCs w:val="24"/>
              </w:rPr>
            </w:pPr>
            <w:r w:rsidRPr="000264C9">
              <w:rPr>
                <w:rFonts w:ascii="Times New Roman" w:hAnsi="Times New Roman" w:cs="Times New Roman"/>
                <w:sz w:val="24"/>
                <w:szCs w:val="24"/>
              </w:rPr>
              <w:t>-9,</w:t>
            </w:r>
            <w:r w:rsidR="00C026AC">
              <w:rPr>
                <w:rFonts w:ascii="Times New Roman" w:hAnsi="Times New Roman" w:cs="Times New Roman"/>
                <w:sz w:val="24"/>
                <w:szCs w:val="24"/>
              </w:rPr>
              <w:t>79</w:t>
            </w:r>
          </w:p>
        </w:tc>
        <w:tc>
          <w:tcPr>
            <w:tcW w:w="992" w:type="dxa"/>
            <w:tcBorders>
              <w:top w:val="single" w:sz="4" w:space="0" w:color="000000" w:themeColor="text1"/>
              <w:bottom w:val="single" w:sz="4" w:space="0" w:color="000000" w:themeColor="text1"/>
            </w:tcBorders>
          </w:tcPr>
          <w:p w:rsidR="008337CC" w:rsidRPr="000264C9" w:rsidRDefault="008337CC" w:rsidP="00DF43E8">
            <w:pPr>
              <w:jc w:val="center"/>
              <w:rPr>
                <w:rFonts w:ascii="Times New Roman" w:hAnsi="Times New Roman" w:cs="Times New Roman"/>
                <w:b/>
                <w:color w:val="C00000"/>
                <w:sz w:val="24"/>
                <w:szCs w:val="24"/>
              </w:rPr>
            </w:pPr>
          </w:p>
        </w:tc>
        <w:tc>
          <w:tcPr>
            <w:tcW w:w="993" w:type="dxa"/>
            <w:tcBorders>
              <w:top w:val="single" w:sz="4" w:space="0" w:color="000000" w:themeColor="text1"/>
              <w:bottom w:val="single" w:sz="4" w:space="0" w:color="000000" w:themeColor="text1"/>
            </w:tcBorders>
            <w:shd w:val="clear" w:color="auto" w:fill="FFFFFF" w:themeFill="background1"/>
          </w:tcPr>
          <w:p w:rsidR="008337CC" w:rsidRPr="000264C9" w:rsidRDefault="008337CC" w:rsidP="00DF43E8">
            <w:pPr>
              <w:pStyle w:val="ListParagraph"/>
              <w:ind w:left="0"/>
              <w:jc w:val="center"/>
              <w:rPr>
                <w:rFonts w:ascii="Times New Roman" w:hAnsi="Times New Roman" w:cs="Times New Roman"/>
                <w:b/>
                <w:color w:val="C00000"/>
                <w:sz w:val="24"/>
                <w:szCs w:val="24"/>
              </w:rPr>
            </w:pPr>
          </w:p>
        </w:tc>
        <w:tc>
          <w:tcPr>
            <w:tcW w:w="992" w:type="dxa"/>
            <w:tcBorders>
              <w:top w:val="single" w:sz="4" w:space="0" w:color="000000" w:themeColor="text1"/>
              <w:bottom w:val="single" w:sz="4" w:space="0" w:color="000000" w:themeColor="text1"/>
            </w:tcBorders>
            <w:shd w:val="clear" w:color="auto" w:fill="FFFFCC"/>
          </w:tcPr>
          <w:p w:rsidR="008337CC" w:rsidRDefault="008337CC" w:rsidP="00C026AC">
            <w:pPr>
              <w:pStyle w:val="ListParagraph"/>
              <w:ind w:left="0"/>
              <w:jc w:val="center"/>
              <w:rPr>
                <w:rFonts w:ascii="Times New Roman" w:hAnsi="Times New Roman" w:cs="Times New Roman"/>
                <w:b/>
                <w:color w:val="C00000"/>
                <w:sz w:val="24"/>
                <w:szCs w:val="24"/>
              </w:rPr>
            </w:pPr>
            <w:r w:rsidRPr="000264C9">
              <w:rPr>
                <w:rFonts w:ascii="Times New Roman" w:hAnsi="Times New Roman" w:cs="Times New Roman"/>
                <w:b/>
                <w:color w:val="C00000"/>
                <w:sz w:val="24"/>
                <w:szCs w:val="24"/>
              </w:rPr>
              <w:t>-12,</w:t>
            </w:r>
            <w:r w:rsidR="00C026AC">
              <w:rPr>
                <w:rFonts w:ascii="Times New Roman" w:hAnsi="Times New Roman" w:cs="Times New Roman"/>
                <w:b/>
                <w:color w:val="C00000"/>
                <w:sz w:val="24"/>
                <w:szCs w:val="24"/>
              </w:rPr>
              <w:t>24</w:t>
            </w:r>
          </w:p>
        </w:tc>
      </w:tr>
      <w:tr w:rsidR="008337CC" w:rsidTr="008337CC">
        <w:trPr>
          <w:trHeight w:val="877"/>
        </w:trPr>
        <w:tc>
          <w:tcPr>
            <w:tcW w:w="817" w:type="dxa"/>
            <w:vMerge/>
            <w:tcBorders>
              <w:bottom w:val="nil"/>
            </w:tcBorders>
          </w:tcPr>
          <w:p w:rsidR="008337CC" w:rsidRDefault="008337CC" w:rsidP="00145922">
            <w:pPr>
              <w:jc w:val="center"/>
              <w:rPr>
                <w:rFonts w:ascii="Times New Roman" w:hAnsi="Times New Roman" w:cs="Times New Roman"/>
                <w:b/>
                <w:sz w:val="24"/>
                <w:szCs w:val="24"/>
              </w:rPr>
            </w:pPr>
          </w:p>
        </w:tc>
        <w:tc>
          <w:tcPr>
            <w:tcW w:w="4253" w:type="dxa"/>
            <w:tcBorders>
              <w:top w:val="single" w:sz="4" w:space="0" w:color="000000" w:themeColor="text1"/>
              <w:bottom w:val="nil"/>
            </w:tcBorders>
          </w:tcPr>
          <w:p w:rsidR="008337CC" w:rsidRDefault="008337CC" w:rsidP="00C4058E">
            <w:pPr>
              <w:rPr>
                <w:rFonts w:ascii="Times New Roman" w:hAnsi="Times New Roman" w:cs="Times New Roman"/>
                <w:b/>
                <w:sz w:val="24"/>
                <w:szCs w:val="24"/>
              </w:rPr>
            </w:pPr>
            <w:r>
              <w:rPr>
                <w:rFonts w:ascii="Times New Roman" w:hAnsi="Times New Roman" w:cs="Times New Roman"/>
                <w:b/>
                <w:sz w:val="24"/>
                <w:szCs w:val="24"/>
              </w:rPr>
              <w:t>VID i</w:t>
            </w:r>
            <w:r w:rsidRPr="007C5F5C">
              <w:rPr>
                <w:rFonts w:ascii="Times New Roman" w:eastAsiaTheme="majorEastAsia" w:hAnsi="Times New Roman" w:cs="Times New Roman"/>
                <w:b/>
                <w:bCs/>
                <w:sz w:val="24"/>
                <w:szCs w:val="24"/>
              </w:rPr>
              <w:t>nformācijas sistēmu pi</w:t>
            </w:r>
            <w:r>
              <w:rPr>
                <w:rFonts w:ascii="Times New Roman" w:eastAsiaTheme="majorEastAsia" w:hAnsi="Times New Roman" w:cs="Times New Roman"/>
                <w:b/>
                <w:bCs/>
                <w:sz w:val="24"/>
                <w:szCs w:val="24"/>
              </w:rPr>
              <w:t>e</w:t>
            </w:r>
            <w:r w:rsidRPr="007C5F5C">
              <w:rPr>
                <w:rFonts w:ascii="Times New Roman" w:eastAsiaTheme="majorEastAsia" w:hAnsi="Times New Roman" w:cs="Times New Roman"/>
                <w:b/>
                <w:bCs/>
                <w:sz w:val="24"/>
                <w:szCs w:val="24"/>
              </w:rPr>
              <w:t>l</w:t>
            </w:r>
            <w:r>
              <w:rPr>
                <w:rFonts w:ascii="Times New Roman" w:eastAsiaTheme="majorEastAsia" w:hAnsi="Times New Roman" w:cs="Times New Roman"/>
                <w:b/>
                <w:bCs/>
                <w:sz w:val="24"/>
                <w:szCs w:val="24"/>
              </w:rPr>
              <w:t>āgo</w:t>
            </w:r>
            <w:r w:rsidRPr="007C5F5C">
              <w:rPr>
                <w:rFonts w:ascii="Times New Roman" w:eastAsiaTheme="majorEastAsia" w:hAnsi="Times New Roman" w:cs="Times New Roman"/>
                <w:b/>
                <w:bCs/>
                <w:sz w:val="24"/>
                <w:szCs w:val="24"/>
              </w:rPr>
              <w:t>šanas izmaksas</w:t>
            </w:r>
            <w:r w:rsidRPr="00C4058E">
              <w:rPr>
                <w:rFonts w:ascii="Times New Roman" w:eastAsiaTheme="majorEastAsia" w:hAnsi="Times New Roman" w:cs="Times New Roman"/>
                <w:bCs/>
                <w:sz w:val="24"/>
                <w:szCs w:val="24"/>
              </w:rPr>
              <w:t>, lai ieviestu diferencētu neapliekamo minimumu</w:t>
            </w:r>
          </w:p>
        </w:tc>
        <w:tc>
          <w:tcPr>
            <w:tcW w:w="992" w:type="dxa"/>
            <w:tcBorders>
              <w:top w:val="single" w:sz="4" w:space="0" w:color="000000" w:themeColor="text1"/>
              <w:bottom w:val="nil"/>
            </w:tcBorders>
          </w:tcPr>
          <w:p w:rsidR="008337CC" w:rsidRPr="00DF43E8" w:rsidRDefault="008337CC" w:rsidP="00D45181">
            <w:pPr>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-0,03</w:t>
            </w:r>
          </w:p>
        </w:tc>
        <w:tc>
          <w:tcPr>
            <w:tcW w:w="992" w:type="dxa"/>
            <w:tcBorders>
              <w:top w:val="single" w:sz="4" w:space="0" w:color="000000" w:themeColor="text1"/>
              <w:bottom w:val="nil"/>
            </w:tcBorders>
          </w:tcPr>
          <w:p w:rsidR="008337CC" w:rsidRDefault="008337CC" w:rsidP="00DF43E8">
            <w:pPr>
              <w:jc w:val="center"/>
              <w:rPr>
                <w:rFonts w:ascii="Times New Roman" w:eastAsiaTheme="majorEastAsia" w:hAnsi="Times New Roman" w:cs="Times New Roman"/>
                <w:bCs/>
                <w:iCs/>
                <w:sz w:val="24"/>
                <w:szCs w:val="24"/>
              </w:rPr>
            </w:pPr>
          </w:p>
        </w:tc>
        <w:tc>
          <w:tcPr>
            <w:tcW w:w="992" w:type="dxa"/>
            <w:tcBorders>
              <w:top w:val="single" w:sz="4" w:space="0" w:color="000000" w:themeColor="text1"/>
              <w:bottom w:val="nil"/>
            </w:tcBorders>
          </w:tcPr>
          <w:p w:rsidR="008337CC" w:rsidRPr="00810AFE" w:rsidRDefault="008337CC" w:rsidP="00DF43E8">
            <w:pPr>
              <w:jc w:val="center"/>
              <w:rPr>
                <w:rFonts w:ascii="Times New Roman" w:eastAsiaTheme="majorEastAsia" w:hAnsi="Times New Roman" w:cs="Times New Roman"/>
                <w:b/>
                <w:bCs/>
                <w:iCs/>
                <w:sz w:val="24"/>
                <w:szCs w:val="24"/>
              </w:rPr>
            </w:pPr>
          </w:p>
        </w:tc>
        <w:tc>
          <w:tcPr>
            <w:tcW w:w="993" w:type="dxa"/>
            <w:tcBorders>
              <w:top w:val="single" w:sz="4" w:space="0" w:color="000000" w:themeColor="text1"/>
              <w:bottom w:val="nil"/>
            </w:tcBorders>
            <w:shd w:val="clear" w:color="auto" w:fill="FFFFFF" w:themeFill="background1"/>
          </w:tcPr>
          <w:p w:rsidR="008337CC" w:rsidRDefault="008337CC" w:rsidP="00DF43E8">
            <w:pPr>
              <w:pStyle w:val="ListParagraph"/>
              <w:ind w:left="0"/>
              <w:jc w:val="center"/>
              <w:rPr>
                <w:rFonts w:ascii="Times New Roman" w:eastAsiaTheme="majorEastAsia" w:hAnsi="Times New Roman" w:cs="Times New Roman"/>
                <w:b/>
                <w:bCs/>
                <w:iCs/>
                <w:color w:val="C00000"/>
                <w:sz w:val="24"/>
                <w:szCs w:val="24"/>
              </w:rPr>
            </w:pPr>
          </w:p>
        </w:tc>
        <w:tc>
          <w:tcPr>
            <w:tcW w:w="992" w:type="dxa"/>
            <w:tcBorders>
              <w:top w:val="single" w:sz="4" w:space="0" w:color="000000" w:themeColor="text1"/>
              <w:bottom w:val="nil"/>
            </w:tcBorders>
            <w:shd w:val="clear" w:color="auto" w:fill="FFFFCC"/>
          </w:tcPr>
          <w:p w:rsidR="008337CC" w:rsidRPr="00810AFE" w:rsidRDefault="008337CC" w:rsidP="00DF43E8">
            <w:pPr>
              <w:pStyle w:val="ListParagraph"/>
              <w:ind w:left="0"/>
              <w:jc w:val="center"/>
              <w:rPr>
                <w:rFonts w:ascii="Times New Roman" w:eastAsiaTheme="majorEastAsia" w:hAnsi="Times New Roman" w:cs="Times New Roman"/>
                <w:b/>
                <w:bCs/>
                <w:iCs/>
                <w:color w:val="C00000"/>
                <w:sz w:val="24"/>
                <w:szCs w:val="24"/>
              </w:rPr>
            </w:pPr>
            <w:r>
              <w:rPr>
                <w:rFonts w:ascii="Times New Roman" w:eastAsiaTheme="majorEastAsia" w:hAnsi="Times New Roman" w:cs="Times New Roman"/>
                <w:b/>
                <w:bCs/>
                <w:iCs/>
                <w:color w:val="C00000"/>
                <w:sz w:val="24"/>
                <w:szCs w:val="24"/>
              </w:rPr>
              <w:t>-0,03</w:t>
            </w:r>
          </w:p>
        </w:tc>
      </w:tr>
      <w:tr w:rsidR="008337CC" w:rsidTr="008337CC">
        <w:trPr>
          <w:trHeight w:val="877"/>
        </w:trPr>
        <w:tc>
          <w:tcPr>
            <w:tcW w:w="817" w:type="dxa"/>
            <w:tcBorders>
              <w:top w:val="single" w:sz="4" w:space="0" w:color="000000" w:themeColor="text1"/>
              <w:bottom w:val="nil"/>
            </w:tcBorders>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4253" w:type="dxa"/>
            <w:tcBorders>
              <w:top w:val="single" w:sz="4" w:space="0" w:color="000000" w:themeColor="text1"/>
              <w:bottom w:val="nil"/>
            </w:tcBorders>
          </w:tcPr>
          <w:p w:rsidR="008337CC" w:rsidRDefault="008337CC" w:rsidP="00DF43E8">
            <w:pPr>
              <w:rPr>
                <w:rFonts w:ascii="Times New Roman" w:hAnsi="Times New Roman" w:cs="Times New Roman"/>
                <w:b/>
                <w:sz w:val="24"/>
                <w:szCs w:val="24"/>
              </w:rPr>
            </w:pPr>
            <w:r>
              <w:rPr>
                <w:rFonts w:ascii="Times New Roman" w:hAnsi="Times New Roman" w:cs="Times New Roman"/>
                <w:b/>
                <w:sz w:val="24"/>
                <w:szCs w:val="24"/>
              </w:rPr>
              <w:t xml:space="preserve">Neapliekamā minimuma diferencēšana </w:t>
            </w:r>
            <w:r w:rsidRPr="00DF43E8">
              <w:rPr>
                <w:rFonts w:ascii="Times New Roman" w:hAnsi="Times New Roman" w:cs="Times New Roman"/>
                <w:sz w:val="24"/>
                <w:szCs w:val="24"/>
              </w:rPr>
              <w:t>(no 45 uz 45-84 LVL mēnesī</w:t>
            </w:r>
            <w:r>
              <w:rPr>
                <w:rFonts w:ascii="Times New Roman" w:hAnsi="Times New Roman" w:cs="Times New Roman"/>
                <w:sz w:val="24"/>
                <w:szCs w:val="24"/>
              </w:rPr>
              <w:t>;</w:t>
            </w:r>
            <w:r w:rsidRPr="00DF43E8">
              <w:rPr>
                <w:rFonts w:ascii="Times New Roman" w:hAnsi="Times New Roman" w:cs="Times New Roman"/>
                <w:sz w:val="24"/>
                <w:szCs w:val="24"/>
              </w:rPr>
              <w:t xml:space="preserve"> ietekme ar viena gada nobīdi)</w:t>
            </w:r>
            <w:r>
              <w:rPr>
                <w:rFonts w:ascii="Times New Roman" w:hAnsi="Times New Roman" w:cs="Times New Roman"/>
                <w:b/>
                <w:sz w:val="24"/>
                <w:szCs w:val="24"/>
              </w:rPr>
              <w:t xml:space="preserve"> </w:t>
            </w:r>
          </w:p>
        </w:tc>
        <w:tc>
          <w:tcPr>
            <w:tcW w:w="992" w:type="dxa"/>
            <w:tcBorders>
              <w:top w:val="single" w:sz="4" w:space="0" w:color="000000" w:themeColor="text1"/>
              <w:bottom w:val="nil"/>
            </w:tcBorders>
          </w:tcPr>
          <w:p w:rsidR="008337CC" w:rsidRPr="00DF43E8" w:rsidRDefault="008337CC" w:rsidP="00F544C4">
            <w:pPr>
              <w:jc w:val="center"/>
              <w:rPr>
                <w:rFonts w:ascii="Times New Roman" w:eastAsiaTheme="majorEastAsia" w:hAnsi="Times New Roman" w:cs="Times New Roman"/>
                <w:bCs/>
                <w:iCs/>
                <w:sz w:val="24"/>
                <w:szCs w:val="24"/>
              </w:rPr>
            </w:pPr>
            <w:r w:rsidRPr="00DF43E8">
              <w:rPr>
                <w:rFonts w:ascii="Times New Roman" w:eastAsiaTheme="majorEastAsia" w:hAnsi="Times New Roman" w:cs="Times New Roman"/>
                <w:bCs/>
                <w:iCs/>
                <w:sz w:val="24"/>
                <w:szCs w:val="24"/>
              </w:rPr>
              <w:t>-4,</w:t>
            </w:r>
            <w:r w:rsidR="00F544C4">
              <w:rPr>
                <w:rFonts w:ascii="Times New Roman" w:eastAsiaTheme="majorEastAsia" w:hAnsi="Times New Roman" w:cs="Times New Roman"/>
                <w:bCs/>
                <w:iCs/>
                <w:sz w:val="24"/>
                <w:szCs w:val="24"/>
              </w:rPr>
              <w:t>54</w:t>
            </w:r>
          </w:p>
        </w:tc>
        <w:tc>
          <w:tcPr>
            <w:tcW w:w="992" w:type="dxa"/>
            <w:tcBorders>
              <w:top w:val="single" w:sz="4" w:space="0" w:color="000000" w:themeColor="text1"/>
              <w:bottom w:val="nil"/>
            </w:tcBorders>
          </w:tcPr>
          <w:p w:rsidR="008337CC" w:rsidRPr="00DF43E8" w:rsidRDefault="008337CC" w:rsidP="00F544C4">
            <w:pPr>
              <w:jc w:val="center"/>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-1</w:t>
            </w:r>
            <w:r w:rsidR="00F544C4">
              <w:rPr>
                <w:rFonts w:ascii="Times New Roman" w:eastAsiaTheme="majorEastAsia" w:hAnsi="Times New Roman" w:cs="Times New Roman"/>
                <w:bCs/>
                <w:iCs/>
                <w:sz w:val="24"/>
                <w:szCs w:val="24"/>
              </w:rPr>
              <w:t>8</w:t>
            </w:r>
            <w:r>
              <w:rPr>
                <w:rFonts w:ascii="Times New Roman" w:eastAsiaTheme="majorEastAsia" w:hAnsi="Times New Roman" w:cs="Times New Roman"/>
                <w:bCs/>
                <w:iCs/>
                <w:sz w:val="24"/>
                <w:szCs w:val="24"/>
              </w:rPr>
              <w:t>,</w:t>
            </w:r>
            <w:r w:rsidR="00F544C4">
              <w:rPr>
                <w:rFonts w:ascii="Times New Roman" w:eastAsiaTheme="majorEastAsia" w:hAnsi="Times New Roman" w:cs="Times New Roman"/>
                <w:bCs/>
                <w:iCs/>
                <w:sz w:val="24"/>
                <w:szCs w:val="24"/>
              </w:rPr>
              <w:t>17</w:t>
            </w:r>
          </w:p>
        </w:tc>
        <w:tc>
          <w:tcPr>
            <w:tcW w:w="992" w:type="dxa"/>
            <w:tcBorders>
              <w:top w:val="single" w:sz="4" w:space="0" w:color="000000" w:themeColor="text1"/>
              <w:bottom w:val="nil"/>
            </w:tcBorders>
          </w:tcPr>
          <w:p w:rsidR="008337CC" w:rsidRPr="00810AFE" w:rsidRDefault="008337CC" w:rsidP="00DF43E8">
            <w:pPr>
              <w:jc w:val="center"/>
              <w:rPr>
                <w:rFonts w:ascii="Times New Roman" w:eastAsiaTheme="majorEastAsia" w:hAnsi="Times New Roman" w:cs="Times New Roman"/>
                <w:b/>
                <w:bCs/>
                <w:iCs/>
                <w:sz w:val="24"/>
                <w:szCs w:val="24"/>
              </w:rPr>
            </w:pPr>
          </w:p>
        </w:tc>
        <w:tc>
          <w:tcPr>
            <w:tcW w:w="993" w:type="dxa"/>
            <w:tcBorders>
              <w:top w:val="single" w:sz="4" w:space="0" w:color="000000" w:themeColor="text1"/>
              <w:bottom w:val="nil"/>
            </w:tcBorders>
            <w:shd w:val="clear" w:color="auto" w:fill="FFFFFF" w:themeFill="background1"/>
          </w:tcPr>
          <w:p w:rsidR="008337CC" w:rsidRPr="00810AFE" w:rsidRDefault="008337CC" w:rsidP="00DF43E8">
            <w:pPr>
              <w:pStyle w:val="ListParagraph"/>
              <w:ind w:left="0"/>
              <w:jc w:val="center"/>
              <w:rPr>
                <w:rFonts w:ascii="Times New Roman" w:eastAsiaTheme="majorEastAsia" w:hAnsi="Times New Roman" w:cs="Times New Roman"/>
                <w:b/>
                <w:bCs/>
                <w:iCs/>
                <w:color w:val="C00000"/>
                <w:sz w:val="24"/>
                <w:szCs w:val="24"/>
              </w:rPr>
            </w:pPr>
          </w:p>
        </w:tc>
        <w:tc>
          <w:tcPr>
            <w:tcW w:w="992" w:type="dxa"/>
            <w:tcBorders>
              <w:top w:val="single" w:sz="4" w:space="0" w:color="000000" w:themeColor="text1"/>
              <w:bottom w:val="nil"/>
            </w:tcBorders>
            <w:shd w:val="clear" w:color="auto" w:fill="FFFFCC"/>
          </w:tcPr>
          <w:p w:rsidR="008337CC" w:rsidRPr="000264C9" w:rsidRDefault="008337CC" w:rsidP="00C026AC">
            <w:pPr>
              <w:pStyle w:val="ListParagraph"/>
              <w:ind w:left="0"/>
              <w:jc w:val="center"/>
              <w:rPr>
                <w:rFonts w:ascii="Times New Roman" w:hAnsi="Times New Roman" w:cs="Times New Roman"/>
                <w:b/>
                <w:color w:val="C00000"/>
                <w:sz w:val="24"/>
                <w:szCs w:val="24"/>
              </w:rPr>
            </w:pPr>
            <w:r w:rsidRPr="00810AFE">
              <w:rPr>
                <w:rFonts w:ascii="Times New Roman" w:eastAsiaTheme="majorEastAsia" w:hAnsi="Times New Roman" w:cs="Times New Roman"/>
                <w:b/>
                <w:bCs/>
                <w:iCs/>
                <w:color w:val="C00000"/>
                <w:sz w:val="24"/>
                <w:szCs w:val="24"/>
              </w:rPr>
              <w:t>-2</w:t>
            </w:r>
            <w:r w:rsidR="00C026AC">
              <w:rPr>
                <w:rFonts w:ascii="Times New Roman" w:eastAsiaTheme="majorEastAsia" w:hAnsi="Times New Roman" w:cs="Times New Roman"/>
                <w:b/>
                <w:bCs/>
                <w:iCs/>
                <w:color w:val="C00000"/>
                <w:sz w:val="24"/>
                <w:szCs w:val="24"/>
              </w:rPr>
              <w:t>2</w:t>
            </w:r>
            <w:r w:rsidRPr="00810AFE">
              <w:rPr>
                <w:rFonts w:ascii="Times New Roman" w:eastAsiaTheme="majorEastAsia" w:hAnsi="Times New Roman" w:cs="Times New Roman"/>
                <w:b/>
                <w:bCs/>
                <w:iCs/>
                <w:color w:val="C00000"/>
                <w:sz w:val="24"/>
                <w:szCs w:val="24"/>
              </w:rPr>
              <w:t>,</w:t>
            </w:r>
            <w:r w:rsidR="00C026AC">
              <w:rPr>
                <w:rFonts w:ascii="Times New Roman" w:eastAsiaTheme="majorEastAsia" w:hAnsi="Times New Roman" w:cs="Times New Roman"/>
                <w:b/>
                <w:bCs/>
                <w:iCs/>
                <w:color w:val="C00000"/>
                <w:sz w:val="24"/>
                <w:szCs w:val="24"/>
              </w:rPr>
              <w:t>71</w:t>
            </w:r>
          </w:p>
        </w:tc>
      </w:tr>
      <w:tr w:rsidR="008337CC" w:rsidTr="008337CC">
        <w:tc>
          <w:tcPr>
            <w:tcW w:w="817" w:type="dxa"/>
            <w:tcBorders>
              <w:top w:val="nil"/>
              <w:bottom w:val="nil"/>
            </w:tcBorders>
          </w:tcPr>
          <w:p w:rsidR="008337CC" w:rsidRDefault="008337CC" w:rsidP="00145922">
            <w:pPr>
              <w:jc w:val="center"/>
              <w:rPr>
                <w:rFonts w:ascii="Times New Roman" w:hAnsi="Times New Roman" w:cs="Times New Roman"/>
                <w:b/>
                <w:sz w:val="24"/>
                <w:szCs w:val="24"/>
              </w:rPr>
            </w:pPr>
          </w:p>
        </w:tc>
        <w:tc>
          <w:tcPr>
            <w:tcW w:w="4253" w:type="dxa"/>
            <w:tcBorders>
              <w:top w:val="nil"/>
              <w:bottom w:val="single" w:sz="4" w:space="0" w:color="000000" w:themeColor="text1"/>
            </w:tcBorders>
          </w:tcPr>
          <w:p w:rsidR="008337CC" w:rsidRDefault="008337CC" w:rsidP="00540B60">
            <w:pPr>
              <w:spacing w:after="120"/>
              <w:rPr>
                <w:rFonts w:ascii="Times New Roman" w:hAnsi="Times New Roman" w:cs="Times New Roman"/>
                <w:sz w:val="24"/>
                <w:szCs w:val="24"/>
              </w:rPr>
            </w:pPr>
            <w:r w:rsidRPr="00E40D8E">
              <w:rPr>
                <w:rFonts w:ascii="Times New Roman" w:hAnsi="Times New Roman" w:cs="Times New Roman"/>
                <w:sz w:val="24"/>
                <w:szCs w:val="24"/>
              </w:rPr>
              <w:t xml:space="preserve">+ VID </w:t>
            </w:r>
            <w:r>
              <w:rPr>
                <w:rFonts w:ascii="Times New Roman" w:hAnsi="Times New Roman" w:cs="Times New Roman"/>
                <w:sz w:val="24"/>
                <w:szCs w:val="24"/>
              </w:rPr>
              <w:t>uzturēšanas</w:t>
            </w:r>
            <w:r w:rsidRPr="00E40D8E">
              <w:rPr>
                <w:rFonts w:ascii="Times New Roman" w:hAnsi="Times New Roman" w:cs="Times New Roman"/>
                <w:sz w:val="24"/>
                <w:szCs w:val="24"/>
              </w:rPr>
              <w:t xml:space="preserve"> izdevumu pieaugums</w:t>
            </w:r>
            <w:r>
              <w:rPr>
                <w:rFonts w:ascii="Times New Roman" w:hAnsi="Times New Roman" w:cs="Times New Roman"/>
                <w:sz w:val="24"/>
                <w:szCs w:val="24"/>
              </w:rPr>
              <w:t xml:space="preserve"> papildus štata vietām</w:t>
            </w:r>
            <w:r w:rsidRPr="00E40D8E">
              <w:rPr>
                <w:rFonts w:ascii="Times New Roman" w:hAnsi="Times New Roman" w:cs="Times New Roman"/>
                <w:sz w:val="24"/>
                <w:szCs w:val="24"/>
              </w:rPr>
              <w:t xml:space="preserve"> </w:t>
            </w:r>
          </w:p>
          <w:p w:rsidR="00540B60" w:rsidRPr="00E40D8E" w:rsidRDefault="00540B60" w:rsidP="00C4058E">
            <w:pPr>
              <w:rPr>
                <w:rFonts w:ascii="Times New Roman" w:hAnsi="Times New Roman" w:cs="Times New Roman"/>
                <w:sz w:val="24"/>
                <w:szCs w:val="24"/>
              </w:rPr>
            </w:pPr>
            <w:r>
              <w:rPr>
                <w:rFonts w:ascii="Times New Roman" w:hAnsi="Times New Roman" w:cs="Times New Roman"/>
                <w:sz w:val="24"/>
                <w:szCs w:val="24"/>
              </w:rPr>
              <w:t>+ VID informācijas sistēmu uzturēšanas izmaksas</w:t>
            </w:r>
          </w:p>
        </w:tc>
        <w:tc>
          <w:tcPr>
            <w:tcW w:w="992" w:type="dxa"/>
            <w:tcBorders>
              <w:top w:val="nil"/>
              <w:bottom w:val="single" w:sz="4" w:space="0" w:color="000000" w:themeColor="text1"/>
            </w:tcBorders>
          </w:tcPr>
          <w:p w:rsidR="008337CC" w:rsidRDefault="008337CC" w:rsidP="00C4058E">
            <w:pPr>
              <w:jc w:val="center"/>
              <w:rPr>
                <w:rFonts w:ascii="Times New Roman" w:hAnsi="Times New Roman" w:cs="Times New Roman"/>
                <w:sz w:val="24"/>
                <w:szCs w:val="24"/>
              </w:rPr>
            </w:pPr>
            <w:r>
              <w:rPr>
                <w:rFonts w:ascii="Times New Roman" w:hAnsi="Times New Roman" w:cs="Times New Roman"/>
                <w:sz w:val="24"/>
                <w:szCs w:val="24"/>
              </w:rPr>
              <w:t>-1,01</w:t>
            </w:r>
          </w:p>
          <w:p w:rsidR="00540B60" w:rsidRDefault="00540B60" w:rsidP="00540B60">
            <w:pPr>
              <w:spacing w:after="120"/>
              <w:jc w:val="center"/>
              <w:rPr>
                <w:rFonts w:ascii="Times New Roman" w:hAnsi="Times New Roman" w:cs="Times New Roman"/>
                <w:sz w:val="24"/>
                <w:szCs w:val="24"/>
              </w:rPr>
            </w:pPr>
          </w:p>
          <w:p w:rsidR="00540B60" w:rsidRDefault="00540B60" w:rsidP="00540B60">
            <w:pPr>
              <w:spacing w:after="120"/>
              <w:jc w:val="center"/>
              <w:rPr>
                <w:rFonts w:ascii="Times New Roman" w:hAnsi="Times New Roman" w:cs="Times New Roman"/>
                <w:sz w:val="24"/>
                <w:szCs w:val="24"/>
              </w:rPr>
            </w:pPr>
            <w:r>
              <w:rPr>
                <w:rFonts w:ascii="Times New Roman" w:hAnsi="Times New Roman" w:cs="Times New Roman"/>
                <w:sz w:val="24"/>
                <w:szCs w:val="24"/>
              </w:rPr>
              <w:t>-0,002</w:t>
            </w:r>
          </w:p>
          <w:p w:rsidR="00540B60" w:rsidRDefault="00540B60" w:rsidP="00C4058E">
            <w:pPr>
              <w:jc w:val="center"/>
              <w:rPr>
                <w:rFonts w:ascii="Times New Roman" w:hAnsi="Times New Roman" w:cs="Times New Roman"/>
                <w:sz w:val="24"/>
                <w:szCs w:val="24"/>
              </w:rPr>
            </w:pPr>
          </w:p>
        </w:tc>
        <w:tc>
          <w:tcPr>
            <w:tcW w:w="992" w:type="dxa"/>
            <w:tcBorders>
              <w:top w:val="nil"/>
              <w:bottom w:val="single" w:sz="4" w:space="0" w:color="000000" w:themeColor="text1"/>
            </w:tcBorders>
          </w:tcPr>
          <w:p w:rsidR="008337CC" w:rsidRPr="000264C9" w:rsidRDefault="008337CC" w:rsidP="00DF43E8">
            <w:pPr>
              <w:jc w:val="center"/>
              <w:rPr>
                <w:rFonts w:ascii="Times New Roman" w:hAnsi="Times New Roman" w:cs="Times New Roman"/>
                <w:sz w:val="24"/>
                <w:szCs w:val="24"/>
              </w:rPr>
            </w:pPr>
          </w:p>
        </w:tc>
        <w:tc>
          <w:tcPr>
            <w:tcW w:w="992" w:type="dxa"/>
            <w:tcBorders>
              <w:top w:val="nil"/>
              <w:bottom w:val="single" w:sz="4" w:space="0" w:color="000000" w:themeColor="text1"/>
            </w:tcBorders>
          </w:tcPr>
          <w:p w:rsidR="008337CC" w:rsidRPr="000264C9" w:rsidRDefault="008337CC" w:rsidP="00DF43E8">
            <w:pPr>
              <w:jc w:val="center"/>
              <w:rPr>
                <w:rFonts w:ascii="Times New Roman" w:hAnsi="Times New Roman" w:cs="Times New Roman"/>
                <w:b/>
                <w:color w:val="C00000"/>
                <w:sz w:val="24"/>
                <w:szCs w:val="24"/>
              </w:rPr>
            </w:pPr>
          </w:p>
        </w:tc>
        <w:tc>
          <w:tcPr>
            <w:tcW w:w="993" w:type="dxa"/>
            <w:tcBorders>
              <w:top w:val="nil"/>
              <w:bottom w:val="single" w:sz="4" w:space="0" w:color="000000" w:themeColor="text1"/>
            </w:tcBorders>
            <w:shd w:val="clear" w:color="auto" w:fill="FFFFFF" w:themeFill="background1"/>
          </w:tcPr>
          <w:p w:rsidR="008337CC" w:rsidRDefault="008337CC" w:rsidP="00C4058E">
            <w:pPr>
              <w:pStyle w:val="ListParagraph"/>
              <w:ind w:left="0"/>
              <w:jc w:val="center"/>
              <w:rPr>
                <w:rFonts w:ascii="Times New Roman" w:hAnsi="Times New Roman" w:cs="Times New Roman"/>
                <w:b/>
                <w:color w:val="C00000"/>
                <w:sz w:val="24"/>
                <w:szCs w:val="24"/>
              </w:rPr>
            </w:pPr>
          </w:p>
        </w:tc>
        <w:tc>
          <w:tcPr>
            <w:tcW w:w="992" w:type="dxa"/>
            <w:tcBorders>
              <w:top w:val="nil"/>
              <w:bottom w:val="single" w:sz="4" w:space="0" w:color="000000" w:themeColor="text1"/>
            </w:tcBorders>
            <w:shd w:val="clear" w:color="auto" w:fill="FFFFCC"/>
          </w:tcPr>
          <w:p w:rsidR="008337CC" w:rsidRDefault="008337CC" w:rsidP="00C4058E">
            <w:pPr>
              <w:pStyle w:val="ListParagraph"/>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-1,01</w:t>
            </w:r>
          </w:p>
          <w:p w:rsidR="00540B60" w:rsidRDefault="00540B60" w:rsidP="00540B60">
            <w:pPr>
              <w:pStyle w:val="ListParagraph"/>
              <w:spacing w:after="120"/>
              <w:ind w:left="0"/>
              <w:jc w:val="center"/>
              <w:rPr>
                <w:rFonts w:ascii="Times New Roman" w:hAnsi="Times New Roman" w:cs="Times New Roman"/>
                <w:b/>
                <w:color w:val="C00000"/>
                <w:sz w:val="24"/>
                <w:szCs w:val="24"/>
              </w:rPr>
            </w:pPr>
          </w:p>
          <w:p w:rsidR="00540B60" w:rsidRPr="000264C9" w:rsidRDefault="00540B60" w:rsidP="00540B60">
            <w:pPr>
              <w:pStyle w:val="ListParagraph"/>
              <w:spacing w:after="120"/>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-0,002</w:t>
            </w:r>
          </w:p>
        </w:tc>
      </w:tr>
      <w:tr w:rsidR="008337CC" w:rsidTr="008337CC">
        <w:tc>
          <w:tcPr>
            <w:tcW w:w="817" w:type="dxa"/>
            <w:tcBorders>
              <w:top w:val="nil"/>
              <w:bottom w:val="single" w:sz="4" w:space="0" w:color="000000" w:themeColor="text1"/>
            </w:tcBorders>
          </w:tcPr>
          <w:p w:rsidR="008337CC" w:rsidRDefault="008337CC" w:rsidP="00145922">
            <w:pPr>
              <w:jc w:val="center"/>
              <w:rPr>
                <w:rFonts w:ascii="Times New Roman" w:hAnsi="Times New Roman" w:cs="Times New Roman"/>
                <w:b/>
                <w:sz w:val="24"/>
                <w:szCs w:val="24"/>
              </w:rPr>
            </w:pPr>
          </w:p>
        </w:tc>
        <w:tc>
          <w:tcPr>
            <w:tcW w:w="4253" w:type="dxa"/>
            <w:tcBorders>
              <w:top w:val="single" w:sz="4" w:space="0" w:color="000000" w:themeColor="text1"/>
              <w:bottom w:val="single" w:sz="4" w:space="0" w:color="000000" w:themeColor="text1"/>
            </w:tcBorders>
          </w:tcPr>
          <w:p w:rsidR="008337CC" w:rsidRDefault="008337CC" w:rsidP="00DF43E8">
            <w:pPr>
              <w:rPr>
                <w:rFonts w:ascii="Times New Roman" w:hAnsi="Times New Roman" w:cs="Times New Roman"/>
                <w:b/>
                <w:sz w:val="24"/>
                <w:szCs w:val="24"/>
              </w:rPr>
            </w:pPr>
            <w:r>
              <w:rPr>
                <w:rFonts w:ascii="Times New Roman" w:hAnsi="Times New Roman" w:cs="Times New Roman"/>
                <w:b/>
                <w:sz w:val="24"/>
                <w:szCs w:val="24"/>
              </w:rPr>
              <w:t xml:space="preserve">Atvieglojuma par apgādībā esošām personām palielināšana </w:t>
            </w:r>
          </w:p>
          <w:p w:rsidR="008337CC" w:rsidRPr="00DF43E8" w:rsidRDefault="008337CC" w:rsidP="00DF43E8">
            <w:pPr>
              <w:rPr>
                <w:rFonts w:ascii="Times New Roman" w:hAnsi="Times New Roman" w:cs="Times New Roman"/>
                <w:sz w:val="24"/>
                <w:szCs w:val="24"/>
              </w:rPr>
            </w:pPr>
            <w:r w:rsidRPr="00DF43E8">
              <w:rPr>
                <w:rFonts w:ascii="Times New Roman" w:hAnsi="Times New Roman" w:cs="Times New Roman"/>
                <w:sz w:val="24"/>
                <w:szCs w:val="24"/>
              </w:rPr>
              <w:t xml:space="preserve">(no </w:t>
            </w:r>
            <w:r>
              <w:rPr>
                <w:rFonts w:ascii="Times New Roman" w:hAnsi="Times New Roman" w:cs="Times New Roman"/>
                <w:sz w:val="24"/>
                <w:szCs w:val="24"/>
              </w:rPr>
              <w:t>98</w:t>
            </w:r>
            <w:r w:rsidRPr="00DF43E8">
              <w:rPr>
                <w:rFonts w:ascii="Times New Roman" w:hAnsi="Times New Roman" w:cs="Times New Roman"/>
                <w:sz w:val="24"/>
                <w:szCs w:val="24"/>
              </w:rPr>
              <w:t xml:space="preserve"> uz </w:t>
            </w:r>
            <w:r>
              <w:rPr>
                <w:rFonts w:ascii="Times New Roman" w:hAnsi="Times New Roman" w:cs="Times New Roman"/>
                <w:sz w:val="24"/>
                <w:szCs w:val="24"/>
              </w:rPr>
              <w:t>112</w:t>
            </w:r>
            <w:r w:rsidRPr="00DF43E8">
              <w:rPr>
                <w:rFonts w:ascii="Times New Roman" w:hAnsi="Times New Roman" w:cs="Times New Roman"/>
                <w:sz w:val="24"/>
                <w:szCs w:val="24"/>
              </w:rPr>
              <w:t xml:space="preserve"> LVL mēnesī)</w:t>
            </w:r>
          </w:p>
        </w:tc>
        <w:tc>
          <w:tcPr>
            <w:tcW w:w="992" w:type="dxa"/>
            <w:tcBorders>
              <w:top w:val="single" w:sz="4" w:space="0" w:color="000000" w:themeColor="text1"/>
              <w:bottom w:val="single" w:sz="4" w:space="0" w:color="000000" w:themeColor="text1"/>
            </w:tcBorders>
          </w:tcPr>
          <w:p w:rsidR="008337CC" w:rsidRPr="000264C9" w:rsidRDefault="008337CC" w:rsidP="00F544C4">
            <w:pPr>
              <w:jc w:val="center"/>
              <w:rPr>
                <w:rFonts w:ascii="Times New Roman" w:hAnsi="Times New Roman" w:cs="Times New Roman"/>
                <w:sz w:val="24"/>
                <w:szCs w:val="24"/>
              </w:rPr>
            </w:pPr>
            <w:r>
              <w:rPr>
                <w:rFonts w:ascii="Times New Roman" w:hAnsi="Times New Roman" w:cs="Times New Roman"/>
                <w:sz w:val="24"/>
                <w:szCs w:val="24"/>
              </w:rPr>
              <w:t>-1,</w:t>
            </w:r>
            <w:r w:rsidR="00F544C4">
              <w:rPr>
                <w:rFonts w:ascii="Times New Roman" w:hAnsi="Times New Roman" w:cs="Times New Roman"/>
                <w:sz w:val="24"/>
                <w:szCs w:val="24"/>
              </w:rPr>
              <w:t>57</w:t>
            </w:r>
          </w:p>
        </w:tc>
        <w:tc>
          <w:tcPr>
            <w:tcW w:w="992" w:type="dxa"/>
            <w:tcBorders>
              <w:top w:val="single" w:sz="4" w:space="0" w:color="000000" w:themeColor="text1"/>
              <w:bottom w:val="single" w:sz="4" w:space="0" w:color="000000" w:themeColor="text1"/>
            </w:tcBorders>
          </w:tcPr>
          <w:p w:rsidR="008337CC" w:rsidRPr="000264C9" w:rsidRDefault="008337CC" w:rsidP="00F544C4">
            <w:pPr>
              <w:jc w:val="center"/>
              <w:rPr>
                <w:rFonts w:ascii="Times New Roman" w:hAnsi="Times New Roman" w:cs="Times New Roman"/>
                <w:sz w:val="24"/>
                <w:szCs w:val="24"/>
              </w:rPr>
            </w:pPr>
            <w:r w:rsidRPr="000264C9">
              <w:rPr>
                <w:rFonts w:ascii="Times New Roman" w:hAnsi="Times New Roman" w:cs="Times New Roman"/>
                <w:sz w:val="24"/>
                <w:szCs w:val="24"/>
              </w:rPr>
              <w:t>-</w:t>
            </w:r>
            <w:r w:rsidR="00F544C4">
              <w:rPr>
                <w:rFonts w:ascii="Times New Roman" w:hAnsi="Times New Roman" w:cs="Times New Roman"/>
                <w:sz w:val="24"/>
                <w:szCs w:val="24"/>
              </w:rPr>
              <w:t>6</w:t>
            </w:r>
            <w:r w:rsidRPr="000264C9">
              <w:rPr>
                <w:rFonts w:ascii="Times New Roman" w:hAnsi="Times New Roman" w:cs="Times New Roman"/>
                <w:sz w:val="24"/>
                <w:szCs w:val="24"/>
              </w:rPr>
              <w:t>,2</w:t>
            </w:r>
            <w:r w:rsidR="00F544C4">
              <w:rPr>
                <w:rFonts w:ascii="Times New Roman" w:hAnsi="Times New Roman" w:cs="Times New Roman"/>
                <w:sz w:val="24"/>
                <w:szCs w:val="24"/>
              </w:rPr>
              <w:t>8</w:t>
            </w:r>
          </w:p>
        </w:tc>
        <w:tc>
          <w:tcPr>
            <w:tcW w:w="992" w:type="dxa"/>
            <w:tcBorders>
              <w:top w:val="single" w:sz="4" w:space="0" w:color="000000" w:themeColor="text1"/>
              <w:bottom w:val="single" w:sz="4" w:space="0" w:color="000000" w:themeColor="text1"/>
            </w:tcBorders>
          </w:tcPr>
          <w:p w:rsidR="008337CC" w:rsidRPr="000264C9" w:rsidRDefault="008337CC" w:rsidP="00DF43E8">
            <w:pPr>
              <w:jc w:val="center"/>
              <w:rPr>
                <w:rFonts w:ascii="Times New Roman" w:hAnsi="Times New Roman" w:cs="Times New Roman"/>
                <w:b/>
                <w:color w:val="C00000"/>
                <w:sz w:val="24"/>
                <w:szCs w:val="24"/>
              </w:rPr>
            </w:pPr>
          </w:p>
        </w:tc>
        <w:tc>
          <w:tcPr>
            <w:tcW w:w="993" w:type="dxa"/>
            <w:tcBorders>
              <w:top w:val="single" w:sz="4" w:space="0" w:color="000000" w:themeColor="text1"/>
              <w:bottom w:val="single" w:sz="4" w:space="0" w:color="000000" w:themeColor="text1"/>
            </w:tcBorders>
            <w:shd w:val="clear" w:color="auto" w:fill="FFFFFF" w:themeFill="background1"/>
          </w:tcPr>
          <w:p w:rsidR="008337CC" w:rsidRPr="000264C9" w:rsidRDefault="008337CC" w:rsidP="00DF43E8">
            <w:pPr>
              <w:pStyle w:val="ListParagraph"/>
              <w:ind w:left="0"/>
              <w:jc w:val="center"/>
              <w:rPr>
                <w:rFonts w:ascii="Times New Roman" w:hAnsi="Times New Roman" w:cs="Times New Roman"/>
                <w:b/>
                <w:color w:val="C00000"/>
                <w:sz w:val="24"/>
                <w:szCs w:val="24"/>
              </w:rPr>
            </w:pPr>
          </w:p>
        </w:tc>
        <w:tc>
          <w:tcPr>
            <w:tcW w:w="992" w:type="dxa"/>
            <w:tcBorders>
              <w:top w:val="single" w:sz="4" w:space="0" w:color="000000" w:themeColor="text1"/>
              <w:bottom w:val="single" w:sz="4" w:space="0" w:color="000000" w:themeColor="text1"/>
            </w:tcBorders>
            <w:shd w:val="clear" w:color="auto" w:fill="FFFFCC"/>
          </w:tcPr>
          <w:p w:rsidR="008337CC" w:rsidRPr="00810AFE" w:rsidRDefault="008337CC" w:rsidP="00F544C4">
            <w:pPr>
              <w:pStyle w:val="ListParagraph"/>
              <w:ind w:left="0"/>
              <w:jc w:val="center"/>
              <w:rPr>
                <w:rFonts w:ascii="Times New Roman" w:eastAsiaTheme="majorEastAsia" w:hAnsi="Times New Roman" w:cs="Times New Roman"/>
                <w:b/>
                <w:bCs/>
                <w:iCs/>
                <w:color w:val="C00000"/>
                <w:sz w:val="24"/>
                <w:szCs w:val="24"/>
              </w:rPr>
            </w:pPr>
            <w:r w:rsidRPr="000264C9">
              <w:rPr>
                <w:rFonts w:ascii="Times New Roman" w:hAnsi="Times New Roman" w:cs="Times New Roman"/>
                <w:b/>
                <w:color w:val="C00000"/>
                <w:sz w:val="24"/>
                <w:szCs w:val="24"/>
              </w:rPr>
              <w:t>-</w:t>
            </w:r>
            <w:r w:rsidR="00F544C4">
              <w:rPr>
                <w:rFonts w:ascii="Times New Roman" w:hAnsi="Times New Roman" w:cs="Times New Roman"/>
                <w:b/>
                <w:color w:val="C00000"/>
                <w:sz w:val="24"/>
                <w:szCs w:val="24"/>
              </w:rPr>
              <w:t>7</w:t>
            </w:r>
            <w:r w:rsidRPr="000264C9">
              <w:rPr>
                <w:rFonts w:ascii="Times New Roman" w:hAnsi="Times New Roman" w:cs="Times New Roman"/>
                <w:b/>
                <w:color w:val="C00000"/>
                <w:sz w:val="24"/>
                <w:szCs w:val="24"/>
              </w:rPr>
              <w:t>,</w:t>
            </w:r>
            <w:r w:rsidR="00F544C4">
              <w:rPr>
                <w:rFonts w:ascii="Times New Roman" w:hAnsi="Times New Roman" w:cs="Times New Roman"/>
                <w:b/>
                <w:color w:val="C00000"/>
                <w:sz w:val="24"/>
                <w:szCs w:val="24"/>
              </w:rPr>
              <w:t>85</w:t>
            </w:r>
          </w:p>
        </w:tc>
      </w:tr>
      <w:tr w:rsidR="008337CC" w:rsidTr="008337CC">
        <w:trPr>
          <w:trHeight w:val="995"/>
        </w:trPr>
        <w:tc>
          <w:tcPr>
            <w:tcW w:w="817" w:type="dxa"/>
            <w:tcBorders>
              <w:top w:val="single" w:sz="4" w:space="0" w:color="000000" w:themeColor="text1"/>
              <w:bottom w:val="nil"/>
            </w:tcBorders>
          </w:tcPr>
          <w:p w:rsidR="008337CC" w:rsidRDefault="008337CC" w:rsidP="00145922">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4253" w:type="dxa"/>
            <w:tcBorders>
              <w:top w:val="single" w:sz="4" w:space="0" w:color="000000" w:themeColor="text1"/>
              <w:bottom w:val="nil"/>
            </w:tcBorders>
          </w:tcPr>
          <w:p w:rsidR="008337CC" w:rsidRDefault="008337CC" w:rsidP="00DF43E8">
            <w:pPr>
              <w:rPr>
                <w:rFonts w:ascii="Times New Roman" w:hAnsi="Times New Roman" w:cs="Times New Roman"/>
                <w:b/>
                <w:sz w:val="24"/>
                <w:szCs w:val="24"/>
              </w:rPr>
            </w:pPr>
            <w:r>
              <w:rPr>
                <w:rFonts w:ascii="Times New Roman" w:hAnsi="Times New Roman" w:cs="Times New Roman"/>
                <w:b/>
                <w:sz w:val="24"/>
                <w:szCs w:val="24"/>
              </w:rPr>
              <w:t xml:space="preserve">Neapliekamā minimuma diferencēšana </w:t>
            </w:r>
            <w:r w:rsidRPr="00DF43E8">
              <w:rPr>
                <w:rFonts w:ascii="Times New Roman" w:hAnsi="Times New Roman" w:cs="Times New Roman"/>
                <w:sz w:val="24"/>
                <w:szCs w:val="24"/>
              </w:rPr>
              <w:t xml:space="preserve">(no 45-84 </w:t>
            </w:r>
            <w:r>
              <w:rPr>
                <w:rFonts w:ascii="Times New Roman" w:hAnsi="Times New Roman" w:cs="Times New Roman"/>
                <w:sz w:val="24"/>
                <w:szCs w:val="24"/>
              </w:rPr>
              <w:t xml:space="preserve">uz 45-91 </w:t>
            </w:r>
            <w:r w:rsidRPr="00DF43E8">
              <w:rPr>
                <w:rFonts w:ascii="Times New Roman" w:hAnsi="Times New Roman" w:cs="Times New Roman"/>
                <w:sz w:val="24"/>
                <w:szCs w:val="24"/>
              </w:rPr>
              <w:t>LVL mēnesī</w:t>
            </w:r>
            <w:r>
              <w:rPr>
                <w:rFonts w:ascii="Times New Roman" w:hAnsi="Times New Roman" w:cs="Times New Roman"/>
                <w:sz w:val="24"/>
                <w:szCs w:val="24"/>
              </w:rPr>
              <w:t>;</w:t>
            </w:r>
            <w:r w:rsidRPr="00DF43E8">
              <w:rPr>
                <w:rFonts w:ascii="Times New Roman" w:hAnsi="Times New Roman" w:cs="Times New Roman"/>
                <w:sz w:val="24"/>
                <w:szCs w:val="24"/>
              </w:rPr>
              <w:t xml:space="preserve"> ietekme ar viena gada nobīdi)</w:t>
            </w:r>
          </w:p>
        </w:tc>
        <w:tc>
          <w:tcPr>
            <w:tcW w:w="992" w:type="dxa"/>
            <w:tcBorders>
              <w:top w:val="single" w:sz="4" w:space="0" w:color="000000" w:themeColor="text1"/>
              <w:bottom w:val="nil"/>
            </w:tcBorders>
          </w:tcPr>
          <w:p w:rsidR="008337CC" w:rsidRDefault="008337CC" w:rsidP="00DF43E8">
            <w:pPr>
              <w:jc w:val="center"/>
              <w:rPr>
                <w:rFonts w:ascii="Times New Roman" w:hAnsi="Times New Roman" w:cs="Times New Roman"/>
                <w:sz w:val="24"/>
                <w:szCs w:val="24"/>
              </w:rPr>
            </w:pPr>
            <w:r>
              <w:rPr>
                <w:rFonts w:ascii="Times New Roman" w:hAnsi="Times New Roman" w:cs="Times New Roman"/>
                <w:sz w:val="24"/>
                <w:szCs w:val="24"/>
              </w:rPr>
              <w:t>-6,03</w:t>
            </w:r>
          </w:p>
        </w:tc>
        <w:tc>
          <w:tcPr>
            <w:tcW w:w="992" w:type="dxa"/>
            <w:tcBorders>
              <w:top w:val="single" w:sz="4" w:space="0" w:color="000000" w:themeColor="text1"/>
              <w:bottom w:val="nil"/>
            </w:tcBorders>
          </w:tcPr>
          <w:p w:rsidR="008337CC" w:rsidRPr="000264C9" w:rsidRDefault="008337CC" w:rsidP="00DF43E8">
            <w:pPr>
              <w:jc w:val="center"/>
              <w:rPr>
                <w:rFonts w:ascii="Times New Roman" w:hAnsi="Times New Roman" w:cs="Times New Roman"/>
                <w:sz w:val="24"/>
                <w:szCs w:val="24"/>
              </w:rPr>
            </w:pPr>
            <w:r>
              <w:rPr>
                <w:rFonts w:ascii="Times New Roman" w:hAnsi="Times New Roman" w:cs="Times New Roman"/>
                <w:sz w:val="24"/>
                <w:szCs w:val="24"/>
              </w:rPr>
              <w:t>-24,13</w:t>
            </w:r>
          </w:p>
        </w:tc>
        <w:tc>
          <w:tcPr>
            <w:tcW w:w="992" w:type="dxa"/>
            <w:tcBorders>
              <w:top w:val="single" w:sz="4" w:space="0" w:color="000000" w:themeColor="text1"/>
              <w:bottom w:val="nil"/>
            </w:tcBorders>
          </w:tcPr>
          <w:p w:rsidR="008337CC" w:rsidRPr="000264C9" w:rsidRDefault="008337CC" w:rsidP="00DF43E8">
            <w:pPr>
              <w:jc w:val="center"/>
              <w:rPr>
                <w:rFonts w:ascii="Times New Roman" w:hAnsi="Times New Roman" w:cs="Times New Roman"/>
                <w:b/>
                <w:color w:val="C00000"/>
                <w:sz w:val="24"/>
                <w:szCs w:val="24"/>
              </w:rPr>
            </w:pPr>
          </w:p>
        </w:tc>
        <w:tc>
          <w:tcPr>
            <w:tcW w:w="993" w:type="dxa"/>
            <w:tcBorders>
              <w:top w:val="single" w:sz="4" w:space="0" w:color="000000" w:themeColor="text1"/>
              <w:bottom w:val="nil"/>
            </w:tcBorders>
            <w:shd w:val="clear" w:color="auto" w:fill="FFFFFF" w:themeFill="background1"/>
          </w:tcPr>
          <w:p w:rsidR="008337CC" w:rsidRDefault="008337CC" w:rsidP="00DF43E8">
            <w:pPr>
              <w:pStyle w:val="ListParagraph"/>
              <w:ind w:left="0"/>
              <w:jc w:val="center"/>
              <w:rPr>
                <w:rFonts w:ascii="Times New Roman" w:hAnsi="Times New Roman" w:cs="Times New Roman"/>
                <w:b/>
                <w:color w:val="C00000"/>
                <w:sz w:val="24"/>
                <w:szCs w:val="24"/>
              </w:rPr>
            </w:pPr>
          </w:p>
        </w:tc>
        <w:tc>
          <w:tcPr>
            <w:tcW w:w="992" w:type="dxa"/>
            <w:tcBorders>
              <w:top w:val="single" w:sz="4" w:space="0" w:color="000000" w:themeColor="text1"/>
              <w:bottom w:val="nil"/>
            </w:tcBorders>
            <w:shd w:val="clear" w:color="auto" w:fill="FFFFCC"/>
          </w:tcPr>
          <w:p w:rsidR="008337CC" w:rsidRPr="000264C9" w:rsidRDefault="008337CC" w:rsidP="00F544C4">
            <w:pPr>
              <w:pStyle w:val="ListParagraph"/>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544C4">
              <w:rPr>
                <w:rFonts w:ascii="Times New Roman" w:hAnsi="Times New Roman" w:cs="Times New Roman"/>
                <w:b/>
                <w:color w:val="C00000"/>
                <w:sz w:val="24"/>
                <w:szCs w:val="24"/>
              </w:rPr>
              <w:t>26</w:t>
            </w:r>
            <w:r>
              <w:rPr>
                <w:rFonts w:ascii="Times New Roman" w:hAnsi="Times New Roman" w:cs="Times New Roman"/>
                <w:b/>
                <w:color w:val="C00000"/>
                <w:sz w:val="24"/>
                <w:szCs w:val="24"/>
              </w:rPr>
              <w:t>,</w:t>
            </w:r>
            <w:r w:rsidR="00F544C4">
              <w:rPr>
                <w:rFonts w:ascii="Times New Roman" w:hAnsi="Times New Roman" w:cs="Times New Roman"/>
                <w:b/>
                <w:color w:val="C00000"/>
                <w:sz w:val="24"/>
                <w:szCs w:val="24"/>
              </w:rPr>
              <w:t>38</w:t>
            </w:r>
          </w:p>
        </w:tc>
      </w:tr>
      <w:tr w:rsidR="008337CC" w:rsidTr="008337CC">
        <w:tc>
          <w:tcPr>
            <w:tcW w:w="817" w:type="dxa"/>
            <w:tcBorders>
              <w:top w:val="nil"/>
            </w:tcBorders>
          </w:tcPr>
          <w:p w:rsidR="008337CC" w:rsidRDefault="008337CC" w:rsidP="00145922">
            <w:pPr>
              <w:jc w:val="center"/>
              <w:rPr>
                <w:rFonts w:ascii="Times New Roman" w:hAnsi="Times New Roman" w:cs="Times New Roman"/>
                <w:b/>
                <w:sz w:val="24"/>
                <w:szCs w:val="24"/>
              </w:rPr>
            </w:pPr>
          </w:p>
        </w:tc>
        <w:tc>
          <w:tcPr>
            <w:tcW w:w="4253" w:type="dxa"/>
            <w:tcBorders>
              <w:top w:val="nil"/>
            </w:tcBorders>
          </w:tcPr>
          <w:p w:rsidR="008337CC" w:rsidRDefault="008337CC" w:rsidP="00540B60">
            <w:pPr>
              <w:spacing w:after="120"/>
              <w:rPr>
                <w:rFonts w:ascii="Times New Roman" w:hAnsi="Times New Roman" w:cs="Times New Roman"/>
                <w:sz w:val="24"/>
                <w:szCs w:val="24"/>
              </w:rPr>
            </w:pPr>
            <w:r w:rsidRPr="00E40D8E">
              <w:rPr>
                <w:rFonts w:ascii="Times New Roman" w:hAnsi="Times New Roman" w:cs="Times New Roman"/>
                <w:sz w:val="24"/>
                <w:szCs w:val="24"/>
              </w:rPr>
              <w:t xml:space="preserve">+ VID </w:t>
            </w:r>
            <w:r>
              <w:rPr>
                <w:rFonts w:ascii="Times New Roman" w:hAnsi="Times New Roman" w:cs="Times New Roman"/>
                <w:sz w:val="24"/>
                <w:szCs w:val="24"/>
              </w:rPr>
              <w:t xml:space="preserve"> uzturēšanas</w:t>
            </w:r>
            <w:r w:rsidRPr="00E40D8E">
              <w:rPr>
                <w:rFonts w:ascii="Times New Roman" w:hAnsi="Times New Roman" w:cs="Times New Roman"/>
                <w:sz w:val="24"/>
                <w:szCs w:val="24"/>
              </w:rPr>
              <w:t xml:space="preserve"> izdevumu pieaugums</w:t>
            </w:r>
            <w:r>
              <w:rPr>
                <w:rFonts w:ascii="Times New Roman" w:hAnsi="Times New Roman" w:cs="Times New Roman"/>
                <w:sz w:val="24"/>
                <w:szCs w:val="24"/>
              </w:rPr>
              <w:t xml:space="preserve"> papildus štata vietām</w:t>
            </w:r>
          </w:p>
          <w:p w:rsidR="00540B60" w:rsidRDefault="00540B60" w:rsidP="00C4058E">
            <w:pPr>
              <w:rPr>
                <w:rFonts w:ascii="Times New Roman" w:hAnsi="Times New Roman" w:cs="Times New Roman"/>
                <w:b/>
                <w:sz w:val="24"/>
                <w:szCs w:val="24"/>
              </w:rPr>
            </w:pPr>
            <w:r>
              <w:rPr>
                <w:rFonts w:ascii="Times New Roman" w:hAnsi="Times New Roman" w:cs="Times New Roman"/>
                <w:sz w:val="24"/>
                <w:szCs w:val="24"/>
              </w:rPr>
              <w:t>+ VID informācijas sistēmu uzturēšanas izmaksas</w:t>
            </w:r>
          </w:p>
        </w:tc>
        <w:tc>
          <w:tcPr>
            <w:tcW w:w="992" w:type="dxa"/>
            <w:tcBorders>
              <w:top w:val="nil"/>
            </w:tcBorders>
          </w:tcPr>
          <w:p w:rsidR="008337CC" w:rsidRDefault="008337CC" w:rsidP="00DF43E8">
            <w:pPr>
              <w:jc w:val="center"/>
              <w:rPr>
                <w:rFonts w:ascii="Times New Roman" w:hAnsi="Times New Roman" w:cs="Times New Roman"/>
                <w:sz w:val="24"/>
                <w:szCs w:val="24"/>
              </w:rPr>
            </w:pPr>
            <w:r>
              <w:rPr>
                <w:rFonts w:ascii="Times New Roman" w:hAnsi="Times New Roman" w:cs="Times New Roman"/>
                <w:sz w:val="24"/>
                <w:szCs w:val="24"/>
              </w:rPr>
              <w:t>-0,95</w:t>
            </w:r>
          </w:p>
          <w:p w:rsidR="00540B60" w:rsidRDefault="00540B60" w:rsidP="00540B60">
            <w:pPr>
              <w:spacing w:after="120"/>
              <w:jc w:val="center"/>
              <w:rPr>
                <w:rFonts w:ascii="Times New Roman" w:hAnsi="Times New Roman" w:cs="Times New Roman"/>
                <w:sz w:val="24"/>
                <w:szCs w:val="24"/>
              </w:rPr>
            </w:pPr>
          </w:p>
          <w:p w:rsidR="00540B60" w:rsidRDefault="00540B60" w:rsidP="00540B60">
            <w:pPr>
              <w:spacing w:after="120"/>
              <w:jc w:val="center"/>
              <w:rPr>
                <w:rFonts w:ascii="Times New Roman" w:hAnsi="Times New Roman" w:cs="Times New Roman"/>
                <w:sz w:val="24"/>
                <w:szCs w:val="24"/>
              </w:rPr>
            </w:pPr>
            <w:r>
              <w:rPr>
                <w:rFonts w:ascii="Times New Roman" w:hAnsi="Times New Roman" w:cs="Times New Roman"/>
                <w:sz w:val="24"/>
                <w:szCs w:val="24"/>
              </w:rPr>
              <w:t>-0,002</w:t>
            </w:r>
          </w:p>
        </w:tc>
        <w:tc>
          <w:tcPr>
            <w:tcW w:w="992" w:type="dxa"/>
            <w:tcBorders>
              <w:top w:val="nil"/>
            </w:tcBorders>
          </w:tcPr>
          <w:p w:rsidR="008337CC" w:rsidRDefault="008337CC" w:rsidP="00DF43E8">
            <w:pPr>
              <w:jc w:val="center"/>
              <w:rPr>
                <w:rFonts w:ascii="Times New Roman" w:hAnsi="Times New Roman" w:cs="Times New Roman"/>
                <w:sz w:val="24"/>
                <w:szCs w:val="24"/>
              </w:rPr>
            </w:pPr>
          </w:p>
        </w:tc>
        <w:tc>
          <w:tcPr>
            <w:tcW w:w="992" w:type="dxa"/>
            <w:tcBorders>
              <w:top w:val="nil"/>
            </w:tcBorders>
          </w:tcPr>
          <w:p w:rsidR="008337CC" w:rsidRPr="000264C9" w:rsidRDefault="008337CC" w:rsidP="00DF43E8">
            <w:pPr>
              <w:jc w:val="center"/>
              <w:rPr>
                <w:rFonts w:ascii="Times New Roman" w:hAnsi="Times New Roman" w:cs="Times New Roman"/>
                <w:b/>
                <w:color w:val="C00000"/>
                <w:sz w:val="24"/>
                <w:szCs w:val="24"/>
              </w:rPr>
            </w:pPr>
          </w:p>
        </w:tc>
        <w:tc>
          <w:tcPr>
            <w:tcW w:w="993" w:type="dxa"/>
            <w:tcBorders>
              <w:top w:val="nil"/>
            </w:tcBorders>
            <w:shd w:val="clear" w:color="auto" w:fill="FFFFFF" w:themeFill="background1"/>
          </w:tcPr>
          <w:p w:rsidR="008337CC" w:rsidRDefault="008337CC" w:rsidP="00DF43E8">
            <w:pPr>
              <w:pStyle w:val="ListParagraph"/>
              <w:ind w:left="0"/>
              <w:jc w:val="center"/>
              <w:rPr>
                <w:rFonts w:ascii="Times New Roman" w:hAnsi="Times New Roman" w:cs="Times New Roman"/>
                <w:b/>
                <w:color w:val="C00000"/>
                <w:sz w:val="24"/>
                <w:szCs w:val="24"/>
              </w:rPr>
            </w:pPr>
          </w:p>
        </w:tc>
        <w:tc>
          <w:tcPr>
            <w:tcW w:w="992" w:type="dxa"/>
            <w:tcBorders>
              <w:top w:val="nil"/>
            </w:tcBorders>
            <w:shd w:val="clear" w:color="auto" w:fill="FFFFCC"/>
          </w:tcPr>
          <w:p w:rsidR="008337CC" w:rsidRDefault="008337CC" w:rsidP="00DF43E8">
            <w:pPr>
              <w:pStyle w:val="ListParagraph"/>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-0,95</w:t>
            </w:r>
          </w:p>
          <w:p w:rsidR="00540B60" w:rsidRDefault="00540B60" w:rsidP="00540B60">
            <w:pPr>
              <w:pStyle w:val="ListParagraph"/>
              <w:spacing w:after="120"/>
              <w:ind w:left="0"/>
              <w:jc w:val="center"/>
              <w:rPr>
                <w:rFonts w:ascii="Times New Roman" w:hAnsi="Times New Roman" w:cs="Times New Roman"/>
                <w:b/>
                <w:color w:val="C00000"/>
                <w:sz w:val="24"/>
                <w:szCs w:val="24"/>
              </w:rPr>
            </w:pPr>
          </w:p>
          <w:p w:rsidR="00540B60" w:rsidRDefault="00540B60" w:rsidP="00540B60">
            <w:pPr>
              <w:pStyle w:val="ListParagraph"/>
              <w:spacing w:after="120"/>
              <w:ind w:left="0"/>
              <w:jc w:val="center"/>
              <w:rPr>
                <w:rFonts w:ascii="Times New Roman" w:hAnsi="Times New Roman" w:cs="Times New Roman"/>
                <w:b/>
                <w:color w:val="C00000"/>
                <w:sz w:val="24"/>
                <w:szCs w:val="24"/>
              </w:rPr>
            </w:pPr>
            <w:r>
              <w:rPr>
                <w:rFonts w:ascii="Times New Roman" w:hAnsi="Times New Roman" w:cs="Times New Roman"/>
                <w:b/>
                <w:color w:val="C00000"/>
                <w:sz w:val="24"/>
                <w:szCs w:val="24"/>
              </w:rPr>
              <w:t>-0,002</w:t>
            </w:r>
          </w:p>
        </w:tc>
      </w:tr>
    </w:tbl>
    <w:p w:rsidR="004908FF" w:rsidRPr="00EA77A9" w:rsidRDefault="004908FF" w:rsidP="00B06177">
      <w:pPr>
        <w:tabs>
          <w:tab w:val="left" w:pos="709"/>
        </w:tabs>
        <w:spacing w:before="120" w:after="60" w:line="240" w:lineRule="auto"/>
        <w:ind w:left="709" w:hanging="709"/>
        <w:jc w:val="both"/>
        <w:rPr>
          <w:rFonts w:ascii="Times New Roman" w:hAnsi="Times New Roman" w:cs="Times New Roman"/>
          <w:b/>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145922" w:rsidRDefault="00145922" w:rsidP="004908FF">
      <w:pPr>
        <w:spacing w:after="0" w:line="240" w:lineRule="auto"/>
        <w:rPr>
          <w:rFonts w:ascii="Times New Roman" w:hAnsi="Times New Roman" w:cs="Times New Roman"/>
          <w:b/>
          <w:sz w:val="24"/>
          <w:szCs w:val="24"/>
        </w:rPr>
      </w:pPr>
    </w:p>
    <w:p w:rsidR="00D2539B" w:rsidRPr="00B51381" w:rsidRDefault="00D2539B" w:rsidP="00D2539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Daļēji kopbudžeta ieņēmumu samazinājumu ilgtermiņā varētu kompensēt šādi e</w:t>
      </w:r>
      <w:r w:rsidRPr="00B51381">
        <w:rPr>
          <w:rFonts w:ascii="Times New Roman" w:hAnsi="Times New Roman" w:cs="Times New Roman"/>
          <w:b/>
          <w:sz w:val="28"/>
          <w:szCs w:val="28"/>
        </w:rPr>
        <w:t>konomiskie efekti</w:t>
      </w:r>
      <w:r w:rsidRPr="00B51381">
        <w:rPr>
          <w:rFonts w:ascii="Times New Roman" w:hAnsi="Times New Roman" w:cs="Times New Roman"/>
          <w:sz w:val="28"/>
          <w:szCs w:val="28"/>
        </w:rPr>
        <w:t>:</w:t>
      </w:r>
    </w:p>
    <w:p w:rsidR="00D2539B" w:rsidRPr="00B51381" w:rsidRDefault="00D2539B" w:rsidP="00D2539B">
      <w:pPr>
        <w:pStyle w:val="ListParagraph"/>
        <w:numPr>
          <w:ilvl w:val="0"/>
          <w:numId w:val="7"/>
        </w:numPr>
        <w:spacing w:after="120" w:line="240" w:lineRule="auto"/>
        <w:ind w:left="1134" w:hanging="425"/>
        <w:jc w:val="both"/>
        <w:rPr>
          <w:rFonts w:ascii="Times New Roman" w:hAnsi="Times New Roman" w:cs="Times New Roman"/>
          <w:i/>
          <w:sz w:val="28"/>
          <w:szCs w:val="28"/>
        </w:rPr>
      </w:pPr>
      <w:r w:rsidRPr="00B51381">
        <w:rPr>
          <w:rFonts w:ascii="Times New Roman" w:hAnsi="Times New Roman" w:cs="Times New Roman"/>
          <w:i/>
          <w:sz w:val="28"/>
          <w:szCs w:val="28"/>
        </w:rPr>
        <w:t>nodarbinātības pieaugums</w:t>
      </w:r>
    </w:p>
    <w:p w:rsidR="00D2539B" w:rsidRPr="00B51381" w:rsidRDefault="00D2539B" w:rsidP="00D2539B">
      <w:pPr>
        <w:spacing w:after="120" w:line="240" w:lineRule="auto"/>
        <w:ind w:left="1134"/>
        <w:jc w:val="both"/>
        <w:rPr>
          <w:rFonts w:ascii="Times New Roman" w:hAnsi="Times New Roman" w:cs="Times New Roman"/>
          <w:sz w:val="28"/>
          <w:szCs w:val="28"/>
        </w:rPr>
      </w:pPr>
      <w:r w:rsidRPr="00B51381">
        <w:rPr>
          <w:rFonts w:ascii="Times New Roman" w:hAnsi="Times New Roman" w:cs="Times New Roman"/>
          <w:sz w:val="28"/>
          <w:szCs w:val="28"/>
        </w:rPr>
        <w:t xml:space="preserve">Palielinoties starpībai starp darba algu, ko strādājošais saņem „uz rokas”, un summu, ko nestrādājoša persona var saņemt pabalstu veidā jeb tā saucamo </w:t>
      </w:r>
      <w:r w:rsidRPr="00B51381">
        <w:rPr>
          <w:rFonts w:ascii="Times New Roman" w:hAnsi="Times New Roman" w:cs="Times New Roman"/>
          <w:sz w:val="28"/>
          <w:szCs w:val="28"/>
        </w:rPr>
        <w:lastRenderedPageBreak/>
        <w:t>„</w:t>
      </w:r>
      <w:proofErr w:type="spellStart"/>
      <w:r w:rsidRPr="00B51381">
        <w:rPr>
          <w:rFonts w:ascii="Times New Roman" w:hAnsi="Times New Roman" w:cs="Times New Roman"/>
          <w:sz w:val="28"/>
          <w:szCs w:val="28"/>
        </w:rPr>
        <w:t>rezervācijas</w:t>
      </w:r>
      <w:proofErr w:type="spellEnd"/>
      <w:r w:rsidRPr="00B51381">
        <w:rPr>
          <w:rFonts w:ascii="Times New Roman" w:hAnsi="Times New Roman" w:cs="Times New Roman"/>
          <w:sz w:val="28"/>
          <w:szCs w:val="28"/>
        </w:rPr>
        <w:t>” algu, pieaug pašlaik nestrādājošo personu (gan bezdarbnieku, gan ekonomiski neaktīvo) motivācija iesaistīties darba tirgū. Tas gan pamatā attiecas uz to personu grupu, kuru „</w:t>
      </w:r>
      <w:proofErr w:type="spellStart"/>
      <w:r w:rsidRPr="00B51381">
        <w:rPr>
          <w:rFonts w:ascii="Times New Roman" w:hAnsi="Times New Roman" w:cs="Times New Roman"/>
          <w:sz w:val="28"/>
          <w:szCs w:val="28"/>
        </w:rPr>
        <w:t>rezervācijas</w:t>
      </w:r>
      <w:proofErr w:type="spellEnd"/>
      <w:r w:rsidRPr="00B51381">
        <w:rPr>
          <w:rFonts w:ascii="Times New Roman" w:hAnsi="Times New Roman" w:cs="Times New Roman"/>
          <w:sz w:val="28"/>
          <w:szCs w:val="28"/>
        </w:rPr>
        <w:t xml:space="preserve">” algas līmenis ir zemāks par vidējo darba algu tautsaimniecībā. </w:t>
      </w:r>
    </w:p>
    <w:p w:rsidR="00E40D8E" w:rsidRDefault="00D2539B" w:rsidP="00D2539B">
      <w:pPr>
        <w:spacing w:after="120" w:line="240" w:lineRule="auto"/>
        <w:ind w:left="1134"/>
        <w:jc w:val="both"/>
        <w:rPr>
          <w:rFonts w:ascii="Times New Roman" w:hAnsi="Times New Roman" w:cs="Times New Roman"/>
          <w:sz w:val="28"/>
          <w:szCs w:val="28"/>
        </w:rPr>
      </w:pPr>
      <w:r w:rsidRPr="00B51381">
        <w:rPr>
          <w:rFonts w:ascii="Times New Roman" w:hAnsi="Times New Roman" w:cs="Times New Roman"/>
          <w:sz w:val="28"/>
          <w:szCs w:val="28"/>
        </w:rPr>
        <w:t xml:space="preserve">Šāda papildus nodarbinātība </w:t>
      </w:r>
      <w:r w:rsidR="004908FF">
        <w:rPr>
          <w:rFonts w:ascii="Times New Roman" w:hAnsi="Times New Roman" w:cs="Times New Roman"/>
          <w:sz w:val="28"/>
          <w:szCs w:val="28"/>
        </w:rPr>
        <w:t>palielina darbaspēka nodokļu ieņēmumus</w:t>
      </w:r>
      <w:r w:rsidRPr="00B51381">
        <w:rPr>
          <w:rFonts w:ascii="Times New Roman" w:hAnsi="Times New Roman" w:cs="Times New Roman"/>
          <w:sz w:val="28"/>
          <w:szCs w:val="28"/>
        </w:rPr>
        <w:t xml:space="preserve">, jo palielinās nodokļu maksātāju skaits. </w:t>
      </w:r>
    </w:p>
    <w:p w:rsidR="00D2539B" w:rsidRPr="00B51381" w:rsidRDefault="00D2539B" w:rsidP="00D2539B">
      <w:pPr>
        <w:pStyle w:val="ListParagraph"/>
        <w:numPr>
          <w:ilvl w:val="0"/>
          <w:numId w:val="7"/>
        </w:numPr>
        <w:spacing w:after="120" w:line="240" w:lineRule="auto"/>
        <w:ind w:left="1134" w:hanging="425"/>
        <w:jc w:val="both"/>
        <w:rPr>
          <w:rFonts w:ascii="Times New Roman" w:hAnsi="Times New Roman" w:cs="Times New Roman"/>
          <w:i/>
          <w:sz w:val="28"/>
          <w:szCs w:val="28"/>
        </w:rPr>
      </w:pPr>
      <w:r w:rsidRPr="00B51381">
        <w:rPr>
          <w:rFonts w:ascii="Times New Roman" w:hAnsi="Times New Roman" w:cs="Times New Roman"/>
          <w:i/>
          <w:sz w:val="28"/>
          <w:szCs w:val="28"/>
        </w:rPr>
        <w:t xml:space="preserve">netiešo nodokļu (PVN, akcīzes) ieņēmumu pieaugums </w:t>
      </w:r>
    </w:p>
    <w:p w:rsidR="00F956C7" w:rsidRPr="00B74951" w:rsidRDefault="006A453B" w:rsidP="00B74951">
      <w:pPr>
        <w:spacing w:after="120" w:line="240" w:lineRule="auto"/>
        <w:ind w:left="1134"/>
        <w:jc w:val="both"/>
        <w:rPr>
          <w:rFonts w:ascii="Times New Roman" w:hAnsi="Times New Roman" w:cs="Times New Roman"/>
          <w:sz w:val="28"/>
          <w:szCs w:val="28"/>
        </w:rPr>
      </w:pPr>
      <w:r>
        <w:rPr>
          <w:rFonts w:ascii="Times New Roman" w:hAnsi="Times New Roman" w:cs="Times New Roman"/>
          <w:sz w:val="28"/>
          <w:szCs w:val="28"/>
        </w:rPr>
        <w:t>IIN ieņēmumu samazinājumu d</w:t>
      </w:r>
      <w:r w:rsidR="00D2539B" w:rsidRPr="00E40D8E">
        <w:rPr>
          <w:rFonts w:ascii="Times New Roman" w:hAnsi="Times New Roman" w:cs="Times New Roman"/>
          <w:sz w:val="28"/>
          <w:szCs w:val="28"/>
        </w:rPr>
        <w:t>aļ</w:t>
      </w:r>
      <w:r>
        <w:rPr>
          <w:rFonts w:ascii="Times New Roman" w:hAnsi="Times New Roman" w:cs="Times New Roman"/>
          <w:sz w:val="28"/>
          <w:szCs w:val="28"/>
        </w:rPr>
        <w:t>ēji</w:t>
      </w:r>
      <w:r w:rsidR="00D2539B" w:rsidRPr="00E40D8E">
        <w:rPr>
          <w:rFonts w:ascii="Times New Roman" w:hAnsi="Times New Roman" w:cs="Times New Roman"/>
          <w:sz w:val="28"/>
          <w:szCs w:val="28"/>
        </w:rPr>
        <w:t xml:space="preserve"> </w:t>
      </w:r>
      <w:r>
        <w:rPr>
          <w:rFonts w:ascii="Times New Roman" w:hAnsi="Times New Roman" w:cs="Times New Roman"/>
          <w:sz w:val="28"/>
          <w:szCs w:val="28"/>
        </w:rPr>
        <w:t xml:space="preserve">kompensēs </w:t>
      </w:r>
      <w:r w:rsidR="00D2539B" w:rsidRPr="00E40D8E">
        <w:rPr>
          <w:rFonts w:ascii="Times New Roman" w:hAnsi="Times New Roman" w:cs="Times New Roman"/>
          <w:sz w:val="28"/>
          <w:szCs w:val="28"/>
        </w:rPr>
        <w:t>netieš</w:t>
      </w:r>
      <w:r>
        <w:rPr>
          <w:rFonts w:ascii="Times New Roman" w:hAnsi="Times New Roman" w:cs="Times New Roman"/>
          <w:sz w:val="28"/>
          <w:szCs w:val="28"/>
        </w:rPr>
        <w:t>o</w:t>
      </w:r>
      <w:r w:rsidR="00D2539B" w:rsidRPr="00E40D8E">
        <w:rPr>
          <w:rFonts w:ascii="Times New Roman" w:hAnsi="Times New Roman" w:cs="Times New Roman"/>
          <w:sz w:val="28"/>
          <w:szCs w:val="28"/>
        </w:rPr>
        <w:t xml:space="preserve"> nodokļ</w:t>
      </w:r>
      <w:r>
        <w:rPr>
          <w:rFonts w:ascii="Times New Roman" w:hAnsi="Times New Roman" w:cs="Times New Roman"/>
          <w:sz w:val="28"/>
          <w:szCs w:val="28"/>
        </w:rPr>
        <w:t xml:space="preserve">u ieņēmumu pieaugums </w:t>
      </w:r>
      <w:r w:rsidR="00D2539B" w:rsidRPr="00E40D8E">
        <w:rPr>
          <w:rFonts w:ascii="Times New Roman" w:hAnsi="Times New Roman" w:cs="Times New Roman"/>
          <w:sz w:val="28"/>
          <w:szCs w:val="28"/>
        </w:rPr>
        <w:t>lielāka patēriņa dēļ un tieš</w:t>
      </w:r>
      <w:r w:rsidR="00F9333E">
        <w:rPr>
          <w:rFonts w:ascii="Times New Roman" w:hAnsi="Times New Roman" w:cs="Times New Roman"/>
          <w:sz w:val="28"/>
          <w:szCs w:val="28"/>
        </w:rPr>
        <w:t>o</w:t>
      </w:r>
      <w:r w:rsidR="00D2539B" w:rsidRPr="00E40D8E">
        <w:rPr>
          <w:rFonts w:ascii="Times New Roman" w:hAnsi="Times New Roman" w:cs="Times New Roman"/>
          <w:sz w:val="28"/>
          <w:szCs w:val="28"/>
        </w:rPr>
        <w:t xml:space="preserve"> nodokļ</w:t>
      </w:r>
      <w:r w:rsidR="00F9333E">
        <w:rPr>
          <w:rFonts w:ascii="Times New Roman" w:hAnsi="Times New Roman" w:cs="Times New Roman"/>
          <w:sz w:val="28"/>
          <w:szCs w:val="28"/>
        </w:rPr>
        <w:t>u ieņēmumu pieaugums</w:t>
      </w:r>
      <w:r w:rsidR="00D2539B" w:rsidRPr="00E40D8E">
        <w:rPr>
          <w:rFonts w:ascii="Times New Roman" w:hAnsi="Times New Roman" w:cs="Times New Roman"/>
          <w:sz w:val="28"/>
          <w:szCs w:val="28"/>
        </w:rPr>
        <w:t>, pateicoties augstākam nodarbinātības līmenim</w:t>
      </w:r>
      <w:r w:rsidR="004908FF">
        <w:rPr>
          <w:rFonts w:ascii="Times New Roman" w:hAnsi="Times New Roman" w:cs="Times New Roman"/>
          <w:sz w:val="28"/>
          <w:szCs w:val="28"/>
        </w:rPr>
        <w:t xml:space="preserve"> un iespējamam peļņas pieaugumam, ko sekmē iekšējā pieprasījuma pieaugums</w:t>
      </w:r>
      <w:r w:rsidR="001E608B">
        <w:rPr>
          <w:rFonts w:ascii="Times New Roman" w:hAnsi="Times New Roman" w:cs="Times New Roman"/>
          <w:sz w:val="28"/>
          <w:szCs w:val="28"/>
        </w:rPr>
        <w:t xml:space="preserve"> (</w:t>
      </w:r>
      <w:proofErr w:type="spellStart"/>
      <w:r w:rsidR="001E608B">
        <w:rPr>
          <w:rFonts w:ascii="Times New Roman" w:hAnsi="Times New Roman" w:cs="Times New Roman"/>
          <w:sz w:val="28"/>
          <w:szCs w:val="28"/>
        </w:rPr>
        <w:t>skat</w:t>
      </w:r>
      <w:proofErr w:type="spellEnd"/>
      <w:r w:rsidR="001E608B">
        <w:rPr>
          <w:rFonts w:ascii="Times New Roman" w:hAnsi="Times New Roman" w:cs="Times New Roman"/>
          <w:sz w:val="28"/>
          <w:szCs w:val="28"/>
        </w:rPr>
        <w:t>. 8.tab.)</w:t>
      </w:r>
      <w:r w:rsidR="00D2539B" w:rsidRPr="00E40D8E">
        <w:rPr>
          <w:rFonts w:ascii="Times New Roman" w:hAnsi="Times New Roman" w:cs="Times New Roman"/>
          <w:sz w:val="28"/>
          <w:szCs w:val="28"/>
        </w:rPr>
        <w:t>. Ņemot vērā, ka daļu no papildu ieguvuma mājsaimniecības var novirzīt uzkrājumiem, kā arī patēriņa struktūru</w:t>
      </w:r>
      <w:r w:rsidR="00F956C7" w:rsidRPr="00E40D8E">
        <w:rPr>
          <w:rFonts w:ascii="Times New Roman" w:hAnsi="Times New Roman" w:cs="Times New Roman"/>
          <w:sz w:val="28"/>
          <w:szCs w:val="28"/>
        </w:rPr>
        <w:t xml:space="preserve">, </w:t>
      </w:r>
      <w:r w:rsidR="00E40D8E">
        <w:rPr>
          <w:rFonts w:ascii="Times New Roman" w:hAnsi="Times New Roman" w:cs="Times New Roman"/>
          <w:sz w:val="28"/>
          <w:szCs w:val="28"/>
        </w:rPr>
        <w:t>var p</w:t>
      </w:r>
      <w:r w:rsidR="00E40D8E" w:rsidRPr="00E40D8E">
        <w:rPr>
          <w:rFonts w:ascii="Times New Roman" w:hAnsi="Times New Roman" w:cs="Times New Roman"/>
          <w:sz w:val="28"/>
          <w:szCs w:val="28"/>
        </w:rPr>
        <w:t>ieņ</w:t>
      </w:r>
      <w:r w:rsidR="00E40D8E">
        <w:rPr>
          <w:rFonts w:ascii="Times New Roman" w:hAnsi="Times New Roman" w:cs="Times New Roman"/>
          <w:sz w:val="28"/>
          <w:szCs w:val="28"/>
        </w:rPr>
        <w:t>e</w:t>
      </w:r>
      <w:r w:rsidR="00E40D8E" w:rsidRPr="00E40D8E">
        <w:rPr>
          <w:rFonts w:ascii="Times New Roman" w:hAnsi="Times New Roman" w:cs="Times New Roman"/>
          <w:sz w:val="28"/>
          <w:szCs w:val="28"/>
        </w:rPr>
        <w:t>m</w:t>
      </w:r>
      <w:r w:rsidR="00B74951">
        <w:rPr>
          <w:rFonts w:ascii="Times New Roman" w:hAnsi="Times New Roman" w:cs="Times New Roman"/>
          <w:sz w:val="28"/>
          <w:szCs w:val="28"/>
        </w:rPr>
        <w:t xml:space="preserve">t, ka </w:t>
      </w:r>
      <w:r w:rsidR="00E40D8E" w:rsidRPr="00E40D8E">
        <w:rPr>
          <w:rFonts w:ascii="Times New Roman" w:hAnsi="Times New Roman" w:cs="Times New Roman"/>
          <w:sz w:val="28"/>
          <w:szCs w:val="28"/>
        </w:rPr>
        <w:t xml:space="preserve">apliekamiem pirkumiem tiks tērēti 80% no iegūtās summas x 18% (aptuvenā likme no </w:t>
      </w:r>
      <w:r w:rsidR="004908FF" w:rsidRPr="00E40D8E">
        <w:rPr>
          <w:rFonts w:ascii="Times New Roman" w:hAnsi="Times New Roman" w:cs="Times New Roman"/>
          <w:sz w:val="28"/>
          <w:szCs w:val="28"/>
        </w:rPr>
        <w:t xml:space="preserve">patēriņa </w:t>
      </w:r>
      <w:r w:rsidR="00E40D8E" w:rsidRPr="00E40D8E">
        <w:rPr>
          <w:rFonts w:ascii="Times New Roman" w:hAnsi="Times New Roman" w:cs="Times New Roman"/>
          <w:sz w:val="28"/>
          <w:szCs w:val="28"/>
        </w:rPr>
        <w:t>cenu groza)</w:t>
      </w:r>
      <w:r w:rsidR="00B74951">
        <w:rPr>
          <w:rFonts w:ascii="Times New Roman" w:hAnsi="Times New Roman" w:cs="Times New Roman"/>
          <w:sz w:val="28"/>
          <w:szCs w:val="28"/>
        </w:rPr>
        <w:t xml:space="preserve">. </w:t>
      </w:r>
      <w:r w:rsidR="00D2539B" w:rsidRPr="00904203">
        <w:rPr>
          <w:rFonts w:ascii="Times New Roman" w:hAnsi="Times New Roman" w:cs="Times New Roman"/>
          <w:sz w:val="28"/>
          <w:szCs w:val="28"/>
        </w:rPr>
        <w:t>Būtisks ierobežojums šim pozitīvajam ekonomiskajam efektam ir augstais importa īpatsvars Latvijas patēriņa struktūrā.</w:t>
      </w:r>
    </w:p>
    <w:p w:rsidR="00D2539B" w:rsidRPr="00B51381" w:rsidRDefault="00D2539B" w:rsidP="00D2539B">
      <w:pPr>
        <w:pStyle w:val="ListParagraph"/>
        <w:numPr>
          <w:ilvl w:val="0"/>
          <w:numId w:val="7"/>
        </w:numPr>
        <w:spacing w:after="120" w:line="240" w:lineRule="auto"/>
        <w:ind w:left="1134" w:hanging="425"/>
        <w:jc w:val="both"/>
        <w:rPr>
          <w:rFonts w:ascii="Times New Roman" w:hAnsi="Times New Roman" w:cs="Times New Roman"/>
          <w:i/>
          <w:sz w:val="28"/>
          <w:szCs w:val="28"/>
        </w:rPr>
      </w:pPr>
      <w:r w:rsidRPr="00B51381">
        <w:rPr>
          <w:rFonts w:ascii="Times New Roman" w:hAnsi="Times New Roman" w:cs="Times New Roman"/>
          <w:i/>
          <w:sz w:val="28"/>
          <w:szCs w:val="28"/>
        </w:rPr>
        <w:t>ienākuma pieaugums (</w:t>
      </w:r>
      <w:proofErr w:type="spellStart"/>
      <w:r w:rsidRPr="00B51381">
        <w:rPr>
          <w:rFonts w:ascii="Times New Roman" w:hAnsi="Times New Roman" w:cs="Times New Roman"/>
          <w:i/>
          <w:sz w:val="28"/>
          <w:szCs w:val="28"/>
        </w:rPr>
        <w:t>t.sk</w:t>
      </w:r>
      <w:proofErr w:type="spellEnd"/>
      <w:r w:rsidRPr="00B51381">
        <w:rPr>
          <w:rFonts w:ascii="Times New Roman" w:hAnsi="Times New Roman" w:cs="Times New Roman"/>
          <w:i/>
          <w:sz w:val="28"/>
          <w:szCs w:val="28"/>
        </w:rPr>
        <w:t>. ēnu ekonomika)</w:t>
      </w:r>
    </w:p>
    <w:p w:rsidR="00D2539B" w:rsidRDefault="00D2539B" w:rsidP="00D2539B">
      <w:pPr>
        <w:spacing w:after="120" w:line="240" w:lineRule="auto"/>
        <w:ind w:left="1134"/>
        <w:jc w:val="both"/>
        <w:rPr>
          <w:rFonts w:ascii="Times New Roman" w:hAnsi="Times New Roman" w:cs="Times New Roman"/>
          <w:sz w:val="28"/>
          <w:szCs w:val="28"/>
        </w:rPr>
      </w:pPr>
      <w:r w:rsidRPr="00B51381">
        <w:rPr>
          <w:rFonts w:ascii="Times New Roman" w:hAnsi="Times New Roman" w:cs="Times New Roman"/>
          <w:sz w:val="28"/>
          <w:szCs w:val="28"/>
        </w:rPr>
        <w:t>Darba</w:t>
      </w:r>
      <w:r>
        <w:rPr>
          <w:rFonts w:ascii="Times New Roman" w:hAnsi="Times New Roman" w:cs="Times New Roman"/>
          <w:sz w:val="28"/>
          <w:szCs w:val="28"/>
        </w:rPr>
        <w:t>spēka</w:t>
      </w:r>
      <w:r w:rsidRPr="00B51381">
        <w:rPr>
          <w:rFonts w:ascii="Times New Roman" w:hAnsi="Times New Roman" w:cs="Times New Roman"/>
          <w:sz w:val="28"/>
          <w:szCs w:val="28"/>
        </w:rPr>
        <w:t xml:space="preserve"> nodokļu sloga samazinājums var uzlabot arī Latvijas cenu konkurētspēju un pozīcijas </w:t>
      </w:r>
      <w:r w:rsidR="004908FF">
        <w:rPr>
          <w:rFonts w:ascii="Times New Roman" w:hAnsi="Times New Roman" w:cs="Times New Roman"/>
          <w:sz w:val="28"/>
          <w:szCs w:val="28"/>
        </w:rPr>
        <w:t xml:space="preserve">ārvalstu tiešo </w:t>
      </w:r>
      <w:r w:rsidRPr="00B51381">
        <w:rPr>
          <w:rFonts w:ascii="Times New Roman" w:hAnsi="Times New Roman" w:cs="Times New Roman"/>
          <w:sz w:val="28"/>
          <w:szCs w:val="28"/>
        </w:rPr>
        <w:t>investīciju piesaistē. Šāda attīstība var uzlabot Latvijas izaugsmes potenciālu, atdevi no tā varētu gaidīt vidējā termiņā.</w:t>
      </w:r>
    </w:p>
    <w:p w:rsidR="00CB7ADF" w:rsidRDefault="00CB7ADF" w:rsidP="00B74951">
      <w:pPr>
        <w:spacing w:after="120" w:line="240" w:lineRule="auto"/>
        <w:jc w:val="center"/>
        <w:rPr>
          <w:rFonts w:ascii="Times New Roman" w:hAnsi="Times New Roman" w:cs="Times New Roman"/>
          <w:b/>
          <w:sz w:val="24"/>
          <w:szCs w:val="24"/>
        </w:rPr>
      </w:pPr>
    </w:p>
    <w:p w:rsidR="00B74951" w:rsidRDefault="00C4058E" w:rsidP="00B7495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B74951" w:rsidRPr="00B51381">
        <w:rPr>
          <w:rFonts w:ascii="Times New Roman" w:hAnsi="Times New Roman" w:cs="Times New Roman"/>
          <w:b/>
          <w:sz w:val="24"/>
          <w:szCs w:val="24"/>
        </w:rPr>
        <w:t>.tab.</w:t>
      </w:r>
      <w:r w:rsidR="00B74951" w:rsidRPr="00B51381">
        <w:rPr>
          <w:rFonts w:ascii="Times New Roman" w:hAnsi="Times New Roman" w:cs="Times New Roman"/>
          <w:b/>
          <w:sz w:val="24"/>
          <w:szCs w:val="24"/>
        </w:rPr>
        <w:tab/>
      </w:r>
      <w:r w:rsidR="00B74951">
        <w:rPr>
          <w:rFonts w:ascii="Times New Roman" w:hAnsi="Times New Roman" w:cs="Times New Roman"/>
          <w:b/>
          <w:sz w:val="24"/>
          <w:szCs w:val="24"/>
        </w:rPr>
        <w:t xml:space="preserve">Iespējamie kompensējošie pasākumi, </w:t>
      </w:r>
      <w:proofErr w:type="spellStart"/>
      <w:r w:rsidR="00B74951" w:rsidRPr="00145922">
        <w:rPr>
          <w:rFonts w:ascii="Times New Roman" w:hAnsi="Times New Roman" w:cs="Times New Roman"/>
          <w:i/>
          <w:sz w:val="24"/>
          <w:szCs w:val="24"/>
        </w:rPr>
        <w:t>milj</w:t>
      </w:r>
      <w:proofErr w:type="spellEnd"/>
      <w:r w:rsidR="00B74951" w:rsidRPr="00145922">
        <w:rPr>
          <w:rFonts w:ascii="Times New Roman" w:hAnsi="Times New Roman" w:cs="Times New Roman"/>
          <w:i/>
          <w:sz w:val="24"/>
          <w:szCs w:val="24"/>
        </w:rPr>
        <w:t>. latu</w:t>
      </w:r>
      <w:r w:rsidR="00B74951">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44"/>
        <w:gridCol w:w="2127"/>
        <w:gridCol w:w="1559"/>
        <w:gridCol w:w="1578"/>
      </w:tblGrid>
      <w:tr w:rsidR="00B74951" w:rsidTr="00F9333E">
        <w:tc>
          <w:tcPr>
            <w:tcW w:w="4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74951" w:rsidRDefault="00B74951" w:rsidP="00B74951">
            <w:pPr>
              <w:jc w:val="center"/>
              <w:rPr>
                <w:rFonts w:ascii="Times New Roman" w:hAnsi="Times New Roman" w:cs="Times New Roman"/>
                <w:b/>
                <w:sz w:val="24"/>
                <w:szCs w:val="24"/>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74951" w:rsidRPr="00B74951" w:rsidRDefault="00B74951" w:rsidP="00B74951">
            <w:pPr>
              <w:jc w:val="center"/>
              <w:rPr>
                <w:rFonts w:ascii="Times New Roman" w:hAnsi="Times New Roman" w:cs="Times New Roman"/>
                <w:b/>
                <w:sz w:val="24"/>
                <w:szCs w:val="24"/>
              </w:rPr>
            </w:pPr>
            <w:r w:rsidRPr="00B74951">
              <w:rPr>
                <w:rFonts w:ascii="Times New Roman" w:hAnsi="Times New Roman" w:cs="Times New Roman"/>
                <w:b/>
                <w:bCs/>
                <w:sz w:val="24"/>
                <w:szCs w:val="24"/>
              </w:rPr>
              <w:t xml:space="preserve">Fiskālā ietekme </w:t>
            </w:r>
          </w:p>
          <w:p w:rsidR="00B74951" w:rsidRDefault="00B74951" w:rsidP="00B74951">
            <w:pPr>
              <w:jc w:val="center"/>
              <w:rPr>
                <w:rFonts w:ascii="Times New Roman" w:hAnsi="Times New Roman" w:cs="Times New Roman"/>
                <w:b/>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74951" w:rsidRPr="00B74951" w:rsidRDefault="00B74951" w:rsidP="00B74951">
            <w:pPr>
              <w:jc w:val="center"/>
              <w:rPr>
                <w:rFonts w:ascii="Times New Roman" w:hAnsi="Times New Roman" w:cs="Times New Roman"/>
                <w:b/>
                <w:sz w:val="24"/>
                <w:szCs w:val="24"/>
              </w:rPr>
            </w:pPr>
            <w:r w:rsidRPr="00B74951">
              <w:rPr>
                <w:rFonts w:ascii="Times New Roman" w:hAnsi="Times New Roman" w:cs="Times New Roman"/>
                <w:b/>
                <w:bCs/>
                <w:sz w:val="24"/>
                <w:szCs w:val="24"/>
              </w:rPr>
              <w:t xml:space="preserve">Ieguvums </w:t>
            </w:r>
            <w:proofErr w:type="spellStart"/>
            <w:r w:rsidRPr="00B74951">
              <w:rPr>
                <w:rFonts w:ascii="Times New Roman" w:hAnsi="Times New Roman" w:cs="Times New Roman"/>
                <w:b/>
                <w:bCs/>
                <w:sz w:val="24"/>
                <w:szCs w:val="24"/>
              </w:rPr>
              <w:t>mājsaim-niecībām</w:t>
            </w:r>
            <w:proofErr w:type="spellEnd"/>
          </w:p>
          <w:p w:rsidR="00B74951" w:rsidRDefault="00B74951" w:rsidP="00B74951">
            <w:pPr>
              <w:jc w:val="center"/>
              <w:rPr>
                <w:rFonts w:ascii="Times New Roman" w:hAnsi="Times New Roman" w:cs="Times New Roman"/>
                <w:b/>
                <w:sz w:val="24"/>
                <w:szCs w:val="24"/>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74951" w:rsidRPr="00B74951" w:rsidRDefault="00B74951" w:rsidP="00B74951">
            <w:pPr>
              <w:jc w:val="center"/>
              <w:rPr>
                <w:rFonts w:ascii="Times New Roman" w:hAnsi="Times New Roman" w:cs="Times New Roman"/>
                <w:b/>
                <w:sz w:val="24"/>
                <w:szCs w:val="24"/>
              </w:rPr>
            </w:pPr>
            <w:proofErr w:type="spellStart"/>
            <w:r w:rsidRPr="00B74951">
              <w:rPr>
                <w:rFonts w:ascii="Times New Roman" w:hAnsi="Times New Roman" w:cs="Times New Roman"/>
                <w:b/>
                <w:bCs/>
                <w:sz w:val="24"/>
                <w:szCs w:val="24"/>
              </w:rPr>
              <w:t>Atgrie-zeniskie</w:t>
            </w:r>
            <w:proofErr w:type="spellEnd"/>
            <w:r w:rsidRPr="00B74951">
              <w:rPr>
                <w:rFonts w:ascii="Times New Roman" w:hAnsi="Times New Roman" w:cs="Times New Roman"/>
                <w:b/>
                <w:bCs/>
                <w:sz w:val="24"/>
                <w:szCs w:val="24"/>
              </w:rPr>
              <w:t xml:space="preserve"> efekti </w:t>
            </w:r>
            <w:r w:rsidRPr="00B74951">
              <w:rPr>
                <w:rFonts w:ascii="Times New Roman" w:hAnsi="Times New Roman" w:cs="Times New Roman"/>
                <w:b/>
                <w:sz w:val="24"/>
                <w:szCs w:val="24"/>
              </w:rPr>
              <w:t>(</w:t>
            </w:r>
            <w:r w:rsidRPr="00B74951">
              <w:rPr>
                <w:rFonts w:ascii="Times New Roman" w:hAnsi="Times New Roman" w:cs="Times New Roman"/>
                <w:b/>
                <w:i/>
                <w:iCs/>
                <w:sz w:val="24"/>
                <w:szCs w:val="24"/>
              </w:rPr>
              <w:t>PVN</w:t>
            </w:r>
            <w:r w:rsidR="00426ECA">
              <w:rPr>
                <w:rFonts w:ascii="Times New Roman" w:hAnsi="Times New Roman" w:cs="Times New Roman"/>
                <w:b/>
                <w:i/>
                <w:iCs/>
                <w:sz w:val="24"/>
                <w:szCs w:val="24"/>
              </w:rPr>
              <w:t>, akcīze</w:t>
            </w:r>
            <w:r w:rsidRPr="00B74951">
              <w:rPr>
                <w:rFonts w:ascii="Times New Roman" w:hAnsi="Times New Roman" w:cs="Times New Roman"/>
                <w:b/>
                <w:sz w:val="24"/>
                <w:szCs w:val="24"/>
              </w:rPr>
              <w:t>)</w:t>
            </w:r>
          </w:p>
          <w:p w:rsidR="00B74951" w:rsidRDefault="00B74951" w:rsidP="00B74951">
            <w:pPr>
              <w:jc w:val="center"/>
              <w:rPr>
                <w:rFonts w:ascii="Times New Roman" w:hAnsi="Times New Roman" w:cs="Times New Roman"/>
                <w:b/>
                <w:sz w:val="24"/>
                <w:szCs w:val="24"/>
              </w:rPr>
            </w:pPr>
          </w:p>
        </w:tc>
      </w:tr>
      <w:tr w:rsidR="00B74951" w:rsidTr="00F9333E">
        <w:tc>
          <w:tcPr>
            <w:tcW w:w="4644" w:type="dxa"/>
            <w:tcBorders>
              <w:top w:val="single" w:sz="4" w:space="0" w:color="FFFFFF" w:themeColor="background1"/>
              <w:bottom w:val="single" w:sz="4" w:space="0" w:color="000000" w:themeColor="text1"/>
            </w:tcBorders>
          </w:tcPr>
          <w:p w:rsidR="00B74951" w:rsidRPr="00B74951" w:rsidRDefault="00B74951" w:rsidP="00B74951">
            <w:pPr>
              <w:rPr>
                <w:rFonts w:ascii="Times New Roman" w:hAnsi="Times New Roman" w:cs="Times New Roman"/>
                <w:b/>
                <w:sz w:val="24"/>
                <w:szCs w:val="24"/>
              </w:rPr>
            </w:pPr>
            <w:r w:rsidRPr="00B74951">
              <w:rPr>
                <w:rFonts w:ascii="Times New Roman" w:hAnsi="Times New Roman" w:cs="Times New Roman"/>
                <w:b/>
                <w:bCs/>
                <w:sz w:val="24"/>
                <w:szCs w:val="24"/>
              </w:rPr>
              <w:t xml:space="preserve">Minimālās algas paaugstināšana </w:t>
            </w:r>
          </w:p>
          <w:p w:rsidR="00B74951" w:rsidRDefault="00B74951" w:rsidP="00B74951">
            <w:pPr>
              <w:rPr>
                <w:rFonts w:ascii="Times New Roman" w:hAnsi="Times New Roman" w:cs="Times New Roman"/>
                <w:b/>
                <w:sz w:val="24"/>
                <w:szCs w:val="24"/>
              </w:rPr>
            </w:pPr>
            <w:r>
              <w:rPr>
                <w:rFonts w:ascii="Times New Roman" w:hAnsi="Times New Roman" w:cs="Times New Roman"/>
                <w:sz w:val="24"/>
                <w:szCs w:val="24"/>
              </w:rPr>
              <w:t>(</w:t>
            </w:r>
            <w:r w:rsidRPr="00B74951">
              <w:rPr>
                <w:rFonts w:ascii="Times New Roman" w:hAnsi="Times New Roman" w:cs="Times New Roman"/>
                <w:sz w:val="24"/>
                <w:szCs w:val="24"/>
              </w:rPr>
              <w:t xml:space="preserve">no 200 uz 225 </w:t>
            </w:r>
            <w:r w:rsidRPr="00B74951">
              <w:rPr>
                <w:rFonts w:ascii="Times New Roman" w:hAnsi="Times New Roman" w:cs="Times New Roman"/>
                <w:iCs/>
                <w:sz w:val="24"/>
                <w:szCs w:val="24"/>
              </w:rPr>
              <w:t>L</w:t>
            </w:r>
            <w:r>
              <w:rPr>
                <w:rFonts w:ascii="Times New Roman" w:hAnsi="Times New Roman" w:cs="Times New Roman"/>
                <w:iCs/>
                <w:sz w:val="24"/>
                <w:szCs w:val="24"/>
              </w:rPr>
              <w:t>VL</w:t>
            </w:r>
            <w:r w:rsidRPr="00B74951">
              <w:rPr>
                <w:rFonts w:ascii="Times New Roman" w:hAnsi="Times New Roman" w:cs="Times New Roman"/>
                <w:iCs/>
                <w:sz w:val="24"/>
                <w:szCs w:val="24"/>
              </w:rPr>
              <w:t>/mēn</w:t>
            </w:r>
            <w:r>
              <w:rPr>
                <w:rFonts w:ascii="Times New Roman" w:hAnsi="Times New Roman" w:cs="Times New Roman"/>
                <w:iCs/>
                <w:sz w:val="24"/>
                <w:szCs w:val="24"/>
              </w:rPr>
              <w:t>esī)</w:t>
            </w:r>
            <w:r w:rsidRPr="00B74951">
              <w:rPr>
                <w:rFonts w:ascii="Times New Roman" w:hAnsi="Times New Roman" w:cs="Times New Roman"/>
                <w:b/>
                <w:sz w:val="24"/>
                <w:szCs w:val="24"/>
              </w:rPr>
              <w:t xml:space="preserve"> </w:t>
            </w:r>
          </w:p>
        </w:tc>
        <w:tc>
          <w:tcPr>
            <w:tcW w:w="2127" w:type="dxa"/>
            <w:tcBorders>
              <w:top w:val="single" w:sz="4" w:space="0" w:color="FFFFFF" w:themeColor="background1"/>
              <w:bottom w:val="single" w:sz="4" w:space="0" w:color="000000" w:themeColor="text1"/>
            </w:tcBorders>
          </w:tcPr>
          <w:p w:rsidR="00B74951" w:rsidRPr="00B74951" w:rsidRDefault="00174675" w:rsidP="00F544C4">
            <w:pPr>
              <w:jc w:val="center"/>
              <w:rPr>
                <w:rFonts w:ascii="Times New Roman" w:hAnsi="Times New Roman" w:cs="Times New Roman"/>
                <w:sz w:val="24"/>
                <w:szCs w:val="24"/>
              </w:rPr>
            </w:pPr>
            <w:r>
              <w:rPr>
                <w:rFonts w:ascii="Times New Roman" w:hAnsi="Times New Roman" w:cs="Times New Roman"/>
                <w:sz w:val="24"/>
                <w:szCs w:val="24"/>
              </w:rPr>
              <w:t>+</w:t>
            </w:r>
            <w:r w:rsidR="00B74951" w:rsidRPr="00B74951">
              <w:rPr>
                <w:rFonts w:ascii="Times New Roman" w:hAnsi="Times New Roman" w:cs="Times New Roman"/>
                <w:sz w:val="24"/>
                <w:szCs w:val="24"/>
              </w:rPr>
              <w:t>9,</w:t>
            </w:r>
            <w:r w:rsidR="00F544C4">
              <w:rPr>
                <w:rFonts w:ascii="Times New Roman" w:hAnsi="Times New Roman" w:cs="Times New Roman"/>
                <w:sz w:val="24"/>
                <w:szCs w:val="24"/>
              </w:rPr>
              <w:t>0</w:t>
            </w:r>
            <w:r w:rsidR="001E608B">
              <w:rPr>
                <w:rFonts w:ascii="Times New Roman" w:hAnsi="Times New Roman" w:cs="Times New Roman"/>
                <w:sz w:val="24"/>
                <w:szCs w:val="24"/>
              </w:rPr>
              <w:t>1</w:t>
            </w:r>
          </w:p>
        </w:tc>
        <w:tc>
          <w:tcPr>
            <w:tcW w:w="1559" w:type="dxa"/>
            <w:tcBorders>
              <w:top w:val="single" w:sz="4" w:space="0" w:color="FFFFFF" w:themeColor="background1"/>
              <w:bottom w:val="single" w:sz="4" w:space="0" w:color="000000" w:themeColor="text1"/>
            </w:tcBorders>
          </w:tcPr>
          <w:p w:rsidR="00F9333E" w:rsidRDefault="00F9333E" w:rsidP="00B74951">
            <w:pPr>
              <w:jc w:val="center"/>
              <w:rPr>
                <w:rFonts w:ascii="Times New Roman" w:hAnsi="Times New Roman" w:cs="Times New Roman"/>
                <w:sz w:val="24"/>
                <w:szCs w:val="24"/>
              </w:rPr>
            </w:pPr>
            <w:r w:rsidRPr="00B74951">
              <w:rPr>
                <w:rFonts w:ascii="Times New Roman" w:hAnsi="Times New Roman" w:cs="Times New Roman"/>
                <w:sz w:val="24"/>
                <w:szCs w:val="24"/>
              </w:rPr>
              <w:t>+</w:t>
            </w:r>
            <w:r w:rsidR="00486DB8">
              <w:rPr>
                <w:rFonts w:ascii="Times New Roman" w:hAnsi="Times New Roman" w:cs="Times New Roman"/>
                <w:sz w:val="24"/>
                <w:szCs w:val="24"/>
              </w:rPr>
              <w:t>38</w:t>
            </w:r>
            <w:r w:rsidRPr="00B74951">
              <w:rPr>
                <w:rFonts w:ascii="Times New Roman" w:hAnsi="Times New Roman" w:cs="Times New Roman"/>
                <w:sz w:val="24"/>
                <w:szCs w:val="24"/>
              </w:rPr>
              <w:t>,</w:t>
            </w:r>
            <w:r w:rsidR="00486DB8">
              <w:rPr>
                <w:rFonts w:ascii="Times New Roman" w:hAnsi="Times New Roman" w:cs="Times New Roman"/>
                <w:sz w:val="24"/>
                <w:szCs w:val="24"/>
              </w:rPr>
              <w:t>6</w:t>
            </w:r>
            <w:r w:rsidR="00861E9E">
              <w:rPr>
                <w:rFonts w:ascii="Times New Roman" w:hAnsi="Times New Roman" w:cs="Times New Roman"/>
                <w:sz w:val="24"/>
                <w:szCs w:val="24"/>
              </w:rPr>
              <w:t>0</w:t>
            </w:r>
            <w:r w:rsidRPr="00B74951">
              <w:rPr>
                <w:rFonts w:ascii="Times New Roman" w:hAnsi="Times New Roman" w:cs="Times New Roman"/>
                <w:sz w:val="24"/>
                <w:szCs w:val="24"/>
              </w:rPr>
              <w:t xml:space="preserve"> </w:t>
            </w:r>
          </w:p>
          <w:p w:rsidR="00F9333E" w:rsidRPr="00486DB8" w:rsidRDefault="00F9333E" w:rsidP="00B74951">
            <w:pPr>
              <w:jc w:val="center"/>
              <w:rPr>
                <w:rFonts w:ascii="Times New Roman" w:hAnsi="Times New Roman" w:cs="Times New Roman"/>
                <w:i/>
                <w:sz w:val="24"/>
                <w:szCs w:val="24"/>
              </w:rPr>
            </w:pPr>
            <w:r w:rsidRPr="00486DB8">
              <w:rPr>
                <w:rFonts w:ascii="Times New Roman" w:hAnsi="Times New Roman" w:cs="Times New Roman"/>
                <w:i/>
                <w:sz w:val="24"/>
                <w:szCs w:val="24"/>
              </w:rPr>
              <w:t>(budžeta iestādes</w:t>
            </w:r>
          </w:p>
          <w:p w:rsidR="00B74951" w:rsidRPr="00B74951" w:rsidRDefault="00B74951" w:rsidP="00486DB8">
            <w:pPr>
              <w:jc w:val="center"/>
              <w:rPr>
                <w:rFonts w:ascii="Times New Roman" w:hAnsi="Times New Roman" w:cs="Times New Roman"/>
                <w:sz w:val="24"/>
                <w:szCs w:val="24"/>
              </w:rPr>
            </w:pPr>
            <w:r w:rsidRPr="00486DB8">
              <w:rPr>
                <w:rFonts w:ascii="Times New Roman" w:hAnsi="Times New Roman" w:cs="Times New Roman"/>
                <w:i/>
                <w:sz w:val="24"/>
                <w:szCs w:val="24"/>
              </w:rPr>
              <w:t>+</w:t>
            </w:r>
            <w:r w:rsidR="00486DB8" w:rsidRPr="00486DB8">
              <w:rPr>
                <w:rFonts w:ascii="Times New Roman" w:hAnsi="Times New Roman" w:cs="Times New Roman"/>
                <w:i/>
                <w:sz w:val="24"/>
                <w:szCs w:val="24"/>
              </w:rPr>
              <w:t>5</w:t>
            </w:r>
            <w:r w:rsidRPr="00486DB8">
              <w:rPr>
                <w:rFonts w:ascii="Times New Roman" w:hAnsi="Times New Roman" w:cs="Times New Roman"/>
                <w:i/>
                <w:sz w:val="24"/>
                <w:szCs w:val="24"/>
              </w:rPr>
              <w:t>,</w:t>
            </w:r>
            <w:r w:rsidR="00486DB8" w:rsidRPr="00486DB8">
              <w:rPr>
                <w:rFonts w:ascii="Times New Roman" w:hAnsi="Times New Roman" w:cs="Times New Roman"/>
                <w:i/>
                <w:sz w:val="24"/>
                <w:szCs w:val="24"/>
              </w:rPr>
              <w:t>9</w:t>
            </w:r>
            <w:r w:rsidRPr="00486DB8">
              <w:rPr>
                <w:rFonts w:ascii="Times New Roman" w:hAnsi="Times New Roman" w:cs="Times New Roman"/>
                <w:i/>
                <w:sz w:val="24"/>
                <w:szCs w:val="24"/>
              </w:rPr>
              <w:t>4</w:t>
            </w:r>
            <w:r w:rsidR="00F9333E" w:rsidRPr="00486DB8">
              <w:rPr>
                <w:rFonts w:ascii="Times New Roman" w:hAnsi="Times New Roman" w:cs="Times New Roman"/>
                <w:i/>
                <w:sz w:val="24"/>
                <w:szCs w:val="24"/>
              </w:rPr>
              <w:t>)</w:t>
            </w:r>
          </w:p>
        </w:tc>
        <w:tc>
          <w:tcPr>
            <w:tcW w:w="1578" w:type="dxa"/>
            <w:tcBorders>
              <w:top w:val="single" w:sz="4" w:space="0" w:color="FFFFFF" w:themeColor="background1"/>
              <w:bottom w:val="single" w:sz="4" w:space="0" w:color="000000" w:themeColor="text1"/>
            </w:tcBorders>
            <w:shd w:val="clear" w:color="auto" w:fill="FFFFCC"/>
          </w:tcPr>
          <w:p w:rsidR="00F9333E" w:rsidRDefault="00F9333E" w:rsidP="00B74951">
            <w:pPr>
              <w:jc w:val="center"/>
              <w:rPr>
                <w:rFonts w:ascii="Times New Roman" w:hAnsi="Times New Roman" w:cs="Times New Roman"/>
                <w:sz w:val="24"/>
                <w:szCs w:val="24"/>
              </w:rPr>
            </w:pPr>
            <w:r w:rsidRPr="00F9333E">
              <w:rPr>
                <w:rFonts w:ascii="Times New Roman" w:hAnsi="Times New Roman" w:cs="Times New Roman"/>
                <w:b/>
                <w:sz w:val="24"/>
                <w:szCs w:val="24"/>
              </w:rPr>
              <w:t>+</w:t>
            </w:r>
            <w:r w:rsidR="00486DB8">
              <w:rPr>
                <w:rFonts w:ascii="Times New Roman" w:hAnsi="Times New Roman" w:cs="Times New Roman"/>
                <w:b/>
                <w:sz w:val="24"/>
                <w:szCs w:val="24"/>
              </w:rPr>
              <w:t>3</w:t>
            </w:r>
            <w:r w:rsidRPr="00F9333E">
              <w:rPr>
                <w:rFonts w:ascii="Times New Roman" w:hAnsi="Times New Roman" w:cs="Times New Roman"/>
                <w:b/>
                <w:sz w:val="24"/>
                <w:szCs w:val="24"/>
              </w:rPr>
              <w:t>,</w:t>
            </w:r>
            <w:r w:rsidR="00486DB8">
              <w:rPr>
                <w:rFonts w:ascii="Times New Roman" w:hAnsi="Times New Roman" w:cs="Times New Roman"/>
                <w:b/>
                <w:sz w:val="24"/>
                <w:szCs w:val="24"/>
              </w:rPr>
              <w:t>47</w:t>
            </w:r>
            <w:r w:rsidRPr="00E86432">
              <w:rPr>
                <w:rFonts w:ascii="Times New Roman" w:hAnsi="Times New Roman" w:cs="Times New Roman"/>
                <w:sz w:val="24"/>
                <w:szCs w:val="24"/>
                <w:vertAlign w:val="superscript"/>
              </w:rPr>
              <w:t>**</w:t>
            </w:r>
            <w:r w:rsidRPr="00E86432">
              <w:rPr>
                <w:rFonts w:ascii="Times New Roman" w:hAnsi="Times New Roman" w:cs="Times New Roman"/>
                <w:sz w:val="24"/>
                <w:szCs w:val="24"/>
              </w:rPr>
              <w:t xml:space="preserve"> </w:t>
            </w:r>
          </w:p>
          <w:p w:rsidR="00E86432" w:rsidRPr="00486DB8" w:rsidRDefault="00F9333E" w:rsidP="00486DB8">
            <w:pPr>
              <w:jc w:val="center"/>
              <w:rPr>
                <w:rFonts w:ascii="Times New Roman" w:hAnsi="Times New Roman" w:cs="Times New Roman"/>
                <w:b/>
                <w:i/>
                <w:sz w:val="24"/>
                <w:szCs w:val="24"/>
                <w:vertAlign w:val="superscript"/>
              </w:rPr>
            </w:pPr>
            <w:r w:rsidRPr="00486DB8">
              <w:rPr>
                <w:rFonts w:ascii="Times New Roman" w:hAnsi="Times New Roman" w:cs="Times New Roman"/>
                <w:i/>
                <w:sz w:val="24"/>
                <w:szCs w:val="24"/>
              </w:rPr>
              <w:t xml:space="preserve">(budžeta iestādes </w:t>
            </w:r>
            <w:r w:rsidR="00E86432" w:rsidRPr="00486DB8">
              <w:rPr>
                <w:rFonts w:ascii="Times New Roman" w:hAnsi="Times New Roman" w:cs="Times New Roman"/>
                <w:i/>
                <w:sz w:val="24"/>
                <w:szCs w:val="24"/>
              </w:rPr>
              <w:t>+0,</w:t>
            </w:r>
            <w:r w:rsidR="00486DB8" w:rsidRPr="00486DB8">
              <w:rPr>
                <w:rFonts w:ascii="Times New Roman" w:hAnsi="Times New Roman" w:cs="Times New Roman"/>
                <w:i/>
                <w:sz w:val="24"/>
                <w:szCs w:val="24"/>
              </w:rPr>
              <w:t>85</w:t>
            </w:r>
            <w:r w:rsidR="00E86432" w:rsidRPr="00486DB8">
              <w:rPr>
                <w:rFonts w:ascii="Times New Roman" w:hAnsi="Times New Roman" w:cs="Times New Roman"/>
                <w:i/>
                <w:sz w:val="24"/>
                <w:szCs w:val="24"/>
                <w:vertAlign w:val="superscript"/>
              </w:rPr>
              <w:t>*</w:t>
            </w:r>
            <w:r w:rsidRPr="00486DB8">
              <w:rPr>
                <w:rFonts w:ascii="Times New Roman" w:hAnsi="Times New Roman" w:cs="Times New Roman"/>
                <w:i/>
                <w:sz w:val="24"/>
                <w:szCs w:val="24"/>
              </w:rPr>
              <w:t>)</w:t>
            </w:r>
          </w:p>
        </w:tc>
      </w:tr>
      <w:tr w:rsidR="00E86432" w:rsidTr="00F9333E">
        <w:tc>
          <w:tcPr>
            <w:tcW w:w="4644" w:type="dxa"/>
            <w:tcBorders>
              <w:top w:val="single" w:sz="4" w:space="0" w:color="000000" w:themeColor="text1"/>
              <w:bottom w:val="single" w:sz="4" w:space="0" w:color="000000" w:themeColor="text1"/>
            </w:tcBorders>
          </w:tcPr>
          <w:p w:rsidR="00E86432" w:rsidRPr="00E86432" w:rsidRDefault="00E86432" w:rsidP="00E86432">
            <w:pPr>
              <w:rPr>
                <w:rFonts w:ascii="Times New Roman" w:hAnsi="Times New Roman" w:cs="Times New Roman"/>
                <w:b/>
                <w:bCs/>
                <w:sz w:val="24"/>
                <w:szCs w:val="24"/>
              </w:rPr>
            </w:pPr>
            <w:r w:rsidRPr="00E86432">
              <w:rPr>
                <w:rFonts w:ascii="Times New Roman" w:hAnsi="Times New Roman" w:cs="Times New Roman"/>
                <w:b/>
                <w:bCs/>
                <w:sz w:val="24"/>
                <w:szCs w:val="24"/>
              </w:rPr>
              <w:t>Atvieglojuma par apgādībā esošām personām pa</w:t>
            </w:r>
            <w:r>
              <w:rPr>
                <w:rFonts w:ascii="Times New Roman" w:hAnsi="Times New Roman" w:cs="Times New Roman"/>
                <w:b/>
                <w:bCs/>
                <w:sz w:val="24"/>
                <w:szCs w:val="24"/>
              </w:rPr>
              <w:t>l</w:t>
            </w:r>
            <w:r w:rsidRPr="00E86432">
              <w:rPr>
                <w:rFonts w:ascii="Times New Roman" w:hAnsi="Times New Roman" w:cs="Times New Roman"/>
                <w:b/>
                <w:bCs/>
                <w:sz w:val="24"/>
                <w:szCs w:val="24"/>
              </w:rPr>
              <w:t>i</w:t>
            </w:r>
            <w:r>
              <w:rPr>
                <w:rFonts w:ascii="Times New Roman" w:hAnsi="Times New Roman" w:cs="Times New Roman"/>
                <w:b/>
                <w:bCs/>
                <w:sz w:val="24"/>
                <w:szCs w:val="24"/>
              </w:rPr>
              <w:t>eli</w:t>
            </w:r>
            <w:r w:rsidRPr="00E86432">
              <w:rPr>
                <w:rFonts w:ascii="Times New Roman" w:hAnsi="Times New Roman" w:cs="Times New Roman"/>
                <w:b/>
                <w:bCs/>
                <w:sz w:val="24"/>
                <w:szCs w:val="24"/>
              </w:rPr>
              <w:t xml:space="preserve">nāšana </w:t>
            </w:r>
          </w:p>
          <w:p w:rsidR="00E86432" w:rsidRPr="00E86432" w:rsidRDefault="00E86432" w:rsidP="00E86432">
            <w:pPr>
              <w:rPr>
                <w:rFonts w:ascii="Times New Roman" w:hAnsi="Times New Roman" w:cs="Times New Roman"/>
                <w:bCs/>
                <w:sz w:val="24"/>
                <w:szCs w:val="24"/>
              </w:rPr>
            </w:pPr>
            <w:r w:rsidRPr="00E86432">
              <w:rPr>
                <w:rFonts w:ascii="Times New Roman" w:hAnsi="Times New Roman" w:cs="Times New Roman"/>
                <w:bCs/>
                <w:sz w:val="24"/>
                <w:szCs w:val="24"/>
              </w:rPr>
              <w:t xml:space="preserve">(no 80 uz 98 </w:t>
            </w:r>
            <w:r w:rsidRPr="00E86432">
              <w:rPr>
                <w:rFonts w:ascii="Times New Roman" w:hAnsi="Times New Roman" w:cs="Times New Roman"/>
                <w:bCs/>
                <w:iCs/>
                <w:sz w:val="24"/>
                <w:szCs w:val="24"/>
              </w:rPr>
              <w:t>LVL/mēnesī)</w:t>
            </w:r>
          </w:p>
        </w:tc>
        <w:tc>
          <w:tcPr>
            <w:tcW w:w="2127" w:type="dxa"/>
            <w:tcBorders>
              <w:top w:val="single" w:sz="4" w:space="0" w:color="000000" w:themeColor="text1"/>
              <w:bottom w:val="single" w:sz="4" w:space="0" w:color="000000" w:themeColor="text1"/>
            </w:tcBorders>
          </w:tcPr>
          <w:p w:rsidR="00E86432" w:rsidRPr="00B74951" w:rsidRDefault="00E86432" w:rsidP="00486DB8">
            <w:pPr>
              <w:jc w:val="center"/>
              <w:rPr>
                <w:rFonts w:ascii="Times New Roman" w:hAnsi="Times New Roman" w:cs="Times New Roman"/>
                <w:sz w:val="24"/>
                <w:szCs w:val="24"/>
              </w:rPr>
            </w:pPr>
            <w:r>
              <w:rPr>
                <w:rFonts w:ascii="Times New Roman" w:hAnsi="Times New Roman" w:cs="Times New Roman"/>
                <w:sz w:val="24"/>
                <w:szCs w:val="24"/>
              </w:rPr>
              <w:t>-12,</w:t>
            </w:r>
            <w:r w:rsidR="00486DB8">
              <w:rPr>
                <w:rFonts w:ascii="Times New Roman" w:hAnsi="Times New Roman" w:cs="Times New Roman"/>
                <w:sz w:val="24"/>
                <w:szCs w:val="24"/>
              </w:rPr>
              <w:t>24</w:t>
            </w:r>
          </w:p>
        </w:tc>
        <w:tc>
          <w:tcPr>
            <w:tcW w:w="1559" w:type="dxa"/>
            <w:tcBorders>
              <w:top w:val="single" w:sz="4" w:space="0" w:color="000000" w:themeColor="text1"/>
              <w:bottom w:val="single" w:sz="4" w:space="0" w:color="000000" w:themeColor="text1"/>
            </w:tcBorders>
          </w:tcPr>
          <w:p w:rsidR="00E86432" w:rsidRPr="00B74951" w:rsidRDefault="00E86432" w:rsidP="00486DB8">
            <w:pPr>
              <w:jc w:val="center"/>
              <w:rPr>
                <w:rFonts w:ascii="Times New Roman" w:hAnsi="Times New Roman" w:cs="Times New Roman"/>
                <w:sz w:val="24"/>
                <w:szCs w:val="24"/>
              </w:rPr>
            </w:pPr>
            <w:r>
              <w:rPr>
                <w:rFonts w:ascii="Times New Roman" w:hAnsi="Times New Roman" w:cs="Times New Roman"/>
                <w:sz w:val="24"/>
                <w:szCs w:val="24"/>
              </w:rPr>
              <w:t>+12,</w:t>
            </w:r>
            <w:r w:rsidR="00486DB8">
              <w:rPr>
                <w:rFonts w:ascii="Times New Roman" w:hAnsi="Times New Roman" w:cs="Times New Roman"/>
                <w:sz w:val="24"/>
                <w:szCs w:val="24"/>
              </w:rPr>
              <w:t>24</w:t>
            </w:r>
          </w:p>
        </w:tc>
        <w:tc>
          <w:tcPr>
            <w:tcW w:w="1578" w:type="dxa"/>
            <w:tcBorders>
              <w:top w:val="single" w:sz="4" w:space="0" w:color="000000" w:themeColor="text1"/>
              <w:bottom w:val="single" w:sz="4" w:space="0" w:color="000000" w:themeColor="text1"/>
            </w:tcBorders>
            <w:shd w:val="clear" w:color="auto" w:fill="FFFFCC"/>
          </w:tcPr>
          <w:p w:rsidR="00E86432" w:rsidRDefault="00E86432" w:rsidP="00B74951">
            <w:pPr>
              <w:jc w:val="center"/>
              <w:rPr>
                <w:rFonts w:ascii="Times New Roman" w:hAnsi="Times New Roman" w:cs="Times New Roman"/>
                <w:b/>
                <w:sz w:val="24"/>
                <w:szCs w:val="24"/>
              </w:rPr>
            </w:pPr>
            <w:r>
              <w:rPr>
                <w:rFonts w:ascii="Times New Roman" w:hAnsi="Times New Roman" w:cs="Times New Roman"/>
                <w:b/>
                <w:sz w:val="24"/>
                <w:szCs w:val="24"/>
              </w:rPr>
              <w:t>+1,</w:t>
            </w:r>
            <w:r w:rsidR="00861E9E">
              <w:rPr>
                <w:rFonts w:ascii="Times New Roman" w:hAnsi="Times New Roman" w:cs="Times New Roman"/>
                <w:b/>
                <w:sz w:val="24"/>
                <w:szCs w:val="24"/>
              </w:rPr>
              <w:t>7</w:t>
            </w:r>
            <w:r w:rsidR="00486DB8">
              <w:rPr>
                <w:rFonts w:ascii="Times New Roman" w:hAnsi="Times New Roman" w:cs="Times New Roman"/>
                <w:b/>
                <w:sz w:val="24"/>
                <w:szCs w:val="24"/>
              </w:rPr>
              <w:t>6</w:t>
            </w:r>
            <w:r w:rsidRPr="00E86432">
              <w:rPr>
                <w:rFonts w:ascii="Times New Roman" w:hAnsi="Times New Roman" w:cs="Times New Roman"/>
                <w:b/>
                <w:sz w:val="24"/>
                <w:szCs w:val="24"/>
                <w:vertAlign w:val="superscript"/>
              </w:rPr>
              <w:t>*</w:t>
            </w:r>
          </w:p>
        </w:tc>
      </w:tr>
      <w:tr w:rsidR="00E86432" w:rsidTr="00F9333E">
        <w:tc>
          <w:tcPr>
            <w:tcW w:w="4644" w:type="dxa"/>
            <w:tcBorders>
              <w:top w:val="single" w:sz="4" w:space="0" w:color="000000" w:themeColor="text1"/>
            </w:tcBorders>
          </w:tcPr>
          <w:p w:rsidR="00E86432" w:rsidRDefault="00E86432" w:rsidP="00E86432">
            <w:pPr>
              <w:rPr>
                <w:rFonts w:ascii="Times New Roman" w:hAnsi="Times New Roman" w:cs="Times New Roman"/>
                <w:b/>
                <w:bCs/>
                <w:sz w:val="24"/>
                <w:szCs w:val="24"/>
              </w:rPr>
            </w:pPr>
            <w:r w:rsidRPr="00E86432">
              <w:rPr>
                <w:rFonts w:ascii="Times New Roman" w:hAnsi="Times New Roman" w:cs="Times New Roman"/>
                <w:b/>
                <w:bCs/>
                <w:sz w:val="24"/>
                <w:szCs w:val="24"/>
              </w:rPr>
              <w:t>N</w:t>
            </w:r>
            <w:r>
              <w:rPr>
                <w:rFonts w:ascii="Times New Roman" w:hAnsi="Times New Roman" w:cs="Times New Roman"/>
                <w:b/>
                <w:bCs/>
                <w:sz w:val="24"/>
                <w:szCs w:val="24"/>
              </w:rPr>
              <w:t xml:space="preserve">eapliekamā minimuma diferencēšana </w:t>
            </w:r>
            <w:r w:rsidRPr="00E86432">
              <w:rPr>
                <w:rFonts w:ascii="Times New Roman" w:hAnsi="Times New Roman" w:cs="Times New Roman"/>
                <w:b/>
                <w:bCs/>
                <w:sz w:val="24"/>
                <w:szCs w:val="24"/>
              </w:rPr>
              <w:t xml:space="preserve"> </w:t>
            </w:r>
          </w:p>
          <w:p w:rsidR="00E86432" w:rsidRPr="00E86432" w:rsidRDefault="00E86432" w:rsidP="00E86432">
            <w:pPr>
              <w:rPr>
                <w:rFonts w:ascii="Times New Roman" w:hAnsi="Times New Roman" w:cs="Times New Roman"/>
                <w:bCs/>
                <w:sz w:val="24"/>
                <w:szCs w:val="24"/>
              </w:rPr>
            </w:pPr>
            <w:r w:rsidRPr="00E86432">
              <w:rPr>
                <w:rFonts w:ascii="Times New Roman" w:hAnsi="Times New Roman" w:cs="Times New Roman"/>
                <w:bCs/>
                <w:sz w:val="24"/>
                <w:szCs w:val="24"/>
              </w:rPr>
              <w:t>(no 45 uz 45-84 LVL</w:t>
            </w:r>
            <w:r w:rsidRPr="00E86432">
              <w:rPr>
                <w:rFonts w:ascii="Times New Roman" w:hAnsi="Times New Roman" w:cs="Times New Roman"/>
                <w:bCs/>
                <w:iCs/>
                <w:sz w:val="24"/>
                <w:szCs w:val="24"/>
              </w:rPr>
              <w:t>/mēnesī)</w:t>
            </w:r>
          </w:p>
        </w:tc>
        <w:tc>
          <w:tcPr>
            <w:tcW w:w="2127" w:type="dxa"/>
            <w:tcBorders>
              <w:top w:val="single" w:sz="4" w:space="0" w:color="000000" w:themeColor="text1"/>
            </w:tcBorders>
          </w:tcPr>
          <w:p w:rsidR="00E86432" w:rsidRDefault="00E86432" w:rsidP="00486DB8">
            <w:pPr>
              <w:jc w:val="center"/>
              <w:rPr>
                <w:rFonts w:ascii="Times New Roman" w:hAnsi="Times New Roman" w:cs="Times New Roman"/>
                <w:sz w:val="24"/>
                <w:szCs w:val="24"/>
              </w:rPr>
            </w:pPr>
            <w:r>
              <w:rPr>
                <w:rFonts w:ascii="Times New Roman" w:hAnsi="Times New Roman" w:cs="Times New Roman"/>
                <w:sz w:val="24"/>
                <w:szCs w:val="24"/>
              </w:rPr>
              <w:t>-2</w:t>
            </w:r>
            <w:r w:rsidR="00486DB8">
              <w:rPr>
                <w:rFonts w:ascii="Times New Roman" w:hAnsi="Times New Roman" w:cs="Times New Roman"/>
                <w:sz w:val="24"/>
                <w:szCs w:val="24"/>
              </w:rPr>
              <w:t>2</w:t>
            </w:r>
            <w:r>
              <w:rPr>
                <w:rFonts w:ascii="Times New Roman" w:hAnsi="Times New Roman" w:cs="Times New Roman"/>
                <w:sz w:val="24"/>
                <w:szCs w:val="24"/>
              </w:rPr>
              <w:t>,</w:t>
            </w:r>
            <w:r w:rsidR="00486DB8">
              <w:rPr>
                <w:rFonts w:ascii="Times New Roman" w:hAnsi="Times New Roman" w:cs="Times New Roman"/>
                <w:sz w:val="24"/>
                <w:szCs w:val="24"/>
              </w:rPr>
              <w:t>7</w:t>
            </w:r>
            <w:r>
              <w:rPr>
                <w:rFonts w:ascii="Times New Roman" w:hAnsi="Times New Roman" w:cs="Times New Roman"/>
                <w:sz w:val="24"/>
                <w:szCs w:val="24"/>
              </w:rPr>
              <w:t>1</w:t>
            </w:r>
          </w:p>
        </w:tc>
        <w:tc>
          <w:tcPr>
            <w:tcW w:w="1559" w:type="dxa"/>
            <w:tcBorders>
              <w:top w:val="single" w:sz="4" w:space="0" w:color="000000" w:themeColor="text1"/>
            </w:tcBorders>
          </w:tcPr>
          <w:p w:rsidR="00E86432" w:rsidRDefault="00E86432" w:rsidP="00486DB8">
            <w:pPr>
              <w:jc w:val="center"/>
              <w:rPr>
                <w:rFonts w:ascii="Times New Roman" w:hAnsi="Times New Roman" w:cs="Times New Roman"/>
                <w:sz w:val="24"/>
                <w:szCs w:val="24"/>
              </w:rPr>
            </w:pPr>
            <w:r>
              <w:rPr>
                <w:rFonts w:ascii="Times New Roman" w:hAnsi="Times New Roman" w:cs="Times New Roman"/>
                <w:sz w:val="24"/>
                <w:szCs w:val="24"/>
              </w:rPr>
              <w:t>+2</w:t>
            </w:r>
            <w:r w:rsidR="00486DB8">
              <w:rPr>
                <w:rFonts w:ascii="Times New Roman" w:hAnsi="Times New Roman" w:cs="Times New Roman"/>
                <w:sz w:val="24"/>
                <w:szCs w:val="24"/>
              </w:rPr>
              <w:t>2</w:t>
            </w:r>
            <w:r>
              <w:rPr>
                <w:rFonts w:ascii="Times New Roman" w:hAnsi="Times New Roman" w:cs="Times New Roman"/>
                <w:sz w:val="24"/>
                <w:szCs w:val="24"/>
              </w:rPr>
              <w:t>,</w:t>
            </w:r>
            <w:r w:rsidR="00486DB8">
              <w:rPr>
                <w:rFonts w:ascii="Times New Roman" w:hAnsi="Times New Roman" w:cs="Times New Roman"/>
                <w:sz w:val="24"/>
                <w:szCs w:val="24"/>
              </w:rPr>
              <w:t>71</w:t>
            </w:r>
          </w:p>
        </w:tc>
        <w:tc>
          <w:tcPr>
            <w:tcW w:w="1578" w:type="dxa"/>
            <w:tcBorders>
              <w:top w:val="single" w:sz="4" w:space="0" w:color="000000" w:themeColor="text1"/>
            </w:tcBorders>
            <w:shd w:val="clear" w:color="auto" w:fill="FFFFCC"/>
          </w:tcPr>
          <w:p w:rsidR="00E86432" w:rsidRDefault="00E86432" w:rsidP="00486DB8">
            <w:pPr>
              <w:jc w:val="center"/>
              <w:rPr>
                <w:rFonts w:ascii="Times New Roman" w:hAnsi="Times New Roman" w:cs="Times New Roman"/>
                <w:b/>
                <w:sz w:val="24"/>
                <w:szCs w:val="24"/>
              </w:rPr>
            </w:pPr>
            <w:r>
              <w:rPr>
                <w:rFonts w:ascii="Times New Roman" w:hAnsi="Times New Roman" w:cs="Times New Roman"/>
                <w:b/>
                <w:sz w:val="24"/>
                <w:szCs w:val="24"/>
              </w:rPr>
              <w:t>+3,</w:t>
            </w:r>
            <w:r w:rsidR="00486DB8">
              <w:rPr>
                <w:rFonts w:ascii="Times New Roman" w:hAnsi="Times New Roman" w:cs="Times New Roman"/>
                <w:b/>
                <w:sz w:val="24"/>
                <w:szCs w:val="24"/>
              </w:rPr>
              <w:t>27</w:t>
            </w:r>
            <w:r w:rsidRPr="00E86432">
              <w:rPr>
                <w:rFonts w:ascii="Times New Roman" w:hAnsi="Times New Roman" w:cs="Times New Roman"/>
                <w:b/>
                <w:sz w:val="24"/>
                <w:szCs w:val="24"/>
                <w:vertAlign w:val="superscript"/>
              </w:rPr>
              <w:t>*</w:t>
            </w:r>
          </w:p>
        </w:tc>
      </w:tr>
    </w:tbl>
    <w:p w:rsidR="00E86432" w:rsidRDefault="00E86432" w:rsidP="00E86432">
      <w:pPr>
        <w:spacing w:before="120" w:after="0" w:line="240" w:lineRule="auto"/>
        <w:ind w:left="284" w:hanging="284"/>
        <w:jc w:val="both"/>
        <w:rPr>
          <w:rFonts w:ascii="Times New Roman" w:hAnsi="Times New Roman" w:cs="Times New Roman"/>
          <w:sz w:val="20"/>
          <w:szCs w:val="20"/>
        </w:rPr>
      </w:pPr>
      <w:r w:rsidRPr="00E86432">
        <w:rPr>
          <w:rFonts w:ascii="Times New Roman" w:hAnsi="Times New Roman" w:cs="Times New Roman"/>
          <w:sz w:val="20"/>
          <w:szCs w:val="20"/>
          <w:vertAlign w:val="superscript"/>
        </w:rPr>
        <w:t>*</w:t>
      </w:r>
      <w:r w:rsidRPr="00E86432">
        <w:rPr>
          <w:rFonts w:ascii="Times New Roman" w:hAnsi="Times New Roman" w:cs="Times New Roman"/>
          <w:sz w:val="20"/>
          <w:szCs w:val="20"/>
        </w:rPr>
        <w:t xml:space="preserve">   Pieņēmums, apliekamiem pirkumiem tiks tērēti 80% no iegūtās summas x 18% (aptuvenā likme no cenu patēriņa groza)</w:t>
      </w:r>
    </w:p>
    <w:p w:rsidR="00E86432" w:rsidRPr="00E86432" w:rsidRDefault="00E86432" w:rsidP="00E86432">
      <w:pPr>
        <w:spacing w:after="0" w:line="240" w:lineRule="auto"/>
        <w:ind w:left="284" w:hanging="284"/>
        <w:jc w:val="both"/>
        <w:rPr>
          <w:rFonts w:ascii="Times New Roman" w:hAnsi="Times New Roman" w:cs="Times New Roman"/>
          <w:sz w:val="20"/>
          <w:szCs w:val="20"/>
        </w:rPr>
      </w:pPr>
      <w:r w:rsidRPr="00E86432">
        <w:rPr>
          <w:rFonts w:ascii="Times New Roman" w:hAnsi="Times New Roman" w:cs="Times New Roman"/>
          <w:sz w:val="20"/>
          <w:szCs w:val="20"/>
          <w:vertAlign w:val="superscript"/>
        </w:rPr>
        <w:t>**</w:t>
      </w:r>
      <w:r w:rsidRPr="00E86432">
        <w:rPr>
          <w:rFonts w:ascii="Times New Roman" w:hAnsi="Times New Roman" w:cs="Times New Roman"/>
          <w:sz w:val="20"/>
          <w:szCs w:val="20"/>
        </w:rPr>
        <w:t xml:space="preserve">  Privātajam sektoram – pieņēmums, ka reāls ienākuma pieaugums 50% saņēmēju x 18% (aptuvenā likme no cenu patēriņa groza)</w:t>
      </w:r>
    </w:p>
    <w:p w:rsidR="004908FF" w:rsidRPr="00EA77A9" w:rsidRDefault="004908FF" w:rsidP="00B06177">
      <w:pPr>
        <w:tabs>
          <w:tab w:val="left" w:pos="709"/>
        </w:tabs>
        <w:spacing w:before="120" w:after="60" w:line="240" w:lineRule="auto"/>
        <w:ind w:left="709" w:hanging="709"/>
        <w:jc w:val="both"/>
        <w:rPr>
          <w:rFonts w:ascii="Times New Roman" w:hAnsi="Times New Roman" w:cs="Times New Roman"/>
          <w:b/>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E86432" w:rsidRDefault="00E86432" w:rsidP="00E86432">
      <w:pPr>
        <w:spacing w:before="120" w:after="0" w:line="240" w:lineRule="auto"/>
        <w:ind w:left="284" w:hanging="284"/>
        <w:jc w:val="both"/>
        <w:rPr>
          <w:rFonts w:ascii="Times New Roman" w:hAnsi="Times New Roman" w:cs="Times New Roman"/>
          <w:sz w:val="20"/>
          <w:szCs w:val="20"/>
        </w:rPr>
      </w:pPr>
    </w:p>
    <w:p w:rsidR="003158F3" w:rsidRPr="00B51381" w:rsidRDefault="00D2539B" w:rsidP="00D2539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Tomēr, k</w:t>
      </w:r>
      <w:r w:rsidRPr="00B51381">
        <w:rPr>
          <w:rFonts w:ascii="Times New Roman" w:hAnsi="Times New Roman" w:cs="Times New Roman"/>
          <w:sz w:val="28"/>
          <w:szCs w:val="28"/>
        </w:rPr>
        <w:t xml:space="preserve">ā liecina novērtējums, ekonomiskie efekti tikai daļēji spēj segt </w:t>
      </w:r>
      <w:r>
        <w:rPr>
          <w:rFonts w:ascii="Times New Roman" w:hAnsi="Times New Roman" w:cs="Times New Roman"/>
          <w:sz w:val="28"/>
          <w:szCs w:val="28"/>
        </w:rPr>
        <w:t>jau ar likumu noteikto IIN likmes samazināšanu un plānotās</w:t>
      </w:r>
      <w:r w:rsidRPr="00B51381">
        <w:rPr>
          <w:rFonts w:ascii="Times New Roman" w:hAnsi="Times New Roman" w:cs="Times New Roman"/>
          <w:sz w:val="28"/>
          <w:szCs w:val="28"/>
        </w:rPr>
        <w:t xml:space="preserve"> izmaksas </w:t>
      </w:r>
      <w:r>
        <w:rPr>
          <w:rFonts w:ascii="Times New Roman" w:hAnsi="Times New Roman" w:cs="Times New Roman"/>
          <w:sz w:val="28"/>
          <w:szCs w:val="28"/>
        </w:rPr>
        <w:t xml:space="preserve">sakarā ar </w:t>
      </w:r>
      <w:r w:rsidR="00CF6E9C">
        <w:rPr>
          <w:rFonts w:ascii="Times New Roman" w:hAnsi="Times New Roman" w:cs="Times New Roman"/>
          <w:sz w:val="28"/>
          <w:szCs w:val="28"/>
        </w:rPr>
        <w:t xml:space="preserve">minimālās algas, </w:t>
      </w:r>
      <w:r>
        <w:rPr>
          <w:rFonts w:ascii="Times New Roman" w:hAnsi="Times New Roman" w:cs="Times New Roman"/>
          <w:sz w:val="28"/>
          <w:szCs w:val="28"/>
        </w:rPr>
        <w:t>neapliekamā minimuma un atvieglojuma par apgādībā esošām personām paaugstināšanu</w:t>
      </w:r>
      <w:r w:rsidRPr="00B51381">
        <w:rPr>
          <w:rFonts w:ascii="Times New Roman" w:hAnsi="Times New Roman" w:cs="Times New Roman"/>
          <w:sz w:val="28"/>
          <w:szCs w:val="28"/>
        </w:rPr>
        <w:t xml:space="preserve">, tāpēc </w:t>
      </w:r>
      <w:r w:rsidR="00CF6E9C">
        <w:rPr>
          <w:rFonts w:ascii="Times New Roman" w:hAnsi="Times New Roman" w:cs="Times New Roman"/>
          <w:sz w:val="28"/>
          <w:szCs w:val="28"/>
        </w:rPr>
        <w:t>būtu jāpārdomā par</w:t>
      </w:r>
      <w:r w:rsidRPr="00B51381">
        <w:rPr>
          <w:rFonts w:ascii="Times New Roman" w:hAnsi="Times New Roman" w:cs="Times New Roman"/>
          <w:sz w:val="28"/>
          <w:szCs w:val="28"/>
        </w:rPr>
        <w:t xml:space="preserve"> papildus </w:t>
      </w:r>
      <w:r w:rsidR="00E95E39">
        <w:rPr>
          <w:rFonts w:ascii="Times New Roman" w:hAnsi="Times New Roman" w:cs="Times New Roman"/>
          <w:sz w:val="28"/>
          <w:szCs w:val="28"/>
        </w:rPr>
        <w:t xml:space="preserve">kompensējošiem </w:t>
      </w:r>
      <w:r w:rsidRPr="00CF6E9C">
        <w:rPr>
          <w:rFonts w:ascii="Times New Roman" w:hAnsi="Times New Roman" w:cs="Times New Roman"/>
          <w:sz w:val="28"/>
          <w:szCs w:val="28"/>
        </w:rPr>
        <w:t>risinājumi</w:t>
      </w:r>
      <w:r w:rsidR="00CF6E9C">
        <w:rPr>
          <w:rFonts w:ascii="Times New Roman" w:hAnsi="Times New Roman" w:cs="Times New Roman"/>
          <w:sz w:val="28"/>
          <w:szCs w:val="28"/>
        </w:rPr>
        <w:t>em</w:t>
      </w:r>
      <w:r w:rsidRPr="00CF6E9C">
        <w:rPr>
          <w:rFonts w:ascii="Times New Roman" w:hAnsi="Times New Roman" w:cs="Times New Roman"/>
          <w:sz w:val="28"/>
          <w:szCs w:val="28"/>
        </w:rPr>
        <w:t>.</w:t>
      </w:r>
      <w:r w:rsidRPr="00B51381">
        <w:rPr>
          <w:rFonts w:ascii="Times New Roman" w:hAnsi="Times New Roman" w:cs="Times New Roman"/>
          <w:sz w:val="28"/>
          <w:szCs w:val="28"/>
        </w:rPr>
        <w:t xml:space="preserve"> </w:t>
      </w:r>
    </w:p>
    <w:p w:rsidR="00D01725" w:rsidRDefault="00E95E39" w:rsidP="001B1F43">
      <w:pPr>
        <w:pStyle w:val="ListParagraph"/>
        <w:spacing w:after="12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Viens no variantiem p</w:t>
      </w:r>
      <w:r w:rsidR="00D2539B" w:rsidRPr="00B51381">
        <w:rPr>
          <w:rFonts w:ascii="Times New Roman" w:hAnsi="Times New Roman" w:cs="Times New Roman"/>
          <w:sz w:val="28"/>
          <w:szCs w:val="28"/>
        </w:rPr>
        <w:t xml:space="preserve">asaules praksē </w:t>
      </w:r>
      <w:r>
        <w:rPr>
          <w:rFonts w:ascii="Times New Roman" w:hAnsi="Times New Roman" w:cs="Times New Roman"/>
          <w:sz w:val="28"/>
          <w:szCs w:val="28"/>
        </w:rPr>
        <w:t xml:space="preserve">ir </w:t>
      </w:r>
      <w:r w:rsidR="00D2539B" w:rsidRPr="00B51381">
        <w:rPr>
          <w:rFonts w:ascii="Times New Roman" w:hAnsi="Times New Roman" w:cs="Times New Roman"/>
          <w:sz w:val="28"/>
          <w:szCs w:val="28"/>
        </w:rPr>
        <w:t>darba</w:t>
      </w:r>
      <w:r w:rsidR="00D2539B">
        <w:rPr>
          <w:rFonts w:ascii="Times New Roman" w:hAnsi="Times New Roman" w:cs="Times New Roman"/>
          <w:sz w:val="28"/>
          <w:szCs w:val="28"/>
        </w:rPr>
        <w:t>spēka</w:t>
      </w:r>
      <w:r w:rsidR="00D2539B" w:rsidRPr="00B51381">
        <w:rPr>
          <w:rFonts w:ascii="Times New Roman" w:hAnsi="Times New Roman" w:cs="Times New Roman"/>
          <w:sz w:val="28"/>
          <w:szCs w:val="28"/>
        </w:rPr>
        <w:t xml:space="preserve"> nodokļu samazinājumu kompensē</w:t>
      </w:r>
      <w:r>
        <w:rPr>
          <w:rFonts w:ascii="Times New Roman" w:hAnsi="Times New Roman" w:cs="Times New Roman"/>
          <w:sz w:val="28"/>
          <w:szCs w:val="28"/>
        </w:rPr>
        <w:t>t</w:t>
      </w:r>
      <w:r w:rsidR="00D2539B" w:rsidRPr="00B51381">
        <w:rPr>
          <w:rFonts w:ascii="Times New Roman" w:hAnsi="Times New Roman" w:cs="Times New Roman"/>
          <w:sz w:val="28"/>
          <w:szCs w:val="28"/>
        </w:rPr>
        <w:t xml:space="preserve"> ar patēriņa un īpašuma nodokļ</w:t>
      </w:r>
      <w:r>
        <w:rPr>
          <w:rFonts w:ascii="Times New Roman" w:hAnsi="Times New Roman" w:cs="Times New Roman"/>
          <w:sz w:val="28"/>
          <w:szCs w:val="28"/>
        </w:rPr>
        <w:t>u ieņēmumu pieaugumu</w:t>
      </w:r>
      <w:r w:rsidR="00D2539B" w:rsidRPr="00B51381">
        <w:rPr>
          <w:rFonts w:ascii="Times New Roman" w:hAnsi="Times New Roman" w:cs="Times New Roman"/>
          <w:sz w:val="28"/>
          <w:szCs w:val="28"/>
        </w:rPr>
        <w:t xml:space="preserve">, jo atbilstoši teorijai un empīriskiem pētījumiem to negatīvā ietekme uz izaugsmi ir būtiski mazāka. Tomēr Finanšu ministrijas Nodokļu politikas stratēģija </w:t>
      </w:r>
      <w:r w:rsidR="00F9333E">
        <w:rPr>
          <w:rFonts w:ascii="Times New Roman" w:hAnsi="Times New Roman" w:cs="Times New Roman"/>
          <w:sz w:val="28"/>
          <w:szCs w:val="28"/>
        </w:rPr>
        <w:t>2011.</w:t>
      </w:r>
      <w:r w:rsidR="00EB10D3">
        <w:rPr>
          <w:rFonts w:ascii="Times New Roman" w:hAnsi="Times New Roman" w:cs="Times New Roman"/>
          <w:sz w:val="28"/>
          <w:szCs w:val="28"/>
        </w:rPr>
        <w:t>-</w:t>
      </w:r>
      <w:r w:rsidR="00F9333E">
        <w:rPr>
          <w:rFonts w:ascii="Times New Roman" w:hAnsi="Times New Roman" w:cs="Times New Roman"/>
          <w:sz w:val="28"/>
          <w:szCs w:val="28"/>
        </w:rPr>
        <w:t xml:space="preserve">2014.gadam </w:t>
      </w:r>
      <w:r w:rsidR="00D2539B" w:rsidRPr="00B51381">
        <w:rPr>
          <w:rFonts w:ascii="Times New Roman" w:hAnsi="Times New Roman" w:cs="Times New Roman"/>
          <w:sz w:val="28"/>
          <w:szCs w:val="28"/>
        </w:rPr>
        <w:t>paredz, ka vidējā termiņā galvenās nodokļu likmes paliks nemainīgas</w:t>
      </w:r>
      <w:r w:rsidR="00FB615A">
        <w:rPr>
          <w:rFonts w:ascii="Times New Roman" w:hAnsi="Times New Roman" w:cs="Times New Roman"/>
          <w:sz w:val="28"/>
          <w:szCs w:val="28"/>
        </w:rPr>
        <w:t xml:space="preserve">, lai nodrošinātu stabilu un paredzamu vidi uzņēmējdarbības attīstībai </w:t>
      </w:r>
      <w:proofErr w:type="spellStart"/>
      <w:r w:rsidR="00FB615A">
        <w:rPr>
          <w:rFonts w:ascii="Times New Roman" w:hAnsi="Times New Roman" w:cs="Times New Roman"/>
          <w:sz w:val="28"/>
          <w:szCs w:val="28"/>
        </w:rPr>
        <w:t>pēckrīzes</w:t>
      </w:r>
      <w:proofErr w:type="spellEnd"/>
      <w:r w:rsidR="00FB615A">
        <w:rPr>
          <w:rFonts w:ascii="Times New Roman" w:hAnsi="Times New Roman" w:cs="Times New Roman"/>
          <w:sz w:val="28"/>
          <w:szCs w:val="28"/>
        </w:rPr>
        <w:t xml:space="preserve"> periodā</w:t>
      </w:r>
      <w:r w:rsidR="00D2539B" w:rsidRPr="00B51381">
        <w:rPr>
          <w:rFonts w:ascii="Times New Roman" w:hAnsi="Times New Roman" w:cs="Times New Roman"/>
          <w:sz w:val="28"/>
          <w:szCs w:val="28"/>
        </w:rPr>
        <w:t xml:space="preserve">. </w:t>
      </w:r>
      <w:r w:rsidR="00F9333E">
        <w:rPr>
          <w:rFonts w:ascii="Times New Roman" w:hAnsi="Times New Roman" w:cs="Times New Roman"/>
          <w:sz w:val="28"/>
          <w:szCs w:val="28"/>
        </w:rPr>
        <w:t>No 2013.gada 1.janvāra pašvaldībām jau ir tiesības noteikt nekustamā īpašuma nodokļa likmi 0</w:t>
      </w:r>
      <w:r w:rsidR="00EB10D3">
        <w:rPr>
          <w:rFonts w:ascii="Times New Roman" w:hAnsi="Times New Roman" w:cs="Times New Roman"/>
          <w:sz w:val="28"/>
          <w:szCs w:val="28"/>
        </w:rPr>
        <w:t>,</w:t>
      </w:r>
      <w:r w:rsidR="00F9333E">
        <w:rPr>
          <w:rFonts w:ascii="Times New Roman" w:hAnsi="Times New Roman" w:cs="Times New Roman"/>
          <w:sz w:val="28"/>
          <w:szCs w:val="28"/>
        </w:rPr>
        <w:t>2-3% robežās</w:t>
      </w:r>
      <w:r w:rsidR="00D2539B" w:rsidRPr="00B51381">
        <w:rPr>
          <w:rFonts w:ascii="Times New Roman" w:hAnsi="Times New Roman" w:cs="Times New Roman"/>
          <w:sz w:val="28"/>
          <w:szCs w:val="28"/>
        </w:rPr>
        <w:t xml:space="preserve">. Tiek diskutēts arī par PVN samazināto likmju atcelšanu, tomēr, ņemot vērā šo preču un pakalpojumu sociālo jūtīgumu, tas nav izdarāms bez būtiskiem kompensējošiem </w:t>
      </w:r>
      <w:r w:rsidR="00D2539B" w:rsidRPr="001B1F43">
        <w:rPr>
          <w:rFonts w:ascii="Times New Roman" w:hAnsi="Times New Roman" w:cs="Times New Roman"/>
          <w:sz w:val="28"/>
          <w:szCs w:val="28"/>
        </w:rPr>
        <w:t xml:space="preserve">pasākumiem, kas ievērojami </w:t>
      </w:r>
      <w:r w:rsidR="00FB615A" w:rsidRPr="001B1F43">
        <w:rPr>
          <w:rFonts w:ascii="Times New Roman" w:hAnsi="Times New Roman" w:cs="Times New Roman"/>
          <w:sz w:val="28"/>
          <w:szCs w:val="28"/>
        </w:rPr>
        <w:t>samazin</w:t>
      </w:r>
      <w:r w:rsidR="00FB615A">
        <w:rPr>
          <w:rFonts w:ascii="Times New Roman" w:hAnsi="Times New Roman" w:cs="Times New Roman"/>
          <w:sz w:val="28"/>
          <w:szCs w:val="28"/>
        </w:rPr>
        <w:t>ātu</w:t>
      </w:r>
      <w:r w:rsidR="00FB615A" w:rsidRPr="001B1F43">
        <w:rPr>
          <w:rFonts w:ascii="Times New Roman" w:hAnsi="Times New Roman" w:cs="Times New Roman"/>
          <w:sz w:val="28"/>
          <w:szCs w:val="28"/>
        </w:rPr>
        <w:t xml:space="preserve"> </w:t>
      </w:r>
      <w:r w:rsidR="00D2539B" w:rsidRPr="001B1F43">
        <w:rPr>
          <w:rFonts w:ascii="Times New Roman" w:hAnsi="Times New Roman" w:cs="Times New Roman"/>
          <w:sz w:val="28"/>
          <w:szCs w:val="28"/>
        </w:rPr>
        <w:t xml:space="preserve">potenciālo ieguvumu no šāda soļa. </w:t>
      </w:r>
    </w:p>
    <w:p w:rsidR="003158F3" w:rsidRPr="00F72B6A" w:rsidRDefault="003158F3" w:rsidP="00F72B6A">
      <w:pPr>
        <w:spacing w:after="120" w:line="240" w:lineRule="auto"/>
        <w:ind w:firstLine="709"/>
        <w:jc w:val="both"/>
      </w:pPr>
    </w:p>
    <w:p w:rsidR="009A0C44" w:rsidRDefault="009A0C44">
      <w:pPr>
        <w:rPr>
          <w:rFonts w:ascii="Times New Roman Bold" w:eastAsiaTheme="majorEastAsia" w:hAnsi="Times New Roman Bold" w:cs="Times New Roman"/>
          <w:b/>
          <w:bCs/>
          <w:smallCaps/>
          <w:sz w:val="32"/>
          <w:szCs w:val="32"/>
        </w:rPr>
      </w:pPr>
      <w:r>
        <w:rPr>
          <w:rFonts w:ascii="Times New Roman Bold" w:hAnsi="Times New Roman Bold" w:cs="Times New Roman"/>
          <w:smallCaps/>
          <w:sz w:val="32"/>
          <w:szCs w:val="32"/>
        </w:rPr>
        <w:br w:type="page"/>
      </w:r>
    </w:p>
    <w:p w:rsidR="00D01725" w:rsidRPr="00CF6E9C" w:rsidRDefault="000B7F88" w:rsidP="00CF6E9C">
      <w:pPr>
        <w:pStyle w:val="Heading1"/>
        <w:numPr>
          <w:ilvl w:val="0"/>
          <w:numId w:val="15"/>
        </w:numPr>
        <w:spacing w:before="240" w:line="240" w:lineRule="auto"/>
        <w:ind w:left="709" w:hanging="703"/>
        <w:jc w:val="both"/>
        <w:rPr>
          <w:rFonts w:ascii="Times New Roman Bold" w:hAnsi="Times New Roman Bold" w:cs="Times New Roman"/>
          <w:smallCaps/>
          <w:color w:val="auto"/>
          <w:sz w:val="32"/>
          <w:szCs w:val="32"/>
        </w:rPr>
      </w:pPr>
      <w:bookmarkStart w:id="14" w:name="_Toc357009517"/>
      <w:r>
        <w:rPr>
          <w:rFonts w:ascii="Times New Roman Bold" w:hAnsi="Times New Roman Bold" w:cs="Times New Roman"/>
          <w:smallCaps/>
          <w:color w:val="auto"/>
          <w:sz w:val="32"/>
          <w:szCs w:val="32"/>
        </w:rPr>
        <w:lastRenderedPageBreak/>
        <w:t>I</w:t>
      </w:r>
      <w:r w:rsidR="00CF6E9C" w:rsidRPr="00CF6E9C">
        <w:rPr>
          <w:rFonts w:ascii="Times New Roman Bold" w:hAnsi="Times New Roman Bold" w:cs="Times New Roman"/>
          <w:smallCaps/>
          <w:color w:val="auto"/>
          <w:sz w:val="32"/>
          <w:szCs w:val="32"/>
        </w:rPr>
        <w:t>et</w:t>
      </w:r>
      <w:r w:rsidR="00CF6E9C">
        <w:rPr>
          <w:rFonts w:ascii="Times New Roman Bold" w:hAnsi="Times New Roman Bold" w:cs="Times New Roman"/>
          <w:smallCaps/>
          <w:color w:val="auto"/>
          <w:sz w:val="32"/>
          <w:szCs w:val="32"/>
        </w:rPr>
        <w:t>e</w:t>
      </w:r>
      <w:r w:rsidR="00CF6E9C" w:rsidRPr="00CF6E9C">
        <w:rPr>
          <w:rFonts w:ascii="Times New Roman Bold" w:hAnsi="Times New Roman Bold" w:cs="Times New Roman"/>
          <w:smallCaps/>
          <w:color w:val="auto"/>
          <w:sz w:val="32"/>
          <w:szCs w:val="32"/>
        </w:rPr>
        <w:t xml:space="preserve">kme uz </w:t>
      </w:r>
      <w:r w:rsidR="00CF6E9C">
        <w:rPr>
          <w:rFonts w:ascii="Times New Roman Bold" w:hAnsi="Times New Roman Bold" w:cs="Times New Roman"/>
          <w:smallCaps/>
          <w:color w:val="auto"/>
          <w:sz w:val="32"/>
          <w:szCs w:val="32"/>
        </w:rPr>
        <w:t>mājsaimniecībām</w:t>
      </w:r>
      <w:bookmarkEnd w:id="14"/>
    </w:p>
    <w:p w:rsidR="00D01725" w:rsidRPr="001B1F43" w:rsidRDefault="00D01725" w:rsidP="00125F5C">
      <w:pPr>
        <w:spacing w:after="0" w:line="240" w:lineRule="auto"/>
        <w:jc w:val="both"/>
        <w:rPr>
          <w:rFonts w:ascii="Times New Roman" w:hAnsi="Times New Roman" w:cs="Times New Roman"/>
          <w:i/>
          <w:sz w:val="28"/>
          <w:szCs w:val="28"/>
        </w:rPr>
      </w:pPr>
    </w:p>
    <w:p w:rsidR="00E43C05" w:rsidRPr="00F72B6A" w:rsidRDefault="00C4058E" w:rsidP="00CF6E9C">
      <w:pPr>
        <w:pStyle w:val="ListParagraph"/>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4908FF">
        <w:rPr>
          <w:rFonts w:ascii="Times New Roman" w:hAnsi="Times New Roman" w:cs="Times New Roman"/>
          <w:sz w:val="28"/>
          <w:szCs w:val="28"/>
        </w:rPr>
        <w:t>.t</w:t>
      </w:r>
      <w:r w:rsidR="00CF6E9C">
        <w:rPr>
          <w:rFonts w:ascii="Times New Roman" w:hAnsi="Times New Roman" w:cs="Times New Roman"/>
          <w:sz w:val="28"/>
          <w:szCs w:val="28"/>
        </w:rPr>
        <w:t xml:space="preserve">abulā ir apkopota kopējā ietekme uz mājsaimniecībām. </w:t>
      </w:r>
    </w:p>
    <w:p w:rsidR="00CF6E9C" w:rsidRDefault="00C4058E" w:rsidP="00CF6E9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CF6E9C" w:rsidRPr="00B51381">
        <w:rPr>
          <w:rFonts w:ascii="Times New Roman" w:hAnsi="Times New Roman" w:cs="Times New Roman"/>
          <w:b/>
          <w:sz w:val="24"/>
          <w:szCs w:val="24"/>
        </w:rPr>
        <w:t>.tab.</w:t>
      </w:r>
      <w:r w:rsidR="00CF6E9C" w:rsidRPr="00B51381">
        <w:rPr>
          <w:rFonts w:ascii="Times New Roman" w:hAnsi="Times New Roman" w:cs="Times New Roman"/>
          <w:b/>
          <w:sz w:val="24"/>
          <w:szCs w:val="24"/>
        </w:rPr>
        <w:tab/>
      </w:r>
      <w:r w:rsidR="00474BBB">
        <w:rPr>
          <w:rFonts w:ascii="Times New Roman" w:hAnsi="Times New Roman" w:cs="Times New Roman"/>
          <w:b/>
          <w:sz w:val="24"/>
          <w:szCs w:val="24"/>
        </w:rPr>
        <w:t>Ietekme uz mājsaimniecībām</w:t>
      </w:r>
      <w:r w:rsidR="00426ECA" w:rsidRPr="00426ECA">
        <w:rPr>
          <w:rFonts w:ascii="Times New Roman" w:hAnsi="Times New Roman" w:cs="Times New Roman"/>
          <w:b/>
          <w:sz w:val="24"/>
          <w:szCs w:val="24"/>
          <w:vertAlign w:val="superscript"/>
        </w:rPr>
        <w:t>*</w:t>
      </w:r>
      <w:r w:rsidR="00CF6E9C">
        <w:rPr>
          <w:rFonts w:ascii="Times New Roman" w:hAnsi="Times New Roman" w:cs="Times New Roman"/>
          <w:b/>
          <w:sz w:val="24"/>
          <w:szCs w:val="24"/>
        </w:rPr>
        <w:t xml:space="preserve"> </w:t>
      </w:r>
    </w:p>
    <w:tbl>
      <w:tblPr>
        <w:tblStyle w:val="TableGrid"/>
        <w:tblW w:w="10173" w:type="dxa"/>
        <w:tblLayout w:type="fixed"/>
        <w:tblLook w:val="04A0" w:firstRow="1" w:lastRow="0" w:firstColumn="1" w:lastColumn="0" w:noHBand="0" w:noVBand="1"/>
      </w:tblPr>
      <w:tblGrid>
        <w:gridCol w:w="1384"/>
        <w:gridCol w:w="1276"/>
        <w:gridCol w:w="1134"/>
        <w:gridCol w:w="850"/>
        <w:gridCol w:w="851"/>
        <w:gridCol w:w="1229"/>
        <w:gridCol w:w="1322"/>
        <w:gridCol w:w="1192"/>
        <w:gridCol w:w="935"/>
      </w:tblGrid>
      <w:tr w:rsidR="009C104F" w:rsidRPr="00125F5C" w:rsidTr="00125F5C">
        <w:trPr>
          <w:trHeight w:val="1595"/>
        </w:trPr>
        <w:tc>
          <w:tcPr>
            <w:tcW w:w="138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p>
        </w:tc>
        <w:tc>
          <w:tcPr>
            <w:tcW w:w="127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Bruto alga,</w:t>
            </w:r>
            <w:r w:rsidRPr="00125F5C">
              <w:rPr>
                <w:rFonts w:ascii="Times New Roman" w:hAnsi="Times New Roman" w:cs="Times New Roman"/>
                <w:i/>
                <w:sz w:val="23"/>
                <w:szCs w:val="23"/>
              </w:rPr>
              <w:t xml:space="preserve"> LVL/</w:t>
            </w:r>
            <w:proofErr w:type="spellStart"/>
            <w:r w:rsidRPr="00125F5C">
              <w:rPr>
                <w:rFonts w:ascii="Times New Roman" w:hAnsi="Times New Roman" w:cs="Times New Roman"/>
                <w:i/>
                <w:sz w:val="23"/>
                <w:szCs w:val="23"/>
              </w:rPr>
              <w:t>mēn</w:t>
            </w:r>
            <w:proofErr w:type="spellEnd"/>
            <w:r w:rsidRPr="00125F5C">
              <w:rPr>
                <w:rFonts w:ascii="Times New Roman" w:hAnsi="Times New Roman" w:cs="Times New Roman"/>
                <w:i/>
                <w:sz w:val="23"/>
                <w:szCs w:val="23"/>
              </w:rPr>
              <w:t>.</w:t>
            </w:r>
          </w:p>
          <w:p w:rsidR="009C104F" w:rsidRPr="00125F5C" w:rsidRDefault="009C104F" w:rsidP="009C104F">
            <w:pPr>
              <w:rPr>
                <w:rFonts w:ascii="Times New Roman" w:hAnsi="Times New Roman" w:cs="Times New Roman"/>
                <w:b/>
                <w:sz w:val="23"/>
                <w:szCs w:val="23"/>
              </w:rPr>
            </w:pPr>
          </w:p>
        </w:tc>
        <w:tc>
          <w:tcPr>
            <w:tcW w:w="113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Apgādā-</w:t>
            </w:r>
            <w:proofErr w:type="spellStart"/>
            <w:r w:rsidRPr="00125F5C">
              <w:rPr>
                <w:rFonts w:ascii="Times New Roman" w:hAnsi="Times New Roman" w:cs="Times New Roman"/>
                <w:b/>
                <w:sz w:val="23"/>
                <w:szCs w:val="23"/>
              </w:rPr>
              <w:t>jamo</w:t>
            </w:r>
            <w:proofErr w:type="spellEnd"/>
            <w:r w:rsidRPr="00125F5C">
              <w:rPr>
                <w:rFonts w:ascii="Times New Roman" w:hAnsi="Times New Roman" w:cs="Times New Roman"/>
                <w:b/>
                <w:sz w:val="23"/>
                <w:szCs w:val="23"/>
              </w:rPr>
              <w:t xml:space="preserve"> skaits</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 xml:space="preserve">Alga pēc nodokļu nomaksas, </w:t>
            </w:r>
            <w:r w:rsidRPr="00125F5C">
              <w:rPr>
                <w:rFonts w:ascii="Times New Roman" w:hAnsi="Times New Roman" w:cs="Times New Roman"/>
                <w:i/>
                <w:sz w:val="23"/>
                <w:szCs w:val="23"/>
              </w:rPr>
              <w:t>LVL/</w:t>
            </w:r>
            <w:proofErr w:type="spellStart"/>
            <w:r w:rsidRPr="00125F5C">
              <w:rPr>
                <w:rFonts w:ascii="Times New Roman" w:hAnsi="Times New Roman" w:cs="Times New Roman"/>
                <w:i/>
                <w:sz w:val="23"/>
                <w:szCs w:val="23"/>
              </w:rPr>
              <w:t>mēn</w:t>
            </w:r>
            <w:proofErr w:type="spellEnd"/>
            <w:r w:rsidRPr="00125F5C">
              <w:rPr>
                <w:rFonts w:ascii="Times New Roman" w:hAnsi="Times New Roman" w:cs="Times New Roman"/>
                <w:i/>
                <w:sz w:val="23"/>
                <w:szCs w:val="23"/>
              </w:rPr>
              <w:t xml:space="preserve">. </w:t>
            </w:r>
          </w:p>
        </w:tc>
        <w:tc>
          <w:tcPr>
            <w:tcW w:w="122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 xml:space="preserve">Starpība, </w:t>
            </w:r>
            <w:r w:rsidRPr="00125F5C">
              <w:rPr>
                <w:rFonts w:ascii="Times New Roman" w:hAnsi="Times New Roman" w:cs="Times New Roman"/>
                <w:i/>
                <w:sz w:val="23"/>
                <w:szCs w:val="23"/>
              </w:rPr>
              <w:t>LVL/</w:t>
            </w:r>
            <w:proofErr w:type="spellStart"/>
            <w:r w:rsidRPr="00125F5C">
              <w:rPr>
                <w:rFonts w:ascii="Times New Roman" w:hAnsi="Times New Roman" w:cs="Times New Roman"/>
                <w:i/>
                <w:sz w:val="23"/>
                <w:szCs w:val="23"/>
              </w:rPr>
              <w:t>mēn</w:t>
            </w:r>
            <w:proofErr w:type="spellEnd"/>
            <w:r w:rsidRPr="00125F5C">
              <w:rPr>
                <w:rFonts w:ascii="Times New Roman" w:hAnsi="Times New Roman" w:cs="Times New Roman"/>
                <w:i/>
                <w:sz w:val="23"/>
                <w:szCs w:val="23"/>
              </w:rPr>
              <w:t>.</w:t>
            </w:r>
          </w:p>
        </w:tc>
        <w:tc>
          <w:tcPr>
            <w:tcW w:w="132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bCs/>
                <w:sz w:val="23"/>
                <w:szCs w:val="23"/>
              </w:rPr>
              <w:t>Papildus pēc VID gada ienākumu apkopo-</w:t>
            </w:r>
            <w:proofErr w:type="spellStart"/>
            <w:r w:rsidRPr="00125F5C">
              <w:rPr>
                <w:rFonts w:ascii="Times New Roman" w:hAnsi="Times New Roman" w:cs="Times New Roman"/>
                <w:b/>
                <w:bCs/>
                <w:sz w:val="23"/>
                <w:szCs w:val="23"/>
              </w:rPr>
              <w:t>šanas</w:t>
            </w:r>
            <w:proofErr w:type="spellEnd"/>
            <w:r w:rsidRPr="00125F5C">
              <w:rPr>
                <w:rFonts w:ascii="Times New Roman" w:hAnsi="Times New Roman" w:cs="Times New Roman"/>
                <w:b/>
                <w:bCs/>
                <w:sz w:val="23"/>
                <w:szCs w:val="23"/>
              </w:rPr>
              <w:t xml:space="preserve">, </w:t>
            </w:r>
            <w:r w:rsidRPr="00125F5C">
              <w:rPr>
                <w:rFonts w:ascii="Times New Roman" w:hAnsi="Times New Roman" w:cs="Times New Roman"/>
                <w:i/>
                <w:iCs/>
                <w:sz w:val="23"/>
                <w:szCs w:val="23"/>
              </w:rPr>
              <w:t>LVL/gadā</w:t>
            </w:r>
          </w:p>
        </w:tc>
        <w:tc>
          <w:tcPr>
            <w:tcW w:w="2127" w:type="dxa"/>
            <w:gridSpan w:val="2"/>
            <w:tcBorders>
              <w:top w:val="single" w:sz="4" w:space="0" w:color="FFFFFF" w:themeColor="background1"/>
              <w:left w:val="single" w:sz="4" w:space="0" w:color="FFFFFF" w:themeColor="background1"/>
              <w:bottom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Kopējais ieguvums</w:t>
            </w:r>
          </w:p>
        </w:tc>
      </w:tr>
      <w:tr w:rsidR="009C104F" w:rsidRPr="00125F5C" w:rsidTr="00125F5C">
        <w:tc>
          <w:tcPr>
            <w:tcW w:w="1384"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p>
        </w:tc>
        <w:tc>
          <w:tcPr>
            <w:tcW w:w="1276"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p>
        </w:tc>
        <w:tc>
          <w:tcPr>
            <w:tcW w:w="1134"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2013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2014</w:t>
            </w:r>
          </w:p>
        </w:tc>
        <w:tc>
          <w:tcPr>
            <w:tcW w:w="1229"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i/>
                <w:sz w:val="23"/>
                <w:szCs w:val="23"/>
              </w:rPr>
            </w:pPr>
          </w:p>
        </w:tc>
        <w:tc>
          <w:tcPr>
            <w:tcW w:w="1322" w:type="dxa"/>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Cs/>
                <w:sz w:val="23"/>
                <w:szCs w:val="23"/>
              </w:rPr>
            </w:pPr>
          </w:p>
        </w:tc>
        <w:tc>
          <w:tcPr>
            <w:tcW w:w="1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i/>
                <w:sz w:val="23"/>
                <w:szCs w:val="23"/>
              </w:rPr>
            </w:pPr>
            <w:r w:rsidRPr="00125F5C">
              <w:rPr>
                <w:rFonts w:ascii="Times New Roman" w:hAnsi="Times New Roman" w:cs="Times New Roman"/>
                <w:i/>
                <w:sz w:val="23"/>
                <w:szCs w:val="23"/>
              </w:rPr>
              <w:t xml:space="preserve">LVL/gadā </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9C104F" w:rsidRPr="00125F5C" w:rsidRDefault="009C104F" w:rsidP="00474BBB">
            <w:pPr>
              <w:jc w:val="center"/>
              <w:rPr>
                <w:rFonts w:ascii="Times New Roman" w:hAnsi="Times New Roman" w:cs="Times New Roman"/>
                <w:b/>
                <w:sz w:val="23"/>
                <w:szCs w:val="23"/>
              </w:rPr>
            </w:pPr>
            <w:r w:rsidRPr="00125F5C">
              <w:rPr>
                <w:rFonts w:ascii="Times New Roman" w:hAnsi="Times New Roman" w:cs="Times New Roman"/>
                <w:b/>
                <w:sz w:val="23"/>
                <w:szCs w:val="23"/>
              </w:rPr>
              <w:t>%</w:t>
            </w:r>
          </w:p>
        </w:tc>
      </w:tr>
      <w:tr w:rsidR="009C104F" w:rsidRPr="00C75B60" w:rsidTr="00125F5C">
        <w:tc>
          <w:tcPr>
            <w:tcW w:w="1384" w:type="dxa"/>
            <w:vMerge w:val="restart"/>
            <w:tcBorders>
              <w:top w:val="single" w:sz="4" w:space="0" w:color="FFFFFF" w:themeColor="background1"/>
            </w:tcBorders>
          </w:tcPr>
          <w:p w:rsidR="009C104F" w:rsidRPr="00C75B60" w:rsidRDefault="009C104F" w:rsidP="00474BBB">
            <w:pPr>
              <w:rPr>
                <w:rFonts w:ascii="Times New Roman" w:hAnsi="Times New Roman" w:cs="Times New Roman"/>
                <w:b/>
                <w:sz w:val="23"/>
                <w:szCs w:val="23"/>
              </w:rPr>
            </w:pPr>
            <w:r w:rsidRPr="00C75B60">
              <w:rPr>
                <w:rFonts w:ascii="Times New Roman" w:hAnsi="Times New Roman" w:cs="Times New Roman"/>
                <w:b/>
                <w:sz w:val="23"/>
                <w:szCs w:val="23"/>
              </w:rPr>
              <w:t>Minimālā alga</w:t>
            </w:r>
          </w:p>
        </w:tc>
        <w:tc>
          <w:tcPr>
            <w:tcW w:w="1276" w:type="dxa"/>
            <w:tcBorders>
              <w:top w:val="single" w:sz="4" w:space="0" w:color="FFFFFF" w:themeColor="background1"/>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200/225</w:t>
            </w:r>
          </w:p>
        </w:tc>
        <w:tc>
          <w:tcPr>
            <w:tcW w:w="1134" w:type="dxa"/>
            <w:tcBorders>
              <w:top w:val="single" w:sz="4" w:space="0" w:color="FFFFFF" w:themeColor="background1"/>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0</w:t>
            </w:r>
          </w:p>
        </w:tc>
        <w:tc>
          <w:tcPr>
            <w:tcW w:w="850" w:type="dxa"/>
            <w:tcBorders>
              <w:top w:val="single" w:sz="4" w:space="0" w:color="FFFFFF" w:themeColor="background1"/>
              <w:bottom w:val="single" w:sz="4" w:space="0" w:color="7F7F7F" w:themeColor="text1" w:themeTint="80"/>
            </w:tcBorders>
          </w:tcPr>
          <w:p w:rsidR="009C104F" w:rsidRPr="00C75B60" w:rsidRDefault="009C104F" w:rsidP="00CD18C8">
            <w:pPr>
              <w:jc w:val="center"/>
              <w:rPr>
                <w:rFonts w:ascii="Times New Roman" w:hAnsi="Times New Roman" w:cs="Times New Roman"/>
                <w:sz w:val="23"/>
                <w:szCs w:val="23"/>
              </w:rPr>
            </w:pPr>
            <w:r w:rsidRPr="00C75B60">
              <w:rPr>
                <w:rFonts w:ascii="Times New Roman" w:hAnsi="Times New Roman" w:cs="Times New Roman"/>
                <w:sz w:val="23"/>
                <w:szCs w:val="23"/>
              </w:rPr>
              <w:t>146,</w:t>
            </w:r>
            <w:r w:rsidR="00CD18C8" w:rsidRPr="00C75B60">
              <w:rPr>
                <w:rFonts w:ascii="Times New Roman" w:hAnsi="Times New Roman" w:cs="Times New Roman"/>
                <w:sz w:val="23"/>
                <w:szCs w:val="23"/>
              </w:rPr>
              <w:t>08</w:t>
            </w:r>
          </w:p>
        </w:tc>
        <w:tc>
          <w:tcPr>
            <w:tcW w:w="851" w:type="dxa"/>
            <w:tcBorders>
              <w:top w:val="single" w:sz="4" w:space="0" w:color="FFFFFF" w:themeColor="background1"/>
              <w:bottom w:val="single" w:sz="4" w:space="0" w:color="7F7F7F" w:themeColor="text1" w:themeTint="80"/>
            </w:tcBorders>
          </w:tcPr>
          <w:p w:rsidR="009C104F" w:rsidRPr="00C75B60" w:rsidRDefault="009C104F" w:rsidP="00C75B60">
            <w:pPr>
              <w:jc w:val="center"/>
              <w:rPr>
                <w:rFonts w:ascii="Times New Roman" w:hAnsi="Times New Roman" w:cs="Times New Roman"/>
                <w:sz w:val="23"/>
                <w:szCs w:val="23"/>
              </w:rPr>
            </w:pPr>
            <w:r w:rsidRPr="00C75B60">
              <w:rPr>
                <w:rFonts w:ascii="Times New Roman" w:hAnsi="Times New Roman" w:cs="Times New Roman"/>
                <w:sz w:val="23"/>
                <w:szCs w:val="23"/>
              </w:rPr>
              <w:t>166,</w:t>
            </w:r>
            <w:r w:rsidR="00CD18C8" w:rsidRPr="00C75B60">
              <w:rPr>
                <w:rFonts w:ascii="Times New Roman" w:hAnsi="Times New Roman" w:cs="Times New Roman"/>
                <w:sz w:val="23"/>
                <w:szCs w:val="23"/>
              </w:rPr>
              <w:t>0</w:t>
            </w:r>
            <w:r w:rsidR="00C75B60">
              <w:rPr>
                <w:rFonts w:ascii="Times New Roman" w:hAnsi="Times New Roman" w:cs="Times New Roman"/>
                <w:sz w:val="23"/>
                <w:szCs w:val="23"/>
              </w:rPr>
              <w:t>9</w:t>
            </w:r>
          </w:p>
        </w:tc>
        <w:tc>
          <w:tcPr>
            <w:tcW w:w="1229" w:type="dxa"/>
            <w:tcBorders>
              <w:top w:val="single" w:sz="4" w:space="0" w:color="FFFFFF" w:themeColor="background1"/>
              <w:bottom w:val="single" w:sz="4" w:space="0" w:color="7F7F7F" w:themeColor="text1" w:themeTint="80"/>
            </w:tcBorders>
          </w:tcPr>
          <w:p w:rsidR="009C104F" w:rsidRPr="00C75B60" w:rsidRDefault="009C104F" w:rsidP="00BA15BD">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20,0</w:t>
            </w:r>
            <w:r w:rsidR="00BA15BD">
              <w:rPr>
                <w:rFonts w:ascii="Times New Roman" w:hAnsi="Times New Roman" w:cs="Times New Roman"/>
                <w:color w:val="FF0000"/>
                <w:sz w:val="23"/>
                <w:szCs w:val="23"/>
              </w:rPr>
              <w:t>1</w:t>
            </w:r>
          </w:p>
        </w:tc>
        <w:tc>
          <w:tcPr>
            <w:tcW w:w="1322" w:type="dxa"/>
            <w:tcBorders>
              <w:top w:val="single" w:sz="4" w:space="0" w:color="FFFFFF" w:themeColor="background1"/>
              <w:bottom w:val="single" w:sz="4" w:space="0" w:color="7F7F7F" w:themeColor="text1" w:themeTint="80"/>
            </w:tcBorders>
          </w:tcPr>
          <w:p w:rsidR="009C104F" w:rsidRPr="00C75B60" w:rsidRDefault="009C104F" w:rsidP="00C75B60">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10</w:t>
            </w:r>
            <w:r w:rsidR="00C75B60">
              <w:rPr>
                <w:rFonts w:ascii="Times New Roman" w:hAnsi="Times New Roman" w:cs="Times New Roman"/>
                <w:bCs/>
                <w:color w:val="FF0000"/>
                <w:sz w:val="23"/>
                <w:szCs w:val="23"/>
              </w:rPr>
              <w:t>2</w:t>
            </w:r>
            <w:r w:rsidRPr="00C75B60">
              <w:rPr>
                <w:rFonts w:ascii="Times New Roman" w:hAnsi="Times New Roman" w:cs="Times New Roman"/>
                <w:bCs/>
                <w:color w:val="FF0000"/>
                <w:sz w:val="23"/>
                <w:szCs w:val="23"/>
              </w:rPr>
              <w:t>,</w:t>
            </w:r>
            <w:r w:rsidR="00C75B60">
              <w:rPr>
                <w:rFonts w:ascii="Times New Roman" w:hAnsi="Times New Roman" w:cs="Times New Roman"/>
                <w:bCs/>
                <w:color w:val="FF0000"/>
                <w:sz w:val="23"/>
                <w:szCs w:val="23"/>
              </w:rPr>
              <w:t>96</w:t>
            </w:r>
          </w:p>
        </w:tc>
        <w:tc>
          <w:tcPr>
            <w:tcW w:w="1192" w:type="dxa"/>
            <w:tcBorders>
              <w:top w:val="single" w:sz="4" w:space="0" w:color="FFFFFF" w:themeColor="background1"/>
              <w:bottom w:val="single" w:sz="4" w:space="0" w:color="7F7F7F" w:themeColor="text1" w:themeTint="80"/>
            </w:tcBorders>
          </w:tcPr>
          <w:p w:rsidR="009C104F" w:rsidRPr="00C75B60" w:rsidRDefault="009C104F" w:rsidP="00BA15BD">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343,</w:t>
            </w:r>
            <w:r w:rsidR="00BA15BD">
              <w:rPr>
                <w:rFonts w:ascii="Times New Roman" w:hAnsi="Times New Roman" w:cs="Times New Roman"/>
                <w:b/>
                <w:color w:val="FF0000"/>
                <w:sz w:val="23"/>
                <w:szCs w:val="23"/>
              </w:rPr>
              <w:t>08</w:t>
            </w:r>
          </w:p>
        </w:tc>
        <w:tc>
          <w:tcPr>
            <w:tcW w:w="935" w:type="dxa"/>
            <w:tcBorders>
              <w:top w:val="single" w:sz="4" w:space="0" w:color="FFFFFF" w:themeColor="background1"/>
              <w:bottom w:val="single" w:sz="4" w:space="0" w:color="7F7F7F" w:themeColor="text1" w:themeTint="80"/>
            </w:tcBorders>
          </w:tcPr>
          <w:p w:rsidR="009C104F" w:rsidRPr="00C75B60" w:rsidRDefault="00125F5C" w:rsidP="00125F5C">
            <w:pPr>
              <w:jc w:val="center"/>
              <w:rPr>
                <w:rFonts w:ascii="Times New Roman" w:hAnsi="Times New Roman" w:cs="Times New Roman"/>
                <w:b/>
                <w:sz w:val="23"/>
                <w:szCs w:val="23"/>
              </w:rPr>
            </w:pPr>
            <w:r>
              <w:rPr>
                <w:rFonts w:ascii="Times New Roman" w:hAnsi="Times New Roman" w:cs="Times New Roman"/>
                <w:b/>
                <w:sz w:val="23"/>
                <w:szCs w:val="23"/>
              </w:rPr>
              <w:t>19,6</w:t>
            </w:r>
            <w:r w:rsidR="009C104F" w:rsidRPr="00C75B60">
              <w:rPr>
                <w:rFonts w:ascii="Times New Roman" w:hAnsi="Times New Roman" w:cs="Times New Roman"/>
                <w:b/>
                <w:sz w:val="23"/>
                <w:szCs w:val="23"/>
              </w:rPr>
              <w:t>%</w:t>
            </w:r>
          </w:p>
        </w:tc>
      </w:tr>
      <w:tr w:rsidR="009C104F" w:rsidRPr="00C75B60" w:rsidTr="00125F5C">
        <w:tc>
          <w:tcPr>
            <w:tcW w:w="1384" w:type="dxa"/>
            <w:vMerge/>
          </w:tcPr>
          <w:p w:rsidR="009C104F" w:rsidRPr="00C75B60" w:rsidRDefault="009C104F" w:rsidP="00474BBB">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200/225</w:t>
            </w:r>
          </w:p>
        </w:tc>
        <w:tc>
          <w:tcPr>
            <w:tcW w:w="1134"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1</w:t>
            </w:r>
          </w:p>
        </w:tc>
        <w:tc>
          <w:tcPr>
            <w:tcW w:w="850"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sz w:val="23"/>
                <w:szCs w:val="23"/>
              </w:rPr>
            </w:pPr>
            <w:r w:rsidRPr="00C75B60">
              <w:rPr>
                <w:rFonts w:ascii="Times New Roman" w:hAnsi="Times New Roman" w:cs="Times New Roman"/>
                <w:sz w:val="23"/>
                <w:szCs w:val="23"/>
              </w:rPr>
              <w:t>16</w:t>
            </w:r>
            <w:r w:rsidR="00CD18C8" w:rsidRPr="00C75B60">
              <w:rPr>
                <w:rFonts w:ascii="Times New Roman" w:hAnsi="Times New Roman" w:cs="Times New Roman"/>
                <w:sz w:val="23"/>
                <w:szCs w:val="23"/>
              </w:rPr>
              <w:t>4</w:t>
            </w:r>
            <w:r w:rsidR="00BA15BD">
              <w:rPr>
                <w:rFonts w:ascii="Times New Roman" w:hAnsi="Times New Roman" w:cs="Times New Roman"/>
                <w:sz w:val="23"/>
                <w:szCs w:val="23"/>
              </w:rPr>
              <w:t>,</w:t>
            </w:r>
            <w:r w:rsidR="00CD18C8" w:rsidRPr="00C75B60">
              <w:rPr>
                <w:rFonts w:ascii="Times New Roman" w:hAnsi="Times New Roman" w:cs="Times New Roman"/>
                <w:sz w:val="23"/>
                <w:szCs w:val="23"/>
              </w:rPr>
              <w:t>08</w:t>
            </w:r>
          </w:p>
        </w:tc>
        <w:tc>
          <w:tcPr>
            <w:tcW w:w="851"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sz w:val="23"/>
                <w:szCs w:val="23"/>
              </w:rPr>
            </w:pPr>
            <w:r w:rsidRPr="00C75B60">
              <w:rPr>
                <w:rFonts w:ascii="Times New Roman" w:hAnsi="Times New Roman" w:cs="Times New Roman"/>
                <w:sz w:val="23"/>
                <w:szCs w:val="23"/>
              </w:rPr>
              <w:t>187,</w:t>
            </w:r>
            <w:r w:rsidR="00CD18C8" w:rsidRPr="00C75B60">
              <w:rPr>
                <w:rFonts w:ascii="Times New Roman" w:hAnsi="Times New Roman" w:cs="Times New Roman"/>
                <w:sz w:val="23"/>
                <w:szCs w:val="23"/>
              </w:rPr>
              <w:t>6</w:t>
            </w:r>
            <w:r w:rsidR="00BA15BD">
              <w:rPr>
                <w:rFonts w:ascii="Times New Roman" w:hAnsi="Times New Roman" w:cs="Times New Roman"/>
                <w:sz w:val="23"/>
                <w:szCs w:val="23"/>
              </w:rPr>
              <w:t>5</w:t>
            </w:r>
          </w:p>
        </w:tc>
        <w:tc>
          <w:tcPr>
            <w:tcW w:w="1229"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2</w:t>
            </w:r>
            <w:r w:rsidR="00C75B60">
              <w:rPr>
                <w:rFonts w:ascii="Times New Roman" w:hAnsi="Times New Roman" w:cs="Times New Roman"/>
                <w:color w:val="FF0000"/>
                <w:sz w:val="23"/>
                <w:szCs w:val="23"/>
              </w:rPr>
              <w:t>3</w:t>
            </w:r>
            <w:r w:rsidRPr="00C75B60">
              <w:rPr>
                <w:rFonts w:ascii="Times New Roman" w:hAnsi="Times New Roman" w:cs="Times New Roman"/>
                <w:color w:val="FF0000"/>
                <w:sz w:val="23"/>
                <w:szCs w:val="23"/>
              </w:rPr>
              <w:t>,</w:t>
            </w:r>
            <w:r w:rsidR="00C75B60">
              <w:rPr>
                <w:rFonts w:ascii="Times New Roman" w:hAnsi="Times New Roman" w:cs="Times New Roman"/>
                <w:color w:val="FF0000"/>
                <w:sz w:val="23"/>
                <w:szCs w:val="23"/>
              </w:rPr>
              <w:t>5</w:t>
            </w:r>
            <w:r w:rsidR="00BA15BD">
              <w:rPr>
                <w:rFonts w:ascii="Times New Roman" w:hAnsi="Times New Roman" w:cs="Times New Roman"/>
                <w:color w:val="FF0000"/>
                <w:sz w:val="23"/>
                <w:szCs w:val="23"/>
              </w:rPr>
              <w:t>7</w:t>
            </w:r>
          </w:p>
        </w:tc>
        <w:tc>
          <w:tcPr>
            <w:tcW w:w="1322" w:type="dxa"/>
            <w:tcBorders>
              <w:top w:val="single" w:sz="4" w:space="0" w:color="7F7F7F" w:themeColor="text1" w:themeTint="80"/>
              <w:bottom w:val="single" w:sz="4" w:space="0" w:color="7F7F7F" w:themeColor="text1" w:themeTint="80"/>
            </w:tcBorders>
          </w:tcPr>
          <w:p w:rsidR="009C104F" w:rsidRPr="00C75B60" w:rsidRDefault="009C104F" w:rsidP="00C75B60">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10</w:t>
            </w:r>
            <w:r w:rsidR="00C75B60">
              <w:rPr>
                <w:rFonts w:ascii="Times New Roman" w:hAnsi="Times New Roman" w:cs="Times New Roman"/>
                <w:bCs/>
                <w:color w:val="FF0000"/>
                <w:sz w:val="23"/>
                <w:szCs w:val="23"/>
              </w:rPr>
              <w:t>2</w:t>
            </w:r>
            <w:r w:rsidRPr="00C75B60">
              <w:rPr>
                <w:rFonts w:ascii="Times New Roman" w:hAnsi="Times New Roman" w:cs="Times New Roman"/>
                <w:bCs/>
                <w:color w:val="FF0000"/>
                <w:sz w:val="23"/>
                <w:szCs w:val="23"/>
              </w:rPr>
              <w:t>,</w:t>
            </w:r>
            <w:r w:rsidR="00C75B60">
              <w:rPr>
                <w:rFonts w:ascii="Times New Roman" w:hAnsi="Times New Roman" w:cs="Times New Roman"/>
                <w:bCs/>
                <w:color w:val="FF0000"/>
                <w:sz w:val="23"/>
                <w:szCs w:val="23"/>
              </w:rPr>
              <w:t>96</w:t>
            </w:r>
          </w:p>
        </w:tc>
        <w:tc>
          <w:tcPr>
            <w:tcW w:w="1192"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3</w:t>
            </w:r>
            <w:r w:rsidR="00C75B60">
              <w:rPr>
                <w:rFonts w:ascii="Times New Roman" w:hAnsi="Times New Roman" w:cs="Times New Roman"/>
                <w:b/>
                <w:color w:val="FF0000"/>
                <w:sz w:val="23"/>
                <w:szCs w:val="23"/>
              </w:rPr>
              <w:t>85</w:t>
            </w:r>
            <w:r w:rsidRPr="00C75B60">
              <w:rPr>
                <w:rFonts w:ascii="Times New Roman" w:hAnsi="Times New Roman" w:cs="Times New Roman"/>
                <w:b/>
                <w:color w:val="FF0000"/>
                <w:sz w:val="23"/>
                <w:szCs w:val="23"/>
              </w:rPr>
              <w:t>,</w:t>
            </w:r>
            <w:r w:rsidR="00C75B60">
              <w:rPr>
                <w:rFonts w:ascii="Times New Roman" w:hAnsi="Times New Roman" w:cs="Times New Roman"/>
                <w:b/>
                <w:color w:val="FF0000"/>
                <w:sz w:val="23"/>
                <w:szCs w:val="23"/>
              </w:rPr>
              <w:t>8</w:t>
            </w:r>
            <w:r w:rsidR="00BA15BD">
              <w:rPr>
                <w:rFonts w:ascii="Times New Roman" w:hAnsi="Times New Roman" w:cs="Times New Roman"/>
                <w:b/>
                <w:color w:val="FF0000"/>
                <w:sz w:val="23"/>
                <w:szCs w:val="23"/>
              </w:rPr>
              <w:t>0</w:t>
            </w:r>
          </w:p>
        </w:tc>
        <w:tc>
          <w:tcPr>
            <w:tcW w:w="935" w:type="dxa"/>
            <w:tcBorders>
              <w:top w:val="single" w:sz="4" w:space="0" w:color="7F7F7F" w:themeColor="text1" w:themeTint="80"/>
              <w:bottom w:val="single" w:sz="4" w:space="0" w:color="7F7F7F" w:themeColor="text1" w:themeTint="80"/>
            </w:tcBorders>
          </w:tcPr>
          <w:p w:rsidR="009C104F" w:rsidRPr="00C75B60" w:rsidRDefault="00125F5C" w:rsidP="00125F5C">
            <w:pPr>
              <w:jc w:val="center"/>
              <w:rPr>
                <w:rFonts w:ascii="Times New Roman" w:hAnsi="Times New Roman" w:cs="Times New Roman"/>
                <w:b/>
                <w:sz w:val="23"/>
                <w:szCs w:val="23"/>
              </w:rPr>
            </w:pPr>
            <w:r>
              <w:rPr>
                <w:rFonts w:ascii="Times New Roman" w:hAnsi="Times New Roman" w:cs="Times New Roman"/>
                <w:b/>
                <w:sz w:val="23"/>
                <w:szCs w:val="23"/>
              </w:rPr>
              <w:t>19,6</w:t>
            </w:r>
            <w:r w:rsidR="009C104F" w:rsidRPr="00C75B60">
              <w:rPr>
                <w:rFonts w:ascii="Times New Roman" w:hAnsi="Times New Roman" w:cs="Times New Roman"/>
                <w:b/>
                <w:sz w:val="23"/>
                <w:szCs w:val="23"/>
              </w:rPr>
              <w:t>%</w:t>
            </w:r>
          </w:p>
        </w:tc>
      </w:tr>
      <w:tr w:rsidR="009C104F" w:rsidRPr="00C75B60" w:rsidTr="00125F5C">
        <w:tc>
          <w:tcPr>
            <w:tcW w:w="1384" w:type="dxa"/>
            <w:vMerge/>
          </w:tcPr>
          <w:p w:rsidR="009C104F" w:rsidRPr="00C75B60" w:rsidRDefault="009C104F" w:rsidP="00474BBB">
            <w:pPr>
              <w:rPr>
                <w:rFonts w:ascii="Times New Roman" w:hAnsi="Times New Roman" w:cs="Times New Roman"/>
                <w:b/>
                <w:sz w:val="23"/>
                <w:szCs w:val="23"/>
              </w:rPr>
            </w:pPr>
          </w:p>
        </w:tc>
        <w:tc>
          <w:tcPr>
            <w:tcW w:w="1276"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200/225</w:t>
            </w:r>
          </w:p>
        </w:tc>
        <w:tc>
          <w:tcPr>
            <w:tcW w:w="1134"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2 un vairāk</w:t>
            </w:r>
          </w:p>
        </w:tc>
        <w:tc>
          <w:tcPr>
            <w:tcW w:w="850"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178,0</w:t>
            </w:r>
            <w:r w:rsidR="00CD18C8" w:rsidRPr="00C75B60">
              <w:rPr>
                <w:rFonts w:ascii="Times New Roman" w:hAnsi="Times New Roman" w:cs="Times New Roman"/>
                <w:sz w:val="23"/>
                <w:szCs w:val="23"/>
              </w:rPr>
              <w:t>0</w:t>
            </w:r>
          </w:p>
        </w:tc>
        <w:tc>
          <w:tcPr>
            <w:tcW w:w="851"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200,</w:t>
            </w:r>
            <w:r w:rsidR="00CD18C8" w:rsidRPr="00C75B60">
              <w:rPr>
                <w:rFonts w:ascii="Times New Roman" w:hAnsi="Times New Roman" w:cs="Times New Roman"/>
                <w:sz w:val="23"/>
                <w:szCs w:val="23"/>
              </w:rPr>
              <w:t>25</w:t>
            </w:r>
          </w:p>
        </w:tc>
        <w:tc>
          <w:tcPr>
            <w:tcW w:w="1229" w:type="dxa"/>
            <w:tcBorders>
              <w:top w:val="single" w:sz="4" w:space="0" w:color="7F7F7F" w:themeColor="text1" w:themeTint="80"/>
              <w:bottom w:val="single" w:sz="4" w:space="0" w:color="000000" w:themeColor="text1"/>
            </w:tcBorders>
          </w:tcPr>
          <w:p w:rsidR="009C104F" w:rsidRPr="00C75B60" w:rsidRDefault="009C104F" w:rsidP="00C75B60">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22,</w:t>
            </w:r>
            <w:r w:rsidR="00C75B60">
              <w:rPr>
                <w:rFonts w:ascii="Times New Roman" w:hAnsi="Times New Roman" w:cs="Times New Roman"/>
                <w:color w:val="FF0000"/>
                <w:sz w:val="23"/>
                <w:szCs w:val="23"/>
              </w:rPr>
              <w:t>25</w:t>
            </w:r>
          </w:p>
        </w:tc>
        <w:tc>
          <w:tcPr>
            <w:tcW w:w="1322"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000000" w:themeColor="text1"/>
            </w:tcBorders>
          </w:tcPr>
          <w:p w:rsidR="009C104F" w:rsidRPr="00C75B60" w:rsidRDefault="009C104F" w:rsidP="00474BBB">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267,0</w:t>
            </w:r>
            <w:r w:rsidR="00C75B60">
              <w:rPr>
                <w:rFonts w:ascii="Times New Roman" w:hAnsi="Times New Roman" w:cs="Times New Roman"/>
                <w:b/>
                <w:color w:val="FF0000"/>
                <w:sz w:val="23"/>
                <w:szCs w:val="23"/>
              </w:rPr>
              <w:t>0</w:t>
            </w:r>
          </w:p>
        </w:tc>
        <w:tc>
          <w:tcPr>
            <w:tcW w:w="935" w:type="dxa"/>
            <w:tcBorders>
              <w:top w:val="single" w:sz="4" w:space="0" w:color="7F7F7F" w:themeColor="text1" w:themeTint="80"/>
              <w:bottom w:val="single" w:sz="4" w:space="0" w:color="000000" w:themeColor="text1"/>
            </w:tcBorders>
          </w:tcPr>
          <w:p w:rsidR="009C104F" w:rsidRPr="00C75B60" w:rsidRDefault="009C104F" w:rsidP="00125F5C">
            <w:pPr>
              <w:jc w:val="center"/>
              <w:rPr>
                <w:rFonts w:ascii="Times New Roman" w:hAnsi="Times New Roman" w:cs="Times New Roman"/>
                <w:b/>
                <w:sz w:val="23"/>
                <w:szCs w:val="23"/>
              </w:rPr>
            </w:pPr>
            <w:r w:rsidRPr="00C75B60">
              <w:rPr>
                <w:rFonts w:ascii="Times New Roman" w:hAnsi="Times New Roman" w:cs="Times New Roman"/>
                <w:b/>
                <w:sz w:val="23"/>
                <w:szCs w:val="23"/>
              </w:rPr>
              <w:t>1</w:t>
            </w:r>
            <w:r w:rsidR="00125F5C">
              <w:rPr>
                <w:rFonts w:ascii="Times New Roman" w:hAnsi="Times New Roman" w:cs="Times New Roman"/>
                <w:b/>
                <w:sz w:val="23"/>
                <w:szCs w:val="23"/>
              </w:rPr>
              <w:t>2,5</w:t>
            </w:r>
            <w:r w:rsidRPr="00C75B60">
              <w:rPr>
                <w:rFonts w:ascii="Times New Roman" w:hAnsi="Times New Roman" w:cs="Times New Roman"/>
                <w:b/>
                <w:sz w:val="23"/>
                <w:szCs w:val="23"/>
              </w:rPr>
              <w:t>%</w:t>
            </w:r>
          </w:p>
        </w:tc>
      </w:tr>
      <w:tr w:rsidR="009C104F" w:rsidRPr="00C75B60" w:rsidTr="00125F5C">
        <w:tc>
          <w:tcPr>
            <w:tcW w:w="1384" w:type="dxa"/>
            <w:vMerge w:val="restart"/>
          </w:tcPr>
          <w:p w:rsidR="009C104F" w:rsidRPr="00C75B60" w:rsidRDefault="009C104F" w:rsidP="00474BBB">
            <w:pPr>
              <w:rPr>
                <w:rFonts w:ascii="Times New Roman" w:hAnsi="Times New Roman" w:cs="Times New Roman"/>
                <w:b/>
                <w:sz w:val="23"/>
                <w:szCs w:val="23"/>
              </w:rPr>
            </w:pPr>
            <w:r w:rsidRPr="00C75B60">
              <w:rPr>
                <w:rFonts w:ascii="Times New Roman" w:hAnsi="Times New Roman" w:cs="Times New Roman"/>
                <w:b/>
                <w:sz w:val="23"/>
                <w:szCs w:val="23"/>
              </w:rPr>
              <w:t>67% no vidējās algas</w:t>
            </w:r>
            <w:r w:rsidR="00426ECA" w:rsidRPr="00C75B60">
              <w:rPr>
                <w:rFonts w:ascii="Times New Roman" w:hAnsi="Times New Roman" w:cs="Times New Roman"/>
                <w:b/>
                <w:sz w:val="23"/>
                <w:szCs w:val="23"/>
                <w:vertAlign w:val="superscript"/>
              </w:rPr>
              <w:t>**</w:t>
            </w:r>
          </w:p>
        </w:tc>
        <w:tc>
          <w:tcPr>
            <w:tcW w:w="1276"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353</w:t>
            </w:r>
          </w:p>
        </w:tc>
        <w:tc>
          <w:tcPr>
            <w:tcW w:w="1134"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0</w:t>
            </w:r>
          </w:p>
        </w:tc>
        <w:tc>
          <w:tcPr>
            <w:tcW w:w="850"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249,</w:t>
            </w:r>
            <w:r w:rsidR="00CD18C8" w:rsidRPr="00C75B60">
              <w:rPr>
                <w:rFonts w:ascii="Times New Roman" w:hAnsi="Times New Roman" w:cs="Times New Roman"/>
                <w:sz w:val="23"/>
                <w:szCs w:val="23"/>
              </w:rPr>
              <w:t>57</w:t>
            </w:r>
          </w:p>
        </w:tc>
        <w:tc>
          <w:tcPr>
            <w:tcW w:w="851" w:type="dxa"/>
            <w:tcBorders>
              <w:top w:val="single" w:sz="4" w:space="0" w:color="000000" w:themeColor="text1"/>
              <w:bottom w:val="single" w:sz="4" w:space="0" w:color="7F7F7F" w:themeColor="text1" w:themeTint="80"/>
            </w:tcBorders>
          </w:tcPr>
          <w:p w:rsidR="009C104F" w:rsidRPr="00C75B60" w:rsidRDefault="009C104F" w:rsidP="00BA15BD">
            <w:pPr>
              <w:jc w:val="center"/>
              <w:rPr>
                <w:rFonts w:ascii="Times New Roman" w:hAnsi="Times New Roman" w:cs="Times New Roman"/>
                <w:sz w:val="23"/>
                <w:szCs w:val="23"/>
              </w:rPr>
            </w:pPr>
            <w:r w:rsidRPr="00C75B60">
              <w:rPr>
                <w:rFonts w:ascii="Times New Roman" w:hAnsi="Times New Roman" w:cs="Times New Roman"/>
                <w:sz w:val="23"/>
                <w:szCs w:val="23"/>
              </w:rPr>
              <w:t>25</w:t>
            </w:r>
            <w:r w:rsidR="00CD18C8" w:rsidRPr="00C75B60">
              <w:rPr>
                <w:rFonts w:ascii="Times New Roman" w:hAnsi="Times New Roman" w:cs="Times New Roman"/>
                <w:sz w:val="23"/>
                <w:szCs w:val="23"/>
              </w:rPr>
              <w:t>4</w:t>
            </w:r>
            <w:r w:rsidR="00BA15BD">
              <w:rPr>
                <w:rFonts w:ascii="Times New Roman" w:hAnsi="Times New Roman" w:cs="Times New Roman"/>
                <w:sz w:val="23"/>
                <w:szCs w:val="23"/>
              </w:rPr>
              <w:t>,</w:t>
            </w:r>
            <w:r w:rsidR="00CD18C8" w:rsidRPr="00C75B60">
              <w:rPr>
                <w:rFonts w:ascii="Times New Roman" w:hAnsi="Times New Roman" w:cs="Times New Roman"/>
                <w:sz w:val="23"/>
                <w:szCs w:val="23"/>
              </w:rPr>
              <w:t>95</w:t>
            </w:r>
          </w:p>
        </w:tc>
        <w:tc>
          <w:tcPr>
            <w:tcW w:w="1229"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5,</w:t>
            </w:r>
            <w:r w:rsidR="00C75B60">
              <w:rPr>
                <w:rFonts w:ascii="Times New Roman" w:hAnsi="Times New Roman" w:cs="Times New Roman"/>
                <w:color w:val="FF0000"/>
                <w:sz w:val="23"/>
                <w:szCs w:val="23"/>
              </w:rPr>
              <w:t>38</w:t>
            </w:r>
          </w:p>
        </w:tc>
        <w:tc>
          <w:tcPr>
            <w:tcW w:w="1322"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28,</w:t>
            </w:r>
            <w:r w:rsidR="00BA15BD">
              <w:rPr>
                <w:rFonts w:ascii="Times New Roman" w:hAnsi="Times New Roman" w:cs="Times New Roman"/>
                <w:bCs/>
                <w:color w:val="FF0000"/>
                <w:sz w:val="23"/>
                <w:szCs w:val="23"/>
              </w:rPr>
              <w:t>62</w:t>
            </w:r>
          </w:p>
        </w:tc>
        <w:tc>
          <w:tcPr>
            <w:tcW w:w="1192"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93,1</w:t>
            </w:r>
            <w:r w:rsidR="00BA15BD">
              <w:rPr>
                <w:rFonts w:ascii="Times New Roman" w:hAnsi="Times New Roman" w:cs="Times New Roman"/>
                <w:b/>
                <w:color w:val="FF0000"/>
                <w:sz w:val="23"/>
                <w:szCs w:val="23"/>
              </w:rPr>
              <w:t>8</w:t>
            </w:r>
          </w:p>
        </w:tc>
        <w:tc>
          <w:tcPr>
            <w:tcW w:w="935" w:type="dxa"/>
            <w:tcBorders>
              <w:top w:val="single" w:sz="4" w:space="0" w:color="000000" w:themeColor="text1"/>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3</w:t>
            </w:r>
            <w:r w:rsidR="00125F5C">
              <w:rPr>
                <w:rFonts w:ascii="Times New Roman" w:hAnsi="Times New Roman" w:cs="Times New Roman"/>
                <w:b/>
                <w:sz w:val="23"/>
                <w:szCs w:val="23"/>
              </w:rPr>
              <w:t>,1</w:t>
            </w:r>
            <w:r w:rsidRPr="00C75B60">
              <w:rPr>
                <w:rFonts w:ascii="Times New Roman" w:hAnsi="Times New Roman" w:cs="Times New Roman"/>
                <w:b/>
                <w:sz w:val="23"/>
                <w:szCs w:val="23"/>
              </w:rPr>
              <w:t>%</w:t>
            </w:r>
          </w:p>
        </w:tc>
      </w:tr>
      <w:tr w:rsidR="009C104F" w:rsidRPr="00C75B60" w:rsidTr="00125F5C">
        <w:tc>
          <w:tcPr>
            <w:tcW w:w="1384" w:type="dxa"/>
            <w:vMerge/>
          </w:tcPr>
          <w:p w:rsidR="009C104F" w:rsidRPr="00C75B60" w:rsidRDefault="009C104F" w:rsidP="00474BBB">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353</w:t>
            </w:r>
          </w:p>
        </w:tc>
        <w:tc>
          <w:tcPr>
            <w:tcW w:w="1134"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1</w:t>
            </w:r>
          </w:p>
        </w:tc>
        <w:tc>
          <w:tcPr>
            <w:tcW w:w="850"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sz w:val="23"/>
                <w:szCs w:val="23"/>
              </w:rPr>
            </w:pPr>
            <w:r w:rsidRPr="00C75B60">
              <w:rPr>
                <w:rFonts w:ascii="Times New Roman" w:hAnsi="Times New Roman" w:cs="Times New Roman"/>
                <w:sz w:val="23"/>
                <w:szCs w:val="23"/>
              </w:rPr>
              <w:t>26</w:t>
            </w:r>
            <w:r w:rsidR="00CD18C8" w:rsidRPr="00C75B60">
              <w:rPr>
                <w:rFonts w:ascii="Times New Roman" w:hAnsi="Times New Roman" w:cs="Times New Roman"/>
                <w:sz w:val="23"/>
                <w:szCs w:val="23"/>
              </w:rPr>
              <w:t>7</w:t>
            </w:r>
            <w:r w:rsidR="00BA15BD">
              <w:rPr>
                <w:rFonts w:ascii="Times New Roman" w:hAnsi="Times New Roman" w:cs="Times New Roman"/>
                <w:sz w:val="23"/>
                <w:szCs w:val="23"/>
              </w:rPr>
              <w:t>,</w:t>
            </w:r>
            <w:r w:rsidR="00CD18C8" w:rsidRPr="00C75B60">
              <w:rPr>
                <w:rFonts w:ascii="Times New Roman" w:hAnsi="Times New Roman" w:cs="Times New Roman"/>
                <w:sz w:val="23"/>
                <w:szCs w:val="23"/>
              </w:rPr>
              <w:t>57</w:t>
            </w:r>
          </w:p>
        </w:tc>
        <w:tc>
          <w:tcPr>
            <w:tcW w:w="851" w:type="dxa"/>
            <w:tcBorders>
              <w:top w:val="single" w:sz="4" w:space="0" w:color="7F7F7F" w:themeColor="text1" w:themeTint="80"/>
              <w:bottom w:val="single" w:sz="4" w:space="0" w:color="7F7F7F" w:themeColor="text1" w:themeTint="80"/>
            </w:tcBorders>
          </w:tcPr>
          <w:p w:rsidR="009C104F" w:rsidRPr="00C75B60" w:rsidRDefault="009C104F" w:rsidP="00CD18C8">
            <w:pPr>
              <w:jc w:val="center"/>
              <w:rPr>
                <w:rFonts w:ascii="Times New Roman" w:hAnsi="Times New Roman" w:cs="Times New Roman"/>
                <w:sz w:val="23"/>
                <w:szCs w:val="23"/>
              </w:rPr>
            </w:pPr>
            <w:r w:rsidRPr="00C75B60">
              <w:rPr>
                <w:rFonts w:ascii="Times New Roman" w:hAnsi="Times New Roman" w:cs="Times New Roman"/>
                <w:sz w:val="23"/>
                <w:szCs w:val="23"/>
              </w:rPr>
              <w:t>276,</w:t>
            </w:r>
            <w:r w:rsidR="00CD18C8" w:rsidRPr="00C75B60">
              <w:rPr>
                <w:rFonts w:ascii="Times New Roman" w:hAnsi="Times New Roman" w:cs="Times New Roman"/>
                <w:sz w:val="23"/>
                <w:szCs w:val="23"/>
              </w:rPr>
              <w:t>51</w:t>
            </w:r>
          </w:p>
        </w:tc>
        <w:tc>
          <w:tcPr>
            <w:tcW w:w="1229" w:type="dxa"/>
            <w:tcBorders>
              <w:top w:val="single" w:sz="4" w:space="0" w:color="7F7F7F" w:themeColor="text1" w:themeTint="80"/>
              <w:bottom w:val="single" w:sz="4" w:space="0" w:color="7F7F7F" w:themeColor="text1" w:themeTint="80"/>
            </w:tcBorders>
          </w:tcPr>
          <w:p w:rsidR="009C104F" w:rsidRPr="00C75B60" w:rsidRDefault="00C75B60" w:rsidP="00C75B60">
            <w:pPr>
              <w:jc w:val="center"/>
              <w:rPr>
                <w:rFonts w:ascii="Times New Roman" w:hAnsi="Times New Roman" w:cs="Times New Roman"/>
                <w:color w:val="FF0000"/>
                <w:sz w:val="23"/>
                <w:szCs w:val="23"/>
              </w:rPr>
            </w:pPr>
            <w:r>
              <w:rPr>
                <w:rFonts w:ascii="Times New Roman" w:hAnsi="Times New Roman" w:cs="Times New Roman"/>
                <w:color w:val="FF0000"/>
                <w:sz w:val="23"/>
                <w:szCs w:val="23"/>
              </w:rPr>
              <w:t>8</w:t>
            </w:r>
            <w:r w:rsidR="009C104F" w:rsidRPr="00C75B60">
              <w:rPr>
                <w:rFonts w:ascii="Times New Roman" w:hAnsi="Times New Roman" w:cs="Times New Roman"/>
                <w:color w:val="FF0000"/>
                <w:sz w:val="23"/>
                <w:szCs w:val="23"/>
              </w:rPr>
              <w:t>,</w:t>
            </w:r>
            <w:r>
              <w:rPr>
                <w:rFonts w:ascii="Times New Roman" w:hAnsi="Times New Roman" w:cs="Times New Roman"/>
                <w:color w:val="FF0000"/>
                <w:sz w:val="23"/>
                <w:szCs w:val="23"/>
              </w:rPr>
              <w:t>94</w:t>
            </w:r>
          </w:p>
        </w:tc>
        <w:tc>
          <w:tcPr>
            <w:tcW w:w="1322"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28,</w:t>
            </w:r>
            <w:r w:rsidR="00BA15BD">
              <w:rPr>
                <w:rFonts w:ascii="Times New Roman" w:hAnsi="Times New Roman" w:cs="Times New Roman"/>
                <w:bCs/>
                <w:color w:val="FF0000"/>
                <w:sz w:val="23"/>
                <w:szCs w:val="23"/>
              </w:rPr>
              <w:t>62</w:t>
            </w:r>
          </w:p>
        </w:tc>
        <w:tc>
          <w:tcPr>
            <w:tcW w:w="1192"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w:t>
            </w:r>
            <w:r w:rsidR="00BA15BD">
              <w:rPr>
                <w:rFonts w:ascii="Times New Roman" w:hAnsi="Times New Roman" w:cs="Times New Roman"/>
                <w:b/>
                <w:color w:val="FF0000"/>
                <w:sz w:val="23"/>
                <w:szCs w:val="23"/>
              </w:rPr>
              <w:t>35</w:t>
            </w:r>
            <w:r w:rsidRPr="00C75B60">
              <w:rPr>
                <w:rFonts w:ascii="Times New Roman" w:hAnsi="Times New Roman" w:cs="Times New Roman"/>
                <w:b/>
                <w:color w:val="FF0000"/>
                <w:sz w:val="23"/>
                <w:szCs w:val="23"/>
              </w:rPr>
              <w:t>,</w:t>
            </w:r>
            <w:r w:rsidR="00BA15BD">
              <w:rPr>
                <w:rFonts w:ascii="Times New Roman" w:hAnsi="Times New Roman" w:cs="Times New Roman"/>
                <w:b/>
                <w:color w:val="FF0000"/>
                <w:sz w:val="23"/>
                <w:szCs w:val="23"/>
              </w:rPr>
              <w:t>90</w:t>
            </w:r>
          </w:p>
        </w:tc>
        <w:tc>
          <w:tcPr>
            <w:tcW w:w="935"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4</w:t>
            </w:r>
            <w:r w:rsidR="00125F5C">
              <w:rPr>
                <w:rFonts w:ascii="Times New Roman" w:hAnsi="Times New Roman" w:cs="Times New Roman"/>
                <w:b/>
                <w:sz w:val="23"/>
                <w:szCs w:val="23"/>
              </w:rPr>
              <w:t>,2</w:t>
            </w:r>
            <w:r w:rsidRPr="00C75B60">
              <w:rPr>
                <w:rFonts w:ascii="Times New Roman" w:hAnsi="Times New Roman" w:cs="Times New Roman"/>
                <w:b/>
                <w:sz w:val="23"/>
                <w:szCs w:val="23"/>
              </w:rPr>
              <w:t>%</w:t>
            </w:r>
          </w:p>
        </w:tc>
      </w:tr>
      <w:tr w:rsidR="009C104F" w:rsidRPr="00C75B60" w:rsidTr="00125F5C">
        <w:tc>
          <w:tcPr>
            <w:tcW w:w="1384" w:type="dxa"/>
            <w:vMerge/>
          </w:tcPr>
          <w:p w:rsidR="009C104F" w:rsidRPr="00C75B60" w:rsidRDefault="009C104F" w:rsidP="00474BBB">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353</w:t>
            </w:r>
          </w:p>
        </w:tc>
        <w:tc>
          <w:tcPr>
            <w:tcW w:w="1134"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2</w:t>
            </w:r>
          </w:p>
        </w:tc>
        <w:tc>
          <w:tcPr>
            <w:tcW w:w="850" w:type="dxa"/>
            <w:tcBorders>
              <w:top w:val="single" w:sz="4" w:space="0" w:color="7F7F7F" w:themeColor="text1" w:themeTint="80"/>
              <w:bottom w:val="single" w:sz="4" w:space="0" w:color="7F7F7F" w:themeColor="text1" w:themeTint="80"/>
            </w:tcBorders>
          </w:tcPr>
          <w:p w:rsidR="009C104F" w:rsidRPr="00C75B60" w:rsidRDefault="009C104F" w:rsidP="00BA15BD">
            <w:pPr>
              <w:jc w:val="center"/>
              <w:rPr>
                <w:rFonts w:ascii="Times New Roman" w:hAnsi="Times New Roman" w:cs="Times New Roman"/>
                <w:sz w:val="23"/>
                <w:szCs w:val="23"/>
              </w:rPr>
            </w:pPr>
            <w:r w:rsidRPr="00C75B60">
              <w:rPr>
                <w:rFonts w:ascii="Times New Roman" w:hAnsi="Times New Roman" w:cs="Times New Roman"/>
                <w:sz w:val="23"/>
                <w:szCs w:val="23"/>
              </w:rPr>
              <w:t>28</w:t>
            </w:r>
            <w:r w:rsidR="00CD18C8" w:rsidRPr="00C75B60">
              <w:rPr>
                <w:rFonts w:ascii="Times New Roman" w:hAnsi="Times New Roman" w:cs="Times New Roman"/>
                <w:sz w:val="23"/>
                <w:szCs w:val="23"/>
              </w:rPr>
              <w:t>5</w:t>
            </w:r>
            <w:r w:rsidR="00BA15BD">
              <w:rPr>
                <w:rFonts w:ascii="Times New Roman" w:hAnsi="Times New Roman" w:cs="Times New Roman"/>
                <w:sz w:val="23"/>
                <w:szCs w:val="23"/>
              </w:rPr>
              <w:t>,</w:t>
            </w:r>
            <w:r w:rsidR="00CD18C8" w:rsidRPr="00C75B60">
              <w:rPr>
                <w:rFonts w:ascii="Times New Roman" w:hAnsi="Times New Roman" w:cs="Times New Roman"/>
                <w:sz w:val="23"/>
                <w:szCs w:val="23"/>
              </w:rPr>
              <w:t>57</w:t>
            </w:r>
          </w:p>
        </w:tc>
        <w:tc>
          <w:tcPr>
            <w:tcW w:w="851" w:type="dxa"/>
            <w:tcBorders>
              <w:top w:val="single" w:sz="4" w:space="0" w:color="7F7F7F" w:themeColor="text1" w:themeTint="80"/>
              <w:bottom w:val="single" w:sz="4" w:space="0" w:color="7F7F7F" w:themeColor="text1" w:themeTint="80"/>
            </w:tcBorders>
          </w:tcPr>
          <w:p w:rsidR="009C104F" w:rsidRPr="00C75B60" w:rsidRDefault="009C104F" w:rsidP="00CD18C8">
            <w:pPr>
              <w:jc w:val="center"/>
              <w:rPr>
                <w:rFonts w:ascii="Times New Roman" w:hAnsi="Times New Roman" w:cs="Times New Roman"/>
                <w:sz w:val="23"/>
                <w:szCs w:val="23"/>
              </w:rPr>
            </w:pPr>
            <w:r w:rsidRPr="00C75B60">
              <w:rPr>
                <w:rFonts w:ascii="Times New Roman" w:hAnsi="Times New Roman" w:cs="Times New Roman"/>
                <w:sz w:val="23"/>
                <w:szCs w:val="23"/>
              </w:rPr>
              <w:t>298,</w:t>
            </w:r>
            <w:r w:rsidR="00CD18C8" w:rsidRPr="00C75B60">
              <w:rPr>
                <w:rFonts w:ascii="Times New Roman" w:hAnsi="Times New Roman" w:cs="Times New Roman"/>
                <w:sz w:val="23"/>
                <w:szCs w:val="23"/>
              </w:rPr>
              <w:t>07</w:t>
            </w:r>
          </w:p>
        </w:tc>
        <w:tc>
          <w:tcPr>
            <w:tcW w:w="1229" w:type="dxa"/>
            <w:tcBorders>
              <w:top w:val="single" w:sz="4" w:space="0" w:color="7F7F7F" w:themeColor="text1" w:themeTint="80"/>
              <w:bottom w:val="single" w:sz="4" w:space="0" w:color="7F7F7F" w:themeColor="text1" w:themeTint="80"/>
            </w:tcBorders>
          </w:tcPr>
          <w:p w:rsidR="009C104F" w:rsidRPr="00C75B60" w:rsidRDefault="0043430D" w:rsidP="00C75B60">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C75B60">
              <w:rPr>
                <w:rFonts w:ascii="Times New Roman" w:hAnsi="Times New Roman" w:cs="Times New Roman"/>
                <w:color w:val="FF0000"/>
                <w:sz w:val="23"/>
                <w:szCs w:val="23"/>
              </w:rPr>
              <w:t>2</w:t>
            </w:r>
            <w:r w:rsidRPr="00C75B60">
              <w:rPr>
                <w:rFonts w:ascii="Times New Roman" w:hAnsi="Times New Roman" w:cs="Times New Roman"/>
                <w:color w:val="FF0000"/>
                <w:sz w:val="23"/>
                <w:szCs w:val="23"/>
              </w:rPr>
              <w:t>,</w:t>
            </w:r>
            <w:r w:rsidR="00C75B60">
              <w:rPr>
                <w:rFonts w:ascii="Times New Roman" w:hAnsi="Times New Roman" w:cs="Times New Roman"/>
                <w:color w:val="FF0000"/>
                <w:sz w:val="23"/>
                <w:szCs w:val="23"/>
              </w:rPr>
              <w:t>50</w:t>
            </w:r>
          </w:p>
        </w:tc>
        <w:tc>
          <w:tcPr>
            <w:tcW w:w="1322" w:type="dxa"/>
            <w:tcBorders>
              <w:top w:val="single" w:sz="4" w:space="0" w:color="7F7F7F" w:themeColor="text1" w:themeTint="80"/>
              <w:bottom w:val="single" w:sz="4" w:space="0" w:color="7F7F7F" w:themeColor="text1" w:themeTint="80"/>
            </w:tcBorders>
          </w:tcPr>
          <w:p w:rsidR="009C104F" w:rsidRPr="00C75B60" w:rsidRDefault="0043430D" w:rsidP="00474BBB">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28,</w:t>
            </w:r>
            <w:r w:rsidR="00BA15BD">
              <w:rPr>
                <w:rFonts w:ascii="Times New Roman" w:hAnsi="Times New Roman" w:cs="Times New Roman"/>
                <w:bCs/>
                <w:color w:val="FF0000"/>
                <w:sz w:val="23"/>
                <w:szCs w:val="23"/>
              </w:rPr>
              <w:t>62</w:t>
            </w:r>
          </w:p>
        </w:tc>
        <w:tc>
          <w:tcPr>
            <w:tcW w:w="1192" w:type="dxa"/>
            <w:tcBorders>
              <w:top w:val="single" w:sz="4" w:space="0" w:color="7F7F7F" w:themeColor="text1" w:themeTint="80"/>
              <w:bottom w:val="single" w:sz="4" w:space="0" w:color="7F7F7F" w:themeColor="text1" w:themeTint="80"/>
            </w:tcBorders>
          </w:tcPr>
          <w:p w:rsidR="009C104F" w:rsidRPr="00C75B60" w:rsidRDefault="0043430D" w:rsidP="00BA15BD">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w:t>
            </w:r>
            <w:r w:rsidR="00BA15BD">
              <w:rPr>
                <w:rFonts w:ascii="Times New Roman" w:hAnsi="Times New Roman" w:cs="Times New Roman"/>
                <w:b/>
                <w:color w:val="FF0000"/>
                <w:sz w:val="23"/>
                <w:szCs w:val="23"/>
              </w:rPr>
              <w:t>78</w:t>
            </w:r>
            <w:r w:rsidRPr="00C75B60">
              <w:rPr>
                <w:rFonts w:ascii="Times New Roman" w:hAnsi="Times New Roman" w:cs="Times New Roman"/>
                <w:b/>
                <w:color w:val="FF0000"/>
                <w:sz w:val="23"/>
                <w:szCs w:val="23"/>
              </w:rPr>
              <w:t>,</w:t>
            </w:r>
            <w:r w:rsidR="00BA15BD">
              <w:rPr>
                <w:rFonts w:ascii="Times New Roman" w:hAnsi="Times New Roman" w:cs="Times New Roman"/>
                <w:b/>
                <w:color w:val="FF0000"/>
                <w:sz w:val="23"/>
                <w:szCs w:val="23"/>
              </w:rPr>
              <w:t>62</w:t>
            </w:r>
          </w:p>
        </w:tc>
        <w:tc>
          <w:tcPr>
            <w:tcW w:w="935" w:type="dxa"/>
            <w:tcBorders>
              <w:top w:val="single" w:sz="4" w:space="0" w:color="7F7F7F" w:themeColor="text1" w:themeTint="80"/>
              <w:bottom w:val="single" w:sz="4" w:space="0" w:color="7F7F7F" w:themeColor="text1" w:themeTint="80"/>
            </w:tcBorders>
          </w:tcPr>
          <w:p w:rsidR="009C104F" w:rsidRPr="00C75B60" w:rsidRDefault="00125F5C" w:rsidP="00474BBB">
            <w:pPr>
              <w:jc w:val="center"/>
              <w:rPr>
                <w:rFonts w:ascii="Times New Roman" w:hAnsi="Times New Roman" w:cs="Times New Roman"/>
                <w:b/>
                <w:sz w:val="23"/>
                <w:szCs w:val="23"/>
              </w:rPr>
            </w:pPr>
            <w:r>
              <w:rPr>
                <w:rFonts w:ascii="Times New Roman" w:hAnsi="Times New Roman" w:cs="Times New Roman"/>
                <w:b/>
                <w:sz w:val="23"/>
                <w:szCs w:val="23"/>
              </w:rPr>
              <w:t>5,2</w:t>
            </w:r>
            <w:r w:rsidR="0043430D" w:rsidRPr="00C75B60">
              <w:rPr>
                <w:rFonts w:ascii="Times New Roman" w:hAnsi="Times New Roman" w:cs="Times New Roman"/>
                <w:b/>
                <w:sz w:val="23"/>
                <w:szCs w:val="23"/>
              </w:rPr>
              <w:t>%</w:t>
            </w:r>
          </w:p>
        </w:tc>
      </w:tr>
      <w:tr w:rsidR="009C104F" w:rsidRPr="00C75B60" w:rsidTr="00125F5C">
        <w:tc>
          <w:tcPr>
            <w:tcW w:w="1384" w:type="dxa"/>
            <w:vMerge/>
          </w:tcPr>
          <w:p w:rsidR="009C104F" w:rsidRPr="00C75B60" w:rsidRDefault="009C104F" w:rsidP="00474BBB">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b/>
                <w:sz w:val="23"/>
                <w:szCs w:val="23"/>
              </w:rPr>
            </w:pPr>
            <w:r w:rsidRPr="00C75B60">
              <w:rPr>
                <w:rFonts w:ascii="Times New Roman" w:hAnsi="Times New Roman" w:cs="Times New Roman"/>
                <w:b/>
                <w:sz w:val="23"/>
                <w:szCs w:val="23"/>
              </w:rPr>
              <w:t>353</w:t>
            </w:r>
          </w:p>
        </w:tc>
        <w:tc>
          <w:tcPr>
            <w:tcW w:w="1134" w:type="dxa"/>
            <w:tcBorders>
              <w:top w:val="single" w:sz="4" w:space="0" w:color="7F7F7F" w:themeColor="text1" w:themeTint="80"/>
              <w:bottom w:val="single" w:sz="4" w:space="0" w:color="7F7F7F" w:themeColor="text1" w:themeTint="80"/>
            </w:tcBorders>
          </w:tcPr>
          <w:p w:rsidR="009C104F" w:rsidRPr="00C75B60" w:rsidRDefault="009C104F" w:rsidP="00474BBB">
            <w:pPr>
              <w:jc w:val="center"/>
              <w:rPr>
                <w:rFonts w:ascii="Times New Roman" w:hAnsi="Times New Roman" w:cs="Times New Roman"/>
                <w:sz w:val="23"/>
                <w:szCs w:val="23"/>
              </w:rPr>
            </w:pPr>
            <w:r w:rsidRPr="00C75B60">
              <w:rPr>
                <w:rFonts w:ascii="Times New Roman" w:hAnsi="Times New Roman" w:cs="Times New Roman"/>
                <w:sz w:val="23"/>
                <w:szCs w:val="23"/>
              </w:rPr>
              <w:t>3</w:t>
            </w:r>
          </w:p>
        </w:tc>
        <w:tc>
          <w:tcPr>
            <w:tcW w:w="850" w:type="dxa"/>
            <w:tcBorders>
              <w:top w:val="single" w:sz="4" w:space="0" w:color="7F7F7F" w:themeColor="text1" w:themeTint="80"/>
              <w:bottom w:val="single" w:sz="4" w:space="0" w:color="7F7F7F" w:themeColor="text1" w:themeTint="80"/>
            </w:tcBorders>
          </w:tcPr>
          <w:p w:rsidR="009C104F"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30</w:t>
            </w:r>
            <w:r w:rsidR="00CD18C8" w:rsidRPr="00C75B60">
              <w:rPr>
                <w:rFonts w:ascii="Times New Roman" w:hAnsi="Times New Roman" w:cs="Times New Roman"/>
                <w:sz w:val="23"/>
                <w:szCs w:val="23"/>
              </w:rPr>
              <w:t>3</w:t>
            </w:r>
            <w:r w:rsidR="00BA15BD">
              <w:rPr>
                <w:rFonts w:ascii="Times New Roman" w:hAnsi="Times New Roman" w:cs="Times New Roman"/>
                <w:sz w:val="23"/>
                <w:szCs w:val="23"/>
              </w:rPr>
              <w:t>,</w:t>
            </w:r>
            <w:r w:rsidR="00CD18C8" w:rsidRPr="00C75B60">
              <w:rPr>
                <w:rFonts w:ascii="Times New Roman" w:hAnsi="Times New Roman" w:cs="Times New Roman"/>
                <w:sz w:val="23"/>
                <w:szCs w:val="23"/>
              </w:rPr>
              <w:t>57</w:t>
            </w:r>
          </w:p>
        </w:tc>
        <w:tc>
          <w:tcPr>
            <w:tcW w:w="851" w:type="dxa"/>
            <w:tcBorders>
              <w:top w:val="single" w:sz="4" w:space="0" w:color="7F7F7F" w:themeColor="text1" w:themeTint="80"/>
              <w:bottom w:val="single" w:sz="4" w:space="0" w:color="7F7F7F" w:themeColor="text1" w:themeTint="80"/>
            </w:tcBorders>
          </w:tcPr>
          <w:p w:rsidR="009C104F" w:rsidRPr="00C75B60" w:rsidRDefault="0043430D" w:rsidP="00474BBB">
            <w:pPr>
              <w:jc w:val="center"/>
              <w:rPr>
                <w:rFonts w:ascii="Times New Roman" w:hAnsi="Times New Roman" w:cs="Times New Roman"/>
                <w:sz w:val="23"/>
                <w:szCs w:val="23"/>
              </w:rPr>
            </w:pPr>
            <w:r w:rsidRPr="00C75B60">
              <w:rPr>
                <w:rFonts w:ascii="Times New Roman" w:hAnsi="Times New Roman" w:cs="Times New Roman"/>
                <w:sz w:val="23"/>
                <w:szCs w:val="23"/>
              </w:rPr>
              <w:t>314</w:t>
            </w:r>
            <w:r w:rsidR="00C75B60">
              <w:rPr>
                <w:rFonts w:ascii="Times New Roman" w:hAnsi="Times New Roman" w:cs="Times New Roman"/>
                <w:sz w:val="23"/>
                <w:szCs w:val="23"/>
              </w:rPr>
              <w:t>,</w:t>
            </w:r>
            <w:r w:rsidR="00CD18C8" w:rsidRPr="00C75B60">
              <w:rPr>
                <w:rFonts w:ascii="Times New Roman" w:hAnsi="Times New Roman" w:cs="Times New Roman"/>
                <w:sz w:val="23"/>
                <w:szCs w:val="23"/>
              </w:rPr>
              <w:t>17</w:t>
            </w:r>
          </w:p>
        </w:tc>
        <w:tc>
          <w:tcPr>
            <w:tcW w:w="1229" w:type="dxa"/>
            <w:tcBorders>
              <w:top w:val="single" w:sz="4" w:space="0" w:color="7F7F7F" w:themeColor="text1" w:themeTint="80"/>
              <w:bottom w:val="single" w:sz="4" w:space="0" w:color="7F7F7F" w:themeColor="text1" w:themeTint="80"/>
            </w:tcBorders>
          </w:tcPr>
          <w:p w:rsidR="009C104F" w:rsidRPr="00C75B60" w:rsidRDefault="0043430D" w:rsidP="00C75B60">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C75B60">
              <w:rPr>
                <w:rFonts w:ascii="Times New Roman" w:hAnsi="Times New Roman" w:cs="Times New Roman"/>
                <w:color w:val="FF0000"/>
                <w:sz w:val="23"/>
                <w:szCs w:val="23"/>
              </w:rPr>
              <w:t>0,60</w:t>
            </w:r>
          </w:p>
        </w:tc>
        <w:tc>
          <w:tcPr>
            <w:tcW w:w="1322" w:type="dxa"/>
            <w:tcBorders>
              <w:top w:val="single" w:sz="4" w:space="0" w:color="7F7F7F" w:themeColor="text1" w:themeTint="80"/>
              <w:bottom w:val="single" w:sz="4" w:space="0" w:color="7F7F7F" w:themeColor="text1" w:themeTint="80"/>
            </w:tcBorders>
          </w:tcPr>
          <w:p w:rsidR="009C104F" w:rsidRPr="00C75B60" w:rsidRDefault="0043430D" w:rsidP="00474BBB">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9C104F" w:rsidRPr="00C75B60" w:rsidRDefault="00BA15BD" w:rsidP="00BA15BD">
            <w:pPr>
              <w:jc w:val="center"/>
              <w:rPr>
                <w:rFonts w:ascii="Times New Roman" w:hAnsi="Times New Roman" w:cs="Times New Roman"/>
                <w:b/>
                <w:color w:val="FF0000"/>
                <w:sz w:val="23"/>
                <w:szCs w:val="23"/>
              </w:rPr>
            </w:pPr>
            <w:r>
              <w:rPr>
                <w:rFonts w:ascii="Times New Roman" w:hAnsi="Times New Roman" w:cs="Times New Roman"/>
                <w:b/>
                <w:color w:val="FF0000"/>
                <w:sz w:val="23"/>
                <w:szCs w:val="23"/>
              </w:rPr>
              <w:t>127,20</w:t>
            </w:r>
          </w:p>
        </w:tc>
        <w:tc>
          <w:tcPr>
            <w:tcW w:w="935" w:type="dxa"/>
            <w:tcBorders>
              <w:top w:val="single" w:sz="4" w:space="0" w:color="7F7F7F" w:themeColor="text1" w:themeTint="80"/>
              <w:bottom w:val="single" w:sz="4" w:space="0" w:color="7F7F7F" w:themeColor="text1" w:themeTint="80"/>
            </w:tcBorders>
          </w:tcPr>
          <w:p w:rsidR="009C104F" w:rsidRPr="00C75B60" w:rsidRDefault="00125F5C" w:rsidP="00474BBB">
            <w:pPr>
              <w:jc w:val="center"/>
              <w:rPr>
                <w:rFonts w:ascii="Times New Roman" w:hAnsi="Times New Roman" w:cs="Times New Roman"/>
                <w:b/>
                <w:sz w:val="23"/>
                <w:szCs w:val="23"/>
              </w:rPr>
            </w:pPr>
            <w:r>
              <w:rPr>
                <w:rFonts w:ascii="Times New Roman" w:hAnsi="Times New Roman" w:cs="Times New Roman"/>
                <w:b/>
                <w:sz w:val="23"/>
                <w:szCs w:val="23"/>
              </w:rPr>
              <w:t>3,5</w:t>
            </w:r>
            <w:r w:rsidR="0043430D" w:rsidRPr="00C75B60">
              <w:rPr>
                <w:rFonts w:ascii="Times New Roman" w:hAnsi="Times New Roman" w:cs="Times New Roman"/>
                <w:b/>
                <w:sz w:val="23"/>
                <w:szCs w:val="23"/>
              </w:rPr>
              <w:t>%</w:t>
            </w:r>
          </w:p>
        </w:tc>
      </w:tr>
      <w:tr w:rsidR="0043430D" w:rsidRPr="00C75B60" w:rsidTr="00125F5C">
        <w:tc>
          <w:tcPr>
            <w:tcW w:w="1384" w:type="dxa"/>
            <w:vMerge w:val="restart"/>
          </w:tcPr>
          <w:p w:rsidR="0043430D" w:rsidRPr="00C75B60" w:rsidRDefault="0043430D" w:rsidP="0043430D">
            <w:pPr>
              <w:rPr>
                <w:rFonts w:ascii="Times New Roman" w:hAnsi="Times New Roman" w:cs="Times New Roman"/>
                <w:b/>
                <w:sz w:val="23"/>
                <w:szCs w:val="23"/>
              </w:rPr>
            </w:pPr>
            <w:r w:rsidRPr="00C75B60">
              <w:rPr>
                <w:rFonts w:ascii="Times New Roman" w:hAnsi="Times New Roman" w:cs="Times New Roman"/>
                <w:b/>
                <w:sz w:val="23"/>
                <w:szCs w:val="23"/>
              </w:rPr>
              <w:t>100% no vidējās algas</w:t>
            </w:r>
            <w:r w:rsidR="00426ECA" w:rsidRPr="00C75B60">
              <w:rPr>
                <w:rFonts w:ascii="Times New Roman" w:hAnsi="Times New Roman" w:cs="Times New Roman"/>
                <w:b/>
                <w:sz w:val="23"/>
                <w:szCs w:val="23"/>
                <w:vertAlign w:val="superscript"/>
              </w:rPr>
              <w:t>**</w:t>
            </w:r>
          </w:p>
        </w:tc>
        <w:tc>
          <w:tcPr>
            <w:tcW w:w="1276"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527</w:t>
            </w:r>
          </w:p>
        </w:tc>
        <w:tc>
          <w:tcPr>
            <w:tcW w:w="1134"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0</w:t>
            </w:r>
          </w:p>
        </w:tc>
        <w:tc>
          <w:tcPr>
            <w:tcW w:w="850" w:type="dxa"/>
            <w:tcBorders>
              <w:top w:val="single" w:sz="4" w:space="0" w:color="000000" w:themeColor="text1"/>
              <w:bottom w:val="single" w:sz="4" w:space="0" w:color="7F7F7F" w:themeColor="text1" w:themeTint="80"/>
            </w:tcBorders>
          </w:tcPr>
          <w:p w:rsidR="0043430D" w:rsidRPr="00C75B60" w:rsidRDefault="0043430D" w:rsidP="00CD18C8">
            <w:pPr>
              <w:jc w:val="center"/>
              <w:rPr>
                <w:rFonts w:ascii="Times New Roman" w:hAnsi="Times New Roman" w:cs="Times New Roman"/>
                <w:sz w:val="23"/>
                <w:szCs w:val="23"/>
              </w:rPr>
            </w:pPr>
            <w:r w:rsidRPr="00C75B60">
              <w:rPr>
                <w:rFonts w:ascii="Times New Roman" w:hAnsi="Times New Roman" w:cs="Times New Roman"/>
                <w:sz w:val="23"/>
                <w:szCs w:val="23"/>
              </w:rPr>
              <w:t>367,</w:t>
            </w:r>
            <w:r w:rsidR="00CD18C8" w:rsidRPr="00C75B60">
              <w:rPr>
                <w:rFonts w:ascii="Times New Roman" w:hAnsi="Times New Roman" w:cs="Times New Roman"/>
                <w:sz w:val="23"/>
                <w:szCs w:val="23"/>
              </w:rPr>
              <w:t>26</w:t>
            </w:r>
          </w:p>
        </w:tc>
        <w:tc>
          <w:tcPr>
            <w:tcW w:w="851" w:type="dxa"/>
            <w:tcBorders>
              <w:top w:val="single" w:sz="4" w:space="0" w:color="000000" w:themeColor="text1"/>
              <w:bottom w:val="single" w:sz="4" w:space="0" w:color="7F7F7F" w:themeColor="text1" w:themeTint="80"/>
            </w:tcBorders>
          </w:tcPr>
          <w:p w:rsidR="0043430D" w:rsidRPr="00C75B60" w:rsidRDefault="0043430D" w:rsidP="00CD18C8">
            <w:pPr>
              <w:jc w:val="center"/>
              <w:rPr>
                <w:rFonts w:ascii="Times New Roman" w:hAnsi="Times New Roman" w:cs="Times New Roman"/>
                <w:sz w:val="23"/>
                <w:szCs w:val="23"/>
              </w:rPr>
            </w:pPr>
            <w:r w:rsidRPr="00C75B60">
              <w:rPr>
                <w:rFonts w:ascii="Times New Roman" w:hAnsi="Times New Roman" w:cs="Times New Roman"/>
                <w:sz w:val="23"/>
                <w:szCs w:val="23"/>
              </w:rPr>
              <w:t>375,</w:t>
            </w:r>
            <w:r w:rsidR="00CD18C8" w:rsidRPr="00C75B60">
              <w:rPr>
                <w:rFonts w:ascii="Times New Roman" w:hAnsi="Times New Roman" w:cs="Times New Roman"/>
                <w:sz w:val="23"/>
                <w:szCs w:val="23"/>
              </w:rPr>
              <w:t>74</w:t>
            </w:r>
          </w:p>
        </w:tc>
        <w:tc>
          <w:tcPr>
            <w:tcW w:w="1229" w:type="dxa"/>
            <w:tcBorders>
              <w:top w:val="single" w:sz="4" w:space="0" w:color="000000" w:themeColor="text1"/>
              <w:bottom w:val="single" w:sz="4" w:space="0" w:color="7F7F7F" w:themeColor="text1" w:themeTint="80"/>
            </w:tcBorders>
          </w:tcPr>
          <w:p w:rsidR="0043430D" w:rsidRPr="00C75B60" w:rsidRDefault="0043430D" w:rsidP="00125F5C">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8,</w:t>
            </w:r>
            <w:r w:rsidR="00125F5C">
              <w:rPr>
                <w:rFonts w:ascii="Times New Roman" w:hAnsi="Times New Roman" w:cs="Times New Roman"/>
                <w:color w:val="FF0000"/>
                <w:sz w:val="23"/>
                <w:szCs w:val="23"/>
              </w:rPr>
              <w:t>48</w:t>
            </w:r>
          </w:p>
        </w:tc>
        <w:tc>
          <w:tcPr>
            <w:tcW w:w="1322"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000000" w:themeColor="text1"/>
              <w:bottom w:val="single" w:sz="4" w:space="0" w:color="7F7F7F" w:themeColor="text1" w:themeTint="80"/>
            </w:tcBorders>
          </w:tcPr>
          <w:p w:rsidR="0043430D" w:rsidRPr="00C75B60" w:rsidRDefault="0043430D" w:rsidP="00125F5C">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101,</w:t>
            </w:r>
            <w:r w:rsidR="00125F5C">
              <w:rPr>
                <w:rFonts w:ascii="Times New Roman" w:hAnsi="Times New Roman" w:cs="Times New Roman"/>
                <w:b/>
                <w:color w:val="FF0000"/>
                <w:sz w:val="23"/>
                <w:szCs w:val="23"/>
              </w:rPr>
              <w:t>76</w:t>
            </w:r>
          </w:p>
        </w:tc>
        <w:tc>
          <w:tcPr>
            <w:tcW w:w="935"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2</w:t>
            </w:r>
            <w:r w:rsidR="00125F5C">
              <w:rPr>
                <w:rFonts w:ascii="Times New Roman" w:hAnsi="Times New Roman" w:cs="Times New Roman"/>
                <w:b/>
                <w:sz w:val="23"/>
                <w:szCs w:val="23"/>
              </w:rPr>
              <w:t>,3</w:t>
            </w:r>
            <w:r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527</w:t>
            </w:r>
          </w:p>
        </w:tc>
        <w:tc>
          <w:tcPr>
            <w:tcW w:w="1134"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1</w:t>
            </w:r>
          </w:p>
        </w:tc>
        <w:tc>
          <w:tcPr>
            <w:tcW w:w="850"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38</w:t>
            </w:r>
            <w:r w:rsidR="00CD18C8" w:rsidRPr="00C75B60">
              <w:rPr>
                <w:rFonts w:ascii="Times New Roman" w:hAnsi="Times New Roman" w:cs="Times New Roman"/>
                <w:sz w:val="23"/>
                <w:szCs w:val="23"/>
              </w:rPr>
              <w:t>5</w:t>
            </w:r>
            <w:r w:rsidR="00BA15BD">
              <w:rPr>
                <w:rFonts w:ascii="Times New Roman" w:hAnsi="Times New Roman" w:cs="Times New Roman"/>
                <w:sz w:val="23"/>
                <w:szCs w:val="23"/>
              </w:rPr>
              <w:t>,</w:t>
            </w:r>
            <w:r w:rsidR="00CD18C8" w:rsidRPr="00C75B60">
              <w:rPr>
                <w:rFonts w:ascii="Times New Roman" w:hAnsi="Times New Roman" w:cs="Times New Roman"/>
                <w:sz w:val="23"/>
                <w:szCs w:val="23"/>
              </w:rPr>
              <w:t>26</w:t>
            </w:r>
          </w:p>
        </w:tc>
        <w:tc>
          <w:tcPr>
            <w:tcW w:w="851" w:type="dxa"/>
            <w:tcBorders>
              <w:top w:val="single" w:sz="4" w:space="0" w:color="7F7F7F" w:themeColor="text1" w:themeTint="80"/>
              <w:bottom w:val="single" w:sz="4" w:space="0" w:color="7F7F7F" w:themeColor="text1" w:themeTint="80"/>
            </w:tcBorders>
          </w:tcPr>
          <w:p w:rsidR="0043430D" w:rsidRPr="00C75B60" w:rsidRDefault="0043430D" w:rsidP="00CD18C8">
            <w:pPr>
              <w:jc w:val="center"/>
              <w:rPr>
                <w:rFonts w:ascii="Times New Roman" w:hAnsi="Times New Roman" w:cs="Times New Roman"/>
                <w:sz w:val="23"/>
                <w:szCs w:val="23"/>
              </w:rPr>
            </w:pPr>
            <w:r w:rsidRPr="00C75B60">
              <w:rPr>
                <w:rFonts w:ascii="Times New Roman" w:hAnsi="Times New Roman" w:cs="Times New Roman"/>
                <w:sz w:val="23"/>
                <w:szCs w:val="23"/>
              </w:rPr>
              <w:t>397,</w:t>
            </w:r>
            <w:r w:rsidR="00CD18C8" w:rsidRPr="00C75B60">
              <w:rPr>
                <w:rFonts w:ascii="Times New Roman" w:hAnsi="Times New Roman" w:cs="Times New Roman"/>
                <w:sz w:val="23"/>
                <w:szCs w:val="23"/>
              </w:rPr>
              <w:t>30</w:t>
            </w:r>
          </w:p>
        </w:tc>
        <w:tc>
          <w:tcPr>
            <w:tcW w:w="1229" w:type="dxa"/>
            <w:tcBorders>
              <w:top w:val="single" w:sz="4" w:space="0" w:color="7F7F7F" w:themeColor="text1" w:themeTint="80"/>
              <w:bottom w:val="single" w:sz="4" w:space="0" w:color="7F7F7F" w:themeColor="text1" w:themeTint="80"/>
            </w:tcBorders>
          </w:tcPr>
          <w:p w:rsidR="0043430D" w:rsidRPr="00C75B60" w:rsidRDefault="0043430D" w:rsidP="00125F5C">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125F5C">
              <w:rPr>
                <w:rFonts w:ascii="Times New Roman" w:hAnsi="Times New Roman" w:cs="Times New Roman"/>
                <w:color w:val="FF0000"/>
                <w:sz w:val="23"/>
                <w:szCs w:val="23"/>
              </w:rPr>
              <w:t>2</w:t>
            </w:r>
            <w:r w:rsidRPr="00C75B60">
              <w:rPr>
                <w:rFonts w:ascii="Times New Roman" w:hAnsi="Times New Roman" w:cs="Times New Roman"/>
                <w:color w:val="FF0000"/>
                <w:sz w:val="23"/>
                <w:szCs w:val="23"/>
              </w:rPr>
              <w:t>,</w:t>
            </w:r>
            <w:r w:rsidR="00125F5C">
              <w:rPr>
                <w:rFonts w:ascii="Times New Roman" w:hAnsi="Times New Roman" w:cs="Times New Roman"/>
                <w:color w:val="FF0000"/>
                <w:sz w:val="23"/>
                <w:szCs w:val="23"/>
              </w:rPr>
              <w:t>04</w:t>
            </w:r>
          </w:p>
        </w:tc>
        <w:tc>
          <w:tcPr>
            <w:tcW w:w="1322"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43430D" w:rsidRPr="00C75B60" w:rsidRDefault="0043430D" w:rsidP="00125F5C">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w:t>
            </w:r>
            <w:r w:rsidR="00125F5C">
              <w:rPr>
                <w:rFonts w:ascii="Times New Roman" w:hAnsi="Times New Roman" w:cs="Times New Roman"/>
                <w:b/>
                <w:color w:val="FF0000"/>
                <w:sz w:val="23"/>
                <w:szCs w:val="23"/>
              </w:rPr>
              <w:t>44</w:t>
            </w:r>
            <w:r w:rsidRPr="00C75B60">
              <w:rPr>
                <w:rFonts w:ascii="Times New Roman" w:hAnsi="Times New Roman" w:cs="Times New Roman"/>
                <w:b/>
                <w:color w:val="FF0000"/>
                <w:sz w:val="23"/>
                <w:szCs w:val="23"/>
              </w:rPr>
              <w:t>,</w:t>
            </w:r>
            <w:r w:rsidR="00125F5C">
              <w:rPr>
                <w:rFonts w:ascii="Times New Roman" w:hAnsi="Times New Roman" w:cs="Times New Roman"/>
                <w:b/>
                <w:color w:val="FF0000"/>
                <w:sz w:val="23"/>
                <w:szCs w:val="23"/>
              </w:rPr>
              <w:t>48</w:t>
            </w:r>
          </w:p>
        </w:tc>
        <w:tc>
          <w:tcPr>
            <w:tcW w:w="935"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3</w:t>
            </w:r>
            <w:r w:rsidR="00125F5C">
              <w:rPr>
                <w:rFonts w:ascii="Times New Roman" w:hAnsi="Times New Roman" w:cs="Times New Roman"/>
                <w:b/>
                <w:sz w:val="23"/>
                <w:szCs w:val="23"/>
              </w:rPr>
              <w:t>,1</w:t>
            </w:r>
            <w:r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527</w:t>
            </w:r>
          </w:p>
        </w:tc>
        <w:tc>
          <w:tcPr>
            <w:tcW w:w="1134"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2</w:t>
            </w:r>
          </w:p>
        </w:tc>
        <w:tc>
          <w:tcPr>
            <w:tcW w:w="850"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40</w:t>
            </w:r>
            <w:r w:rsidR="00CD18C8" w:rsidRPr="00C75B60">
              <w:rPr>
                <w:rFonts w:ascii="Times New Roman" w:hAnsi="Times New Roman" w:cs="Times New Roman"/>
                <w:sz w:val="23"/>
                <w:szCs w:val="23"/>
              </w:rPr>
              <w:t>3</w:t>
            </w:r>
            <w:r w:rsidR="00BA15BD">
              <w:rPr>
                <w:rFonts w:ascii="Times New Roman" w:hAnsi="Times New Roman" w:cs="Times New Roman"/>
                <w:sz w:val="23"/>
                <w:szCs w:val="23"/>
              </w:rPr>
              <w:t>,</w:t>
            </w:r>
            <w:r w:rsidR="00CD18C8" w:rsidRPr="00C75B60">
              <w:rPr>
                <w:rFonts w:ascii="Times New Roman" w:hAnsi="Times New Roman" w:cs="Times New Roman"/>
                <w:sz w:val="23"/>
                <w:szCs w:val="23"/>
              </w:rPr>
              <w:t>26</w:t>
            </w:r>
          </w:p>
        </w:tc>
        <w:tc>
          <w:tcPr>
            <w:tcW w:w="851"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41</w:t>
            </w:r>
            <w:r w:rsidR="00CD18C8" w:rsidRPr="00C75B60">
              <w:rPr>
                <w:rFonts w:ascii="Times New Roman" w:hAnsi="Times New Roman" w:cs="Times New Roman"/>
                <w:sz w:val="23"/>
                <w:szCs w:val="23"/>
              </w:rPr>
              <w:t>8</w:t>
            </w:r>
            <w:r w:rsidR="00BA15BD">
              <w:rPr>
                <w:rFonts w:ascii="Times New Roman" w:hAnsi="Times New Roman" w:cs="Times New Roman"/>
                <w:sz w:val="23"/>
                <w:szCs w:val="23"/>
              </w:rPr>
              <w:t>,</w:t>
            </w:r>
            <w:r w:rsidR="00CD18C8" w:rsidRPr="00C75B60">
              <w:rPr>
                <w:rFonts w:ascii="Times New Roman" w:hAnsi="Times New Roman" w:cs="Times New Roman"/>
                <w:sz w:val="23"/>
                <w:szCs w:val="23"/>
              </w:rPr>
              <w:t>86</w:t>
            </w:r>
          </w:p>
        </w:tc>
        <w:tc>
          <w:tcPr>
            <w:tcW w:w="1229" w:type="dxa"/>
            <w:tcBorders>
              <w:top w:val="single" w:sz="4" w:space="0" w:color="7F7F7F" w:themeColor="text1" w:themeTint="80"/>
              <w:bottom w:val="single" w:sz="4" w:space="0" w:color="7F7F7F" w:themeColor="text1" w:themeTint="80"/>
            </w:tcBorders>
          </w:tcPr>
          <w:p w:rsidR="0043430D" w:rsidRPr="00C75B60" w:rsidRDefault="0043430D" w:rsidP="00125F5C">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125F5C">
              <w:rPr>
                <w:rFonts w:ascii="Times New Roman" w:hAnsi="Times New Roman" w:cs="Times New Roman"/>
                <w:color w:val="FF0000"/>
                <w:sz w:val="23"/>
                <w:szCs w:val="23"/>
              </w:rPr>
              <w:t>5</w:t>
            </w:r>
            <w:r w:rsidRPr="00C75B60">
              <w:rPr>
                <w:rFonts w:ascii="Times New Roman" w:hAnsi="Times New Roman" w:cs="Times New Roman"/>
                <w:color w:val="FF0000"/>
                <w:sz w:val="23"/>
                <w:szCs w:val="23"/>
              </w:rPr>
              <w:t>,</w:t>
            </w:r>
            <w:r w:rsidR="00125F5C">
              <w:rPr>
                <w:rFonts w:ascii="Times New Roman" w:hAnsi="Times New Roman" w:cs="Times New Roman"/>
                <w:color w:val="FF0000"/>
                <w:sz w:val="23"/>
                <w:szCs w:val="23"/>
              </w:rPr>
              <w:t>60</w:t>
            </w:r>
          </w:p>
        </w:tc>
        <w:tc>
          <w:tcPr>
            <w:tcW w:w="1322"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43430D" w:rsidRPr="00C75B60" w:rsidRDefault="0043430D" w:rsidP="00125F5C">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18</w:t>
            </w:r>
            <w:r w:rsidR="00125F5C">
              <w:rPr>
                <w:rFonts w:ascii="Times New Roman" w:hAnsi="Times New Roman" w:cs="Times New Roman"/>
                <w:b/>
                <w:color w:val="FF0000"/>
                <w:sz w:val="23"/>
                <w:szCs w:val="23"/>
              </w:rPr>
              <w:t>7</w:t>
            </w:r>
            <w:r w:rsidRPr="00C75B60">
              <w:rPr>
                <w:rFonts w:ascii="Times New Roman" w:hAnsi="Times New Roman" w:cs="Times New Roman"/>
                <w:b/>
                <w:color w:val="FF0000"/>
                <w:sz w:val="23"/>
                <w:szCs w:val="23"/>
              </w:rPr>
              <w:t>,</w:t>
            </w:r>
            <w:r w:rsidR="00125F5C">
              <w:rPr>
                <w:rFonts w:ascii="Times New Roman" w:hAnsi="Times New Roman" w:cs="Times New Roman"/>
                <w:b/>
                <w:color w:val="FF0000"/>
                <w:sz w:val="23"/>
                <w:szCs w:val="23"/>
              </w:rPr>
              <w:t>20</w:t>
            </w:r>
          </w:p>
        </w:tc>
        <w:tc>
          <w:tcPr>
            <w:tcW w:w="935"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3</w:t>
            </w:r>
            <w:r w:rsidR="00125F5C">
              <w:rPr>
                <w:rFonts w:ascii="Times New Roman" w:hAnsi="Times New Roman" w:cs="Times New Roman"/>
                <w:b/>
                <w:sz w:val="23"/>
                <w:szCs w:val="23"/>
              </w:rPr>
              <w:t>,9</w:t>
            </w:r>
            <w:r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527</w:t>
            </w:r>
          </w:p>
        </w:tc>
        <w:tc>
          <w:tcPr>
            <w:tcW w:w="1134"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3</w:t>
            </w:r>
          </w:p>
        </w:tc>
        <w:tc>
          <w:tcPr>
            <w:tcW w:w="850"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42</w:t>
            </w:r>
            <w:r w:rsidR="00CD18C8" w:rsidRPr="00C75B60">
              <w:rPr>
                <w:rFonts w:ascii="Times New Roman" w:hAnsi="Times New Roman" w:cs="Times New Roman"/>
                <w:sz w:val="23"/>
                <w:szCs w:val="23"/>
              </w:rPr>
              <w:t>1</w:t>
            </w:r>
            <w:r w:rsidR="00BA15BD">
              <w:rPr>
                <w:rFonts w:ascii="Times New Roman" w:hAnsi="Times New Roman" w:cs="Times New Roman"/>
                <w:sz w:val="23"/>
                <w:szCs w:val="23"/>
              </w:rPr>
              <w:t>,</w:t>
            </w:r>
            <w:r w:rsidR="00CD18C8" w:rsidRPr="00C75B60">
              <w:rPr>
                <w:rFonts w:ascii="Times New Roman" w:hAnsi="Times New Roman" w:cs="Times New Roman"/>
                <w:sz w:val="23"/>
                <w:szCs w:val="23"/>
              </w:rPr>
              <w:t>26</w:t>
            </w:r>
          </w:p>
        </w:tc>
        <w:tc>
          <w:tcPr>
            <w:tcW w:w="851" w:type="dxa"/>
            <w:tcBorders>
              <w:top w:val="single" w:sz="4" w:space="0" w:color="7F7F7F" w:themeColor="text1" w:themeTint="80"/>
              <w:bottom w:val="single" w:sz="4" w:space="0" w:color="7F7F7F" w:themeColor="text1" w:themeTint="80"/>
            </w:tcBorders>
          </w:tcPr>
          <w:p w:rsidR="0043430D" w:rsidRPr="00C75B60" w:rsidRDefault="0043430D" w:rsidP="00CD18C8">
            <w:pPr>
              <w:jc w:val="center"/>
              <w:rPr>
                <w:rFonts w:ascii="Times New Roman" w:hAnsi="Times New Roman" w:cs="Times New Roman"/>
                <w:sz w:val="23"/>
                <w:szCs w:val="23"/>
              </w:rPr>
            </w:pPr>
            <w:r w:rsidRPr="00C75B60">
              <w:rPr>
                <w:rFonts w:ascii="Times New Roman" w:hAnsi="Times New Roman" w:cs="Times New Roman"/>
                <w:sz w:val="23"/>
                <w:szCs w:val="23"/>
              </w:rPr>
              <w:t>440,</w:t>
            </w:r>
            <w:r w:rsidR="00CD18C8" w:rsidRPr="00C75B60">
              <w:rPr>
                <w:rFonts w:ascii="Times New Roman" w:hAnsi="Times New Roman" w:cs="Times New Roman"/>
                <w:sz w:val="23"/>
                <w:szCs w:val="23"/>
              </w:rPr>
              <w:t>42</w:t>
            </w:r>
          </w:p>
        </w:tc>
        <w:tc>
          <w:tcPr>
            <w:tcW w:w="1229" w:type="dxa"/>
            <w:tcBorders>
              <w:top w:val="single" w:sz="4" w:space="0" w:color="7F7F7F" w:themeColor="text1" w:themeTint="80"/>
              <w:bottom w:val="single" w:sz="4" w:space="0" w:color="7F7F7F" w:themeColor="text1" w:themeTint="80"/>
            </w:tcBorders>
          </w:tcPr>
          <w:p w:rsidR="0043430D" w:rsidRPr="00C75B60" w:rsidRDefault="0043430D" w:rsidP="00125F5C">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125F5C">
              <w:rPr>
                <w:rFonts w:ascii="Times New Roman" w:hAnsi="Times New Roman" w:cs="Times New Roman"/>
                <w:color w:val="FF0000"/>
                <w:sz w:val="23"/>
                <w:szCs w:val="23"/>
              </w:rPr>
              <w:t>9</w:t>
            </w:r>
            <w:r w:rsidRPr="00C75B60">
              <w:rPr>
                <w:rFonts w:ascii="Times New Roman" w:hAnsi="Times New Roman" w:cs="Times New Roman"/>
                <w:color w:val="FF0000"/>
                <w:sz w:val="23"/>
                <w:szCs w:val="23"/>
              </w:rPr>
              <w:t>,</w:t>
            </w:r>
            <w:r w:rsidR="00125F5C">
              <w:rPr>
                <w:rFonts w:ascii="Times New Roman" w:hAnsi="Times New Roman" w:cs="Times New Roman"/>
                <w:color w:val="FF0000"/>
                <w:sz w:val="23"/>
                <w:szCs w:val="23"/>
              </w:rPr>
              <w:t>1</w:t>
            </w:r>
            <w:r w:rsidRPr="00C75B60">
              <w:rPr>
                <w:rFonts w:ascii="Times New Roman" w:hAnsi="Times New Roman" w:cs="Times New Roman"/>
                <w:color w:val="FF0000"/>
                <w:sz w:val="23"/>
                <w:szCs w:val="23"/>
              </w:rPr>
              <w:t>6</w:t>
            </w:r>
          </w:p>
        </w:tc>
        <w:tc>
          <w:tcPr>
            <w:tcW w:w="1322"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43430D" w:rsidRPr="00C75B60" w:rsidRDefault="00125F5C" w:rsidP="00125F5C">
            <w:pPr>
              <w:jc w:val="center"/>
              <w:rPr>
                <w:rFonts w:ascii="Times New Roman" w:hAnsi="Times New Roman" w:cs="Times New Roman"/>
                <w:b/>
                <w:color w:val="FF0000"/>
                <w:sz w:val="23"/>
                <w:szCs w:val="23"/>
              </w:rPr>
            </w:pPr>
            <w:r>
              <w:rPr>
                <w:rFonts w:ascii="Times New Roman" w:hAnsi="Times New Roman" w:cs="Times New Roman"/>
                <w:b/>
                <w:color w:val="FF0000"/>
                <w:sz w:val="23"/>
                <w:szCs w:val="23"/>
              </w:rPr>
              <w:t>229</w:t>
            </w:r>
            <w:r w:rsidR="0043430D" w:rsidRPr="00C75B60">
              <w:rPr>
                <w:rFonts w:ascii="Times New Roman" w:hAnsi="Times New Roman" w:cs="Times New Roman"/>
                <w:b/>
                <w:color w:val="FF0000"/>
                <w:sz w:val="23"/>
                <w:szCs w:val="23"/>
              </w:rPr>
              <w:t>,</w:t>
            </w:r>
            <w:r>
              <w:rPr>
                <w:rFonts w:ascii="Times New Roman" w:hAnsi="Times New Roman" w:cs="Times New Roman"/>
                <w:b/>
                <w:color w:val="FF0000"/>
                <w:sz w:val="23"/>
                <w:szCs w:val="23"/>
              </w:rPr>
              <w:t>92</w:t>
            </w:r>
          </w:p>
        </w:tc>
        <w:tc>
          <w:tcPr>
            <w:tcW w:w="935"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4</w:t>
            </w:r>
            <w:r w:rsidR="00125F5C">
              <w:rPr>
                <w:rFonts w:ascii="Times New Roman" w:hAnsi="Times New Roman" w:cs="Times New Roman"/>
                <w:b/>
                <w:sz w:val="23"/>
                <w:szCs w:val="23"/>
              </w:rPr>
              <w:t>,5</w:t>
            </w:r>
            <w:r w:rsidRPr="00C75B60">
              <w:rPr>
                <w:rFonts w:ascii="Times New Roman" w:hAnsi="Times New Roman" w:cs="Times New Roman"/>
                <w:b/>
                <w:sz w:val="23"/>
                <w:szCs w:val="23"/>
              </w:rPr>
              <w:t>%</w:t>
            </w:r>
          </w:p>
        </w:tc>
      </w:tr>
      <w:tr w:rsidR="0043430D" w:rsidRPr="00C75B60" w:rsidTr="00125F5C">
        <w:tc>
          <w:tcPr>
            <w:tcW w:w="1384" w:type="dxa"/>
            <w:vMerge w:val="restart"/>
          </w:tcPr>
          <w:p w:rsidR="0043430D" w:rsidRPr="00C75B60" w:rsidRDefault="0043430D" w:rsidP="0043430D">
            <w:pPr>
              <w:rPr>
                <w:rFonts w:ascii="Times New Roman" w:hAnsi="Times New Roman" w:cs="Times New Roman"/>
                <w:b/>
                <w:sz w:val="23"/>
                <w:szCs w:val="23"/>
              </w:rPr>
            </w:pPr>
            <w:r w:rsidRPr="00C75B60">
              <w:rPr>
                <w:rFonts w:ascii="Times New Roman" w:hAnsi="Times New Roman" w:cs="Times New Roman"/>
                <w:b/>
                <w:sz w:val="23"/>
                <w:szCs w:val="23"/>
              </w:rPr>
              <w:t>167% no vidējās algas</w:t>
            </w:r>
            <w:r w:rsidR="00426ECA" w:rsidRPr="00C75B60">
              <w:rPr>
                <w:rFonts w:ascii="Times New Roman" w:hAnsi="Times New Roman" w:cs="Times New Roman"/>
                <w:b/>
                <w:sz w:val="23"/>
                <w:szCs w:val="23"/>
                <w:vertAlign w:val="superscript"/>
              </w:rPr>
              <w:t>**</w:t>
            </w:r>
          </w:p>
        </w:tc>
        <w:tc>
          <w:tcPr>
            <w:tcW w:w="1276"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880</w:t>
            </w:r>
          </w:p>
        </w:tc>
        <w:tc>
          <w:tcPr>
            <w:tcW w:w="1134"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0</w:t>
            </w:r>
          </w:p>
        </w:tc>
        <w:tc>
          <w:tcPr>
            <w:tcW w:w="850" w:type="dxa"/>
            <w:tcBorders>
              <w:top w:val="single" w:sz="4" w:space="0" w:color="000000" w:themeColor="text1"/>
              <w:bottom w:val="single" w:sz="4" w:space="0" w:color="7F7F7F" w:themeColor="text1" w:themeTint="80"/>
            </w:tcBorders>
          </w:tcPr>
          <w:p w:rsidR="0043430D" w:rsidRPr="00C75B60" w:rsidRDefault="0043430D" w:rsidP="008F5C7D">
            <w:pPr>
              <w:jc w:val="center"/>
              <w:rPr>
                <w:rFonts w:ascii="Times New Roman" w:hAnsi="Times New Roman" w:cs="Times New Roman"/>
                <w:sz w:val="23"/>
                <w:szCs w:val="23"/>
              </w:rPr>
            </w:pPr>
            <w:r w:rsidRPr="00C75B60">
              <w:rPr>
                <w:rFonts w:ascii="Times New Roman" w:hAnsi="Times New Roman" w:cs="Times New Roman"/>
                <w:sz w:val="23"/>
                <w:szCs w:val="23"/>
              </w:rPr>
              <w:t>606,</w:t>
            </w:r>
            <w:r w:rsidR="008F5C7D" w:rsidRPr="00C75B60">
              <w:rPr>
                <w:rFonts w:ascii="Times New Roman" w:hAnsi="Times New Roman" w:cs="Times New Roman"/>
                <w:sz w:val="23"/>
                <w:szCs w:val="23"/>
              </w:rPr>
              <w:t>03</w:t>
            </w:r>
          </w:p>
        </w:tc>
        <w:tc>
          <w:tcPr>
            <w:tcW w:w="851" w:type="dxa"/>
            <w:tcBorders>
              <w:top w:val="single" w:sz="4" w:space="0" w:color="000000" w:themeColor="text1"/>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62</w:t>
            </w:r>
            <w:r w:rsidR="008F5C7D" w:rsidRPr="00C75B60">
              <w:rPr>
                <w:rFonts w:ascii="Times New Roman" w:hAnsi="Times New Roman" w:cs="Times New Roman"/>
                <w:sz w:val="23"/>
                <w:szCs w:val="23"/>
              </w:rPr>
              <w:t>0</w:t>
            </w:r>
            <w:r w:rsidR="00BA15BD">
              <w:rPr>
                <w:rFonts w:ascii="Times New Roman" w:hAnsi="Times New Roman" w:cs="Times New Roman"/>
                <w:sz w:val="23"/>
                <w:szCs w:val="23"/>
              </w:rPr>
              <w:t>,</w:t>
            </w:r>
            <w:r w:rsidR="008F5C7D" w:rsidRPr="00C75B60">
              <w:rPr>
                <w:rFonts w:ascii="Times New Roman" w:hAnsi="Times New Roman" w:cs="Times New Roman"/>
                <w:sz w:val="23"/>
                <w:szCs w:val="23"/>
              </w:rPr>
              <w:t>80</w:t>
            </w:r>
          </w:p>
        </w:tc>
        <w:tc>
          <w:tcPr>
            <w:tcW w:w="1229" w:type="dxa"/>
            <w:tcBorders>
              <w:top w:val="single" w:sz="4" w:space="0" w:color="000000" w:themeColor="text1"/>
              <w:bottom w:val="single" w:sz="4" w:space="0" w:color="7F7F7F" w:themeColor="text1" w:themeTint="80"/>
            </w:tcBorders>
          </w:tcPr>
          <w:p w:rsidR="0043430D" w:rsidRPr="00C75B60" w:rsidRDefault="0043430D" w:rsidP="00794C68">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14,</w:t>
            </w:r>
            <w:r w:rsidR="00794C68">
              <w:rPr>
                <w:rFonts w:ascii="Times New Roman" w:hAnsi="Times New Roman" w:cs="Times New Roman"/>
                <w:color w:val="FF0000"/>
                <w:sz w:val="23"/>
                <w:szCs w:val="23"/>
              </w:rPr>
              <w:t>77</w:t>
            </w:r>
          </w:p>
        </w:tc>
        <w:tc>
          <w:tcPr>
            <w:tcW w:w="1322"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000000" w:themeColor="text1"/>
              <w:bottom w:val="single" w:sz="4" w:space="0" w:color="7F7F7F" w:themeColor="text1" w:themeTint="80"/>
            </w:tcBorders>
          </w:tcPr>
          <w:p w:rsidR="0043430D" w:rsidRPr="00C75B60" w:rsidRDefault="0043430D" w:rsidP="00794C68">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177,</w:t>
            </w:r>
            <w:r w:rsidR="00794C68">
              <w:rPr>
                <w:rFonts w:ascii="Times New Roman" w:hAnsi="Times New Roman" w:cs="Times New Roman"/>
                <w:b/>
                <w:color w:val="FF0000"/>
                <w:sz w:val="23"/>
                <w:szCs w:val="23"/>
              </w:rPr>
              <w:t>24</w:t>
            </w:r>
          </w:p>
        </w:tc>
        <w:tc>
          <w:tcPr>
            <w:tcW w:w="935" w:type="dxa"/>
            <w:tcBorders>
              <w:top w:val="single" w:sz="4" w:space="0" w:color="000000" w:themeColor="text1"/>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2</w:t>
            </w:r>
            <w:r w:rsidR="00794C68">
              <w:rPr>
                <w:rFonts w:ascii="Times New Roman" w:hAnsi="Times New Roman" w:cs="Times New Roman"/>
                <w:b/>
                <w:sz w:val="23"/>
                <w:szCs w:val="23"/>
              </w:rPr>
              <w:t>,4</w:t>
            </w:r>
            <w:r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880</w:t>
            </w:r>
          </w:p>
        </w:tc>
        <w:tc>
          <w:tcPr>
            <w:tcW w:w="1134"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1</w:t>
            </w:r>
          </w:p>
        </w:tc>
        <w:tc>
          <w:tcPr>
            <w:tcW w:w="850"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62</w:t>
            </w:r>
            <w:r w:rsidR="008F5C7D" w:rsidRPr="00C75B60">
              <w:rPr>
                <w:rFonts w:ascii="Times New Roman" w:hAnsi="Times New Roman" w:cs="Times New Roman"/>
                <w:sz w:val="23"/>
                <w:szCs w:val="23"/>
              </w:rPr>
              <w:t>4</w:t>
            </w:r>
            <w:r w:rsidR="00BA15BD">
              <w:rPr>
                <w:rFonts w:ascii="Times New Roman" w:hAnsi="Times New Roman" w:cs="Times New Roman"/>
                <w:sz w:val="23"/>
                <w:szCs w:val="23"/>
              </w:rPr>
              <w:t>,</w:t>
            </w:r>
            <w:r w:rsidR="008F5C7D" w:rsidRPr="00C75B60">
              <w:rPr>
                <w:rFonts w:ascii="Times New Roman" w:hAnsi="Times New Roman" w:cs="Times New Roman"/>
                <w:sz w:val="23"/>
                <w:szCs w:val="23"/>
              </w:rPr>
              <w:t>03</w:t>
            </w:r>
          </w:p>
        </w:tc>
        <w:tc>
          <w:tcPr>
            <w:tcW w:w="851" w:type="dxa"/>
            <w:tcBorders>
              <w:top w:val="single" w:sz="4" w:space="0" w:color="7F7F7F" w:themeColor="text1" w:themeTint="80"/>
              <w:bottom w:val="single" w:sz="4" w:space="0" w:color="7F7F7F" w:themeColor="text1" w:themeTint="80"/>
            </w:tcBorders>
          </w:tcPr>
          <w:p w:rsidR="0043430D" w:rsidRPr="00C75B60" w:rsidRDefault="0043430D" w:rsidP="008F5C7D">
            <w:pPr>
              <w:jc w:val="center"/>
              <w:rPr>
                <w:rFonts w:ascii="Times New Roman" w:hAnsi="Times New Roman" w:cs="Times New Roman"/>
                <w:sz w:val="23"/>
                <w:szCs w:val="23"/>
              </w:rPr>
            </w:pPr>
            <w:r w:rsidRPr="00C75B60">
              <w:rPr>
                <w:rFonts w:ascii="Times New Roman" w:hAnsi="Times New Roman" w:cs="Times New Roman"/>
                <w:sz w:val="23"/>
                <w:szCs w:val="23"/>
              </w:rPr>
              <w:t>642,</w:t>
            </w:r>
            <w:r w:rsidR="008F5C7D" w:rsidRPr="00C75B60">
              <w:rPr>
                <w:rFonts w:ascii="Times New Roman" w:hAnsi="Times New Roman" w:cs="Times New Roman"/>
                <w:sz w:val="23"/>
                <w:szCs w:val="23"/>
              </w:rPr>
              <w:t>36</w:t>
            </w:r>
          </w:p>
        </w:tc>
        <w:tc>
          <w:tcPr>
            <w:tcW w:w="1229" w:type="dxa"/>
            <w:tcBorders>
              <w:top w:val="single" w:sz="4" w:space="0" w:color="7F7F7F" w:themeColor="text1" w:themeTint="80"/>
              <w:bottom w:val="single" w:sz="4" w:space="0" w:color="7F7F7F" w:themeColor="text1" w:themeTint="80"/>
            </w:tcBorders>
          </w:tcPr>
          <w:p w:rsidR="0043430D" w:rsidRPr="00C75B60" w:rsidRDefault="0043430D" w:rsidP="00794C68">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1</w:t>
            </w:r>
            <w:r w:rsidR="00794C68">
              <w:rPr>
                <w:rFonts w:ascii="Times New Roman" w:hAnsi="Times New Roman" w:cs="Times New Roman"/>
                <w:color w:val="FF0000"/>
                <w:sz w:val="23"/>
                <w:szCs w:val="23"/>
              </w:rPr>
              <w:t>8</w:t>
            </w:r>
            <w:r w:rsidRPr="00C75B60">
              <w:rPr>
                <w:rFonts w:ascii="Times New Roman" w:hAnsi="Times New Roman" w:cs="Times New Roman"/>
                <w:color w:val="FF0000"/>
                <w:sz w:val="23"/>
                <w:szCs w:val="23"/>
              </w:rPr>
              <w:t>,</w:t>
            </w:r>
            <w:r w:rsidR="00794C68">
              <w:rPr>
                <w:rFonts w:ascii="Times New Roman" w:hAnsi="Times New Roman" w:cs="Times New Roman"/>
                <w:color w:val="FF0000"/>
                <w:sz w:val="23"/>
                <w:szCs w:val="23"/>
              </w:rPr>
              <w:t>33</w:t>
            </w:r>
          </w:p>
        </w:tc>
        <w:tc>
          <w:tcPr>
            <w:tcW w:w="1322"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43430D" w:rsidRPr="00C75B60" w:rsidRDefault="0043430D" w:rsidP="00794C68">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2</w:t>
            </w:r>
            <w:r w:rsidR="00794C68">
              <w:rPr>
                <w:rFonts w:ascii="Times New Roman" w:hAnsi="Times New Roman" w:cs="Times New Roman"/>
                <w:b/>
                <w:color w:val="FF0000"/>
                <w:sz w:val="23"/>
                <w:szCs w:val="23"/>
              </w:rPr>
              <w:t>19</w:t>
            </w:r>
            <w:r w:rsidRPr="00C75B60">
              <w:rPr>
                <w:rFonts w:ascii="Times New Roman" w:hAnsi="Times New Roman" w:cs="Times New Roman"/>
                <w:b/>
                <w:color w:val="FF0000"/>
                <w:sz w:val="23"/>
                <w:szCs w:val="23"/>
              </w:rPr>
              <w:t>,</w:t>
            </w:r>
            <w:r w:rsidR="00794C68">
              <w:rPr>
                <w:rFonts w:ascii="Times New Roman" w:hAnsi="Times New Roman" w:cs="Times New Roman"/>
                <w:b/>
                <w:color w:val="FF0000"/>
                <w:sz w:val="23"/>
                <w:szCs w:val="23"/>
              </w:rPr>
              <w:t>9</w:t>
            </w:r>
            <w:r w:rsidRPr="00C75B60">
              <w:rPr>
                <w:rFonts w:ascii="Times New Roman" w:hAnsi="Times New Roman" w:cs="Times New Roman"/>
                <w:b/>
                <w:color w:val="FF0000"/>
                <w:sz w:val="23"/>
                <w:szCs w:val="23"/>
              </w:rPr>
              <w:t>6</w:t>
            </w:r>
          </w:p>
        </w:tc>
        <w:tc>
          <w:tcPr>
            <w:tcW w:w="935" w:type="dxa"/>
            <w:tcBorders>
              <w:top w:val="single" w:sz="4" w:space="0" w:color="7F7F7F" w:themeColor="text1" w:themeTint="80"/>
              <w:bottom w:val="single" w:sz="4" w:space="0" w:color="7F7F7F" w:themeColor="text1" w:themeTint="80"/>
            </w:tcBorders>
          </w:tcPr>
          <w:p w:rsidR="0043430D" w:rsidRPr="00C75B60" w:rsidRDefault="00794C68" w:rsidP="0043430D">
            <w:pPr>
              <w:jc w:val="center"/>
              <w:rPr>
                <w:rFonts w:ascii="Times New Roman" w:hAnsi="Times New Roman" w:cs="Times New Roman"/>
                <w:b/>
                <w:sz w:val="23"/>
                <w:szCs w:val="23"/>
              </w:rPr>
            </w:pPr>
            <w:r>
              <w:rPr>
                <w:rFonts w:ascii="Times New Roman" w:hAnsi="Times New Roman" w:cs="Times New Roman"/>
                <w:b/>
                <w:sz w:val="23"/>
                <w:szCs w:val="23"/>
              </w:rPr>
              <w:t>2,9</w:t>
            </w:r>
            <w:r w:rsidR="0043430D"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880</w:t>
            </w:r>
          </w:p>
        </w:tc>
        <w:tc>
          <w:tcPr>
            <w:tcW w:w="1134"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2</w:t>
            </w:r>
          </w:p>
        </w:tc>
        <w:tc>
          <w:tcPr>
            <w:tcW w:w="850"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64</w:t>
            </w:r>
            <w:r w:rsidR="008F5C7D" w:rsidRPr="00C75B60">
              <w:rPr>
                <w:rFonts w:ascii="Times New Roman" w:hAnsi="Times New Roman" w:cs="Times New Roman"/>
                <w:sz w:val="23"/>
                <w:szCs w:val="23"/>
              </w:rPr>
              <w:t>2</w:t>
            </w:r>
            <w:r w:rsidR="00BA15BD">
              <w:rPr>
                <w:rFonts w:ascii="Times New Roman" w:hAnsi="Times New Roman" w:cs="Times New Roman"/>
                <w:sz w:val="23"/>
                <w:szCs w:val="23"/>
              </w:rPr>
              <w:t>,</w:t>
            </w:r>
            <w:r w:rsidR="008F5C7D" w:rsidRPr="00C75B60">
              <w:rPr>
                <w:rFonts w:ascii="Times New Roman" w:hAnsi="Times New Roman" w:cs="Times New Roman"/>
                <w:sz w:val="23"/>
                <w:szCs w:val="23"/>
              </w:rPr>
              <w:t>03</w:t>
            </w:r>
          </w:p>
        </w:tc>
        <w:tc>
          <w:tcPr>
            <w:tcW w:w="851" w:type="dxa"/>
            <w:tcBorders>
              <w:top w:val="single" w:sz="4" w:space="0" w:color="7F7F7F" w:themeColor="text1" w:themeTint="80"/>
              <w:bottom w:val="single" w:sz="4" w:space="0" w:color="7F7F7F" w:themeColor="text1" w:themeTint="80"/>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66</w:t>
            </w:r>
            <w:r w:rsidR="008F5C7D" w:rsidRPr="00C75B60">
              <w:rPr>
                <w:rFonts w:ascii="Times New Roman" w:hAnsi="Times New Roman" w:cs="Times New Roman"/>
                <w:sz w:val="23"/>
                <w:szCs w:val="23"/>
              </w:rPr>
              <w:t>3</w:t>
            </w:r>
            <w:r w:rsidR="00BA15BD">
              <w:rPr>
                <w:rFonts w:ascii="Times New Roman" w:hAnsi="Times New Roman" w:cs="Times New Roman"/>
                <w:sz w:val="23"/>
                <w:szCs w:val="23"/>
              </w:rPr>
              <w:t>,</w:t>
            </w:r>
            <w:r w:rsidR="008F5C7D" w:rsidRPr="00C75B60">
              <w:rPr>
                <w:rFonts w:ascii="Times New Roman" w:hAnsi="Times New Roman" w:cs="Times New Roman"/>
                <w:sz w:val="23"/>
                <w:szCs w:val="23"/>
              </w:rPr>
              <w:t>92</w:t>
            </w:r>
          </w:p>
        </w:tc>
        <w:tc>
          <w:tcPr>
            <w:tcW w:w="1229" w:type="dxa"/>
            <w:tcBorders>
              <w:top w:val="single" w:sz="4" w:space="0" w:color="7F7F7F" w:themeColor="text1" w:themeTint="80"/>
              <w:bottom w:val="single" w:sz="4" w:space="0" w:color="7F7F7F" w:themeColor="text1" w:themeTint="80"/>
            </w:tcBorders>
          </w:tcPr>
          <w:p w:rsidR="0043430D" w:rsidRPr="00C75B60" w:rsidRDefault="00794C68" w:rsidP="00794C68">
            <w:pPr>
              <w:jc w:val="center"/>
              <w:rPr>
                <w:rFonts w:ascii="Times New Roman" w:hAnsi="Times New Roman" w:cs="Times New Roman"/>
                <w:color w:val="FF0000"/>
                <w:sz w:val="23"/>
                <w:szCs w:val="23"/>
              </w:rPr>
            </w:pPr>
            <w:r>
              <w:rPr>
                <w:rFonts w:ascii="Times New Roman" w:hAnsi="Times New Roman" w:cs="Times New Roman"/>
                <w:color w:val="FF0000"/>
                <w:sz w:val="23"/>
                <w:szCs w:val="23"/>
              </w:rPr>
              <w:t>2</w:t>
            </w:r>
            <w:r w:rsidR="0043430D" w:rsidRPr="00C75B60">
              <w:rPr>
                <w:rFonts w:ascii="Times New Roman" w:hAnsi="Times New Roman" w:cs="Times New Roman"/>
                <w:color w:val="FF0000"/>
                <w:sz w:val="23"/>
                <w:szCs w:val="23"/>
              </w:rPr>
              <w:t>1,</w:t>
            </w:r>
            <w:r>
              <w:rPr>
                <w:rFonts w:ascii="Times New Roman" w:hAnsi="Times New Roman" w:cs="Times New Roman"/>
                <w:color w:val="FF0000"/>
                <w:sz w:val="23"/>
                <w:szCs w:val="23"/>
              </w:rPr>
              <w:t>89</w:t>
            </w:r>
          </w:p>
        </w:tc>
        <w:tc>
          <w:tcPr>
            <w:tcW w:w="1322"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7F7F7F" w:themeColor="text1" w:themeTint="80"/>
            </w:tcBorders>
          </w:tcPr>
          <w:p w:rsidR="0043430D" w:rsidRPr="00C75B60" w:rsidRDefault="0043430D" w:rsidP="00794C68">
            <w:pPr>
              <w:jc w:val="center"/>
              <w:rPr>
                <w:rFonts w:ascii="Times New Roman" w:hAnsi="Times New Roman" w:cs="Times New Roman"/>
                <w:b/>
                <w:color w:val="FF0000"/>
                <w:sz w:val="23"/>
                <w:szCs w:val="23"/>
              </w:rPr>
            </w:pPr>
            <w:r w:rsidRPr="00C75B60">
              <w:rPr>
                <w:rFonts w:ascii="Times New Roman" w:hAnsi="Times New Roman" w:cs="Times New Roman"/>
                <w:b/>
                <w:color w:val="FF0000"/>
                <w:sz w:val="23"/>
                <w:szCs w:val="23"/>
              </w:rPr>
              <w:t>2</w:t>
            </w:r>
            <w:r w:rsidR="00794C68">
              <w:rPr>
                <w:rFonts w:ascii="Times New Roman" w:hAnsi="Times New Roman" w:cs="Times New Roman"/>
                <w:b/>
                <w:color w:val="FF0000"/>
                <w:sz w:val="23"/>
                <w:szCs w:val="23"/>
              </w:rPr>
              <w:t>62</w:t>
            </w:r>
            <w:r w:rsidRPr="00C75B60">
              <w:rPr>
                <w:rFonts w:ascii="Times New Roman" w:hAnsi="Times New Roman" w:cs="Times New Roman"/>
                <w:b/>
                <w:color w:val="FF0000"/>
                <w:sz w:val="23"/>
                <w:szCs w:val="23"/>
              </w:rPr>
              <w:t>,</w:t>
            </w:r>
            <w:r w:rsidR="00794C68">
              <w:rPr>
                <w:rFonts w:ascii="Times New Roman" w:hAnsi="Times New Roman" w:cs="Times New Roman"/>
                <w:b/>
                <w:color w:val="FF0000"/>
                <w:sz w:val="23"/>
                <w:szCs w:val="23"/>
              </w:rPr>
              <w:t>68</w:t>
            </w:r>
          </w:p>
        </w:tc>
        <w:tc>
          <w:tcPr>
            <w:tcW w:w="935" w:type="dxa"/>
            <w:tcBorders>
              <w:top w:val="single" w:sz="4" w:space="0" w:color="7F7F7F" w:themeColor="text1" w:themeTint="80"/>
              <w:bottom w:val="single" w:sz="4" w:space="0" w:color="7F7F7F" w:themeColor="text1" w:themeTint="80"/>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3</w:t>
            </w:r>
            <w:r w:rsidR="00794C68">
              <w:rPr>
                <w:rFonts w:ascii="Times New Roman" w:hAnsi="Times New Roman" w:cs="Times New Roman"/>
                <w:b/>
                <w:sz w:val="23"/>
                <w:szCs w:val="23"/>
              </w:rPr>
              <w:t>,4</w:t>
            </w:r>
            <w:r w:rsidRPr="00C75B60">
              <w:rPr>
                <w:rFonts w:ascii="Times New Roman" w:hAnsi="Times New Roman" w:cs="Times New Roman"/>
                <w:b/>
                <w:sz w:val="23"/>
                <w:szCs w:val="23"/>
              </w:rPr>
              <w:t>%</w:t>
            </w:r>
          </w:p>
        </w:tc>
      </w:tr>
      <w:tr w:rsidR="0043430D" w:rsidRPr="00C75B60" w:rsidTr="00125F5C">
        <w:tc>
          <w:tcPr>
            <w:tcW w:w="1384" w:type="dxa"/>
            <w:vMerge/>
          </w:tcPr>
          <w:p w:rsidR="0043430D" w:rsidRPr="00C75B60" w:rsidRDefault="0043430D" w:rsidP="0043430D">
            <w:pPr>
              <w:rPr>
                <w:rFonts w:ascii="Times New Roman" w:hAnsi="Times New Roman" w:cs="Times New Roman"/>
                <w:b/>
                <w:sz w:val="23"/>
                <w:szCs w:val="23"/>
              </w:rPr>
            </w:pPr>
          </w:p>
        </w:tc>
        <w:tc>
          <w:tcPr>
            <w:tcW w:w="1276" w:type="dxa"/>
            <w:tcBorders>
              <w:top w:val="single" w:sz="4" w:space="0" w:color="7F7F7F" w:themeColor="text1" w:themeTint="80"/>
              <w:bottom w:val="single" w:sz="4" w:space="0" w:color="000000" w:themeColor="text1"/>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880</w:t>
            </w:r>
          </w:p>
        </w:tc>
        <w:tc>
          <w:tcPr>
            <w:tcW w:w="1134" w:type="dxa"/>
            <w:tcBorders>
              <w:top w:val="single" w:sz="4" w:space="0" w:color="7F7F7F" w:themeColor="text1" w:themeTint="80"/>
              <w:bottom w:val="single" w:sz="4" w:space="0" w:color="000000" w:themeColor="text1"/>
            </w:tcBorders>
          </w:tcPr>
          <w:p w:rsidR="0043430D" w:rsidRPr="00C75B60" w:rsidRDefault="0043430D" w:rsidP="0043430D">
            <w:pPr>
              <w:jc w:val="center"/>
              <w:rPr>
                <w:rFonts w:ascii="Times New Roman" w:hAnsi="Times New Roman" w:cs="Times New Roman"/>
                <w:sz w:val="23"/>
                <w:szCs w:val="23"/>
              </w:rPr>
            </w:pPr>
            <w:r w:rsidRPr="00C75B60">
              <w:rPr>
                <w:rFonts w:ascii="Times New Roman" w:hAnsi="Times New Roman" w:cs="Times New Roman"/>
                <w:sz w:val="23"/>
                <w:szCs w:val="23"/>
              </w:rPr>
              <w:t>3</w:t>
            </w:r>
          </w:p>
        </w:tc>
        <w:tc>
          <w:tcPr>
            <w:tcW w:w="850" w:type="dxa"/>
            <w:tcBorders>
              <w:top w:val="single" w:sz="4" w:space="0" w:color="7F7F7F" w:themeColor="text1" w:themeTint="80"/>
              <w:bottom w:val="single" w:sz="4" w:space="0" w:color="000000" w:themeColor="text1"/>
            </w:tcBorders>
          </w:tcPr>
          <w:p w:rsidR="0043430D" w:rsidRPr="00C75B60" w:rsidRDefault="0043430D" w:rsidP="00BA15BD">
            <w:pPr>
              <w:jc w:val="center"/>
              <w:rPr>
                <w:rFonts w:ascii="Times New Roman" w:hAnsi="Times New Roman" w:cs="Times New Roman"/>
                <w:sz w:val="23"/>
                <w:szCs w:val="23"/>
              </w:rPr>
            </w:pPr>
            <w:r w:rsidRPr="00C75B60">
              <w:rPr>
                <w:rFonts w:ascii="Times New Roman" w:hAnsi="Times New Roman" w:cs="Times New Roman"/>
                <w:sz w:val="23"/>
                <w:szCs w:val="23"/>
              </w:rPr>
              <w:t>66</w:t>
            </w:r>
            <w:r w:rsidR="008F5C7D" w:rsidRPr="00C75B60">
              <w:rPr>
                <w:rFonts w:ascii="Times New Roman" w:hAnsi="Times New Roman" w:cs="Times New Roman"/>
                <w:sz w:val="23"/>
                <w:szCs w:val="23"/>
              </w:rPr>
              <w:t>0</w:t>
            </w:r>
            <w:r w:rsidR="00BA15BD">
              <w:rPr>
                <w:rFonts w:ascii="Times New Roman" w:hAnsi="Times New Roman" w:cs="Times New Roman"/>
                <w:sz w:val="23"/>
                <w:szCs w:val="23"/>
              </w:rPr>
              <w:t>,</w:t>
            </w:r>
            <w:r w:rsidR="008F5C7D" w:rsidRPr="00C75B60">
              <w:rPr>
                <w:rFonts w:ascii="Times New Roman" w:hAnsi="Times New Roman" w:cs="Times New Roman"/>
                <w:sz w:val="23"/>
                <w:szCs w:val="23"/>
              </w:rPr>
              <w:t>03</w:t>
            </w:r>
          </w:p>
        </w:tc>
        <w:tc>
          <w:tcPr>
            <w:tcW w:w="851" w:type="dxa"/>
            <w:tcBorders>
              <w:top w:val="single" w:sz="4" w:space="0" w:color="7F7F7F" w:themeColor="text1" w:themeTint="80"/>
              <w:bottom w:val="single" w:sz="4" w:space="0" w:color="000000" w:themeColor="text1"/>
            </w:tcBorders>
          </w:tcPr>
          <w:p w:rsidR="0043430D" w:rsidRPr="00C75B60" w:rsidRDefault="0043430D" w:rsidP="008F5C7D">
            <w:pPr>
              <w:jc w:val="center"/>
              <w:rPr>
                <w:rFonts w:ascii="Times New Roman" w:hAnsi="Times New Roman" w:cs="Times New Roman"/>
                <w:sz w:val="23"/>
                <w:szCs w:val="23"/>
              </w:rPr>
            </w:pPr>
            <w:r w:rsidRPr="00C75B60">
              <w:rPr>
                <w:rFonts w:ascii="Times New Roman" w:hAnsi="Times New Roman" w:cs="Times New Roman"/>
                <w:sz w:val="23"/>
                <w:szCs w:val="23"/>
              </w:rPr>
              <w:t>68</w:t>
            </w:r>
            <w:r w:rsidR="002C171F" w:rsidRPr="00C75B60">
              <w:rPr>
                <w:rFonts w:ascii="Times New Roman" w:hAnsi="Times New Roman" w:cs="Times New Roman"/>
                <w:sz w:val="23"/>
                <w:szCs w:val="23"/>
              </w:rPr>
              <w:t>5</w:t>
            </w:r>
            <w:r w:rsidRPr="00C75B60">
              <w:rPr>
                <w:rFonts w:ascii="Times New Roman" w:hAnsi="Times New Roman" w:cs="Times New Roman"/>
                <w:sz w:val="23"/>
                <w:szCs w:val="23"/>
              </w:rPr>
              <w:t>,</w:t>
            </w:r>
            <w:r w:rsidR="008F5C7D" w:rsidRPr="00C75B60">
              <w:rPr>
                <w:rFonts w:ascii="Times New Roman" w:hAnsi="Times New Roman" w:cs="Times New Roman"/>
                <w:sz w:val="23"/>
                <w:szCs w:val="23"/>
              </w:rPr>
              <w:t>4</w:t>
            </w:r>
            <w:r w:rsidRPr="00C75B60">
              <w:rPr>
                <w:rFonts w:ascii="Times New Roman" w:hAnsi="Times New Roman" w:cs="Times New Roman"/>
                <w:sz w:val="23"/>
                <w:szCs w:val="23"/>
              </w:rPr>
              <w:t>8</w:t>
            </w:r>
          </w:p>
        </w:tc>
        <w:tc>
          <w:tcPr>
            <w:tcW w:w="1229" w:type="dxa"/>
            <w:tcBorders>
              <w:top w:val="single" w:sz="4" w:space="0" w:color="7F7F7F" w:themeColor="text1" w:themeTint="80"/>
              <w:bottom w:val="single" w:sz="4" w:space="0" w:color="000000" w:themeColor="text1"/>
            </w:tcBorders>
          </w:tcPr>
          <w:p w:rsidR="0043430D" w:rsidRPr="00C75B60" w:rsidRDefault="0043430D" w:rsidP="00794C68">
            <w:pPr>
              <w:jc w:val="center"/>
              <w:rPr>
                <w:rFonts w:ascii="Times New Roman" w:hAnsi="Times New Roman" w:cs="Times New Roman"/>
                <w:color w:val="FF0000"/>
                <w:sz w:val="23"/>
                <w:szCs w:val="23"/>
              </w:rPr>
            </w:pPr>
            <w:r w:rsidRPr="00C75B60">
              <w:rPr>
                <w:rFonts w:ascii="Times New Roman" w:hAnsi="Times New Roman" w:cs="Times New Roman"/>
                <w:color w:val="FF0000"/>
                <w:sz w:val="23"/>
                <w:szCs w:val="23"/>
              </w:rPr>
              <w:t>2</w:t>
            </w:r>
            <w:r w:rsidR="00794C68">
              <w:rPr>
                <w:rFonts w:ascii="Times New Roman" w:hAnsi="Times New Roman" w:cs="Times New Roman"/>
                <w:color w:val="FF0000"/>
                <w:sz w:val="23"/>
                <w:szCs w:val="23"/>
              </w:rPr>
              <w:t>5</w:t>
            </w:r>
            <w:r w:rsidRPr="00C75B60">
              <w:rPr>
                <w:rFonts w:ascii="Times New Roman" w:hAnsi="Times New Roman" w:cs="Times New Roman"/>
                <w:color w:val="FF0000"/>
                <w:sz w:val="23"/>
                <w:szCs w:val="23"/>
              </w:rPr>
              <w:t>,</w:t>
            </w:r>
            <w:r w:rsidR="00794C68">
              <w:rPr>
                <w:rFonts w:ascii="Times New Roman" w:hAnsi="Times New Roman" w:cs="Times New Roman"/>
                <w:color w:val="FF0000"/>
                <w:sz w:val="23"/>
                <w:szCs w:val="23"/>
              </w:rPr>
              <w:t>45</w:t>
            </w:r>
          </w:p>
        </w:tc>
        <w:tc>
          <w:tcPr>
            <w:tcW w:w="1322" w:type="dxa"/>
            <w:tcBorders>
              <w:top w:val="single" w:sz="4" w:space="0" w:color="7F7F7F" w:themeColor="text1" w:themeTint="80"/>
              <w:bottom w:val="single" w:sz="4" w:space="0" w:color="000000" w:themeColor="text1"/>
            </w:tcBorders>
          </w:tcPr>
          <w:p w:rsidR="0043430D" w:rsidRPr="00C75B60" w:rsidRDefault="0043430D" w:rsidP="0043430D">
            <w:pPr>
              <w:jc w:val="center"/>
              <w:rPr>
                <w:rFonts w:ascii="Times New Roman" w:hAnsi="Times New Roman" w:cs="Times New Roman"/>
                <w:bCs/>
                <w:color w:val="FF0000"/>
                <w:sz w:val="23"/>
                <w:szCs w:val="23"/>
              </w:rPr>
            </w:pPr>
            <w:r w:rsidRPr="00C75B60">
              <w:rPr>
                <w:rFonts w:ascii="Times New Roman" w:hAnsi="Times New Roman" w:cs="Times New Roman"/>
                <w:bCs/>
                <w:color w:val="FF0000"/>
                <w:sz w:val="23"/>
                <w:szCs w:val="23"/>
              </w:rPr>
              <w:t>-</w:t>
            </w:r>
          </w:p>
        </w:tc>
        <w:tc>
          <w:tcPr>
            <w:tcW w:w="1192" w:type="dxa"/>
            <w:tcBorders>
              <w:top w:val="single" w:sz="4" w:space="0" w:color="7F7F7F" w:themeColor="text1" w:themeTint="80"/>
              <w:bottom w:val="single" w:sz="4" w:space="0" w:color="000000" w:themeColor="text1"/>
            </w:tcBorders>
          </w:tcPr>
          <w:p w:rsidR="0043430D" w:rsidRPr="00C75B60" w:rsidRDefault="00794C68" w:rsidP="00794C68">
            <w:pPr>
              <w:jc w:val="center"/>
              <w:rPr>
                <w:rFonts w:ascii="Times New Roman" w:hAnsi="Times New Roman" w:cs="Times New Roman"/>
                <w:b/>
                <w:color w:val="FF0000"/>
                <w:sz w:val="23"/>
                <w:szCs w:val="23"/>
              </w:rPr>
            </w:pPr>
            <w:r>
              <w:rPr>
                <w:rFonts w:ascii="Times New Roman" w:hAnsi="Times New Roman" w:cs="Times New Roman"/>
                <w:b/>
                <w:color w:val="FF0000"/>
                <w:sz w:val="23"/>
                <w:szCs w:val="23"/>
              </w:rPr>
              <w:t>305</w:t>
            </w:r>
            <w:r w:rsidR="0043430D" w:rsidRPr="00C75B60">
              <w:rPr>
                <w:rFonts w:ascii="Times New Roman" w:hAnsi="Times New Roman" w:cs="Times New Roman"/>
                <w:b/>
                <w:color w:val="FF0000"/>
                <w:sz w:val="23"/>
                <w:szCs w:val="23"/>
              </w:rPr>
              <w:t>,</w:t>
            </w:r>
            <w:r>
              <w:rPr>
                <w:rFonts w:ascii="Times New Roman" w:hAnsi="Times New Roman" w:cs="Times New Roman"/>
                <w:b/>
                <w:color w:val="FF0000"/>
                <w:sz w:val="23"/>
                <w:szCs w:val="23"/>
              </w:rPr>
              <w:t>40</w:t>
            </w:r>
          </w:p>
        </w:tc>
        <w:tc>
          <w:tcPr>
            <w:tcW w:w="935" w:type="dxa"/>
            <w:tcBorders>
              <w:top w:val="single" w:sz="4" w:space="0" w:color="7F7F7F" w:themeColor="text1" w:themeTint="80"/>
              <w:bottom w:val="single" w:sz="4" w:space="0" w:color="000000" w:themeColor="text1"/>
            </w:tcBorders>
          </w:tcPr>
          <w:p w:rsidR="0043430D" w:rsidRPr="00C75B60" w:rsidRDefault="0043430D" w:rsidP="0043430D">
            <w:pPr>
              <w:jc w:val="center"/>
              <w:rPr>
                <w:rFonts w:ascii="Times New Roman" w:hAnsi="Times New Roman" w:cs="Times New Roman"/>
                <w:b/>
                <w:sz w:val="23"/>
                <w:szCs w:val="23"/>
              </w:rPr>
            </w:pPr>
            <w:r w:rsidRPr="00C75B60">
              <w:rPr>
                <w:rFonts w:ascii="Times New Roman" w:hAnsi="Times New Roman" w:cs="Times New Roman"/>
                <w:b/>
                <w:sz w:val="23"/>
                <w:szCs w:val="23"/>
              </w:rPr>
              <w:t>3</w:t>
            </w:r>
            <w:r w:rsidR="00794C68">
              <w:rPr>
                <w:rFonts w:ascii="Times New Roman" w:hAnsi="Times New Roman" w:cs="Times New Roman"/>
                <w:b/>
                <w:sz w:val="23"/>
                <w:szCs w:val="23"/>
              </w:rPr>
              <w:t>,9</w:t>
            </w:r>
            <w:r w:rsidRPr="00C75B60">
              <w:rPr>
                <w:rFonts w:ascii="Times New Roman" w:hAnsi="Times New Roman" w:cs="Times New Roman"/>
                <w:b/>
                <w:sz w:val="23"/>
                <w:szCs w:val="23"/>
              </w:rPr>
              <w:t>%</w:t>
            </w:r>
          </w:p>
        </w:tc>
      </w:tr>
    </w:tbl>
    <w:p w:rsidR="00CF6E9C" w:rsidRDefault="00CF6E9C" w:rsidP="00125F5C">
      <w:pPr>
        <w:tabs>
          <w:tab w:val="left" w:pos="284"/>
        </w:tabs>
        <w:spacing w:before="120" w:after="120" w:line="240" w:lineRule="auto"/>
        <w:ind w:left="284" w:hanging="284"/>
        <w:jc w:val="both"/>
        <w:rPr>
          <w:rFonts w:ascii="Times New Roman" w:hAnsi="Times New Roman" w:cs="Times New Roman"/>
          <w:iCs/>
          <w:sz w:val="20"/>
          <w:szCs w:val="20"/>
        </w:rPr>
      </w:pPr>
      <w:r w:rsidRPr="00CF6E9C">
        <w:rPr>
          <w:rFonts w:ascii="Times New Roman" w:hAnsi="Times New Roman" w:cs="Times New Roman"/>
          <w:sz w:val="20"/>
          <w:szCs w:val="20"/>
          <w:vertAlign w:val="superscript"/>
        </w:rPr>
        <w:t>*</w:t>
      </w:r>
      <w:r>
        <w:rPr>
          <w:rFonts w:ascii="Times New Roman" w:hAnsi="Times New Roman" w:cs="Times New Roman"/>
          <w:sz w:val="20"/>
          <w:szCs w:val="20"/>
        </w:rPr>
        <w:tab/>
      </w:r>
      <w:r w:rsidRPr="00CF6E9C">
        <w:rPr>
          <w:rFonts w:ascii="Times New Roman" w:hAnsi="Times New Roman" w:cs="Times New Roman"/>
          <w:sz w:val="20"/>
          <w:szCs w:val="20"/>
        </w:rPr>
        <w:t>Ņemot vērā: IIN likmes samazinājumu no 24% 2013.gadā uz 22% 2014.gadā, minimālās algas paaugstināšan</w:t>
      </w:r>
      <w:r w:rsidR="00474BBB">
        <w:rPr>
          <w:rFonts w:ascii="Times New Roman" w:hAnsi="Times New Roman" w:cs="Times New Roman"/>
          <w:sz w:val="20"/>
          <w:szCs w:val="20"/>
        </w:rPr>
        <w:t>as</w:t>
      </w:r>
      <w:r w:rsidRPr="00CF6E9C">
        <w:rPr>
          <w:rFonts w:ascii="Times New Roman" w:hAnsi="Times New Roman" w:cs="Times New Roman"/>
          <w:sz w:val="20"/>
          <w:szCs w:val="20"/>
        </w:rPr>
        <w:t xml:space="preserve"> </w:t>
      </w:r>
      <w:r w:rsidR="00474BBB">
        <w:rPr>
          <w:rFonts w:ascii="Times New Roman" w:hAnsi="Times New Roman" w:cs="Times New Roman"/>
          <w:sz w:val="20"/>
          <w:szCs w:val="20"/>
        </w:rPr>
        <w:t>(</w:t>
      </w:r>
      <w:r w:rsidRPr="00CF6E9C">
        <w:rPr>
          <w:rFonts w:ascii="Times New Roman" w:hAnsi="Times New Roman" w:cs="Times New Roman"/>
          <w:sz w:val="20"/>
          <w:szCs w:val="20"/>
        </w:rPr>
        <w:t xml:space="preserve">no 200 uz 225 </w:t>
      </w:r>
      <w:r w:rsidRPr="00474BBB">
        <w:rPr>
          <w:rFonts w:ascii="Times New Roman" w:hAnsi="Times New Roman" w:cs="Times New Roman"/>
          <w:iCs/>
          <w:sz w:val="20"/>
          <w:szCs w:val="20"/>
        </w:rPr>
        <w:t>L</w:t>
      </w:r>
      <w:r w:rsidR="00474BBB" w:rsidRPr="00474BBB">
        <w:rPr>
          <w:rFonts w:ascii="Times New Roman" w:hAnsi="Times New Roman" w:cs="Times New Roman"/>
          <w:iCs/>
          <w:sz w:val="20"/>
          <w:szCs w:val="20"/>
        </w:rPr>
        <w:t>VL</w:t>
      </w:r>
      <w:r w:rsidRPr="00474BBB">
        <w:rPr>
          <w:rFonts w:ascii="Times New Roman" w:hAnsi="Times New Roman" w:cs="Times New Roman"/>
          <w:iCs/>
          <w:sz w:val="20"/>
          <w:szCs w:val="20"/>
        </w:rPr>
        <w:t>/mēn</w:t>
      </w:r>
      <w:r w:rsidR="00474BBB" w:rsidRPr="00474BBB">
        <w:rPr>
          <w:rFonts w:ascii="Times New Roman" w:hAnsi="Times New Roman" w:cs="Times New Roman"/>
          <w:iCs/>
          <w:sz w:val="20"/>
          <w:szCs w:val="20"/>
        </w:rPr>
        <w:t>esī</w:t>
      </w:r>
      <w:r w:rsidR="00474BBB">
        <w:rPr>
          <w:rFonts w:ascii="Times New Roman" w:hAnsi="Times New Roman" w:cs="Times New Roman"/>
          <w:iCs/>
          <w:sz w:val="20"/>
          <w:szCs w:val="20"/>
        </w:rPr>
        <w:t xml:space="preserve">), atvieglojuma </w:t>
      </w:r>
      <w:r w:rsidRPr="00CF6E9C">
        <w:rPr>
          <w:rFonts w:ascii="Times New Roman" w:hAnsi="Times New Roman" w:cs="Times New Roman"/>
          <w:sz w:val="20"/>
          <w:szCs w:val="20"/>
        </w:rPr>
        <w:t xml:space="preserve"> </w:t>
      </w:r>
      <w:r w:rsidR="00474BBB">
        <w:rPr>
          <w:rFonts w:ascii="Times New Roman" w:hAnsi="Times New Roman" w:cs="Times New Roman"/>
          <w:sz w:val="20"/>
          <w:szCs w:val="20"/>
        </w:rPr>
        <w:t xml:space="preserve">par apgādībā esošām personām </w:t>
      </w:r>
      <w:r w:rsidRPr="00CF6E9C">
        <w:rPr>
          <w:rFonts w:ascii="Times New Roman" w:hAnsi="Times New Roman" w:cs="Times New Roman"/>
          <w:sz w:val="20"/>
          <w:szCs w:val="20"/>
        </w:rPr>
        <w:t>pa</w:t>
      </w:r>
      <w:r w:rsidR="00474BBB">
        <w:rPr>
          <w:rFonts w:ascii="Times New Roman" w:hAnsi="Times New Roman" w:cs="Times New Roman"/>
          <w:sz w:val="20"/>
          <w:szCs w:val="20"/>
        </w:rPr>
        <w:t>lielināšanas (</w:t>
      </w:r>
      <w:r w:rsidRPr="00CF6E9C">
        <w:rPr>
          <w:rFonts w:ascii="Times New Roman" w:hAnsi="Times New Roman" w:cs="Times New Roman"/>
          <w:sz w:val="20"/>
          <w:szCs w:val="20"/>
        </w:rPr>
        <w:t xml:space="preserve">no 80 uz 98 </w:t>
      </w:r>
      <w:r w:rsidRPr="00474BBB">
        <w:rPr>
          <w:rFonts w:ascii="Times New Roman" w:hAnsi="Times New Roman" w:cs="Times New Roman"/>
          <w:iCs/>
          <w:sz w:val="20"/>
          <w:szCs w:val="20"/>
        </w:rPr>
        <w:t>L</w:t>
      </w:r>
      <w:r w:rsidR="00474BBB">
        <w:rPr>
          <w:rFonts w:ascii="Times New Roman" w:hAnsi="Times New Roman" w:cs="Times New Roman"/>
          <w:iCs/>
          <w:sz w:val="20"/>
          <w:szCs w:val="20"/>
        </w:rPr>
        <w:t>VL</w:t>
      </w:r>
      <w:r w:rsidRPr="00474BBB">
        <w:rPr>
          <w:rFonts w:ascii="Times New Roman" w:hAnsi="Times New Roman" w:cs="Times New Roman"/>
          <w:iCs/>
          <w:sz w:val="20"/>
          <w:szCs w:val="20"/>
        </w:rPr>
        <w:t>/mēn</w:t>
      </w:r>
      <w:r w:rsidR="00474BBB">
        <w:rPr>
          <w:rFonts w:ascii="Times New Roman" w:hAnsi="Times New Roman" w:cs="Times New Roman"/>
          <w:iCs/>
          <w:sz w:val="20"/>
          <w:szCs w:val="20"/>
        </w:rPr>
        <w:t>esī)</w:t>
      </w:r>
      <w:r w:rsidRPr="00CF6E9C">
        <w:rPr>
          <w:rFonts w:ascii="Times New Roman" w:hAnsi="Times New Roman" w:cs="Times New Roman"/>
          <w:sz w:val="20"/>
          <w:szCs w:val="20"/>
        </w:rPr>
        <w:t xml:space="preserve"> un </w:t>
      </w:r>
      <w:r w:rsidR="00474BBB">
        <w:rPr>
          <w:rFonts w:ascii="Times New Roman" w:hAnsi="Times New Roman" w:cs="Times New Roman"/>
          <w:sz w:val="20"/>
          <w:szCs w:val="20"/>
        </w:rPr>
        <w:t>neap</w:t>
      </w:r>
      <w:r w:rsidR="00125F5C">
        <w:rPr>
          <w:rFonts w:ascii="Times New Roman" w:hAnsi="Times New Roman" w:cs="Times New Roman"/>
          <w:sz w:val="20"/>
          <w:szCs w:val="20"/>
        </w:rPr>
        <w:softHyphen/>
      </w:r>
      <w:r w:rsidR="00474BBB">
        <w:rPr>
          <w:rFonts w:ascii="Times New Roman" w:hAnsi="Times New Roman" w:cs="Times New Roman"/>
          <w:sz w:val="20"/>
          <w:szCs w:val="20"/>
        </w:rPr>
        <w:t>liekamā minimuma</w:t>
      </w:r>
      <w:r w:rsidRPr="00CF6E9C">
        <w:rPr>
          <w:rFonts w:ascii="Times New Roman" w:hAnsi="Times New Roman" w:cs="Times New Roman"/>
          <w:sz w:val="20"/>
          <w:szCs w:val="20"/>
        </w:rPr>
        <w:t xml:space="preserve"> diferencēšan</w:t>
      </w:r>
      <w:r w:rsidR="00474BBB">
        <w:rPr>
          <w:rFonts w:ascii="Times New Roman" w:hAnsi="Times New Roman" w:cs="Times New Roman"/>
          <w:sz w:val="20"/>
          <w:szCs w:val="20"/>
        </w:rPr>
        <w:t>as</w:t>
      </w:r>
      <w:r w:rsidRPr="00CF6E9C">
        <w:rPr>
          <w:rFonts w:ascii="Times New Roman" w:hAnsi="Times New Roman" w:cs="Times New Roman"/>
          <w:sz w:val="20"/>
          <w:szCs w:val="20"/>
        </w:rPr>
        <w:t xml:space="preserve"> </w:t>
      </w:r>
      <w:r w:rsidR="00474BBB">
        <w:rPr>
          <w:rFonts w:ascii="Times New Roman" w:hAnsi="Times New Roman" w:cs="Times New Roman"/>
          <w:sz w:val="20"/>
          <w:szCs w:val="20"/>
        </w:rPr>
        <w:t>(</w:t>
      </w:r>
      <w:r w:rsidRPr="00CF6E9C">
        <w:rPr>
          <w:rFonts w:ascii="Times New Roman" w:hAnsi="Times New Roman" w:cs="Times New Roman"/>
          <w:sz w:val="20"/>
          <w:szCs w:val="20"/>
        </w:rPr>
        <w:t xml:space="preserve">no 45 </w:t>
      </w:r>
      <w:r w:rsidR="00474BBB">
        <w:rPr>
          <w:rFonts w:ascii="Times New Roman" w:hAnsi="Times New Roman" w:cs="Times New Roman"/>
          <w:sz w:val="20"/>
          <w:szCs w:val="20"/>
        </w:rPr>
        <w:t>uz 45-</w:t>
      </w:r>
      <w:r w:rsidRPr="00CF6E9C">
        <w:rPr>
          <w:rFonts w:ascii="Times New Roman" w:hAnsi="Times New Roman" w:cs="Times New Roman"/>
          <w:sz w:val="20"/>
          <w:szCs w:val="20"/>
        </w:rPr>
        <w:t xml:space="preserve">84 </w:t>
      </w:r>
      <w:r w:rsidRPr="00474BBB">
        <w:rPr>
          <w:rFonts w:ascii="Times New Roman" w:hAnsi="Times New Roman" w:cs="Times New Roman"/>
          <w:iCs/>
          <w:sz w:val="20"/>
          <w:szCs w:val="20"/>
        </w:rPr>
        <w:t>L</w:t>
      </w:r>
      <w:r w:rsidR="00474BBB">
        <w:rPr>
          <w:rFonts w:ascii="Times New Roman" w:hAnsi="Times New Roman" w:cs="Times New Roman"/>
          <w:iCs/>
          <w:sz w:val="20"/>
          <w:szCs w:val="20"/>
        </w:rPr>
        <w:t>VL</w:t>
      </w:r>
      <w:r w:rsidRPr="00474BBB">
        <w:rPr>
          <w:rFonts w:ascii="Times New Roman" w:hAnsi="Times New Roman" w:cs="Times New Roman"/>
          <w:iCs/>
          <w:sz w:val="20"/>
          <w:szCs w:val="20"/>
        </w:rPr>
        <w:t>/mēn</w:t>
      </w:r>
      <w:r w:rsidR="00474BBB">
        <w:rPr>
          <w:rFonts w:ascii="Times New Roman" w:hAnsi="Times New Roman" w:cs="Times New Roman"/>
          <w:iCs/>
          <w:sz w:val="20"/>
          <w:szCs w:val="20"/>
        </w:rPr>
        <w:t>esī) priekšlikumus.</w:t>
      </w:r>
      <w:r w:rsidR="00125F5C">
        <w:rPr>
          <w:rFonts w:ascii="Times New Roman" w:hAnsi="Times New Roman" w:cs="Times New Roman"/>
          <w:iCs/>
          <w:sz w:val="20"/>
          <w:szCs w:val="20"/>
        </w:rPr>
        <w:t xml:space="preserve"> 2013.gadā aprēķinos ņemts vērā, ka atvieglojums par apgādībā esošām personām līdz 31.06.2013. ir 70 LVL/mēnesī, bet pēc 01.07.2013. – 80 LVL/mēnesī.</w:t>
      </w:r>
    </w:p>
    <w:p w:rsidR="00426ECA" w:rsidRPr="00426ECA" w:rsidRDefault="00426ECA" w:rsidP="0043430D">
      <w:pPr>
        <w:tabs>
          <w:tab w:val="left" w:pos="284"/>
        </w:tabs>
        <w:spacing w:before="120" w:after="120" w:line="240" w:lineRule="auto"/>
        <w:ind w:left="284" w:hanging="284"/>
        <w:rPr>
          <w:rFonts w:ascii="Times New Roman" w:hAnsi="Times New Roman" w:cs="Times New Roman"/>
          <w:iCs/>
          <w:sz w:val="20"/>
          <w:szCs w:val="20"/>
        </w:rPr>
      </w:pPr>
      <w:r w:rsidRPr="00426ECA">
        <w:rPr>
          <w:rFonts w:ascii="Times New Roman" w:hAnsi="Times New Roman" w:cs="Times New Roman"/>
          <w:iCs/>
          <w:sz w:val="20"/>
          <w:szCs w:val="20"/>
          <w:vertAlign w:val="superscript"/>
        </w:rPr>
        <w:t>**</w:t>
      </w:r>
      <w:r w:rsidRPr="00426ECA">
        <w:rPr>
          <w:rFonts w:ascii="Times New Roman" w:hAnsi="Times New Roman" w:cs="Times New Roman"/>
          <w:iCs/>
          <w:sz w:val="20"/>
          <w:szCs w:val="20"/>
          <w:vertAlign w:val="superscript"/>
        </w:rPr>
        <w:tab/>
      </w:r>
      <w:r>
        <w:rPr>
          <w:rFonts w:ascii="Times New Roman" w:hAnsi="Times New Roman" w:cs="Times New Roman"/>
          <w:iCs/>
          <w:sz w:val="20"/>
          <w:szCs w:val="20"/>
        </w:rPr>
        <w:t>Vidējā darba alga</w:t>
      </w:r>
      <w:r w:rsidR="002C171F">
        <w:rPr>
          <w:rFonts w:ascii="Times New Roman" w:hAnsi="Times New Roman" w:cs="Times New Roman"/>
          <w:iCs/>
          <w:sz w:val="20"/>
          <w:szCs w:val="20"/>
        </w:rPr>
        <w:t xml:space="preserve"> pēc </w:t>
      </w:r>
      <w:r>
        <w:rPr>
          <w:rFonts w:ascii="Times New Roman" w:hAnsi="Times New Roman" w:cs="Times New Roman"/>
          <w:iCs/>
          <w:sz w:val="20"/>
          <w:szCs w:val="20"/>
        </w:rPr>
        <w:t>FM ma</w:t>
      </w:r>
      <w:r w:rsidR="002C171F">
        <w:rPr>
          <w:rFonts w:ascii="Times New Roman" w:hAnsi="Times New Roman" w:cs="Times New Roman"/>
          <w:iCs/>
          <w:sz w:val="20"/>
          <w:szCs w:val="20"/>
        </w:rPr>
        <w:t>k</w:t>
      </w:r>
      <w:r>
        <w:rPr>
          <w:rFonts w:ascii="Times New Roman" w:hAnsi="Times New Roman" w:cs="Times New Roman"/>
          <w:iCs/>
          <w:sz w:val="20"/>
          <w:szCs w:val="20"/>
        </w:rPr>
        <w:t>ro</w:t>
      </w:r>
      <w:r w:rsidR="002C171F">
        <w:rPr>
          <w:rFonts w:ascii="Times New Roman" w:hAnsi="Times New Roman" w:cs="Times New Roman"/>
          <w:iCs/>
          <w:sz w:val="20"/>
          <w:szCs w:val="20"/>
        </w:rPr>
        <w:t>e</w:t>
      </w:r>
      <w:r>
        <w:rPr>
          <w:rFonts w:ascii="Times New Roman" w:hAnsi="Times New Roman" w:cs="Times New Roman"/>
          <w:iCs/>
          <w:sz w:val="20"/>
          <w:szCs w:val="20"/>
        </w:rPr>
        <w:t xml:space="preserve">konomikas  prognozēm uz 2014.gadu  </w:t>
      </w:r>
    </w:p>
    <w:p w:rsidR="004908FF" w:rsidRPr="00EA77A9" w:rsidRDefault="004908FF" w:rsidP="004908FF">
      <w:pPr>
        <w:tabs>
          <w:tab w:val="left" w:pos="709"/>
        </w:tabs>
        <w:spacing w:after="60" w:line="240" w:lineRule="auto"/>
        <w:ind w:left="709" w:hanging="709"/>
        <w:jc w:val="both"/>
        <w:rPr>
          <w:rFonts w:ascii="Times New Roman" w:hAnsi="Times New Roman" w:cs="Times New Roman"/>
          <w:b/>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Pr>
          <w:rFonts w:ascii="Times New Roman" w:hAnsi="Times New Roman" w:cs="Times New Roman"/>
          <w:sz w:val="24"/>
          <w:szCs w:val="24"/>
        </w:rPr>
        <w:t>Finanšu ministrijas aprēķini</w:t>
      </w:r>
    </w:p>
    <w:p w:rsidR="00CF6E9C" w:rsidRDefault="00CF6E9C" w:rsidP="00CF6E9C">
      <w:pPr>
        <w:spacing w:after="120" w:line="240" w:lineRule="auto"/>
        <w:jc w:val="center"/>
        <w:rPr>
          <w:rFonts w:ascii="Times New Roman" w:hAnsi="Times New Roman" w:cs="Times New Roman"/>
          <w:b/>
          <w:sz w:val="24"/>
          <w:szCs w:val="24"/>
        </w:rPr>
      </w:pPr>
    </w:p>
    <w:p w:rsidR="00EB0FE8" w:rsidRPr="00F72B6A" w:rsidRDefault="0043430D" w:rsidP="002456F2">
      <w:pPr>
        <w:pStyle w:val="ListParagraph"/>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Kā var redzēt </w:t>
      </w:r>
      <w:r w:rsidR="00C4058E">
        <w:rPr>
          <w:rFonts w:ascii="Times New Roman" w:hAnsi="Times New Roman" w:cs="Times New Roman"/>
          <w:sz w:val="28"/>
          <w:szCs w:val="28"/>
        </w:rPr>
        <w:t>9</w:t>
      </w:r>
      <w:r w:rsidR="00FB615A">
        <w:rPr>
          <w:rFonts w:ascii="Times New Roman" w:hAnsi="Times New Roman" w:cs="Times New Roman"/>
          <w:sz w:val="28"/>
          <w:szCs w:val="28"/>
        </w:rPr>
        <w:t>.</w:t>
      </w:r>
      <w:r>
        <w:rPr>
          <w:rFonts w:ascii="Times New Roman" w:hAnsi="Times New Roman" w:cs="Times New Roman"/>
          <w:sz w:val="28"/>
          <w:szCs w:val="28"/>
        </w:rPr>
        <w:t>tabulā, ja tiktu realizēt</w:t>
      </w:r>
      <w:r w:rsidR="00B06177">
        <w:rPr>
          <w:rFonts w:ascii="Times New Roman" w:hAnsi="Times New Roman" w:cs="Times New Roman"/>
          <w:sz w:val="28"/>
          <w:szCs w:val="28"/>
        </w:rPr>
        <w:t>i</w:t>
      </w:r>
      <w:r w:rsidR="00FB615A">
        <w:rPr>
          <w:rFonts w:ascii="Times New Roman" w:hAnsi="Times New Roman" w:cs="Times New Roman"/>
          <w:sz w:val="28"/>
          <w:szCs w:val="28"/>
        </w:rPr>
        <w:t xml:space="preserve"> </w:t>
      </w:r>
      <w:r w:rsidR="00B06177">
        <w:rPr>
          <w:rFonts w:ascii="Times New Roman" w:hAnsi="Times New Roman" w:cs="Times New Roman"/>
          <w:sz w:val="28"/>
          <w:szCs w:val="28"/>
        </w:rPr>
        <w:t>visi iepriekšminētie</w:t>
      </w:r>
      <w:r w:rsidR="00FB615A">
        <w:rPr>
          <w:rFonts w:ascii="Times New Roman" w:hAnsi="Times New Roman" w:cs="Times New Roman"/>
          <w:sz w:val="28"/>
          <w:szCs w:val="28"/>
        </w:rPr>
        <w:t xml:space="preserve"> pasākum</w:t>
      </w:r>
      <w:r w:rsidR="00B06177">
        <w:rPr>
          <w:rFonts w:ascii="Times New Roman" w:hAnsi="Times New Roman" w:cs="Times New Roman"/>
          <w:sz w:val="28"/>
          <w:szCs w:val="28"/>
        </w:rPr>
        <w:t>i</w:t>
      </w:r>
      <w:r w:rsidR="00FB615A">
        <w:rPr>
          <w:rFonts w:ascii="Times New Roman" w:hAnsi="Times New Roman" w:cs="Times New Roman"/>
          <w:sz w:val="28"/>
          <w:szCs w:val="28"/>
        </w:rPr>
        <w:t>,</w:t>
      </w:r>
      <w:r>
        <w:rPr>
          <w:rFonts w:ascii="Times New Roman" w:hAnsi="Times New Roman" w:cs="Times New Roman"/>
          <w:sz w:val="28"/>
          <w:szCs w:val="28"/>
        </w:rPr>
        <w:t xml:space="preserve"> tas vistiešākā veidā </w:t>
      </w:r>
      <w:r w:rsidR="00FB615A">
        <w:rPr>
          <w:rFonts w:ascii="Times New Roman" w:hAnsi="Times New Roman" w:cs="Times New Roman"/>
          <w:sz w:val="28"/>
          <w:szCs w:val="28"/>
        </w:rPr>
        <w:t xml:space="preserve">atstātu pozitīvu ietekmi uz </w:t>
      </w:r>
      <w:r>
        <w:rPr>
          <w:rFonts w:ascii="Times New Roman" w:hAnsi="Times New Roman" w:cs="Times New Roman"/>
          <w:sz w:val="28"/>
          <w:szCs w:val="28"/>
        </w:rPr>
        <w:t>zem</w:t>
      </w:r>
      <w:r w:rsidR="00FB615A">
        <w:rPr>
          <w:rFonts w:ascii="Times New Roman" w:hAnsi="Times New Roman" w:cs="Times New Roman"/>
          <w:sz w:val="28"/>
          <w:szCs w:val="28"/>
        </w:rPr>
        <w:t xml:space="preserve">āko </w:t>
      </w:r>
      <w:r>
        <w:rPr>
          <w:rFonts w:ascii="Times New Roman" w:hAnsi="Times New Roman" w:cs="Times New Roman"/>
          <w:sz w:val="28"/>
          <w:szCs w:val="28"/>
        </w:rPr>
        <w:t>alg</w:t>
      </w:r>
      <w:r w:rsidR="00FB615A">
        <w:rPr>
          <w:rFonts w:ascii="Times New Roman" w:hAnsi="Times New Roman" w:cs="Times New Roman"/>
          <w:sz w:val="28"/>
          <w:szCs w:val="28"/>
        </w:rPr>
        <w:t>u</w:t>
      </w:r>
      <w:r>
        <w:rPr>
          <w:rFonts w:ascii="Times New Roman" w:hAnsi="Times New Roman" w:cs="Times New Roman"/>
          <w:sz w:val="28"/>
          <w:szCs w:val="28"/>
        </w:rPr>
        <w:t xml:space="preserve"> saņēmēju</w:t>
      </w:r>
      <w:r w:rsidR="00FB615A">
        <w:rPr>
          <w:rFonts w:ascii="Times New Roman" w:hAnsi="Times New Roman" w:cs="Times New Roman"/>
          <w:sz w:val="28"/>
          <w:szCs w:val="28"/>
        </w:rPr>
        <w:t xml:space="preserve"> rīcībā esošo ienākumu</w:t>
      </w:r>
      <w:r>
        <w:rPr>
          <w:rFonts w:ascii="Times New Roman" w:hAnsi="Times New Roman" w:cs="Times New Roman"/>
          <w:sz w:val="28"/>
          <w:szCs w:val="28"/>
        </w:rPr>
        <w:t xml:space="preserve">. </w:t>
      </w:r>
      <w:r w:rsidR="002456F2">
        <w:rPr>
          <w:rFonts w:ascii="Times New Roman" w:hAnsi="Times New Roman" w:cs="Times New Roman"/>
          <w:sz w:val="28"/>
          <w:szCs w:val="28"/>
        </w:rPr>
        <w:t xml:space="preserve">Daļu no paredzamā ieguvuma mājsaimniecības saņems tikai pēc gada, kad VID </w:t>
      </w:r>
      <w:r w:rsidR="00FB615A">
        <w:rPr>
          <w:rFonts w:ascii="Times New Roman" w:hAnsi="Times New Roman" w:cs="Times New Roman"/>
          <w:sz w:val="28"/>
          <w:szCs w:val="28"/>
        </w:rPr>
        <w:t xml:space="preserve">rīcībā nonāks informācija par taksācijas periodā </w:t>
      </w:r>
      <w:r w:rsidR="002456F2">
        <w:rPr>
          <w:rFonts w:ascii="Times New Roman" w:hAnsi="Times New Roman" w:cs="Times New Roman"/>
          <w:sz w:val="28"/>
          <w:szCs w:val="28"/>
        </w:rPr>
        <w:t>gūt</w:t>
      </w:r>
      <w:r w:rsidR="00FB615A">
        <w:rPr>
          <w:rFonts w:ascii="Times New Roman" w:hAnsi="Times New Roman" w:cs="Times New Roman"/>
          <w:sz w:val="28"/>
          <w:szCs w:val="28"/>
        </w:rPr>
        <w:t>ajiem</w:t>
      </w:r>
      <w:r w:rsidR="002456F2">
        <w:rPr>
          <w:rFonts w:ascii="Times New Roman" w:hAnsi="Times New Roman" w:cs="Times New Roman"/>
          <w:sz w:val="28"/>
          <w:szCs w:val="28"/>
        </w:rPr>
        <w:t xml:space="preserve"> ienākum</w:t>
      </w:r>
      <w:r w:rsidR="00FB615A">
        <w:rPr>
          <w:rFonts w:ascii="Times New Roman" w:hAnsi="Times New Roman" w:cs="Times New Roman"/>
          <w:sz w:val="28"/>
          <w:szCs w:val="28"/>
        </w:rPr>
        <w:t>iem</w:t>
      </w:r>
      <w:r w:rsidR="002456F2">
        <w:rPr>
          <w:rFonts w:ascii="Times New Roman" w:hAnsi="Times New Roman" w:cs="Times New Roman"/>
          <w:sz w:val="28"/>
          <w:szCs w:val="28"/>
        </w:rPr>
        <w:t xml:space="preserve">. </w:t>
      </w:r>
    </w:p>
    <w:p w:rsidR="00D45181" w:rsidRDefault="00D45181">
      <w:pPr>
        <w:rPr>
          <w:rFonts w:ascii="Times New Roman" w:hAnsi="Times New Roman" w:cs="Times New Roman"/>
          <w:sz w:val="28"/>
          <w:szCs w:val="28"/>
        </w:rPr>
        <w:sectPr w:rsidR="00D45181" w:rsidSect="00321ABF">
          <w:headerReference w:type="default" r:id="rId15"/>
          <w:footerReference w:type="default" r:id="rId16"/>
          <w:footerReference w:type="first" r:id="rId17"/>
          <w:pgSz w:w="11906" w:h="16838"/>
          <w:pgMar w:top="1521" w:right="1080" w:bottom="1440" w:left="1134" w:header="708" w:footer="51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pPr>
    </w:p>
    <w:p w:rsidR="00B51381" w:rsidRPr="003D59DD" w:rsidRDefault="00BC0596" w:rsidP="003D59DD">
      <w:pPr>
        <w:pStyle w:val="Heading1"/>
        <w:numPr>
          <w:ilvl w:val="0"/>
          <w:numId w:val="15"/>
        </w:numPr>
        <w:spacing w:before="240" w:line="240" w:lineRule="auto"/>
        <w:ind w:left="709" w:hanging="703"/>
        <w:jc w:val="center"/>
        <w:rPr>
          <w:rFonts w:ascii="Times New Roman Bold" w:hAnsi="Times New Roman Bold" w:cs="Times New Roman"/>
          <w:smallCaps/>
          <w:color w:val="auto"/>
          <w:sz w:val="32"/>
          <w:szCs w:val="32"/>
        </w:rPr>
      </w:pPr>
      <w:bookmarkStart w:id="15" w:name="_Toc357009518"/>
      <w:r w:rsidRPr="003D59DD">
        <w:rPr>
          <w:rFonts w:ascii="Times New Roman Bold" w:hAnsi="Times New Roman Bold" w:cs="Times New Roman"/>
          <w:smallCaps/>
          <w:color w:val="auto"/>
          <w:sz w:val="32"/>
          <w:szCs w:val="32"/>
        </w:rPr>
        <w:lastRenderedPageBreak/>
        <w:t>pasākumu plāns ienākumu</w:t>
      </w:r>
      <w:r w:rsidR="00FB615A" w:rsidRPr="003D59DD">
        <w:rPr>
          <w:rFonts w:ascii="Times New Roman Bold" w:hAnsi="Times New Roman Bold" w:cs="Times New Roman"/>
          <w:smallCaps/>
          <w:color w:val="auto"/>
          <w:sz w:val="32"/>
          <w:szCs w:val="32"/>
        </w:rPr>
        <w:t xml:space="preserve"> nevienlīdzības mazināšana</w:t>
      </w:r>
      <w:r w:rsidRPr="003D59DD">
        <w:rPr>
          <w:rFonts w:ascii="Times New Roman Bold" w:hAnsi="Times New Roman Bold" w:cs="Times New Roman"/>
          <w:smallCaps/>
          <w:color w:val="auto"/>
          <w:sz w:val="32"/>
          <w:szCs w:val="32"/>
        </w:rPr>
        <w:t>i</w:t>
      </w:r>
      <w:r w:rsidR="00316622" w:rsidRPr="003D59DD">
        <w:rPr>
          <w:rFonts w:ascii="Times New Roman Bold" w:hAnsi="Times New Roman Bold" w:cs="Times New Roman"/>
          <w:smallCaps/>
          <w:color w:val="auto"/>
          <w:sz w:val="32"/>
          <w:szCs w:val="32"/>
        </w:rPr>
        <w:t xml:space="preserve"> 2014.</w:t>
      </w:r>
      <w:r w:rsidR="00FB615A" w:rsidRPr="003D59DD">
        <w:rPr>
          <w:rFonts w:ascii="Times New Roman Bold" w:hAnsi="Times New Roman Bold" w:cs="Times New Roman"/>
          <w:smallCaps/>
          <w:color w:val="auto"/>
          <w:sz w:val="32"/>
          <w:szCs w:val="32"/>
        </w:rPr>
        <w:t>gadam</w:t>
      </w:r>
      <w:bookmarkEnd w:id="15"/>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536"/>
        <w:gridCol w:w="1134"/>
        <w:gridCol w:w="992"/>
        <w:gridCol w:w="2552"/>
        <w:gridCol w:w="2976"/>
      </w:tblGrid>
      <w:tr w:rsidR="000B3C7C" w:rsidRPr="005B33E2" w:rsidTr="00B90D28">
        <w:trPr>
          <w:tblHeader/>
        </w:trPr>
        <w:tc>
          <w:tcPr>
            <w:tcW w:w="567"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ind w:left="-51" w:right="-59"/>
              <w:jc w:val="both"/>
              <w:rPr>
                <w:rFonts w:ascii="Times New Roman" w:hAnsi="Times New Roman" w:cs="Times New Roman"/>
              </w:rPr>
            </w:pPr>
            <w:proofErr w:type="spellStart"/>
            <w:r w:rsidRPr="005B33E2">
              <w:rPr>
                <w:rFonts w:ascii="Times New Roman" w:hAnsi="Times New Roman" w:cs="Times New Roman"/>
              </w:rPr>
              <w:t>Nr</w:t>
            </w:r>
            <w:proofErr w:type="spellEnd"/>
            <w:r w:rsidRPr="005B33E2">
              <w:rPr>
                <w:rFonts w:ascii="Times New Roman" w:hAnsi="Times New Roman" w:cs="Times New Roman"/>
              </w:rPr>
              <w:t xml:space="preserve">. </w:t>
            </w:r>
            <w:r w:rsidR="00F0371B" w:rsidRPr="005B33E2">
              <w:rPr>
                <w:rFonts w:ascii="Times New Roman" w:hAnsi="Times New Roman" w:cs="Times New Roman"/>
              </w:rPr>
              <w:t>p</w:t>
            </w:r>
            <w:r w:rsidRPr="005B33E2">
              <w:rPr>
                <w:rFonts w:ascii="Times New Roman" w:hAnsi="Times New Roman" w:cs="Times New Roman"/>
              </w:rPr>
              <w:t>. k.</w:t>
            </w:r>
          </w:p>
        </w:tc>
        <w:tc>
          <w:tcPr>
            <w:tcW w:w="2694"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Pasākumi </w:t>
            </w:r>
          </w:p>
        </w:tc>
        <w:tc>
          <w:tcPr>
            <w:tcW w:w="4536"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Fiskālā ietekme</w:t>
            </w:r>
          </w:p>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w:t>
            </w:r>
            <w:proofErr w:type="spellStart"/>
            <w:r w:rsidRPr="005B33E2">
              <w:rPr>
                <w:rFonts w:ascii="Times New Roman" w:hAnsi="Times New Roman" w:cs="Times New Roman"/>
              </w:rPr>
              <w:t>milj</w:t>
            </w:r>
            <w:proofErr w:type="spellEnd"/>
            <w:r w:rsidRPr="005B33E2">
              <w:rPr>
                <w:rFonts w:ascii="Times New Roman" w:hAnsi="Times New Roman" w:cs="Times New Roman"/>
              </w:rPr>
              <w:t xml:space="preserve">. latu) </w:t>
            </w:r>
          </w:p>
        </w:tc>
        <w:tc>
          <w:tcPr>
            <w:tcW w:w="1134"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ind w:left="-35" w:right="-108"/>
              <w:jc w:val="both"/>
              <w:rPr>
                <w:rFonts w:ascii="Times New Roman" w:hAnsi="Times New Roman" w:cs="Times New Roman"/>
              </w:rPr>
            </w:pPr>
            <w:r w:rsidRPr="005B33E2">
              <w:rPr>
                <w:rFonts w:ascii="Times New Roman" w:hAnsi="Times New Roman" w:cs="Times New Roman"/>
              </w:rPr>
              <w:t>Iesaistītās institūcijas</w:t>
            </w:r>
          </w:p>
        </w:tc>
        <w:tc>
          <w:tcPr>
            <w:tcW w:w="992"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Termiņi</w:t>
            </w:r>
          </w:p>
        </w:tc>
        <w:tc>
          <w:tcPr>
            <w:tcW w:w="2552"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Prognozējamie rezultāti </w:t>
            </w:r>
          </w:p>
        </w:tc>
        <w:tc>
          <w:tcPr>
            <w:tcW w:w="2976" w:type="dxa"/>
            <w:tcBorders>
              <w:top w:val="single" w:sz="4" w:space="0" w:color="auto"/>
              <w:left w:val="single" w:sz="4" w:space="0" w:color="auto"/>
              <w:bottom w:val="single" w:sz="4" w:space="0" w:color="auto"/>
              <w:right w:val="single" w:sz="4" w:space="0" w:color="auto"/>
            </w:tcBorders>
          </w:tcPr>
          <w:p w:rsidR="000B3C7C" w:rsidRPr="005B33E2" w:rsidRDefault="000B3C7C" w:rsidP="005B33E2">
            <w:pPr>
              <w:spacing w:after="0" w:line="240" w:lineRule="auto"/>
              <w:jc w:val="both"/>
              <w:rPr>
                <w:rFonts w:ascii="Times New Roman" w:hAnsi="Times New Roman" w:cs="Times New Roman"/>
              </w:rPr>
            </w:pPr>
            <w:r w:rsidRPr="005B33E2">
              <w:rPr>
                <w:rFonts w:ascii="Times New Roman" w:hAnsi="Times New Roman" w:cs="Times New Roman"/>
              </w:rPr>
              <w:t>Normatīvie akti un normatīvo aktu grozījumi</w:t>
            </w:r>
          </w:p>
        </w:tc>
      </w:tr>
      <w:tr w:rsidR="006E7AEF" w:rsidRPr="005B33E2" w:rsidTr="00F0371B">
        <w:trPr>
          <w:cantSplit/>
        </w:trPr>
        <w:tc>
          <w:tcPr>
            <w:tcW w:w="15451" w:type="dxa"/>
            <w:gridSpan w:val="7"/>
            <w:tcBorders>
              <w:top w:val="single" w:sz="4" w:space="0" w:color="auto"/>
            </w:tcBorders>
          </w:tcPr>
          <w:p w:rsidR="006E7AEF" w:rsidRPr="005B33E2" w:rsidRDefault="000364FE" w:rsidP="00DD5F21">
            <w:pPr>
              <w:pStyle w:val="rpsadaa"/>
              <w:jc w:val="both"/>
              <w:rPr>
                <w:sz w:val="22"/>
                <w:szCs w:val="22"/>
              </w:rPr>
            </w:pPr>
            <w:r w:rsidRPr="005B33E2">
              <w:rPr>
                <w:sz w:val="22"/>
                <w:szCs w:val="22"/>
              </w:rPr>
              <w:t xml:space="preserve">Uzdevums – mazināt strādājošo </w:t>
            </w:r>
            <w:r w:rsidR="00DD5F21">
              <w:rPr>
                <w:sz w:val="22"/>
                <w:szCs w:val="22"/>
              </w:rPr>
              <w:t>ienākumu</w:t>
            </w:r>
            <w:r w:rsidRPr="005B33E2">
              <w:rPr>
                <w:sz w:val="22"/>
                <w:szCs w:val="22"/>
              </w:rPr>
              <w:t xml:space="preserve"> nevienlīdzību</w:t>
            </w:r>
          </w:p>
        </w:tc>
      </w:tr>
      <w:tr w:rsidR="00DE0968" w:rsidRPr="005B33E2" w:rsidTr="00B90D28">
        <w:tc>
          <w:tcPr>
            <w:tcW w:w="567" w:type="dxa"/>
          </w:tcPr>
          <w:p w:rsidR="00DE0968" w:rsidRPr="005B33E2" w:rsidRDefault="00DE0968" w:rsidP="005B33E2">
            <w:pPr>
              <w:spacing w:after="0" w:line="240" w:lineRule="auto"/>
              <w:ind w:right="-59"/>
              <w:jc w:val="both"/>
              <w:rPr>
                <w:rFonts w:ascii="Times New Roman" w:hAnsi="Times New Roman" w:cs="Times New Roman"/>
              </w:rPr>
            </w:pPr>
            <w:r w:rsidRPr="005B33E2">
              <w:rPr>
                <w:rFonts w:ascii="Times New Roman" w:hAnsi="Times New Roman" w:cs="Times New Roman"/>
              </w:rPr>
              <w:t>1.</w:t>
            </w:r>
          </w:p>
        </w:tc>
        <w:tc>
          <w:tcPr>
            <w:tcW w:w="2694"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Paaugstināt minimālo darba algu no 2014.gada 1.janvāra no pašreizējiem 200 uz 225 LVL mēnesī</w:t>
            </w:r>
          </w:p>
        </w:tc>
        <w:tc>
          <w:tcPr>
            <w:tcW w:w="4536" w:type="dxa"/>
          </w:tcPr>
          <w:p w:rsidR="00DE0968" w:rsidRPr="005B33E2" w:rsidRDefault="00DE0968" w:rsidP="005B33E2">
            <w:pPr>
              <w:spacing w:after="0" w:line="240" w:lineRule="auto"/>
              <w:rPr>
                <w:rFonts w:ascii="Times New Roman" w:hAnsi="Times New Roman" w:cs="Times New Roman"/>
              </w:rPr>
            </w:pPr>
            <w:r w:rsidRPr="005B33E2">
              <w:rPr>
                <w:rFonts w:ascii="Times New Roman" w:hAnsi="Times New Roman" w:cs="Times New Roman"/>
              </w:rPr>
              <w:t xml:space="preserve">Kopējā ietekme uz 2014.gada valsts kopbudžetu </w:t>
            </w:r>
            <w:r w:rsidRPr="005B33E2">
              <w:rPr>
                <w:rFonts w:ascii="Times New Roman" w:hAnsi="Times New Roman" w:cs="Times New Roman"/>
                <w:b/>
              </w:rPr>
              <w:t>+9,</w:t>
            </w:r>
            <w:r w:rsidR="006808FB" w:rsidRPr="005B33E2">
              <w:rPr>
                <w:rFonts w:ascii="Times New Roman" w:hAnsi="Times New Roman" w:cs="Times New Roman"/>
                <w:b/>
              </w:rPr>
              <w:t>0</w:t>
            </w:r>
            <w:r w:rsidRPr="005B33E2">
              <w:rPr>
                <w:rFonts w:ascii="Times New Roman" w:hAnsi="Times New Roman" w:cs="Times New Roman"/>
                <w:b/>
              </w:rPr>
              <w:t>1</w:t>
            </w:r>
            <w:r w:rsidRPr="005B33E2">
              <w:rPr>
                <w:rFonts w:ascii="Times New Roman" w:hAnsi="Times New Roman" w:cs="Times New Roman"/>
              </w:rPr>
              <w:t xml:space="preserve"> </w:t>
            </w:r>
            <w:proofErr w:type="spellStart"/>
            <w:r w:rsidRPr="005B33E2">
              <w:rPr>
                <w:rFonts w:ascii="Times New Roman" w:hAnsi="Times New Roman" w:cs="Times New Roman"/>
              </w:rPr>
              <w:t>milj</w:t>
            </w:r>
            <w:proofErr w:type="spellEnd"/>
            <w:r w:rsidRPr="005B33E2">
              <w:rPr>
                <w:rFonts w:ascii="Times New Roman" w:hAnsi="Times New Roman" w:cs="Times New Roman"/>
              </w:rPr>
              <w:t>. latu, tai skaitā:</w:t>
            </w:r>
          </w:p>
          <w:p w:rsidR="00DE0968" w:rsidRPr="005B33E2" w:rsidRDefault="00DE0968" w:rsidP="005B33E2">
            <w:pPr>
              <w:pStyle w:val="ListParagraph"/>
              <w:numPr>
                <w:ilvl w:val="0"/>
                <w:numId w:val="35"/>
              </w:numPr>
              <w:spacing w:after="0" w:line="240" w:lineRule="auto"/>
              <w:ind w:left="236" w:hanging="236"/>
              <w:rPr>
                <w:rFonts w:ascii="Times New Roman" w:hAnsi="Times New Roman" w:cs="Times New Roman"/>
              </w:rPr>
            </w:pPr>
            <w:r w:rsidRPr="005B33E2">
              <w:rPr>
                <w:rFonts w:ascii="Times New Roman" w:hAnsi="Times New Roman" w:cs="Times New Roman"/>
              </w:rPr>
              <w:t>valsts pamatbudžetā -6,</w:t>
            </w:r>
            <w:r w:rsidR="006808FB" w:rsidRPr="005B33E2">
              <w:rPr>
                <w:rFonts w:ascii="Times New Roman" w:hAnsi="Times New Roman" w:cs="Times New Roman"/>
              </w:rPr>
              <w:t>5</w:t>
            </w:r>
            <w:r w:rsidRPr="005B33E2">
              <w:rPr>
                <w:rFonts w:ascii="Times New Roman" w:hAnsi="Times New Roman" w:cs="Times New Roman"/>
              </w:rPr>
              <w:t>8 milj. latu;</w:t>
            </w:r>
          </w:p>
          <w:p w:rsidR="00DE0968" w:rsidRPr="005B33E2" w:rsidRDefault="00DE0968" w:rsidP="005B33E2">
            <w:pPr>
              <w:pStyle w:val="ListParagraph"/>
              <w:numPr>
                <w:ilvl w:val="0"/>
                <w:numId w:val="35"/>
              </w:numPr>
              <w:spacing w:after="0" w:line="240" w:lineRule="auto"/>
              <w:ind w:left="236" w:hanging="236"/>
              <w:rPr>
                <w:rFonts w:ascii="Times New Roman" w:hAnsi="Times New Roman" w:cs="Times New Roman"/>
              </w:rPr>
            </w:pPr>
            <w:r w:rsidRPr="005B33E2">
              <w:rPr>
                <w:rFonts w:ascii="Times New Roman" w:hAnsi="Times New Roman" w:cs="Times New Roman"/>
              </w:rPr>
              <w:t>pašvaldību budžetos +</w:t>
            </w:r>
            <w:r w:rsidR="006808FB" w:rsidRPr="005B33E2">
              <w:rPr>
                <w:rFonts w:ascii="Times New Roman" w:hAnsi="Times New Roman" w:cs="Times New Roman"/>
              </w:rPr>
              <w:t>2</w:t>
            </w:r>
            <w:r w:rsidRPr="005B33E2">
              <w:rPr>
                <w:rFonts w:ascii="Times New Roman" w:hAnsi="Times New Roman" w:cs="Times New Roman"/>
              </w:rPr>
              <w:t>,</w:t>
            </w:r>
            <w:r w:rsidR="006808FB" w:rsidRPr="005B33E2">
              <w:rPr>
                <w:rFonts w:ascii="Times New Roman" w:hAnsi="Times New Roman" w:cs="Times New Roman"/>
              </w:rPr>
              <w:t>04</w:t>
            </w:r>
            <w:r w:rsidRPr="005B33E2">
              <w:rPr>
                <w:rFonts w:ascii="Times New Roman" w:hAnsi="Times New Roman" w:cs="Times New Roman"/>
              </w:rPr>
              <w:t xml:space="preserve"> </w:t>
            </w:r>
            <w:proofErr w:type="spellStart"/>
            <w:r w:rsidRPr="005B33E2">
              <w:rPr>
                <w:rFonts w:ascii="Times New Roman" w:hAnsi="Times New Roman" w:cs="Times New Roman"/>
              </w:rPr>
              <w:t>milj</w:t>
            </w:r>
            <w:proofErr w:type="spellEnd"/>
            <w:r w:rsidRPr="005B33E2">
              <w:rPr>
                <w:rFonts w:ascii="Times New Roman" w:hAnsi="Times New Roman" w:cs="Times New Roman"/>
              </w:rPr>
              <w:t>. latu;</w:t>
            </w:r>
          </w:p>
          <w:p w:rsidR="006808FB" w:rsidRPr="005B33E2" w:rsidRDefault="006808FB" w:rsidP="005B33E2">
            <w:pPr>
              <w:pStyle w:val="ListParagraph"/>
              <w:numPr>
                <w:ilvl w:val="0"/>
                <w:numId w:val="35"/>
              </w:numPr>
              <w:spacing w:after="0" w:line="240" w:lineRule="auto"/>
              <w:ind w:left="236" w:hanging="236"/>
              <w:rPr>
                <w:rFonts w:ascii="Times New Roman" w:hAnsi="Times New Roman" w:cs="Times New Roman"/>
              </w:rPr>
            </w:pPr>
            <w:r w:rsidRPr="005B33E2">
              <w:rPr>
                <w:rFonts w:ascii="Times New Roman" w:hAnsi="Times New Roman" w:cs="Times New Roman"/>
              </w:rPr>
              <w:t xml:space="preserve">speciālais </w:t>
            </w:r>
            <w:r w:rsidR="00DE0968" w:rsidRPr="005B33E2">
              <w:rPr>
                <w:rFonts w:ascii="Times New Roman" w:hAnsi="Times New Roman" w:cs="Times New Roman"/>
              </w:rPr>
              <w:t>budžetā +1</w:t>
            </w:r>
            <w:r w:rsidRPr="005B33E2">
              <w:rPr>
                <w:rFonts w:ascii="Times New Roman" w:hAnsi="Times New Roman" w:cs="Times New Roman"/>
              </w:rPr>
              <w:t>2</w:t>
            </w:r>
            <w:r w:rsidR="00DE0968" w:rsidRPr="005B33E2">
              <w:rPr>
                <w:rFonts w:ascii="Times New Roman" w:hAnsi="Times New Roman" w:cs="Times New Roman"/>
              </w:rPr>
              <w:t>,</w:t>
            </w:r>
            <w:r w:rsidRPr="005B33E2">
              <w:rPr>
                <w:rFonts w:ascii="Times New Roman" w:hAnsi="Times New Roman" w:cs="Times New Roman"/>
              </w:rPr>
              <w:t>1</w:t>
            </w:r>
            <w:r w:rsidR="00DE0968" w:rsidRPr="005B33E2">
              <w:rPr>
                <w:rFonts w:ascii="Times New Roman" w:hAnsi="Times New Roman" w:cs="Times New Roman"/>
              </w:rPr>
              <w:t xml:space="preserve">3 </w:t>
            </w:r>
            <w:proofErr w:type="spellStart"/>
            <w:r w:rsidR="00DE0968" w:rsidRPr="005B33E2">
              <w:rPr>
                <w:rFonts w:ascii="Times New Roman" w:hAnsi="Times New Roman" w:cs="Times New Roman"/>
              </w:rPr>
              <w:t>milj</w:t>
            </w:r>
            <w:proofErr w:type="spellEnd"/>
            <w:r w:rsidR="00DE0968" w:rsidRPr="005B33E2">
              <w:rPr>
                <w:rFonts w:ascii="Times New Roman" w:hAnsi="Times New Roman" w:cs="Times New Roman"/>
              </w:rPr>
              <w:t>. latu</w:t>
            </w:r>
            <w:r w:rsidRPr="005B33E2">
              <w:rPr>
                <w:rFonts w:ascii="Times New Roman" w:hAnsi="Times New Roman" w:cs="Times New Roman"/>
              </w:rPr>
              <w:t>;</w:t>
            </w:r>
          </w:p>
          <w:p w:rsidR="00DE0968" w:rsidRPr="005B33E2" w:rsidRDefault="006808FB" w:rsidP="005B33E2">
            <w:pPr>
              <w:pStyle w:val="ListParagraph"/>
              <w:numPr>
                <w:ilvl w:val="0"/>
                <w:numId w:val="35"/>
              </w:numPr>
              <w:spacing w:after="0" w:line="240" w:lineRule="auto"/>
              <w:ind w:left="236" w:hanging="236"/>
              <w:rPr>
                <w:rFonts w:ascii="Times New Roman" w:hAnsi="Times New Roman" w:cs="Times New Roman"/>
              </w:rPr>
            </w:pPr>
            <w:r w:rsidRPr="005B33E2">
              <w:rPr>
                <w:rFonts w:ascii="Times New Roman" w:hAnsi="Times New Roman" w:cs="Times New Roman"/>
              </w:rPr>
              <w:t>valsts fondēto pensiju shēmā +1,42 milj. latu</w:t>
            </w:r>
            <w:r w:rsidR="00DE0968" w:rsidRPr="005B33E2">
              <w:rPr>
                <w:rFonts w:ascii="Times New Roman" w:hAnsi="Times New Roman" w:cs="Times New Roman"/>
              </w:rPr>
              <w:t xml:space="preserve">. </w:t>
            </w:r>
          </w:p>
        </w:tc>
        <w:tc>
          <w:tcPr>
            <w:tcW w:w="1134" w:type="dxa"/>
          </w:tcPr>
          <w:p w:rsidR="00DE0968" w:rsidRPr="005B33E2" w:rsidRDefault="00DE0968" w:rsidP="005B33E2">
            <w:pPr>
              <w:spacing w:after="0" w:line="240" w:lineRule="auto"/>
              <w:ind w:left="-35" w:right="-108"/>
              <w:jc w:val="both"/>
              <w:rPr>
                <w:rFonts w:ascii="Times New Roman" w:hAnsi="Times New Roman" w:cs="Times New Roman"/>
              </w:rPr>
            </w:pPr>
            <w:r w:rsidRPr="005B33E2">
              <w:rPr>
                <w:rFonts w:ascii="Times New Roman" w:hAnsi="Times New Roman" w:cs="Times New Roman"/>
              </w:rPr>
              <w:t>LM, FM</w:t>
            </w:r>
          </w:p>
        </w:tc>
        <w:tc>
          <w:tcPr>
            <w:tcW w:w="992"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2014.g</w:t>
            </w:r>
            <w:r w:rsidR="005B33E2">
              <w:rPr>
                <w:rFonts w:ascii="Times New Roman" w:hAnsi="Times New Roman" w:cs="Times New Roman"/>
              </w:rPr>
              <w:t>.</w:t>
            </w:r>
            <w:r w:rsidRPr="005B33E2">
              <w:rPr>
                <w:rFonts w:ascii="Times New Roman" w:hAnsi="Times New Roman" w:cs="Times New Roman"/>
              </w:rPr>
              <w:t xml:space="preserve"> janvāris</w:t>
            </w:r>
          </w:p>
        </w:tc>
        <w:tc>
          <w:tcPr>
            <w:tcW w:w="2552" w:type="dxa"/>
            <w:vMerge w:val="restart"/>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Pieaugs zemo algu saņēmēju neto ienākumi, piemēram: </w:t>
            </w:r>
          </w:p>
          <w:p w:rsidR="00DE0968" w:rsidRPr="005B33E2" w:rsidRDefault="00DE0968" w:rsidP="005B33E2">
            <w:pPr>
              <w:pStyle w:val="ListParagraph"/>
              <w:numPr>
                <w:ilvl w:val="0"/>
                <w:numId w:val="38"/>
              </w:numPr>
              <w:spacing w:after="0" w:line="240" w:lineRule="auto"/>
              <w:ind w:left="317" w:hanging="284"/>
              <w:jc w:val="both"/>
              <w:rPr>
                <w:rFonts w:ascii="Times New Roman" w:hAnsi="Times New Roman" w:cs="Times New Roman"/>
              </w:rPr>
            </w:pPr>
            <w:r w:rsidRPr="005B33E2">
              <w:rPr>
                <w:rFonts w:ascii="Times New Roman" w:hAnsi="Times New Roman" w:cs="Times New Roman"/>
              </w:rPr>
              <w:t>darbinieka, kas saņem minimālo darba algu (ja nav citi papildus ienākumi</w:t>
            </w:r>
            <w:r w:rsidR="00F0371B" w:rsidRPr="005B33E2">
              <w:rPr>
                <w:rFonts w:ascii="Times New Roman" w:hAnsi="Times New Roman" w:cs="Times New Roman"/>
              </w:rPr>
              <w:t>, bez apgā</w:t>
            </w:r>
            <w:r w:rsidR="002A3591" w:rsidRPr="005B33E2">
              <w:rPr>
                <w:rFonts w:ascii="Times New Roman" w:hAnsi="Times New Roman" w:cs="Times New Roman"/>
              </w:rPr>
              <w:softHyphen/>
            </w:r>
            <w:r w:rsidR="00F0371B" w:rsidRPr="005B33E2">
              <w:rPr>
                <w:rFonts w:ascii="Times New Roman" w:hAnsi="Times New Roman" w:cs="Times New Roman"/>
              </w:rPr>
              <w:t>dībā esošām perso</w:t>
            </w:r>
            <w:r w:rsidR="002A3591" w:rsidRPr="005B33E2">
              <w:rPr>
                <w:rFonts w:ascii="Times New Roman" w:hAnsi="Times New Roman" w:cs="Times New Roman"/>
              </w:rPr>
              <w:softHyphen/>
            </w:r>
            <w:r w:rsidR="00F0371B" w:rsidRPr="005B33E2">
              <w:rPr>
                <w:rFonts w:ascii="Times New Roman" w:hAnsi="Times New Roman" w:cs="Times New Roman"/>
              </w:rPr>
              <w:t>nām</w:t>
            </w:r>
            <w:r w:rsidRPr="005B33E2">
              <w:rPr>
                <w:rFonts w:ascii="Times New Roman" w:hAnsi="Times New Roman" w:cs="Times New Roman"/>
              </w:rPr>
              <w:t>) neto ienā</w:t>
            </w:r>
            <w:r w:rsidR="002A3591" w:rsidRPr="005B33E2">
              <w:rPr>
                <w:rFonts w:ascii="Times New Roman" w:hAnsi="Times New Roman" w:cs="Times New Roman"/>
              </w:rPr>
              <w:softHyphen/>
            </w:r>
            <w:r w:rsidRPr="005B33E2">
              <w:rPr>
                <w:rFonts w:ascii="Times New Roman" w:hAnsi="Times New Roman" w:cs="Times New Roman"/>
              </w:rPr>
              <w:t>kumi 2014.gadā, salī</w:t>
            </w:r>
            <w:r w:rsidR="00F0371B" w:rsidRPr="005B33E2">
              <w:rPr>
                <w:rFonts w:ascii="Times New Roman" w:hAnsi="Times New Roman" w:cs="Times New Roman"/>
              </w:rPr>
              <w:t xml:space="preserve">dzinot ar 2013.gadu pieaugs par </w:t>
            </w:r>
            <w:r w:rsidRPr="005B33E2">
              <w:rPr>
                <w:rFonts w:ascii="Times New Roman" w:hAnsi="Times New Roman" w:cs="Times New Roman"/>
              </w:rPr>
              <w:t>20%</w:t>
            </w:r>
            <w:r w:rsidR="00F0371B" w:rsidRPr="005B33E2">
              <w:rPr>
                <w:rFonts w:ascii="Times New Roman" w:hAnsi="Times New Roman" w:cs="Times New Roman"/>
              </w:rPr>
              <w:t>.</w:t>
            </w:r>
          </w:p>
          <w:p w:rsidR="00DE0968" w:rsidRPr="005B33E2" w:rsidRDefault="00DE0968" w:rsidP="005B33E2">
            <w:pPr>
              <w:pStyle w:val="ListParagraph"/>
              <w:numPr>
                <w:ilvl w:val="0"/>
                <w:numId w:val="38"/>
              </w:numPr>
              <w:spacing w:after="0" w:line="240" w:lineRule="auto"/>
              <w:ind w:left="317" w:hanging="284"/>
              <w:jc w:val="both"/>
              <w:rPr>
                <w:rFonts w:ascii="Times New Roman" w:hAnsi="Times New Roman" w:cs="Times New Roman"/>
              </w:rPr>
            </w:pPr>
            <w:r w:rsidRPr="005B33E2">
              <w:rPr>
                <w:rFonts w:ascii="Times New Roman" w:hAnsi="Times New Roman" w:cs="Times New Roman"/>
              </w:rPr>
              <w:t>darbinieka, kas saņem 67% no vidējās darba algas (ja nav citi papildus ienākumi</w:t>
            </w:r>
            <w:r w:rsidR="00F0371B" w:rsidRPr="005B33E2">
              <w:rPr>
                <w:rFonts w:ascii="Times New Roman" w:hAnsi="Times New Roman" w:cs="Times New Roman"/>
              </w:rPr>
              <w:t>, bez apgādībā esošām personām</w:t>
            </w:r>
            <w:r w:rsidRPr="005B33E2">
              <w:rPr>
                <w:rFonts w:ascii="Times New Roman" w:hAnsi="Times New Roman" w:cs="Times New Roman"/>
              </w:rPr>
              <w:t>) neto ienā</w:t>
            </w:r>
            <w:r w:rsidR="002A3591" w:rsidRPr="005B33E2">
              <w:rPr>
                <w:rFonts w:ascii="Times New Roman" w:hAnsi="Times New Roman" w:cs="Times New Roman"/>
              </w:rPr>
              <w:softHyphen/>
            </w:r>
            <w:r w:rsidRPr="005B33E2">
              <w:rPr>
                <w:rFonts w:ascii="Times New Roman" w:hAnsi="Times New Roman" w:cs="Times New Roman"/>
              </w:rPr>
              <w:t>ku</w:t>
            </w:r>
            <w:r w:rsidR="002A3591" w:rsidRPr="005B33E2">
              <w:rPr>
                <w:rFonts w:ascii="Times New Roman" w:hAnsi="Times New Roman" w:cs="Times New Roman"/>
              </w:rPr>
              <w:softHyphen/>
            </w:r>
            <w:r w:rsidRPr="005B33E2">
              <w:rPr>
                <w:rFonts w:ascii="Times New Roman" w:hAnsi="Times New Roman" w:cs="Times New Roman"/>
              </w:rPr>
              <w:t>mi 2014.gadā, salī</w:t>
            </w:r>
            <w:r w:rsidR="002A3591" w:rsidRPr="005B33E2">
              <w:rPr>
                <w:rFonts w:ascii="Times New Roman" w:hAnsi="Times New Roman" w:cs="Times New Roman"/>
              </w:rPr>
              <w:softHyphen/>
            </w:r>
            <w:r w:rsidR="00F0371B" w:rsidRPr="005B33E2">
              <w:rPr>
                <w:rFonts w:ascii="Times New Roman" w:hAnsi="Times New Roman" w:cs="Times New Roman"/>
              </w:rPr>
              <w:t>dzi</w:t>
            </w:r>
            <w:r w:rsidR="002A3591" w:rsidRPr="005B33E2">
              <w:rPr>
                <w:rFonts w:ascii="Times New Roman" w:hAnsi="Times New Roman" w:cs="Times New Roman"/>
              </w:rPr>
              <w:softHyphen/>
            </w:r>
            <w:r w:rsidR="00F0371B" w:rsidRPr="005B33E2">
              <w:rPr>
                <w:rFonts w:ascii="Times New Roman" w:hAnsi="Times New Roman" w:cs="Times New Roman"/>
              </w:rPr>
              <w:t xml:space="preserve">not ar 2013.gadu pieaugs par </w:t>
            </w:r>
            <w:r w:rsidRPr="005B33E2">
              <w:rPr>
                <w:rFonts w:ascii="Times New Roman" w:hAnsi="Times New Roman" w:cs="Times New Roman"/>
              </w:rPr>
              <w:t>3%</w:t>
            </w:r>
            <w:r w:rsidR="00F0371B" w:rsidRPr="005B33E2">
              <w:rPr>
                <w:rFonts w:ascii="Times New Roman" w:hAnsi="Times New Roman" w:cs="Times New Roman"/>
              </w:rPr>
              <w:t>.</w:t>
            </w:r>
          </w:p>
        </w:tc>
        <w:tc>
          <w:tcPr>
            <w:tcW w:w="2976"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Grozījumi MK 30.11.2010. noteikumos Nr.1096 „Noteikumi par minimālo mēneša darba algu un minimālo stundas tarifa likmi” </w:t>
            </w:r>
          </w:p>
        </w:tc>
      </w:tr>
      <w:tr w:rsidR="00DE0968" w:rsidRPr="005B33E2" w:rsidTr="00B90D28">
        <w:tc>
          <w:tcPr>
            <w:tcW w:w="567" w:type="dxa"/>
          </w:tcPr>
          <w:p w:rsidR="00DE0968" w:rsidRPr="005B33E2" w:rsidRDefault="00DE0968" w:rsidP="005B33E2">
            <w:pPr>
              <w:spacing w:after="0" w:line="240" w:lineRule="auto"/>
              <w:ind w:right="-59"/>
              <w:jc w:val="both"/>
              <w:rPr>
                <w:rFonts w:ascii="Times New Roman" w:hAnsi="Times New Roman" w:cs="Times New Roman"/>
              </w:rPr>
            </w:pPr>
            <w:r w:rsidRPr="005B33E2">
              <w:rPr>
                <w:rFonts w:ascii="Times New Roman" w:hAnsi="Times New Roman" w:cs="Times New Roman"/>
              </w:rPr>
              <w:t>2.</w:t>
            </w:r>
          </w:p>
        </w:tc>
        <w:tc>
          <w:tcPr>
            <w:tcW w:w="2694"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Palielināt iedzīvotāju ienākuma nodokļa atvieglojum</w:t>
            </w:r>
            <w:r w:rsidR="00F0371B" w:rsidRPr="005B33E2">
              <w:rPr>
                <w:rFonts w:ascii="Times New Roman" w:hAnsi="Times New Roman" w:cs="Times New Roman"/>
              </w:rPr>
              <w:t xml:space="preserve">u par apgādībā esošām personām </w:t>
            </w:r>
            <w:r w:rsidRPr="005B33E2">
              <w:rPr>
                <w:rFonts w:ascii="Times New Roman" w:hAnsi="Times New Roman" w:cs="Times New Roman"/>
              </w:rPr>
              <w:t>no 2014.gada 1.janvāra no 80 uz 98 LVL mēnesī.</w:t>
            </w:r>
          </w:p>
        </w:tc>
        <w:tc>
          <w:tcPr>
            <w:tcW w:w="4536" w:type="dxa"/>
          </w:tcPr>
          <w:p w:rsidR="00DE0968" w:rsidRPr="005B33E2" w:rsidRDefault="00DE0968" w:rsidP="005B33E2">
            <w:pPr>
              <w:spacing w:after="0" w:line="240" w:lineRule="auto"/>
              <w:rPr>
                <w:rFonts w:ascii="Times New Roman" w:hAnsi="Times New Roman" w:cs="Times New Roman"/>
              </w:rPr>
            </w:pPr>
            <w:r w:rsidRPr="005B33E2">
              <w:rPr>
                <w:rFonts w:ascii="Times New Roman" w:hAnsi="Times New Roman" w:cs="Times New Roman"/>
              </w:rPr>
              <w:t xml:space="preserve">Kopējā ietekme uz 2014.gada valsts kopbudžetu </w:t>
            </w:r>
            <w:r w:rsidRPr="005B33E2">
              <w:rPr>
                <w:rFonts w:ascii="Times New Roman" w:hAnsi="Times New Roman" w:cs="Times New Roman"/>
                <w:b/>
              </w:rPr>
              <w:t>-12,</w:t>
            </w:r>
            <w:r w:rsidR="00174675" w:rsidRPr="005B33E2">
              <w:rPr>
                <w:rFonts w:ascii="Times New Roman" w:hAnsi="Times New Roman" w:cs="Times New Roman"/>
                <w:b/>
              </w:rPr>
              <w:t>24</w:t>
            </w:r>
            <w:r w:rsidRPr="005B33E2">
              <w:rPr>
                <w:rFonts w:ascii="Times New Roman" w:hAnsi="Times New Roman" w:cs="Times New Roman"/>
                <w:b/>
              </w:rPr>
              <w:t> </w:t>
            </w:r>
            <w:r w:rsidRPr="005B33E2">
              <w:rPr>
                <w:rFonts w:ascii="Times New Roman" w:hAnsi="Times New Roman" w:cs="Times New Roman"/>
              </w:rPr>
              <w:t>milj. latu (-2,4</w:t>
            </w:r>
            <w:r w:rsidR="00174675" w:rsidRPr="005B33E2">
              <w:rPr>
                <w:rFonts w:ascii="Times New Roman" w:hAnsi="Times New Roman" w:cs="Times New Roman"/>
              </w:rPr>
              <w:t>5</w:t>
            </w:r>
            <w:r w:rsidRPr="005B33E2">
              <w:rPr>
                <w:rFonts w:ascii="Times New Roman" w:hAnsi="Times New Roman" w:cs="Times New Roman"/>
              </w:rPr>
              <w:t> milj. latu valsts pamatbudžetā un -9,</w:t>
            </w:r>
            <w:r w:rsidR="00174675" w:rsidRPr="005B33E2">
              <w:rPr>
                <w:rFonts w:ascii="Times New Roman" w:hAnsi="Times New Roman" w:cs="Times New Roman"/>
              </w:rPr>
              <w:t>79</w:t>
            </w:r>
            <w:r w:rsidRPr="005B33E2">
              <w:rPr>
                <w:rFonts w:ascii="Times New Roman" w:hAnsi="Times New Roman" w:cs="Times New Roman"/>
              </w:rPr>
              <w:t> milj. latu pašvaldību budžetos)</w:t>
            </w:r>
          </w:p>
          <w:p w:rsidR="00DE0968" w:rsidRPr="005B33E2" w:rsidRDefault="00DE0968" w:rsidP="005B33E2">
            <w:pPr>
              <w:spacing w:after="0" w:line="240" w:lineRule="auto"/>
              <w:rPr>
                <w:rFonts w:ascii="Times New Roman" w:hAnsi="Times New Roman" w:cs="Times New Roman"/>
              </w:rPr>
            </w:pPr>
          </w:p>
        </w:tc>
        <w:tc>
          <w:tcPr>
            <w:tcW w:w="1134" w:type="dxa"/>
          </w:tcPr>
          <w:p w:rsidR="00DE0968" w:rsidRPr="005B33E2" w:rsidRDefault="00DE0968" w:rsidP="005B33E2">
            <w:pPr>
              <w:spacing w:after="0" w:line="240" w:lineRule="auto"/>
              <w:ind w:left="-35" w:right="-108"/>
              <w:jc w:val="both"/>
              <w:rPr>
                <w:rFonts w:ascii="Times New Roman" w:hAnsi="Times New Roman" w:cs="Times New Roman"/>
              </w:rPr>
            </w:pPr>
            <w:r w:rsidRPr="005B33E2">
              <w:rPr>
                <w:rFonts w:ascii="Times New Roman" w:hAnsi="Times New Roman" w:cs="Times New Roman"/>
              </w:rPr>
              <w:t>FM, LM</w:t>
            </w:r>
          </w:p>
        </w:tc>
        <w:tc>
          <w:tcPr>
            <w:tcW w:w="992"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2014</w:t>
            </w:r>
            <w:r w:rsidR="00F0371B" w:rsidRPr="005B33E2">
              <w:rPr>
                <w:rFonts w:ascii="Times New Roman" w:hAnsi="Times New Roman" w:cs="Times New Roman"/>
              </w:rPr>
              <w:t>.</w:t>
            </w:r>
            <w:r w:rsidRPr="005B33E2">
              <w:rPr>
                <w:rFonts w:ascii="Times New Roman" w:hAnsi="Times New Roman" w:cs="Times New Roman"/>
              </w:rPr>
              <w:t>g</w:t>
            </w:r>
            <w:r w:rsidR="005B33E2">
              <w:rPr>
                <w:rFonts w:ascii="Times New Roman" w:hAnsi="Times New Roman" w:cs="Times New Roman"/>
              </w:rPr>
              <w:t>.</w:t>
            </w:r>
            <w:r w:rsidRPr="005B33E2">
              <w:rPr>
                <w:rFonts w:ascii="Times New Roman" w:hAnsi="Times New Roman" w:cs="Times New Roman"/>
              </w:rPr>
              <w:t xml:space="preserve"> janvāris</w:t>
            </w:r>
          </w:p>
          <w:p w:rsidR="00DE0968" w:rsidRPr="005B33E2" w:rsidRDefault="00DE0968" w:rsidP="005B33E2">
            <w:pPr>
              <w:spacing w:after="0" w:line="240" w:lineRule="auto"/>
              <w:jc w:val="both"/>
              <w:rPr>
                <w:rFonts w:ascii="Times New Roman" w:hAnsi="Times New Roman" w:cs="Times New Roman"/>
              </w:rPr>
            </w:pPr>
          </w:p>
        </w:tc>
        <w:tc>
          <w:tcPr>
            <w:tcW w:w="2552" w:type="dxa"/>
            <w:vMerge/>
          </w:tcPr>
          <w:p w:rsidR="00DE0968" w:rsidRPr="005B33E2" w:rsidRDefault="00DE0968" w:rsidP="005B33E2">
            <w:pPr>
              <w:spacing w:after="0" w:line="240" w:lineRule="auto"/>
              <w:jc w:val="both"/>
              <w:rPr>
                <w:rFonts w:ascii="Times New Roman" w:hAnsi="Times New Roman" w:cs="Times New Roman"/>
              </w:rPr>
            </w:pPr>
          </w:p>
        </w:tc>
        <w:tc>
          <w:tcPr>
            <w:tcW w:w="2976"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Grozījumi MK </w:t>
            </w:r>
            <w:r w:rsidR="008F2B6E" w:rsidRPr="005B33E2">
              <w:rPr>
                <w:rFonts w:ascii="Times New Roman" w:hAnsi="Times New Roman" w:cs="Times New Roman"/>
              </w:rPr>
              <w:t>06</w:t>
            </w:r>
            <w:r w:rsidRPr="005B33E2">
              <w:rPr>
                <w:rFonts w:ascii="Times New Roman" w:hAnsi="Times New Roman" w:cs="Times New Roman"/>
              </w:rPr>
              <w:t>.11.201</w:t>
            </w:r>
            <w:r w:rsidR="008F2B6E" w:rsidRPr="005B33E2">
              <w:rPr>
                <w:rFonts w:ascii="Times New Roman" w:hAnsi="Times New Roman" w:cs="Times New Roman"/>
              </w:rPr>
              <w:t>2</w:t>
            </w:r>
            <w:r w:rsidRPr="005B33E2">
              <w:rPr>
                <w:rFonts w:ascii="Times New Roman" w:hAnsi="Times New Roman" w:cs="Times New Roman"/>
              </w:rPr>
              <w:t>. noteiku</w:t>
            </w:r>
            <w:r w:rsidR="00F0371B" w:rsidRPr="005B33E2">
              <w:rPr>
                <w:rFonts w:ascii="Times New Roman" w:hAnsi="Times New Roman" w:cs="Times New Roman"/>
              </w:rPr>
              <w:softHyphen/>
            </w:r>
            <w:r w:rsidRPr="005B33E2">
              <w:rPr>
                <w:rFonts w:ascii="Times New Roman" w:hAnsi="Times New Roman" w:cs="Times New Roman"/>
              </w:rPr>
              <w:t>mos Nr.</w:t>
            </w:r>
            <w:r w:rsidR="008F2B6E" w:rsidRPr="005B33E2">
              <w:rPr>
                <w:rFonts w:ascii="Times New Roman" w:hAnsi="Times New Roman" w:cs="Times New Roman"/>
              </w:rPr>
              <w:t>744</w:t>
            </w:r>
            <w:r w:rsidRPr="005B33E2">
              <w:rPr>
                <w:rFonts w:ascii="Times New Roman" w:hAnsi="Times New Roman" w:cs="Times New Roman"/>
              </w:rPr>
              <w:t xml:space="preserve"> „</w:t>
            </w:r>
            <w:r w:rsidRPr="005B33E2">
              <w:rPr>
                <w:rFonts w:ascii="Times New Roman" w:eastAsia="Times New Roman" w:hAnsi="Times New Roman" w:cs="Times New Roman"/>
                <w:bCs/>
                <w:lang w:eastAsia="lv-LV"/>
              </w:rPr>
              <w:t>Notei</w:t>
            </w:r>
            <w:r w:rsidR="00F0371B"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kumi par mēneša neap</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lie</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kamā minimu</w:t>
            </w:r>
            <w:r w:rsidR="00F0371B"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ma un nodokļa atvieglojuma apmēru iedzī</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vo</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tāju ienākuma nodokļa aprēķināšanai”</w:t>
            </w:r>
          </w:p>
        </w:tc>
      </w:tr>
      <w:tr w:rsidR="00DE0968" w:rsidRPr="005B33E2" w:rsidTr="00B90D28">
        <w:tc>
          <w:tcPr>
            <w:tcW w:w="567" w:type="dxa"/>
          </w:tcPr>
          <w:p w:rsidR="00DE0968" w:rsidRPr="005B33E2" w:rsidRDefault="00DE0968" w:rsidP="005B33E2">
            <w:pPr>
              <w:spacing w:after="0" w:line="240" w:lineRule="auto"/>
              <w:ind w:right="-59"/>
              <w:jc w:val="both"/>
              <w:rPr>
                <w:rFonts w:ascii="Times New Roman" w:hAnsi="Times New Roman" w:cs="Times New Roman"/>
              </w:rPr>
            </w:pPr>
            <w:r w:rsidRPr="005B33E2">
              <w:rPr>
                <w:rFonts w:ascii="Times New Roman" w:hAnsi="Times New Roman" w:cs="Times New Roman"/>
              </w:rPr>
              <w:t>3.</w:t>
            </w:r>
          </w:p>
        </w:tc>
        <w:tc>
          <w:tcPr>
            <w:tcW w:w="2694"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Ieviest diferencēto ar iedzīvotāju ienākum</w:t>
            </w:r>
            <w:r w:rsidR="00F0371B" w:rsidRPr="005B33E2">
              <w:rPr>
                <w:rFonts w:ascii="Times New Roman" w:hAnsi="Times New Roman" w:cs="Times New Roman"/>
              </w:rPr>
              <w:t xml:space="preserve">a nodokli neapliekamo minimumu </w:t>
            </w:r>
            <w:r w:rsidRPr="005B33E2">
              <w:rPr>
                <w:rFonts w:ascii="Times New Roman" w:hAnsi="Times New Roman" w:cs="Times New Roman"/>
              </w:rPr>
              <w:t>no 2014.gada 1.ja</w:t>
            </w:r>
            <w:r w:rsidR="00F0371B" w:rsidRPr="005B33E2">
              <w:rPr>
                <w:rFonts w:ascii="Times New Roman" w:hAnsi="Times New Roman" w:cs="Times New Roman"/>
              </w:rPr>
              <w:t>nvāra no 45 uz 45-84 LVL mēnesī.</w:t>
            </w:r>
          </w:p>
        </w:tc>
        <w:tc>
          <w:tcPr>
            <w:tcW w:w="4536" w:type="dxa"/>
          </w:tcPr>
          <w:p w:rsidR="005B33E2"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Kopējā ietekme </w:t>
            </w:r>
            <w:bookmarkStart w:id="16" w:name="_GoBack"/>
            <w:bookmarkEnd w:id="16"/>
            <w:r w:rsidRPr="005B33E2">
              <w:rPr>
                <w:rFonts w:ascii="Times New Roman" w:hAnsi="Times New Roman" w:cs="Times New Roman"/>
              </w:rPr>
              <w:t xml:space="preserve">uz 2015.gada valsts kopbudžetu </w:t>
            </w:r>
            <w:r w:rsidRPr="005B33E2">
              <w:rPr>
                <w:rFonts w:ascii="Times New Roman" w:hAnsi="Times New Roman" w:cs="Times New Roman"/>
                <w:b/>
              </w:rPr>
              <w:t>-</w:t>
            </w:r>
            <w:r w:rsidR="00174675" w:rsidRPr="005B33E2">
              <w:rPr>
                <w:rFonts w:ascii="Times New Roman" w:hAnsi="Times New Roman" w:cs="Times New Roman"/>
                <w:b/>
              </w:rPr>
              <w:t>22</w:t>
            </w:r>
            <w:r w:rsidRPr="005B33E2">
              <w:rPr>
                <w:rFonts w:ascii="Times New Roman" w:hAnsi="Times New Roman" w:cs="Times New Roman"/>
                <w:b/>
              </w:rPr>
              <w:t>,</w:t>
            </w:r>
            <w:r w:rsidR="00174675" w:rsidRPr="005B33E2">
              <w:rPr>
                <w:rFonts w:ascii="Times New Roman" w:hAnsi="Times New Roman" w:cs="Times New Roman"/>
                <w:b/>
              </w:rPr>
              <w:t>7</w:t>
            </w:r>
            <w:r w:rsidRPr="005B33E2">
              <w:rPr>
                <w:rFonts w:ascii="Times New Roman" w:hAnsi="Times New Roman" w:cs="Times New Roman"/>
                <w:b/>
              </w:rPr>
              <w:t>1 </w:t>
            </w:r>
            <w:r w:rsidRPr="005B33E2">
              <w:rPr>
                <w:rFonts w:ascii="Times New Roman" w:hAnsi="Times New Roman" w:cs="Times New Roman"/>
              </w:rPr>
              <w:t>milj. latu (-4,</w:t>
            </w:r>
            <w:r w:rsidR="00174675" w:rsidRPr="005B33E2">
              <w:rPr>
                <w:rFonts w:ascii="Times New Roman" w:hAnsi="Times New Roman" w:cs="Times New Roman"/>
              </w:rPr>
              <w:t>54</w:t>
            </w:r>
            <w:r w:rsidRPr="005B33E2">
              <w:rPr>
                <w:rFonts w:ascii="Times New Roman" w:hAnsi="Times New Roman" w:cs="Times New Roman"/>
              </w:rPr>
              <w:t> milj. latu valsts pamat</w:t>
            </w:r>
            <w:r w:rsidR="00CB7ADF">
              <w:rPr>
                <w:rFonts w:ascii="Times New Roman" w:hAnsi="Times New Roman" w:cs="Times New Roman"/>
              </w:rPr>
              <w:softHyphen/>
            </w:r>
            <w:r w:rsidRPr="005B33E2">
              <w:rPr>
                <w:rFonts w:ascii="Times New Roman" w:hAnsi="Times New Roman" w:cs="Times New Roman"/>
              </w:rPr>
              <w:t>bu</w:t>
            </w:r>
            <w:r w:rsidR="00CB7ADF">
              <w:rPr>
                <w:rFonts w:ascii="Times New Roman" w:hAnsi="Times New Roman" w:cs="Times New Roman"/>
              </w:rPr>
              <w:softHyphen/>
            </w:r>
            <w:r w:rsidRPr="005B33E2">
              <w:rPr>
                <w:rFonts w:ascii="Times New Roman" w:hAnsi="Times New Roman" w:cs="Times New Roman"/>
              </w:rPr>
              <w:t>dže</w:t>
            </w:r>
            <w:r w:rsidR="00CB7ADF">
              <w:rPr>
                <w:rFonts w:ascii="Times New Roman" w:hAnsi="Times New Roman" w:cs="Times New Roman"/>
              </w:rPr>
              <w:softHyphen/>
            </w:r>
            <w:r w:rsidRPr="005B33E2">
              <w:rPr>
                <w:rFonts w:ascii="Times New Roman" w:hAnsi="Times New Roman" w:cs="Times New Roman"/>
              </w:rPr>
              <w:t>tā un -1</w:t>
            </w:r>
            <w:r w:rsidR="00174675" w:rsidRPr="005B33E2">
              <w:rPr>
                <w:rFonts w:ascii="Times New Roman" w:hAnsi="Times New Roman" w:cs="Times New Roman"/>
              </w:rPr>
              <w:t>8</w:t>
            </w:r>
            <w:r w:rsidRPr="005B33E2">
              <w:rPr>
                <w:rFonts w:ascii="Times New Roman" w:hAnsi="Times New Roman" w:cs="Times New Roman"/>
              </w:rPr>
              <w:t>,1</w:t>
            </w:r>
            <w:r w:rsidR="00174675" w:rsidRPr="005B33E2">
              <w:rPr>
                <w:rFonts w:ascii="Times New Roman" w:hAnsi="Times New Roman" w:cs="Times New Roman"/>
              </w:rPr>
              <w:t>7</w:t>
            </w:r>
            <w:r w:rsidRPr="005B33E2">
              <w:rPr>
                <w:rFonts w:ascii="Times New Roman" w:hAnsi="Times New Roman" w:cs="Times New Roman"/>
              </w:rPr>
              <w:t xml:space="preserve"> milj. latu pašvaldību budžetos). </w:t>
            </w:r>
          </w:p>
          <w:p w:rsidR="00DE0968" w:rsidRPr="005B33E2" w:rsidRDefault="00DE0968" w:rsidP="00CB7ADF">
            <w:pPr>
              <w:spacing w:after="0" w:line="240" w:lineRule="auto"/>
              <w:jc w:val="both"/>
              <w:rPr>
                <w:rFonts w:ascii="Times New Roman" w:hAnsi="Times New Roman" w:cs="Times New Roman"/>
              </w:rPr>
            </w:pPr>
            <w:r w:rsidRPr="005B33E2">
              <w:rPr>
                <w:rFonts w:ascii="Times New Roman" w:hAnsi="Times New Roman" w:cs="Times New Roman"/>
              </w:rPr>
              <w:t>Pie tam provizoriskās VID administrēšanas izmaksas</w:t>
            </w:r>
            <w:r w:rsidR="006533A5">
              <w:rPr>
                <w:rFonts w:ascii="Times New Roman" w:hAnsi="Times New Roman" w:cs="Times New Roman"/>
              </w:rPr>
              <w:t>:</w:t>
            </w:r>
            <w:r w:rsidRPr="005B33E2">
              <w:rPr>
                <w:rFonts w:ascii="Times New Roman" w:hAnsi="Times New Roman" w:cs="Times New Roman"/>
              </w:rPr>
              <w:t xml:space="preserve"> </w:t>
            </w:r>
            <w:r w:rsidR="005B33E2" w:rsidRPr="005B33E2">
              <w:rPr>
                <w:rFonts w:ascii="Times New Roman" w:hAnsi="Times New Roman" w:cs="Times New Roman"/>
              </w:rPr>
              <w:t>2014.gadā i</w:t>
            </w:r>
            <w:r w:rsidR="005B33E2" w:rsidRPr="005B33E2">
              <w:rPr>
                <w:rFonts w:ascii="Times New Roman" w:eastAsiaTheme="majorEastAsia" w:hAnsi="Times New Roman" w:cs="Times New Roman"/>
                <w:bCs/>
              </w:rPr>
              <w:t xml:space="preserve">nformācijas sistēmu pilnveidošanai </w:t>
            </w:r>
            <w:r w:rsidR="005B33E2" w:rsidRPr="005B33E2">
              <w:rPr>
                <w:rFonts w:ascii="Times New Roman" w:eastAsiaTheme="majorEastAsia" w:hAnsi="Times New Roman" w:cs="Times New Roman"/>
                <w:bCs/>
                <w:iCs/>
              </w:rPr>
              <w:t>25 320 </w:t>
            </w:r>
            <w:r w:rsidR="00CB7ADF">
              <w:rPr>
                <w:rFonts w:ascii="Times New Roman" w:eastAsiaTheme="majorEastAsia" w:hAnsi="Times New Roman" w:cs="Times New Roman"/>
                <w:bCs/>
                <w:iCs/>
              </w:rPr>
              <w:t>-</w:t>
            </w:r>
            <w:r w:rsidR="005B33E2" w:rsidRPr="005B33E2">
              <w:rPr>
                <w:rFonts w:ascii="Times New Roman" w:eastAsiaTheme="majorEastAsia" w:hAnsi="Times New Roman" w:cs="Times New Roman"/>
                <w:bCs/>
                <w:iCs/>
              </w:rPr>
              <w:t> 30 765 latu apmērā,</w:t>
            </w:r>
            <w:r w:rsidR="00CB7ADF">
              <w:rPr>
                <w:rFonts w:ascii="Times New Roman" w:eastAsiaTheme="majorEastAsia" w:hAnsi="Times New Roman" w:cs="Times New Roman"/>
                <w:bCs/>
                <w:iCs/>
              </w:rPr>
              <w:t xml:space="preserve"> bet 2015.gadā un turpmāk 1 772 - 2 154</w:t>
            </w:r>
            <w:r w:rsidR="005B33E2" w:rsidRPr="005B33E2">
              <w:rPr>
                <w:rFonts w:ascii="Times New Roman" w:eastAsiaTheme="majorEastAsia" w:hAnsi="Times New Roman" w:cs="Times New Roman"/>
                <w:bCs/>
                <w:iCs/>
              </w:rPr>
              <w:t xml:space="preserve"> </w:t>
            </w:r>
            <w:r w:rsidR="00CB7ADF">
              <w:rPr>
                <w:rFonts w:ascii="Times New Roman" w:eastAsiaTheme="majorEastAsia" w:hAnsi="Times New Roman" w:cs="Times New Roman"/>
                <w:bCs/>
                <w:iCs/>
              </w:rPr>
              <w:t xml:space="preserve">latu apmērā; </w:t>
            </w:r>
            <w:r w:rsidR="005B33E2" w:rsidRPr="005B33E2">
              <w:rPr>
                <w:rFonts w:ascii="Times New Roman" w:eastAsiaTheme="majorEastAsia" w:hAnsi="Times New Roman" w:cs="Times New Roman"/>
                <w:bCs/>
                <w:iCs/>
              </w:rPr>
              <w:t>u</w:t>
            </w:r>
            <w:r w:rsidR="005B33E2" w:rsidRPr="005B33E2">
              <w:rPr>
                <w:rFonts w:ascii="Times New Roman" w:eastAsiaTheme="majorEastAsia" w:hAnsi="Times New Roman" w:cs="Times New Roman"/>
                <w:bCs/>
              </w:rPr>
              <w:t xml:space="preserve">zturēšanas izmaksas papildus štata vietām </w:t>
            </w:r>
            <w:r w:rsidR="005B33E2" w:rsidRPr="005B33E2">
              <w:rPr>
                <w:rFonts w:ascii="Times New Roman" w:eastAsiaTheme="majorEastAsia" w:hAnsi="Times New Roman" w:cs="Times New Roman"/>
                <w:bCs/>
                <w:iCs/>
              </w:rPr>
              <w:t xml:space="preserve">2015.gadā </w:t>
            </w:r>
            <w:r w:rsidR="005B33E2" w:rsidRPr="005B33E2">
              <w:rPr>
                <w:rFonts w:ascii="Times New Roman" w:hAnsi="Times New Roman" w:cs="Times New Roman"/>
              </w:rPr>
              <w:t>1 009 060 latu apmērā, bet 2016.gadā un turpmāk – 946 985 latu apmērā.</w:t>
            </w:r>
          </w:p>
        </w:tc>
        <w:tc>
          <w:tcPr>
            <w:tcW w:w="1134" w:type="dxa"/>
          </w:tcPr>
          <w:p w:rsidR="00DE0968" w:rsidRPr="005B33E2" w:rsidRDefault="00F0371B" w:rsidP="005B33E2">
            <w:pPr>
              <w:spacing w:after="0" w:line="240" w:lineRule="auto"/>
              <w:ind w:left="-35" w:right="-108"/>
              <w:jc w:val="both"/>
              <w:rPr>
                <w:rFonts w:ascii="Times New Roman" w:hAnsi="Times New Roman" w:cs="Times New Roman"/>
              </w:rPr>
            </w:pPr>
            <w:r w:rsidRPr="005B33E2">
              <w:rPr>
                <w:rFonts w:ascii="Times New Roman" w:hAnsi="Times New Roman" w:cs="Times New Roman"/>
              </w:rPr>
              <w:t>FM, VID</w:t>
            </w:r>
          </w:p>
        </w:tc>
        <w:tc>
          <w:tcPr>
            <w:tcW w:w="992"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2014</w:t>
            </w:r>
            <w:r w:rsidR="00F0371B" w:rsidRPr="005B33E2">
              <w:rPr>
                <w:rFonts w:ascii="Times New Roman" w:hAnsi="Times New Roman" w:cs="Times New Roman"/>
              </w:rPr>
              <w:t>.</w:t>
            </w:r>
            <w:r w:rsidRPr="005B33E2">
              <w:rPr>
                <w:rFonts w:ascii="Times New Roman" w:hAnsi="Times New Roman" w:cs="Times New Roman"/>
              </w:rPr>
              <w:t>g</w:t>
            </w:r>
            <w:r w:rsidR="005B33E2">
              <w:rPr>
                <w:rFonts w:ascii="Times New Roman" w:hAnsi="Times New Roman" w:cs="Times New Roman"/>
              </w:rPr>
              <w:t>.</w:t>
            </w:r>
            <w:r w:rsidRPr="005B33E2">
              <w:rPr>
                <w:rFonts w:ascii="Times New Roman" w:hAnsi="Times New Roman" w:cs="Times New Roman"/>
              </w:rPr>
              <w:t xml:space="preserve"> janvāris</w:t>
            </w:r>
          </w:p>
          <w:p w:rsidR="00DE0968" w:rsidRPr="005B33E2" w:rsidRDefault="00DE0968" w:rsidP="005B33E2">
            <w:pPr>
              <w:spacing w:after="0" w:line="240" w:lineRule="auto"/>
              <w:jc w:val="both"/>
              <w:rPr>
                <w:rFonts w:ascii="Times New Roman" w:hAnsi="Times New Roman" w:cs="Times New Roman"/>
              </w:rPr>
            </w:pPr>
          </w:p>
        </w:tc>
        <w:tc>
          <w:tcPr>
            <w:tcW w:w="2552" w:type="dxa"/>
            <w:vMerge/>
          </w:tcPr>
          <w:p w:rsidR="00DE0968" w:rsidRPr="005B33E2" w:rsidRDefault="00DE0968" w:rsidP="005B33E2">
            <w:pPr>
              <w:spacing w:after="0" w:line="240" w:lineRule="auto"/>
              <w:jc w:val="both"/>
              <w:rPr>
                <w:rFonts w:ascii="Times New Roman" w:hAnsi="Times New Roman" w:cs="Times New Roman"/>
              </w:rPr>
            </w:pPr>
          </w:p>
        </w:tc>
        <w:tc>
          <w:tcPr>
            <w:tcW w:w="2976" w:type="dxa"/>
          </w:tcPr>
          <w:p w:rsidR="00DE0968" w:rsidRPr="005B33E2" w:rsidRDefault="00DE0968" w:rsidP="005B33E2">
            <w:pPr>
              <w:spacing w:after="0" w:line="240" w:lineRule="auto"/>
              <w:jc w:val="both"/>
              <w:rPr>
                <w:rFonts w:ascii="Times New Roman" w:hAnsi="Times New Roman" w:cs="Times New Roman"/>
              </w:rPr>
            </w:pPr>
            <w:r w:rsidRPr="005B33E2">
              <w:rPr>
                <w:rFonts w:ascii="Times New Roman" w:hAnsi="Times New Roman" w:cs="Times New Roman"/>
              </w:rPr>
              <w:t xml:space="preserve">Grozījumi MK </w:t>
            </w:r>
            <w:r w:rsidR="008F2B6E" w:rsidRPr="005B33E2">
              <w:rPr>
                <w:rFonts w:ascii="Times New Roman" w:hAnsi="Times New Roman" w:cs="Times New Roman"/>
              </w:rPr>
              <w:t>06</w:t>
            </w:r>
            <w:r w:rsidRPr="005B33E2">
              <w:rPr>
                <w:rFonts w:ascii="Times New Roman" w:hAnsi="Times New Roman" w:cs="Times New Roman"/>
              </w:rPr>
              <w:t>.11.201</w:t>
            </w:r>
            <w:r w:rsidR="008F2B6E" w:rsidRPr="005B33E2">
              <w:rPr>
                <w:rFonts w:ascii="Times New Roman" w:hAnsi="Times New Roman" w:cs="Times New Roman"/>
              </w:rPr>
              <w:t>2</w:t>
            </w:r>
            <w:r w:rsidRPr="005B33E2">
              <w:rPr>
                <w:rFonts w:ascii="Times New Roman" w:hAnsi="Times New Roman" w:cs="Times New Roman"/>
              </w:rPr>
              <w:t>. noteikumos Nr.</w:t>
            </w:r>
            <w:r w:rsidR="008F2B6E" w:rsidRPr="005B33E2">
              <w:rPr>
                <w:rFonts w:ascii="Times New Roman" w:hAnsi="Times New Roman" w:cs="Times New Roman"/>
              </w:rPr>
              <w:t xml:space="preserve">744 </w:t>
            </w:r>
            <w:r w:rsidRPr="005B33E2">
              <w:rPr>
                <w:rFonts w:ascii="Times New Roman" w:hAnsi="Times New Roman" w:cs="Times New Roman"/>
              </w:rPr>
              <w:t>„</w:t>
            </w:r>
            <w:r w:rsidRPr="005B33E2">
              <w:rPr>
                <w:rFonts w:ascii="Times New Roman" w:eastAsia="Times New Roman" w:hAnsi="Times New Roman" w:cs="Times New Roman"/>
                <w:bCs/>
                <w:lang w:eastAsia="lv-LV"/>
              </w:rPr>
              <w:t>Notei</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kumi par mēneša neaplieka</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mā minimuma un nodokļa atvieglojuma apmēru iedzī</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vo</w:t>
            </w:r>
            <w:r w:rsidR="002A3591" w:rsidRPr="005B33E2">
              <w:rPr>
                <w:rFonts w:ascii="Times New Roman" w:eastAsia="Times New Roman" w:hAnsi="Times New Roman" w:cs="Times New Roman"/>
                <w:bCs/>
                <w:lang w:eastAsia="lv-LV"/>
              </w:rPr>
              <w:softHyphen/>
            </w:r>
            <w:r w:rsidRPr="005B33E2">
              <w:rPr>
                <w:rFonts w:ascii="Times New Roman" w:eastAsia="Times New Roman" w:hAnsi="Times New Roman" w:cs="Times New Roman"/>
                <w:bCs/>
                <w:lang w:eastAsia="lv-LV"/>
              </w:rPr>
              <w:t>tāju ienākuma nodokļa aprēķināšanai”</w:t>
            </w:r>
          </w:p>
        </w:tc>
      </w:tr>
    </w:tbl>
    <w:p w:rsidR="0060080E" w:rsidRPr="00995D03" w:rsidRDefault="0060080E" w:rsidP="000364FE">
      <w:pPr>
        <w:spacing w:after="0" w:line="240" w:lineRule="auto"/>
      </w:pPr>
    </w:p>
    <w:p w:rsidR="00A97BA4" w:rsidRPr="00050309" w:rsidRDefault="00A97BA4" w:rsidP="00173A9F">
      <w:pPr>
        <w:spacing w:after="120"/>
        <w:rPr>
          <w:rFonts w:ascii="Times New Roman" w:hAnsi="Times New Roman" w:cs="Times New Roman"/>
          <w:sz w:val="28"/>
          <w:szCs w:val="28"/>
        </w:rPr>
      </w:pPr>
      <w:r w:rsidRPr="00050309">
        <w:rPr>
          <w:rFonts w:ascii="Times New Roman" w:hAnsi="Times New Roman" w:cs="Times New Roman"/>
          <w:sz w:val="28"/>
          <w:szCs w:val="28"/>
        </w:rPr>
        <w:t xml:space="preserve">Finanšu ministrs </w:t>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00993115">
        <w:rPr>
          <w:rFonts w:ascii="Times New Roman" w:hAnsi="Times New Roman" w:cs="Times New Roman"/>
          <w:sz w:val="28"/>
          <w:szCs w:val="28"/>
        </w:rPr>
        <w:tab/>
      </w:r>
      <w:r w:rsidR="00993115">
        <w:rPr>
          <w:rFonts w:ascii="Times New Roman" w:hAnsi="Times New Roman" w:cs="Times New Roman"/>
          <w:sz w:val="28"/>
          <w:szCs w:val="28"/>
        </w:rPr>
        <w:tab/>
      </w:r>
      <w:r w:rsidR="00993115">
        <w:rPr>
          <w:rFonts w:ascii="Times New Roman" w:hAnsi="Times New Roman" w:cs="Times New Roman"/>
          <w:sz w:val="28"/>
          <w:szCs w:val="28"/>
        </w:rPr>
        <w:tab/>
      </w:r>
      <w:r w:rsidR="00993115">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r>
      <w:r w:rsidRPr="00050309">
        <w:rPr>
          <w:rFonts w:ascii="Times New Roman" w:hAnsi="Times New Roman" w:cs="Times New Roman"/>
          <w:sz w:val="28"/>
          <w:szCs w:val="28"/>
        </w:rPr>
        <w:tab/>
        <w:t>A.Vilks</w:t>
      </w:r>
    </w:p>
    <w:p w:rsidR="00A97BA4" w:rsidRPr="002376A9" w:rsidRDefault="00360C2A" w:rsidP="00A97BA4">
      <w:pPr>
        <w:contextualSpacing/>
        <w:rPr>
          <w:rFonts w:ascii="Times New Roman" w:hAnsi="Times New Roman" w:cs="Times New Roman"/>
          <w:sz w:val="20"/>
        </w:rPr>
      </w:pPr>
      <w:r>
        <w:rPr>
          <w:rFonts w:ascii="Times New Roman" w:hAnsi="Times New Roman" w:cs="Times New Roman"/>
          <w:sz w:val="20"/>
        </w:rPr>
        <w:t>2013.05.22.</w:t>
      </w:r>
    </w:p>
    <w:p w:rsidR="00A97BA4" w:rsidRPr="002376A9" w:rsidRDefault="00A97BA4" w:rsidP="00A97BA4">
      <w:pPr>
        <w:contextualSpacing/>
        <w:rPr>
          <w:rFonts w:ascii="Times New Roman" w:hAnsi="Times New Roman" w:cs="Times New Roman"/>
          <w:sz w:val="20"/>
        </w:rPr>
      </w:pPr>
      <w:r w:rsidRPr="002376A9">
        <w:rPr>
          <w:rFonts w:ascii="Times New Roman" w:hAnsi="Times New Roman" w:cs="Times New Roman"/>
          <w:sz w:val="20"/>
        </w:rPr>
        <w:fldChar w:fldCharType="begin"/>
      </w:r>
      <w:r w:rsidRPr="002376A9">
        <w:rPr>
          <w:rFonts w:ascii="Times New Roman" w:hAnsi="Times New Roman" w:cs="Times New Roman"/>
          <w:sz w:val="20"/>
        </w:rPr>
        <w:instrText xml:space="preserve"> NUMWORDS  \# "0"  \* MERGEFORMAT </w:instrText>
      </w:r>
      <w:r w:rsidRPr="002376A9">
        <w:rPr>
          <w:rFonts w:ascii="Times New Roman" w:hAnsi="Times New Roman" w:cs="Times New Roman"/>
          <w:sz w:val="20"/>
        </w:rPr>
        <w:fldChar w:fldCharType="separate"/>
      </w:r>
      <w:r w:rsidR="00360C2A">
        <w:rPr>
          <w:rFonts w:ascii="Times New Roman" w:hAnsi="Times New Roman" w:cs="Times New Roman"/>
          <w:noProof/>
          <w:sz w:val="20"/>
        </w:rPr>
        <w:t>4562</w:t>
      </w:r>
      <w:r w:rsidRPr="002376A9">
        <w:rPr>
          <w:rFonts w:ascii="Times New Roman" w:hAnsi="Times New Roman" w:cs="Times New Roman"/>
          <w:sz w:val="20"/>
        </w:rPr>
        <w:fldChar w:fldCharType="end"/>
      </w:r>
    </w:p>
    <w:p w:rsidR="00A97BA4" w:rsidRPr="002376A9" w:rsidRDefault="000C74E9" w:rsidP="00A97BA4">
      <w:pPr>
        <w:contextualSpacing/>
        <w:rPr>
          <w:rFonts w:ascii="Times New Roman" w:hAnsi="Times New Roman" w:cs="Times New Roman"/>
          <w:sz w:val="20"/>
        </w:rPr>
      </w:pPr>
      <w:r>
        <w:rPr>
          <w:rFonts w:ascii="Times New Roman" w:hAnsi="Times New Roman" w:cs="Times New Roman"/>
          <w:sz w:val="20"/>
        </w:rPr>
        <w:t xml:space="preserve">Finanšu ministrijas </w:t>
      </w:r>
      <w:r w:rsidR="00A97BA4" w:rsidRPr="002376A9">
        <w:rPr>
          <w:rFonts w:ascii="Times New Roman" w:hAnsi="Times New Roman" w:cs="Times New Roman"/>
          <w:sz w:val="20"/>
        </w:rPr>
        <w:t>Nodokļu analīzes departamenta</w:t>
      </w:r>
    </w:p>
    <w:p w:rsidR="00A97BA4" w:rsidRPr="002376A9" w:rsidRDefault="00A97BA4" w:rsidP="00A97BA4">
      <w:pPr>
        <w:contextualSpacing/>
        <w:rPr>
          <w:rFonts w:ascii="Times New Roman" w:hAnsi="Times New Roman" w:cs="Times New Roman"/>
          <w:sz w:val="20"/>
        </w:rPr>
      </w:pPr>
      <w:r w:rsidRPr="002376A9">
        <w:rPr>
          <w:rFonts w:ascii="Times New Roman" w:hAnsi="Times New Roman" w:cs="Times New Roman"/>
          <w:sz w:val="20"/>
        </w:rPr>
        <w:t xml:space="preserve">Nodokļu </w:t>
      </w:r>
      <w:r w:rsidR="0092284F">
        <w:rPr>
          <w:rFonts w:ascii="Times New Roman" w:hAnsi="Times New Roman" w:cs="Times New Roman"/>
          <w:sz w:val="20"/>
        </w:rPr>
        <w:t xml:space="preserve">analīzes un prognozēšanas </w:t>
      </w:r>
      <w:r w:rsidRPr="002376A9">
        <w:rPr>
          <w:rFonts w:ascii="Times New Roman" w:hAnsi="Times New Roman" w:cs="Times New Roman"/>
          <w:sz w:val="20"/>
        </w:rPr>
        <w:t xml:space="preserve">nodaļas </w:t>
      </w:r>
      <w:r w:rsidR="00360C2A">
        <w:rPr>
          <w:rFonts w:ascii="Times New Roman" w:hAnsi="Times New Roman" w:cs="Times New Roman"/>
          <w:sz w:val="20"/>
        </w:rPr>
        <w:t>vadītāja</w:t>
      </w:r>
    </w:p>
    <w:p w:rsidR="00A97BA4" w:rsidRPr="002376A9" w:rsidRDefault="00360C2A" w:rsidP="00A97BA4">
      <w:pPr>
        <w:contextualSpacing/>
        <w:rPr>
          <w:rFonts w:ascii="Times New Roman" w:hAnsi="Times New Roman" w:cs="Times New Roman"/>
        </w:rPr>
      </w:pPr>
      <w:r>
        <w:rPr>
          <w:rFonts w:ascii="Times New Roman" w:hAnsi="Times New Roman" w:cs="Times New Roman"/>
          <w:sz w:val="20"/>
        </w:rPr>
        <w:t>Dace Avotiņa</w:t>
      </w:r>
      <w:r w:rsidR="00A97BA4" w:rsidRPr="002376A9">
        <w:rPr>
          <w:rFonts w:ascii="Times New Roman" w:hAnsi="Times New Roman" w:cs="Times New Roman"/>
          <w:sz w:val="20"/>
        </w:rPr>
        <w:t xml:space="preserve"> 67 083</w:t>
      </w:r>
      <w:r w:rsidR="00A97BA4" w:rsidRPr="002376A9">
        <w:rPr>
          <w:rFonts w:ascii="Times New Roman" w:hAnsi="Times New Roman" w:cs="Times New Roman"/>
        </w:rPr>
        <w:t xml:space="preserve"> 92</w:t>
      </w:r>
      <w:r>
        <w:rPr>
          <w:rFonts w:ascii="Times New Roman" w:hAnsi="Times New Roman" w:cs="Times New Roman"/>
        </w:rPr>
        <w:t>0</w:t>
      </w:r>
    </w:p>
    <w:p w:rsidR="00BE3B4B" w:rsidRPr="00DB4A0A" w:rsidRDefault="00360C2A" w:rsidP="00DB4A0A">
      <w:pPr>
        <w:contextualSpacing/>
        <w:rPr>
          <w:rFonts w:ascii="Times New Roman" w:hAnsi="Times New Roman" w:cs="Times New Roman"/>
          <w:sz w:val="20"/>
        </w:rPr>
      </w:pPr>
      <w:hyperlink r:id="rId18" w:history="1">
        <w:r w:rsidRPr="00907BC0">
          <w:rPr>
            <w:rStyle w:val="Hyperlink"/>
            <w:rFonts w:ascii="Times New Roman" w:hAnsi="Times New Roman" w:cs="Times New Roman"/>
            <w:sz w:val="20"/>
          </w:rPr>
          <w:t>Dace.Avotina@fm.gov.lv</w:t>
        </w:r>
      </w:hyperlink>
    </w:p>
    <w:sectPr w:rsidR="00BE3B4B" w:rsidRPr="00DB4A0A" w:rsidSect="00321ABF">
      <w:pgSz w:w="16838" w:h="11906" w:orient="landscape"/>
      <w:pgMar w:top="1134" w:right="1521" w:bottom="1080" w:left="1440" w:header="708" w:footer="51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2A" w:rsidRDefault="00360C2A" w:rsidP="004E7DED">
      <w:pPr>
        <w:spacing w:after="0" w:line="240" w:lineRule="auto"/>
      </w:pPr>
      <w:r>
        <w:separator/>
      </w:r>
    </w:p>
  </w:endnote>
  <w:endnote w:type="continuationSeparator" w:id="0">
    <w:p w:rsidR="00360C2A" w:rsidRDefault="00360C2A" w:rsidP="004E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2A" w:rsidRPr="00321ABF" w:rsidRDefault="00360C2A" w:rsidP="00321ABF">
    <w:pPr>
      <w:pStyle w:val="Footer"/>
      <w:jc w:val="both"/>
      <w:rPr>
        <w:rFonts w:ascii="Times New Roman" w:hAnsi="Times New Roman" w:cs="Times New Roman"/>
        <w:color w:val="595959" w:themeColor="text1" w:themeTint="A6"/>
        <w:sz w:val="16"/>
        <w:szCs w:val="16"/>
      </w:rPr>
    </w:pPr>
    <w:r w:rsidRPr="00321ABF">
      <w:rPr>
        <w:rFonts w:ascii="Times New Roman" w:hAnsi="Times New Roman" w:cs="Times New Roman"/>
        <w:color w:val="595959" w:themeColor="text1" w:themeTint="A6"/>
        <w:sz w:val="16"/>
        <w:szCs w:val="16"/>
      </w:rPr>
      <w:t>FMZino_</w:t>
    </w:r>
    <w:r>
      <w:rPr>
        <w:rFonts w:ascii="Times New Roman" w:hAnsi="Times New Roman" w:cs="Times New Roman"/>
        <w:color w:val="595959" w:themeColor="text1" w:themeTint="A6"/>
        <w:sz w:val="16"/>
        <w:szCs w:val="16"/>
      </w:rPr>
      <w:t>2205</w:t>
    </w:r>
    <w:r w:rsidRPr="00321ABF">
      <w:rPr>
        <w:rFonts w:ascii="Times New Roman" w:hAnsi="Times New Roman" w:cs="Times New Roman"/>
        <w:color w:val="595959" w:themeColor="text1" w:themeTint="A6"/>
        <w:sz w:val="16"/>
        <w:szCs w:val="16"/>
      </w:rPr>
      <w:t>1</w:t>
    </w:r>
    <w:r>
      <w:rPr>
        <w:rFonts w:ascii="Times New Roman" w:hAnsi="Times New Roman" w:cs="Times New Roman"/>
        <w:color w:val="595959" w:themeColor="text1" w:themeTint="A6"/>
        <w:sz w:val="16"/>
        <w:szCs w:val="16"/>
      </w:rPr>
      <w:t>3</w:t>
    </w:r>
    <w:r w:rsidRPr="00321ABF">
      <w:rPr>
        <w:rFonts w:ascii="Times New Roman" w:hAnsi="Times New Roman" w:cs="Times New Roman"/>
        <w:color w:val="595959" w:themeColor="text1" w:themeTint="A6"/>
        <w:sz w:val="16"/>
        <w:szCs w:val="16"/>
      </w:rPr>
      <w:t xml:space="preserve">_IIN; Informatīvais ziņojums </w:t>
    </w:r>
    <w:r>
      <w:rPr>
        <w:rFonts w:ascii="Times New Roman" w:hAnsi="Times New Roman" w:cs="Times New Roman"/>
        <w:color w:val="595959" w:themeColor="text1" w:themeTint="A6"/>
        <w:sz w:val="16"/>
        <w:szCs w:val="16"/>
      </w:rPr>
      <w:t>„Priekšlikumi ienākumu nevienlīdzības mazināšanai”</w:t>
    </w:r>
    <w:r w:rsidRPr="00321ABF">
      <w:rPr>
        <w:rFonts w:ascii="Times New Roman" w:hAnsi="Times New Roman" w:cs="Times New Roman"/>
        <w:color w:val="595959" w:themeColor="text1" w:themeTint="A6"/>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2A" w:rsidRPr="00321ABF" w:rsidRDefault="00360C2A" w:rsidP="00321ABF">
    <w:pPr>
      <w:pStyle w:val="Footer"/>
      <w:jc w:val="both"/>
      <w:rPr>
        <w:rFonts w:ascii="Times New Roman" w:hAnsi="Times New Roman" w:cs="Times New Roman"/>
        <w:color w:val="595959" w:themeColor="text1" w:themeTint="A6"/>
        <w:sz w:val="16"/>
        <w:szCs w:val="16"/>
      </w:rPr>
    </w:pPr>
    <w:r w:rsidRPr="00321ABF">
      <w:rPr>
        <w:rFonts w:ascii="Times New Roman" w:hAnsi="Times New Roman" w:cs="Times New Roman"/>
        <w:color w:val="595959" w:themeColor="text1" w:themeTint="A6"/>
        <w:sz w:val="16"/>
        <w:szCs w:val="16"/>
      </w:rPr>
      <w:t>FMZino_</w:t>
    </w:r>
    <w:r>
      <w:rPr>
        <w:rFonts w:ascii="Times New Roman" w:hAnsi="Times New Roman" w:cs="Times New Roman"/>
        <w:color w:val="595959" w:themeColor="text1" w:themeTint="A6"/>
        <w:sz w:val="16"/>
        <w:szCs w:val="16"/>
      </w:rPr>
      <w:t>2205</w:t>
    </w:r>
    <w:r w:rsidRPr="00321ABF">
      <w:rPr>
        <w:rFonts w:ascii="Times New Roman" w:hAnsi="Times New Roman" w:cs="Times New Roman"/>
        <w:color w:val="595959" w:themeColor="text1" w:themeTint="A6"/>
        <w:sz w:val="16"/>
        <w:szCs w:val="16"/>
      </w:rPr>
      <w:t>1</w:t>
    </w:r>
    <w:r>
      <w:rPr>
        <w:rFonts w:ascii="Times New Roman" w:hAnsi="Times New Roman" w:cs="Times New Roman"/>
        <w:color w:val="595959" w:themeColor="text1" w:themeTint="A6"/>
        <w:sz w:val="16"/>
        <w:szCs w:val="16"/>
      </w:rPr>
      <w:t>3</w:t>
    </w:r>
    <w:r w:rsidRPr="00321ABF">
      <w:rPr>
        <w:rFonts w:ascii="Times New Roman" w:hAnsi="Times New Roman" w:cs="Times New Roman"/>
        <w:color w:val="595959" w:themeColor="text1" w:themeTint="A6"/>
        <w:sz w:val="16"/>
        <w:szCs w:val="16"/>
      </w:rPr>
      <w:t xml:space="preserve">_IIN; Informatīvais ziņojums </w:t>
    </w:r>
    <w:r>
      <w:rPr>
        <w:rFonts w:ascii="Times New Roman" w:hAnsi="Times New Roman" w:cs="Times New Roman"/>
        <w:color w:val="595959" w:themeColor="text1" w:themeTint="A6"/>
        <w:sz w:val="16"/>
        <w:szCs w:val="16"/>
      </w:rPr>
      <w:t>„Priekšlikumi ienākumu nevienlīdzības mazināšanai”</w:t>
    </w:r>
    <w:r w:rsidRPr="00321ABF">
      <w:rPr>
        <w:rFonts w:ascii="Times New Roman" w:hAnsi="Times New Roman" w:cs="Times New Roman"/>
        <w:color w:val="595959" w:themeColor="text1" w:themeTint="A6"/>
        <w:sz w:val="16"/>
        <w:szCs w:val="16"/>
      </w:rPr>
      <w:t xml:space="preserve">  </w:t>
    </w:r>
  </w:p>
  <w:p w:rsidR="00360C2A" w:rsidRDefault="0036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2A" w:rsidRDefault="00360C2A" w:rsidP="004E7DED">
      <w:pPr>
        <w:spacing w:after="0" w:line="240" w:lineRule="auto"/>
      </w:pPr>
      <w:r>
        <w:separator/>
      </w:r>
    </w:p>
  </w:footnote>
  <w:footnote w:type="continuationSeparator" w:id="0">
    <w:p w:rsidR="00360C2A" w:rsidRDefault="00360C2A" w:rsidP="004E7DED">
      <w:pPr>
        <w:spacing w:after="0" w:line="240" w:lineRule="auto"/>
      </w:pPr>
      <w:r>
        <w:continuationSeparator/>
      </w:r>
    </w:p>
  </w:footnote>
  <w:footnote w:id="1">
    <w:p w:rsidR="00360C2A" w:rsidRPr="00DB6768" w:rsidRDefault="00360C2A" w:rsidP="007F64CF">
      <w:pPr>
        <w:tabs>
          <w:tab w:val="left" w:pos="284"/>
        </w:tabs>
        <w:autoSpaceDE w:val="0"/>
        <w:autoSpaceDN w:val="0"/>
        <w:spacing w:after="120"/>
        <w:rPr>
          <w:rFonts w:ascii="Times New Roman" w:hAnsi="Times New Roman" w:cs="Times New Roman"/>
          <w:bCs/>
          <w:color w:val="231F20"/>
          <w:sz w:val="20"/>
          <w:szCs w:val="20"/>
          <w:lang w:val="en-US"/>
        </w:rPr>
      </w:pPr>
      <w:r w:rsidRPr="00DB6768">
        <w:rPr>
          <w:rStyle w:val="FootnoteReference"/>
          <w:rFonts w:ascii="Times New Roman" w:hAnsi="Times New Roman" w:cs="Times New Roman"/>
          <w:sz w:val="20"/>
          <w:szCs w:val="20"/>
          <w:lang w:val="en-US"/>
        </w:rPr>
        <w:footnoteRef/>
      </w:r>
      <w:r w:rsidRPr="00DB6768">
        <w:rPr>
          <w:rFonts w:ascii="Times New Roman" w:hAnsi="Times New Roman" w:cs="Times New Roman"/>
          <w:sz w:val="20"/>
          <w:szCs w:val="20"/>
          <w:lang w:val="en-US"/>
        </w:rPr>
        <w:t xml:space="preserve"> </w:t>
      </w:r>
      <w:r w:rsidRPr="00DB6768">
        <w:rPr>
          <w:rFonts w:ascii="Times New Roman" w:hAnsi="Times New Roman" w:cs="Times New Roman"/>
          <w:sz w:val="20"/>
          <w:szCs w:val="20"/>
          <w:lang w:val="en-US"/>
        </w:rPr>
        <w:tab/>
        <w:t xml:space="preserve">OECD, </w:t>
      </w:r>
      <w:r w:rsidRPr="00DB6768">
        <w:rPr>
          <w:rFonts w:ascii="Times New Roman" w:hAnsi="Times New Roman" w:cs="Times New Roman"/>
          <w:bCs/>
          <w:color w:val="231F20"/>
          <w:sz w:val="20"/>
          <w:szCs w:val="20"/>
          <w:lang w:val="en-US"/>
        </w:rPr>
        <w:t>Taxing Wages 2003-2004 Special feature: broadening the definition of the average worker.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28535"/>
      <w:docPartObj>
        <w:docPartGallery w:val="Page Numbers (Top of Page)"/>
        <w:docPartUnique/>
      </w:docPartObj>
    </w:sdtPr>
    <w:sdtEndPr>
      <w:rPr>
        <w:rFonts w:ascii="Times New Roman" w:hAnsi="Times New Roman" w:cs="Times New Roman"/>
        <w:noProof/>
      </w:rPr>
    </w:sdtEndPr>
    <w:sdtContent>
      <w:p w:rsidR="00360C2A" w:rsidRPr="00F056CB" w:rsidRDefault="00360C2A">
        <w:pPr>
          <w:pStyle w:val="Header"/>
          <w:jc w:val="center"/>
          <w:rPr>
            <w:rFonts w:ascii="Times New Roman" w:hAnsi="Times New Roman" w:cs="Times New Roman"/>
          </w:rPr>
        </w:pPr>
        <w:r w:rsidRPr="00F056CB">
          <w:rPr>
            <w:rFonts w:ascii="Times New Roman" w:hAnsi="Times New Roman" w:cs="Times New Roman"/>
          </w:rPr>
          <w:fldChar w:fldCharType="begin"/>
        </w:r>
        <w:r w:rsidRPr="00F056CB">
          <w:rPr>
            <w:rFonts w:ascii="Times New Roman" w:hAnsi="Times New Roman" w:cs="Times New Roman"/>
          </w:rPr>
          <w:instrText xml:space="preserve"> PAGE   \* MERGEFORMAT </w:instrText>
        </w:r>
        <w:r w:rsidRPr="00F056CB">
          <w:rPr>
            <w:rFonts w:ascii="Times New Roman" w:hAnsi="Times New Roman" w:cs="Times New Roman"/>
          </w:rPr>
          <w:fldChar w:fldCharType="separate"/>
        </w:r>
        <w:r w:rsidR="00240218">
          <w:rPr>
            <w:rFonts w:ascii="Times New Roman" w:hAnsi="Times New Roman" w:cs="Times New Roman"/>
            <w:noProof/>
          </w:rPr>
          <w:t>20</w:t>
        </w:r>
        <w:r w:rsidRPr="00F056CB">
          <w:rPr>
            <w:rFonts w:ascii="Times New Roman" w:hAnsi="Times New Roman" w:cs="Times New Roman"/>
            <w:noProof/>
          </w:rPr>
          <w:fldChar w:fldCharType="end"/>
        </w:r>
      </w:p>
    </w:sdtContent>
  </w:sdt>
  <w:p w:rsidR="00360C2A" w:rsidRPr="00532644" w:rsidRDefault="00360C2A" w:rsidP="009710F2">
    <w:pPr>
      <w:pStyle w:val="Header"/>
      <w:jc w:val="right"/>
      <w:rPr>
        <w:rFonts w:ascii="Times New Roman Bold" w:hAnsi="Times New Roman Bold" w:cs="Times New Roman"/>
        <w:b/>
        <w:i/>
        <w:smallCaps/>
        <w:color w:val="7F7F7F" w:themeColor="text1" w:themeTint="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54A"/>
    <w:multiLevelType w:val="hybridMultilevel"/>
    <w:tmpl w:val="26CE0106"/>
    <w:lvl w:ilvl="0" w:tplc="B7B89C30">
      <w:start w:val="1"/>
      <w:numFmt w:val="decimal"/>
      <w:lvlText w:val="%1)"/>
      <w:lvlJc w:val="left"/>
      <w:pPr>
        <w:ind w:left="1069"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7DE7856"/>
    <w:multiLevelType w:val="hybridMultilevel"/>
    <w:tmpl w:val="421CA45A"/>
    <w:lvl w:ilvl="0" w:tplc="D2F6CCAA">
      <w:start w:val="300"/>
      <w:numFmt w:val="bullet"/>
      <w:lvlText w:val="-"/>
      <w:lvlJc w:val="left"/>
      <w:pPr>
        <w:ind w:left="1080" w:hanging="360"/>
      </w:pPr>
      <w:rPr>
        <w:rFonts w:ascii="Times New Roman" w:eastAsiaTheme="maj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8915EF8"/>
    <w:multiLevelType w:val="hybridMultilevel"/>
    <w:tmpl w:val="596268CE"/>
    <w:lvl w:ilvl="0" w:tplc="7E6E9E38">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0F4108"/>
    <w:multiLevelType w:val="hybridMultilevel"/>
    <w:tmpl w:val="A19C749C"/>
    <w:lvl w:ilvl="0" w:tplc="83B6798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3C615A"/>
    <w:multiLevelType w:val="hybridMultilevel"/>
    <w:tmpl w:val="2E92FF1A"/>
    <w:lvl w:ilvl="0" w:tplc="458A3560">
      <w:start w:val="1"/>
      <w:numFmt w:val="bullet"/>
      <w:lvlText w:val=""/>
      <w:lvlJc w:val="left"/>
      <w:pPr>
        <w:tabs>
          <w:tab w:val="num" w:pos="720"/>
        </w:tabs>
        <w:ind w:left="720" w:hanging="360"/>
      </w:pPr>
      <w:rPr>
        <w:rFonts w:ascii="Wingdings" w:hAnsi="Wingdings" w:hint="default"/>
      </w:rPr>
    </w:lvl>
    <w:lvl w:ilvl="1" w:tplc="F2AA042E" w:tentative="1">
      <w:start w:val="1"/>
      <w:numFmt w:val="bullet"/>
      <w:lvlText w:val=""/>
      <w:lvlJc w:val="left"/>
      <w:pPr>
        <w:tabs>
          <w:tab w:val="num" w:pos="1440"/>
        </w:tabs>
        <w:ind w:left="1440" w:hanging="360"/>
      </w:pPr>
      <w:rPr>
        <w:rFonts w:ascii="Wingdings" w:hAnsi="Wingdings" w:hint="default"/>
      </w:rPr>
    </w:lvl>
    <w:lvl w:ilvl="2" w:tplc="B1662D30" w:tentative="1">
      <w:start w:val="1"/>
      <w:numFmt w:val="bullet"/>
      <w:lvlText w:val=""/>
      <w:lvlJc w:val="left"/>
      <w:pPr>
        <w:tabs>
          <w:tab w:val="num" w:pos="2160"/>
        </w:tabs>
        <w:ind w:left="2160" w:hanging="360"/>
      </w:pPr>
      <w:rPr>
        <w:rFonts w:ascii="Wingdings" w:hAnsi="Wingdings" w:hint="default"/>
      </w:rPr>
    </w:lvl>
    <w:lvl w:ilvl="3" w:tplc="E2F6AF3A" w:tentative="1">
      <w:start w:val="1"/>
      <w:numFmt w:val="bullet"/>
      <w:lvlText w:val=""/>
      <w:lvlJc w:val="left"/>
      <w:pPr>
        <w:tabs>
          <w:tab w:val="num" w:pos="2880"/>
        </w:tabs>
        <w:ind w:left="2880" w:hanging="360"/>
      </w:pPr>
      <w:rPr>
        <w:rFonts w:ascii="Wingdings" w:hAnsi="Wingdings" w:hint="default"/>
      </w:rPr>
    </w:lvl>
    <w:lvl w:ilvl="4" w:tplc="E076CBAA" w:tentative="1">
      <w:start w:val="1"/>
      <w:numFmt w:val="bullet"/>
      <w:lvlText w:val=""/>
      <w:lvlJc w:val="left"/>
      <w:pPr>
        <w:tabs>
          <w:tab w:val="num" w:pos="3600"/>
        </w:tabs>
        <w:ind w:left="3600" w:hanging="360"/>
      </w:pPr>
      <w:rPr>
        <w:rFonts w:ascii="Wingdings" w:hAnsi="Wingdings" w:hint="default"/>
      </w:rPr>
    </w:lvl>
    <w:lvl w:ilvl="5" w:tplc="C53E7DBE" w:tentative="1">
      <w:start w:val="1"/>
      <w:numFmt w:val="bullet"/>
      <w:lvlText w:val=""/>
      <w:lvlJc w:val="left"/>
      <w:pPr>
        <w:tabs>
          <w:tab w:val="num" w:pos="4320"/>
        </w:tabs>
        <w:ind w:left="4320" w:hanging="360"/>
      </w:pPr>
      <w:rPr>
        <w:rFonts w:ascii="Wingdings" w:hAnsi="Wingdings" w:hint="default"/>
      </w:rPr>
    </w:lvl>
    <w:lvl w:ilvl="6" w:tplc="46301AC4" w:tentative="1">
      <w:start w:val="1"/>
      <w:numFmt w:val="bullet"/>
      <w:lvlText w:val=""/>
      <w:lvlJc w:val="left"/>
      <w:pPr>
        <w:tabs>
          <w:tab w:val="num" w:pos="5040"/>
        </w:tabs>
        <w:ind w:left="5040" w:hanging="360"/>
      </w:pPr>
      <w:rPr>
        <w:rFonts w:ascii="Wingdings" w:hAnsi="Wingdings" w:hint="default"/>
      </w:rPr>
    </w:lvl>
    <w:lvl w:ilvl="7" w:tplc="5AB42030" w:tentative="1">
      <w:start w:val="1"/>
      <w:numFmt w:val="bullet"/>
      <w:lvlText w:val=""/>
      <w:lvlJc w:val="left"/>
      <w:pPr>
        <w:tabs>
          <w:tab w:val="num" w:pos="5760"/>
        </w:tabs>
        <w:ind w:left="5760" w:hanging="360"/>
      </w:pPr>
      <w:rPr>
        <w:rFonts w:ascii="Wingdings" w:hAnsi="Wingdings" w:hint="default"/>
      </w:rPr>
    </w:lvl>
    <w:lvl w:ilvl="8" w:tplc="2A403CF6" w:tentative="1">
      <w:start w:val="1"/>
      <w:numFmt w:val="bullet"/>
      <w:lvlText w:val=""/>
      <w:lvlJc w:val="left"/>
      <w:pPr>
        <w:tabs>
          <w:tab w:val="num" w:pos="6480"/>
        </w:tabs>
        <w:ind w:left="6480" w:hanging="360"/>
      </w:pPr>
      <w:rPr>
        <w:rFonts w:ascii="Wingdings" w:hAnsi="Wingdings" w:hint="default"/>
      </w:rPr>
    </w:lvl>
  </w:abstractNum>
  <w:abstractNum w:abstractNumId="5">
    <w:nsid w:val="094848A9"/>
    <w:multiLevelType w:val="hybridMultilevel"/>
    <w:tmpl w:val="ACB8B012"/>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CC751C"/>
    <w:multiLevelType w:val="hybridMultilevel"/>
    <w:tmpl w:val="953CBB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47655E"/>
    <w:multiLevelType w:val="hybridMultilevel"/>
    <w:tmpl w:val="6AFCD3EE"/>
    <w:lvl w:ilvl="0" w:tplc="E16C6CB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07D4BFA"/>
    <w:multiLevelType w:val="hybridMultilevel"/>
    <w:tmpl w:val="619883EE"/>
    <w:lvl w:ilvl="0" w:tplc="8A64BA1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117414"/>
    <w:multiLevelType w:val="hybridMultilevel"/>
    <w:tmpl w:val="959E66BE"/>
    <w:lvl w:ilvl="0" w:tplc="BD448256">
      <w:start w:val="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nsid w:val="16B70E59"/>
    <w:multiLevelType w:val="hybridMultilevel"/>
    <w:tmpl w:val="759694A2"/>
    <w:lvl w:ilvl="0" w:tplc="F7B81832">
      <w:start w:val="2"/>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1">
    <w:nsid w:val="17781344"/>
    <w:multiLevelType w:val="hybridMultilevel"/>
    <w:tmpl w:val="A8D45FAC"/>
    <w:lvl w:ilvl="0" w:tplc="ADA03F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1D480CCB"/>
    <w:multiLevelType w:val="multilevel"/>
    <w:tmpl w:val="15ACEEC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nsid w:val="254E6927"/>
    <w:multiLevelType w:val="hybridMultilevel"/>
    <w:tmpl w:val="F4863882"/>
    <w:lvl w:ilvl="0" w:tplc="37763BF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032E31"/>
    <w:multiLevelType w:val="hybridMultilevel"/>
    <w:tmpl w:val="16C4E61C"/>
    <w:lvl w:ilvl="0" w:tplc="AAC6E850">
      <w:start w:val="1"/>
      <w:numFmt w:val="decimal"/>
      <w:lvlText w:val="%1)"/>
      <w:lvlJc w:val="left"/>
      <w:pPr>
        <w:ind w:left="1429" w:hanging="360"/>
      </w:pPr>
      <w:rPr>
        <w:rFonts w:ascii="Times New Roman" w:eastAsiaTheme="minorHAnsi" w:hAnsi="Times New Roman" w:cs="Times New Roman"/>
        <w:b w:val="0"/>
        <w:i w:val="0"/>
      </w:rPr>
    </w:lvl>
    <w:lvl w:ilvl="1" w:tplc="AAC6E850">
      <w:start w:val="1"/>
      <w:numFmt w:val="decimal"/>
      <w:lvlText w:val="%2)"/>
      <w:lvlJc w:val="left"/>
      <w:pPr>
        <w:ind w:left="2149" w:hanging="360"/>
      </w:pPr>
      <w:rPr>
        <w:rFonts w:ascii="Times New Roman" w:eastAsiaTheme="minorHAnsi" w:hAnsi="Times New Roman" w:cs="Times New Roman" w:hint="default"/>
        <w:b w:val="0"/>
        <w:i w:val="0"/>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2971021B"/>
    <w:multiLevelType w:val="hybridMultilevel"/>
    <w:tmpl w:val="ED20A46A"/>
    <w:lvl w:ilvl="0" w:tplc="81DA1668">
      <w:start w:val="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nsid w:val="2CB54783"/>
    <w:multiLevelType w:val="multilevel"/>
    <w:tmpl w:val="E3FAAD9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E860DC8"/>
    <w:multiLevelType w:val="hybridMultilevel"/>
    <w:tmpl w:val="5FCEFDA0"/>
    <w:lvl w:ilvl="0" w:tplc="B37AD9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B6B62"/>
    <w:multiLevelType w:val="hybridMultilevel"/>
    <w:tmpl w:val="90D82F3A"/>
    <w:lvl w:ilvl="0" w:tplc="725A784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2AD481D"/>
    <w:multiLevelType w:val="hybridMultilevel"/>
    <w:tmpl w:val="CA060286"/>
    <w:lvl w:ilvl="0" w:tplc="0D8C22F4">
      <w:start w:val="1"/>
      <w:numFmt w:val="decimal"/>
      <w:lvlText w:val="%1)"/>
      <w:lvlJc w:val="left"/>
      <w:pPr>
        <w:ind w:left="1429" w:hanging="360"/>
      </w:pPr>
      <w:rPr>
        <w:rFonts w:ascii="Times New Roman" w:eastAsiaTheme="minorHAnsi"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33DD619F"/>
    <w:multiLevelType w:val="multilevel"/>
    <w:tmpl w:val="C34CE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0A0B73"/>
    <w:multiLevelType w:val="hybridMultilevel"/>
    <w:tmpl w:val="6AFCD3EE"/>
    <w:lvl w:ilvl="0" w:tplc="E16C6CB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7822D96"/>
    <w:multiLevelType w:val="hybridMultilevel"/>
    <w:tmpl w:val="ACB8B012"/>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60793F"/>
    <w:multiLevelType w:val="multilevel"/>
    <w:tmpl w:val="7AC67E8A"/>
    <w:lvl w:ilvl="0">
      <w:start w:val="1"/>
      <w:numFmt w:val="decimal"/>
      <w:lvlText w:val="%1."/>
      <w:lvlJc w:val="left"/>
      <w:pPr>
        <w:ind w:left="465" w:hanging="465"/>
      </w:pPr>
      <w:rPr>
        <w:rFonts w:hint="default"/>
      </w:rPr>
    </w:lvl>
    <w:lvl w:ilvl="1">
      <w:start w:val="1"/>
      <w:numFmt w:val="decimal"/>
      <w:lvlText w:val="%1.%2)"/>
      <w:lvlJc w:val="left"/>
      <w:pPr>
        <w:ind w:left="1834" w:hanging="72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422" w:hanging="108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7010" w:hanging="1440"/>
      </w:pPr>
      <w:rPr>
        <w:rFonts w:hint="default"/>
      </w:rPr>
    </w:lvl>
    <w:lvl w:ilvl="6">
      <w:start w:val="1"/>
      <w:numFmt w:val="decimal"/>
      <w:lvlText w:val="%1.%2)%3.%4.%5.%6.%7."/>
      <w:lvlJc w:val="left"/>
      <w:pPr>
        <w:ind w:left="8484" w:hanging="180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1072" w:hanging="2160"/>
      </w:pPr>
      <w:rPr>
        <w:rFonts w:hint="default"/>
      </w:rPr>
    </w:lvl>
  </w:abstractNum>
  <w:abstractNum w:abstractNumId="24">
    <w:nsid w:val="3F990FDB"/>
    <w:multiLevelType w:val="hybridMultilevel"/>
    <w:tmpl w:val="698CBDA4"/>
    <w:lvl w:ilvl="0" w:tplc="DB2CC2FC">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3FD34ADC"/>
    <w:multiLevelType w:val="multilevel"/>
    <w:tmpl w:val="56D0C3F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21F68E1"/>
    <w:multiLevelType w:val="hybridMultilevel"/>
    <w:tmpl w:val="698CBDA4"/>
    <w:lvl w:ilvl="0" w:tplc="DB2CC2FC">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43A00B29"/>
    <w:multiLevelType w:val="hybridMultilevel"/>
    <w:tmpl w:val="01F43064"/>
    <w:lvl w:ilvl="0" w:tplc="BD80468E">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84E14EC"/>
    <w:multiLevelType w:val="hybridMultilevel"/>
    <w:tmpl w:val="891A2E8C"/>
    <w:lvl w:ilvl="0" w:tplc="DCFC56FC">
      <w:start w:val="4"/>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9">
    <w:nsid w:val="49C12954"/>
    <w:multiLevelType w:val="hybridMultilevel"/>
    <w:tmpl w:val="92868D5A"/>
    <w:lvl w:ilvl="0" w:tplc="3A5C3AD4">
      <w:start w:val="1"/>
      <w:numFmt w:val="decimal"/>
      <w:lvlText w:val="%1)"/>
      <w:lvlJc w:val="left"/>
      <w:pPr>
        <w:ind w:left="394" w:hanging="360"/>
      </w:pPr>
      <w:rPr>
        <w:rFonts w:hint="default"/>
        <w:b w:val="0"/>
      </w:rPr>
    </w:lvl>
    <w:lvl w:ilvl="1" w:tplc="04260019">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49F80468"/>
    <w:multiLevelType w:val="hybridMultilevel"/>
    <w:tmpl w:val="78CEF65E"/>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506E5A08"/>
    <w:multiLevelType w:val="hybridMultilevel"/>
    <w:tmpl w:val="38C6653C"/>
    <w:lvl w:ilvl="0" w:tplc="58C842E8">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55887BEA"/>
    <w:multiLevelType w:val="hybridMultilevel"/>
    <w:tmpl w:val="F0FED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6A1151C"/>
    <w:multiLevelType w:val="hybridMultilevel"/>
    <w:tmpl w:val="FF285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BC4418"/>
    <w:multiLevelType w:val="hybridMultilevel"/>
    <w:tmpl w:val="7DC2E5F2"/>
    <w:lvl w:ilvl="0" w:tplc="8B5A690C">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5A901FF4"/>
    <w:multiLevelType w:val="hybridMultilevel"/>
    <w:tmpl w:val="F2321300"/>
    <w:lvl w:ilvl="0" w:tplc="4816D622">
      <w:start w:val="1"/>
      <w:numFmt w:val="bullet"/>
      <w:lvlText w:val=""/>
      <w:lvlJc w:val="left"/>
      <w:pPr>
        <w:tabs>
          <w:tab w:val="num" w:pos="720"/>
        </w:tabs>
        <w:ind w:left="720" w:hanging="360"/>
      </w:pPr>
      <w:rPr>
        <w:rFonts w:ascii="Wingdings" w:hAnsi="Wingdings" w:hint="default"/>
      </w:rPr>
    </w:lvl>
    <w:lvl w:ilvl="1" w:tplc="7B6072B4" w:tentative="1">
      <w:start w:val="1"/>
      <w:numFmt w:val="bullet"/>
      <w:lvlText w:val=""/>
      <w:lvlJc w:val="left"/>
      <w:pPr>
        <w:tabs>
          <w:tab w:val="num" w:pos="1440"/>
        </w:tabs>
        <w:ind w:left="1440" w:hanging="360"/>
      </w:pPr>
      <w:rPr>
        <w:rFonts w:ascii="Wingdings" w:hAnsi="Wingdings" w:hint="default"/>
      </w:rPr>
    </w:lvl>
    <w:lvl w:ilvl="2" w:tplc="E3F0EEAE" w:tentative="1">
      <w:start w:val="1"/>
      <w:numFmt w:val="bullet"/>
      <w:lvlText w:val=""/>
      <w:lvlJc w:val="left"/>
      <w:pPr>
        <w:tabs>
          <w:tab w:val="num" w:pos="2160"/>
        </w:tabs>
        <w:ind w:left="2160" w:hanging="360"/>
      </w:pPr>
      <w:rPr>
        <w:rFonts w:ascii="Wingdings" w:hAnsi="Wingdings" w:hint="default"/>
      </w:rPr>
    </w:lvl>
    <w:lvl w:ilvl="3" w:tplc="1040A62C" w:tentative="1">
      <w:start w:val="1"/>
      <w:numFmt w:val="bullet"/>
      <w:lvlText w:val=""/>
      <w:lvlJc w:val="left"/>
      <w:pPr>
        <w:tabs>
          <w:tab w:val="num" w:pos="2880"/>
        </w:tabs>
        <w:ind w:left="2880" w:hanging="360"/>
      </w:pPr>
      <w:rPr>
        <w:rFonts w:ascii="Wingdings" w:hAnsi="Wingdings" w:hint="default"/>
      </w:rPr>
    </w:lvl>
    <w:lvl w:ilvl="4" w:tplc="5D8AE620" w:tentative="1">
      <w:start w:val="1"/>
      <w:numFmt w:val="bullet"/>
      <w:lvlText w:val=""/>
      <w:lvlJc w:val="left"/>
      <w:pPr>
        <w:tabs>
          <w:tab w:val="num" w:pos="3600"/>
        </w:tabs>
        <w:ind w:left="3600" w:hanging="360"/>
      </w:pPr>
      <w:rPr>
        <w:rFonts w:ascii="Wingdings" w:hAnsi="Wingdings" w:hint="default"/>
      </w:rPr>
    </w:lvl>
    <w:lvl w:ilvl="5" w:tplc="1B4A5778" w:tentative="1">
      <w:start w:val="1"/>
      <w:numFmt w:val="bullet"/>
      <w:lvlText w:val=""/>
      <w:lvlJc w:val="left"/>
      <w:pPr>
        <w:tabs>
          <w:tab w:val="num" w:pos="4320"/>
        </w:tabs>
        <w:ind w:left="4320" w:hanging="360"/>
      </w:pPr>
      <w:rPr>
        <w:rFonts w:ascii="Wingdings" w:hAnsi="Wingdings" w:hint="default"/>
      </w:rPr>
    </w:lvl>
    <w:lvl w:ilvl="6" w:tplc="03E2495A" w:tentative="1">
      <w:start w:val="1"/>
      <w:numFmt w:val="bullet"/>
      <w:lvlText w:val=""/>
      <w:lvlJc w:val="left"/>
      <w:pPr>
        <w:tabs>
          <w:tab w:val="num" w:pos="5040"/>
        </w:tabs>
        <w:ind w:left="5040" w:hanging="360"/>
      </w:pPr>
      <w:rPr>
        <w:rFonts w:ascii="Wingdings" w:hAnsi="Wingdings" w:hint="default"/>
      </w:rPr>
    </w:lvl>
    <w:lvl w:ilvl="7" w:tplc="7B34FB36" w:tentative="1">
      <w:start w:val="1"/>
      <w:numFmt w:val="bullet"/>
      <w:lvlText w:val=""/>
      <w:lvlJc w:val="left"/>
      <w:pPr>
        <w:tabs>
          <w:tab w:val="num" w:pos="5760"/>
        </w:tabs>
        <w:ind w:left="5760" w:hanging="360"/>
      </w:pPr>
      <w:rPr>
        <w:rFonts w:ascii="Wingdings" w:hAnsi="Wingdings" w:hint="default"/>
      </w:rPr>
    </w:lvl>
    <w:lvl w:ilvl="8" w:tplc="DC74F392" w:tentative="1">
      <w:start w:val="1"/>
      <w:numFmt w:val="bullet"/>
      <w:lvlText w:val=""/>
      <w:lvlJc w:val="left"/>
      <w:pPr>
        <w:tabs>
          <w:tab w:val="num" w:pos="6480"/>
        </w:tabs>
        <w:ind w:left="6480" w:hanging="360"/>
      </w:pPr>
      <w:rPr>
        <w:rFonts w:ascii="Wingdings" w:hAnsi="Wingdings" w:hint="default"/>
      </w:rPr>
    </w:lvl>
  </w:abstractNum>
  <w:abstractNum w:abstractNumId="36">
    <w:nsid w:val="5AA069F6"/>
    <w:multiLevelType w:val="hybridMultilevel"/>
    <w:tmpl w:val="A4CC92AE"/>
    <w:lvl w:ilvl="0" w:tplc="0426000B">
      <w:start w:val="1"/>
      <w:numFmt w:val="bullet"/>
      <w:lvlText w:val=""/>
      <w:lvlJc w:val="left"/>
      <w:pPr>
        <w:ind w:left="1502" w:hanging="360"/>
      </w:pPr>
      <w:rPr>
        <w:rFonts w:ascii="Wingdings" w:hAnsi="Wingdings"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37">
    <w:nsid w:val="5C073D93"/>
    <w:multiLevelType w:val="multilevel"/>
    <w:tmpl w:val="5B36AB1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38">
    <w:nsid w:val="5FC01052"/>
    <w:multiLevelType w:val="hybridMultilevel"/>
    <w:tmpl w:val="FCD4D452"/>
    <w:lvl w:ilvl="0" w:tplc="E1A4DA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B03730"/>
    <w:multiLevelType w:val="hybridMultilevel"/>
    <w:tmpl w:val="21482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6B15C25"/>
    <w:multiLevelType w:val="hybridMultilevel"/>
    <w:tmpl w:val="DD56E78E"/>
    <w:lvl w:ilvl="0" w:tplc="F90E3AA4">
      <w:start w:val="1"/>
      <w:numFmt w:val="decimal"/>
      <w:lvlText w:val="%1)"/>
      <w:lvlJc w:val="left"/>
      <w:pPr>
        <w:ind w:left="1714" w:hanging="1005"/>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nsid w:val="76283DFB"/>
    <w:multiLevelType w:val="hybridMultilevel"/>
    <w:tmpl w:val="EBE08022"/>
    <w:lvl w:ilvl="0" w:tplc="33C6B0DC">
      <w:start w:val="1"/>
      <w:numFmt w:val="bullet"/>
      <w:lvlText w:val=""/>
      <w:lvlJc w:val="left"/>
      <w:pPr>
        <w:tabs>
          <w:tab w:val="num" w:pos="720"/>
        </w:tabs>
        <w:ind w:left="720" w:hanging="360"/>
      </w:pPr>
      <w:rPr>
        <w:rFonts w:ascii="Wingdings" w:hAnsi="Wingdings" w:hint="default"/>
      </w:rPr>
    </w:lvl>
    <w:lvl w:ilvl="1" w:tplc="5C7219EA" w:tentative="1">
      <w:start w:val="1"/>
      <w:numFmt w:val="bullet"/>
      <w:lvlText w:val=""/>
      <w:lvlJc w:val="left"/>
      <w:pPr>
        <w:tabs>
          <w:tab w:val="num" w:pos="1440"/>
        </w:tabs>
        <w:ind w:left="1440" w:hanging="360"/>
      </w:pPr>
      <w:rPr>
        <w:rFonts w:ascii="Wingdings" w:hAnsi="Wingdings" w:hint="default"/>
      </w:rPr>
    </w:lvl>
    <w:lvl w:ilvl="2" w:tplc="918E80F4" w:tentative="1">
      <w:start w:val="1"/>
      <w:numFmt w:val="bullet"/>
      <w:lvlText w:val=""/>
      <w:lvlJc w:val="left"/>
      <w:pPr>
        <w:tabs>
          <w:tab w:val="num" w:pos="2160"/>
        </w:tabs>
        <w:ind w:left="2160" w:hanging="360"/>
      </w:pPr>
      <w:rPr>
        <w:rFonts w:ascii="Wingdings" w:hAnsi="Wingdings" w:hint="default"/>
      </w:rPr>
    </w:lvl>
    <w:lvl w:ilvl="3" w:tplc="8AE2840A" w:tentative="1">
      <w:start w:val="1"/>
      <w:numFmt w:val="bullet"/>
      <w:lvlText w:val=""/>
      <w:lvlJc w:val="left"/>
      <w:pPr>
        <w:tabs>
          <w:tab w:val="num" w:pos="2880"/>
        </w:tabs>
        <w:ind w:left="2880" w:hanging="360"/>
      </w:pPr>
      <w:rPr>
        <w:rFonts w:ascii="Wingdings" w:hAnsi="Wingdings" w:hint="default"/>
      </w:rPr>
    </w:lvl>
    <w:lvl w:ilvl="4" w:tplc="0826F7FE" w:tentative="1">
      <w:start w:val="1"/>
      <w:numFmt w:val="bullet"/>
      <w:lvlText w:val=""/>
      <w:lvlJc w:val="left"/>
      <w:pPr>
        <w:tabs>
          <w:tab w:val="num" w:pos="3600"/>
        </w:tabs>
        <w:ind w:left="3600" w:hanging="360"/>
      </w:pPr>
      <w:rPr>
        <w:rFonts w:ascii="Wingdings" w:hAnsi="Wingdings" w:hint="default"/>
      </w:rPr>
    </w:lvl>
    <w:lvl w:ilvl="5" w:tplc="65B09F34" w:tentative="1">
      <w:start w:val="1"/>
      <w:numFmt w:val="bullet"/>
      <w:lvlText w:val=""/>
      <w:lvlJc w:val="left"/>
      <w:pPr>
        <w:tabs>
          <w:tab w:val="num" w:pos="4320"/>
        </w:tabs>
        <w:ind w:left="4320" w:hanging="360"/>
      </w:pPr>
      <w:rPr>
        <w:rFonts w:ascii="Wingdings" w:hAnsi="Wingdings" w:hint="default"/>
      </w:rPr>
    </w:lvl>
    <w:lvl w:ilvl="6" w:tplc="0532C1C8" w:tentative="1">
      <w:start w:val="1"/>
      <w:numFmt w:val="bullet"/>
      <w:lvlText w:val=""/>
      <w:lvlJc w:val="left"/>
      <w:pPr>
        <w:tabs>
          <w:tab w:val="num" w:pos="5040"/>
        </w:tabs>
        <w:ind w:left="5040" w:hanging="360"/>
      </w:pPr>
      <w:rPr>
        <w:rFonts w:ascii="Wingdings" w:hAnsi="Wingdings" w:hint="default"/>
      </w:rPr>
    </w:lvl>
    <w:lvl w:ilvl="7" w:tplc="A950F41A" w:tentative="1">
      <w:start w:val="1"/>
      <w:numFmt w:val="bullet"/>
      <w:lvlText w:val=""/>
      <w:lvlJc w:val="left"/>
      <w:pPr>
        <w:tabs>
          <w:tab w:val="num" w:pos="5760"/>
        </w:tabs>
        <w:ind w:left="5760" w:hanging="360"/>
      </w:pPr>
      <w:rPr>
        <w:rFonts w:ascii="Wingdings" w:hAnsi="Wingdings" w:hint="default"/>
      </w:rPr>
    </w:lvl>
    <w:lvl w:ilvl="8" w:tplc="4328C644" w:tentative="1">
      <w:start w:val="1"/>
      <w:numFmt w:val="bullet"/>
      <w:lvlText w:val=""/>
      <w:lvlJc w:val="left"/>
      <w:pPr>
        <w:tabs>
          <w:tab w:val="num" w:pos="6480"/>
        </w:tabs>
        <w:ind w:left="6480" w:hanging="360"/>
      </w:pPr>
      <w:rPr>
        <w:rFonts w:ascii="Wingdings" w:hAnsi="Wingdings" w:hint="default"/>
      </w:rPr>
    </w:lvl>
  </w:abstractNum>
  <w:abstractNum w:abstractNumId="42">
    <w:nsid w:val="782A3459"/>
    <w:multiLevelType w:val="hybridMultilevel"/>
    <w:tmpl w:val="6004D058"/>
    <w:lvl w:ilvl="0" w:tplc="D18C6BFE">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B91DD3"/>
    <w:multiLevelType w:val="hybridMultilevel"/>
    <w:tmpl w:val="59E067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FF77E5"/>
    <w:multiLevelType w:val="hybridMultilevel"/>
    <w:tmpl w:val="B8A87D3C"/>
    <w:lvl w:ilvl="0" w:tplc="0426000D">
      <w:start w:val="1"/>
      <w:numFmt w:val="bullet"/>
      <w:lvlText w:val=""/>
      <w:lvlJc w:val="left"/>
      <w:pPr>
        <w:ind w:left="1789" w:hanging="360"/>
      </w:pPr>
      <w:rPr>
        <w:rFonts w:ascii="Wingdings" w:hAnsi="Wingdings"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45">
    <w:nsid w:val="7A957708"/>
    <w:multiLevelType w:val="hybridMultilevel"/>
    <w:tmpl w:val="99C6E8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A9878B4"/>
    <w:multiLevelType w:val="multilevel"/>
    <w:tmpl w:val="415E13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B5676B2"/>
    <w:multiLevelType w:val="multilevel"/>
    <w:tmpl w:val="970C2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nsid w:val="7CE82783"/>
    <w:multiLevelType w:val="hybridMultilevel"/>
    <w:tmpl w:val="89A88062"/>
    <w:lvl w:ilvl="0" w:tplc="DBE45A5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nsid w:val="7DF151C1"/>
    <w:multiLevelType w:val="hybridMultilevel"/>
    <w:tmpl w:val="DF36C23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4"/>
  </w:num>
  <w:num w:numId="3">
    <w:abstractNumId w:val="11"/>
  </w:num>
  <w:num w:numId="4">
    <w:abstractNumId w:val="32"/>
  </w:num>
  <w:num w:numId="5">
    <w:abstractNumId w:val="38"/>
  </w:num>
  <w:num w:numId="6">
    <w:abstractNumId w:val="39"/>
  </w:num>
  <w:num w:numId="7">
    <w:abstractNumId w:val="40"/>
  </w:num>
  <w:num w:numId="8">
    <w:abstractNumId w:val="6"/>
  </w:num>
  <w:num w:numId="9">
    <w:abstractNumId w:val="5"/>
  </w:num>
  <w:num w:numId="10">
    <w:abstractNumId w:val="16"/>
  </w:num>
  <w:num w:numId="11">
    <w:abstractNumId w:val="24"/>
  </w:num>
  <w:num w:numId="12">
    <w:abstractNumId w:val="17"/>
  </w:num>
  <w:num w:numId="13">
    <w:abstractNumId w:val="12"/>
  </w:num>
  <w:num w:numId="14">
    <w:abstractNumId w:val="20"/>
  </w:num>
  <w:num w:numId="15">
    <w:abstractNumId w:val="46"/>
  </w:num>
  <w:num w:numId="16">
    <w:abstractNumId w:val="31"/>
  </w:num>
  <w:num w:numId="17">
    <w:abstractNumId w:val="0"/>
  </w:num>
  <w:num w:numId="18">
    <w:abstractNumId w:val="14"/>
  </w:num>
  <w:num w:numId="19">
    <w:abstractNumId w:val="45"/>
  </w:num>
  <w:num w:numId="20">
    <w:abstractNumId w:val="34"/>
  </w:num>
  <w:num w:numId="21">
    <w:abstractNumId w:val="30"/>
  </w:num>
  <w:num w:numId="22">
    <w:abstractNumId w:val="22"/>
  </w:num>
  <w:num w:numId="23">
    <w:abstractNumId w:val="26"/>
  </w:num>
  <w:num w:numId="24">
    <w:abstractNumId w:val="27"/>
  </w:num>
  <w:num w:numId="25">
    <w:abstractNumId w:val="41"/>
  </w:num>
  <w:num w:numId="26">
    <w:abstractNumId w:val="28"/>
  </w:num>
  <w:num w:numId="27">
    <w:abstractNumId w:val="43"/>
  </w:num>
  <w:num w:numId="28">
    <w:abstractNumId w:val="7"/>
  </w:num>
  <w:num w:numId="29">
    <w:abstractNumId w:val="21"/>
  </w:num>
  <w:num w:numId="30">
    <w:abstractNumId w:val="2"/>
  </w:num>
  <w:num w:numId="31">
    <w:abstractNumId w:val="29"/>
  </w:num>
  <w:num w:numId="32">
    <w:abstractNumId w:val="23"/>
  </w:num>
  <w:num w:numId="33">
    <w:abstractNumId w:val="48"/>
  </w:num>
  <w:num w:numId="34">
    <w:abstractNumId w:val="35"/>
  </w:num>
  <w:num w:numId="35">
    <w:abstractNumId w:val="1"/>
  </w:num>
  <w:num w:numId="36">
    <w:abstractNumId w:val="4"/>
  </w:num>
  <w:num w:numId="37">
    <w:abstractNumId w:val="33"/>
  </w:num>
  <w:num w:numId="38">
    <w:abstractNumId w:val="18"/>
  </w:num>
  <w:num w:numId="39">
    <w:abstractNumId w:val="36"/>
  </w:num>
  <w:num w:numId="40">
    <w:abstractNumId w:val="49"/>
  </w:num>
  <w:num w:numId="41">
    <w:abstractNumId w:val="47"/>
  </w:num>
  <w:num w:numId="42">
    <w:abstractNumId w:val="25"/>
  </w:num>
  <w:num w:numId="43">
    <w:abstractNumId w:val="8"/>
  </w:num>
  <w:num w:numId="44">
    <w:abstractNumId w:val="37"/>
  </w:num>
  <w:num w:numId="45">
    <w:abstractNumId w:val="42"/>
  </w:num>
  <w:num w:numId="46">
    <w:abstractNumId w:val="9"/>
  </w:num>
  <w:num w:numId="47">
    <w:abstractNumId w:val="10"/>
  </w:num>
  <w:num w:numId="48">
    <w:abstractNumId w:val="15"/>
  </w:num>
  <w:num w:numId="49">
    <w:abstractNumId w:val="13"/>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12"/>
    <w:rsid w:val="00002902"/>
    <w:rsid w:val="000055A7"/>
    <w:rsid w:val="00007368"/>
    <w:rsid w:val="00010D8F"/>
    <w:rsid w:val="00012BA0"/>
    <w:rsid w:val="00013967"/>
    <w:rsid w:val="00013D51"/>
    <w:rsid w:val="0001427E"/>
    <w:rsid w:val="00022968"/>
    <w:rsid w:val="00022CB8"/>
    <w:rsid w:val="00025252"/>
    <w:rsid w:val="0002572F"/>
    <w:rsid w:val="000264C9"/>
    <w:rsid w:val="00033DEF"/>
    <w:rsid w:val="000357A2"/>
    <w:rsid w:val="000364FE"/>
    <w:rsid w:val="00036694"/>
    <w:rsid w:val="0004077C"/>
    <w:rsid w:val="000414DE"/>
    <w:rsid w:val="00043C6C"/>
    <w:rsid w:val="000442C3"/>
    <w:rsid w:val="00045812"/>
    <w:rsid w:val="00046558"/>
    <w:rsid w:val="00047502"/>
    <w:rsid w:val="00050309"/>
    <w:rsid w:val="0005438D"/>
    <w:rsid w:val="000557AA"/>
    <w:rsid w:val="00055DE4"/>
    <w:rsid w:val="00056A2B"/>
    <w:rsid w:val="00056AD4"/>
    <w:rsid w:val="00060A1F"/>
    <w:rsid w:val="00062808"/>
    <w:rsid w:val="00071850"/>
    <w:rsid w:val="000731D2"/>
    <w:rsid w:val="000732C7"/>
    <w:rsid w:val="00076CD5"/>
    <w:rsid w:val="0007706B"/>
    <w:rsid w:val="000817C9"/>
    <w:rsid w:val="00083638"/>
    <w:rsid w:val="00084108"/>
    <w:rsid w:val="000849F2"/>
    <w:rsid w:val="00086482"/>
    <w:rsid w:val="00090D30"/>
    <w:rsid w:val="00094E7F"/>
    <w:rsid w:val="000954CF"/>
    <w:rsid w:val="00096189"/>
    <w:rsid w:val="000A145D"/>
    <w:rsid w:val="000A5620"/>
    <w:rsid w:val="000A593D"/>
    <w:rsid w:val="000A66D0"/>
    <w:rsid w:val="000B1E5C"/>
    <w:rsid w:val="000B3894"/>
    <w:rsid w:val="000B3C7C"/>
    <w:rsid w:val="000B7F88"/>
    <w:rsid w:val="000C0CB7"/>
    <w:rsid w:val="000C5C2F"/>
    <w:rsid w:val="000C74E9"/>
    <w:rsid w:val="000D1282"/>
    <w:rsid w:val="000D4225"/>
    <w:rsid w:val="000D519E"/>
    <w:rsid w:val="000D73F3"/>
    <w:rsid w:val="000D7CC2"/>
    <w:rsid w:val="000E0BDB"/>
    <w:rsid w:val="000E1469"/>
    <w:rsid w:val="000E269D"/>
    <w:rsid w:val="000E2937"/>
    <w:rsid w:val="000E2AB0"/>
    <w:rsid w:val="000E56F8"/>
    <w:rsid w:val="000F127F"/>
    <w:rsid w:val="000F144F"/>
    <w:rsid w:val="000F14B6"/>
    <w:rsid w:val="000F2B65"/>
    <w:rsid w:val="001000DD"/>
    <w:rsid w:val="0010029A"/>
    <w:rsid w:val="001005EC"/>
    <w:rsid w:val="00101EA5"/>
    <w:rsid w:val="00103800"/>
    <w:rsid w:val="00107D0A"/>
    <w:rsid w:val="001127E3"/>
    <w:rsid w:val="00112AAB"/>
    <w:rsid w:val="00113A1D"/>
    <w:rsid w:val="00125F5C"/>
    <w:rsid w:val="0013057F"/>
    <w:rsid w:val="001374C6"/>
    <w:rsid w:val="00145922"/>
    <w:rsid w:val="00147382"/>
    <w:rsid w:val="001533E5"/>
    <w:rsid w:val="00157018"/>
    <w:rsid w:val="00157545"/>
    <w:rsid w:val="0016055E"/>
    <w:rsid w:val="00160732"/>
    <w:rsid w:val="001665D0"/>
    <w:rsid w:val="00167772"/>
    <w:rsid w:val="00173008"/>
    <w:rsid w:val="00173A9F"/>
    <w:rsid w:val="00174675"/>
    <w:rsid w:val="00175B0C"/>
    <w:rsid w:val="0017661B"/>
    <w:rsid w:val="001777B3"/>
    <w:rsid w:val="00180121"/>
    <w:rsid w:val="001808A8"/>
    <w:rsid w:val="00181B1C"/>
    <w:rsid w:val="0018251B"/>
    <w:rsid w:val="0018261C"/>
    <w:rsid w:val="00183DE1"/>
    <w:rsid w:val="001843A8"/>
    <w:rsid w:val="00185572"/>
    <w:rsid w:val="00185EB3"/>
    <w:rsid w:val="001861DF"/>
    <w:rsid w:val="0019342F"/>
    <w:rsid w:val="00193CCE"/>
    <w:rsid w:val="001964ED"/>
    <w:rsid w:val="00196CE6"/>
    <w:rsid w:val="00196FA8"/>
    <w:rsid w:val="001A09F1"/>
    <w:rsid w:val="001A0E45"/>
    <w:rsid w:val="001A1F86"/>
    <w:rsid w:val="001A6FDF"/>
    <w:rsid w:val="001B1B72"/>
    <w:rsid w:val="001B1F43"/>
    <w:rsid w:val="001B2D95"/>
    <w:rsid w:val="001B4E24"/>
    <w:rsid w:val="001B61ED"/>
    <w:rsid w:val="001B70AC"/>
    <w:rsid w:val="001C0CA3"/>
    <w:rsid w:val="001C4089"/>
    <w:rsid w:val="001D12F5"/>
    <w:rsid w:val="001D1DB7"/>
    <w:rsid w:val="001D2553"/>
    <w:rsid w:val="001D3B15"/>
    <w:rsid w:val="001D4110"/>
    <w:rsid w:val="001D52A4"/>
    <w:rsid w:val="001D5FDA"/>
    <w:rsid w:val="001D794D"/>
    <w:rsid w:val="001E03D4"/>
    <w:rsid w:val="001E278E"/>
    <w:rsid w:val="001E480C"/>
    <w:rsid w:val="001E5A3F"/>
    <w:rsid w:val="001E608B"/>
    <w:rsid w:val="001F1ACC"/>
    <w:rsid w:val="001F21BB"/>
    <w:rsid w:val="00203373"/>
    <w:rsid w:val="00210051"/>
    <w:rsid w:val="00210BFA"/>
    <w:rsid w:val="00210C9C"/>
    <w:rsid w:val="00211167"/>
    <w:rsid w:val="00213063"/>
    <w:rsid w:val="00214964"/>
    <w:rsid w:val="002203F1"/>
    <w:rsid w:val="00221F1C"/>
    <w:rsid w:val="00223018"/>
    <w:rsid w:val="00223513"/>
    <w:rsid w:val="0023028C"/>
    <w:rsid w:val="0023105E"/>
    <w:rsid w:val="00233DBC"/>
    <w:rsid w:val="00234E5D"/>
    <w:rsid w:val="002366D5"/>
    <w:rsid w:val="002376A9"/>
    <w:rsid w:val="00240218"/>
    <w:rsid w:val="00240C6D"/>
    <w:rsid w:val="00241EC8"/>
    <w:rsid w:val="00242AA0"/>
    <w:rsid w:val="00244AE5"/>
    <w:rsid w:val="002456F2"/>
    <w:rsid w:val="00245F7B"/>
    <w:rsid w:val="0024646C"/>
    <w:rsid w:val="00250212"/>
    <w:rsid w:val="00250852"/>
    <w:rsid w:val="00251BE6"/>
    <w:rsid w:val="00254917"/>
    <w:rsid w:val="00254B69"/>
    <w:rsid w:val="002567AB"/>
    <w:rsid w:val="0026044E"/>
    <w:rsid w:val="002607E0"/>
    <w:rsid w:val="00261282"/>
    <w:rsid w:val="00261D24"/>
    <w:rsid w:val="00265098"/>
    <w:rsid w:val="00265283"/>
    <w:rsid w:val="002710E0"/>
    <w:rsid w:val="0027117F"/>
    <w:rsid w:val="00271C9D"/>
    <w:rsid w:val="00273A29"/>
    <w:rsid w:val="002774F0"/>
    <w:rsid w:val="00277E41"/>
    <w:rsid w:val="002813E0"/>
    <w:rsid w:val="00282EEE"/>
    <w:rsid w:val="00283E54"/>
    <w:rsid w:val="002853AE"/>
    <w:rsid w:val="00285AF6"/>
    <w:rsid w:val="002865B0"/>
    <w:rsid w:val="002A210E"/>
    <w:rsid w:val="002A3591"/>
    <w:rsid w:val="002A3FC5"/>
    <w:rsid w:val="002A506E"/>
    <w:rsid w:val="002B0603"/>
    <w:rsid w:val="002B100F"/>
    <w:rsid w:val="002B30F3"/>
    <w:rsid w:val="002B5EBF"/>
    <w:rsid w:val="002B7329"/>
    <w:rsid w:val="002C171F"/>
    <w:rsid w:val="002C35ED"/>
    <w:rsid w:val="002C6FD3"/>
    <w:rsid w:val="002D10BE"/>
    <w:rsid w:val="002D5DA8"/>
    <w:rsid w:val="002D675D"/>
    <w:rsid w:val="002E03F4"/>
    <w:rsid w:val="002E2AF8"/>
    <w:rsid w:val="002E3BC0"/>
    <w:rsid w:val="002E5A23"/>
    <w:rsid w:val="002F12D4"/>
    <w:rsid w:val="002F3C59"/>
    <w:rsid w:val="002F462A"/>
    <w:rsid w:val="002F686D"/>
    <w:rsid w:val="002F6885"/>
    <w:rsid w:val="002F7657"/>
    <w:rsid w:val="003009F5"/>
    <w:rsid w:val="00300AAD"/>
    <w:rsid w:val="00300E3E"/>
    <w:rsid w:val="00301E71"/>
    <w:rsid w:val="00305338"/>
    <w:rsid w:val="003053AA"/>
    <w:rsid w:val="00311E8F"/>
    <w:rsid w:val="003129DB"/>
    <w:rsid w:val="003158F3"/>
    <w:rsid w:val="00316622"/>
    <w:rsid w:val="00317710"/>
    <w:rsid w:val="0031795D"/>
    <w:rsid w:val="003203FF"/>
    <w:rsid w:val="003206F3"/>
    <w:rsid w:val="00321ABF"/>
    <w:rsid w:val="00326DBC"/>
    <w:rsid w:val="00330534"/>
    <w:rsid w:val="0033226D"/>
    <w:rsid w:val="00333C0F"/>
    <w:rsid w:val="00334276"/>
    <w:rsid w:val="0033735E"/>
    <w:rsid w:val="00337C8E"/>
    <w:rsid w:val="00337E7A"/>
    <w:rsid w:val="003411A7"/>
    <w:rsid w:val="003453C5"/>
    <w:rsid w:val="00345470"/>
    <w:rsid w:val="003457D4"/>
    <w:rsid w:val="00354DC8"/>
    <w:rsid w:val="00355505"/>
    <w:rsid w:val="00360C2A"/>
    <w:rsid w:val="003626E6"/>
    <w:rsid w:val="0036360F"/>
    <w:rsid w:val="00366AB2"/>
    <w:rsid w:val="00367DB6"/>
    <w:rsid w:val="00374BE9"/>
    <w:rsid w:val="00380329"/>
    <w:rsid w:val="00381A1C"/>
    <w:rsid w:val="00382852"/>
    <w:rsid w:val="003835EA"/>
    <w:rsid w:val="00390057"/>
    <w:rsid w:val="003900C6"/>
    <w:rsid w:val="003A3EBE"/>
    <w:rsid w:val="003A4EBF"/>
    <w:rsid w:val="003A7DCD"/>
    <w:rsid w:val="003B0332"/>
    <w:rsid w:val="003B4285"/>
    <w:rsid w:val="003B5A5C"/>
    <w:rsid w:val="003B647C"/>
    <w:rsid w:val="003B7DDE"/>
    <w:rsid w:val="003C185B"/>
    <w:rsid w:val="003C4812"/>
    <w:rsid w:val="003C49BF"/>
    <w:rsid w:val="003C547B"/>
    <w:rsid w:val="003D087E"/>
    <w:rsid w:val="003D0B89"/>
    <w:rsid w:val="003D31D4"/>
    <w:rsid w:val="003D4D20"/>
    <w:rsid w:val="003D59DD"/>
    <w:rsid w:val="003D5B35"/>
    <w:rsid w:val="003D6581"/>
    <w:rsid w:val="003E0B95"/>
    <w:rsid w:val="003E1AC7"/>
    <w:rsid w:val="003E1B66"/>
    <w:rsid w:val="003E356C"/>
    <w:rsid w:val="003E4C15"/>
    <w:rsid w:val="003E72D9"/>
    <w:rsid w:val="003E7E9B"/>
    <w:rsid w:val="003F0D85"/>
    <w:rsid w:val="003F100D"/>
    <w:rsid w:val="003F2695"/>
    <w:rsid w:val="003F3026"/>
    <w:rsid w:val="003F34A2"/>
    <w:rsid w:val="003F380C"/>
    <w:rsid w:val="003F4709"/>
    <w:rsid w:val="0040182C"/>
    <w:rsid w:val="00402A8F"/>
    <w:rsid w:val="00405037"/>
    <w:rsid w:val="004069B6"/>
    <w:rsid w:val="00406E1C"/>
    <w:rsid w:val="00415A62"/>
    <w:rsid w:val="00417150"/>
    <w:rsid w:val="0041744A"/>
    <w:rsid w:val="00420A99"/>
    <w:rsid w:val="00421AAE"/>
    <w:rsid w:val="00423B50"/>
    <w:rsid w:val="0042405B"/>
    <w:rsid w:val="00425ABD"/>
    <w:rsid w:val="00425E0F"/>
    <w:rsid w:val="00426065"/>
    <w:rsid w:val="00426C5B"/>
    <w:rsid w:val="00426ECA"/>
    <w:rsid w:val="0043430D"/>
    <w:rsid w:val="00435CF9"/>
    <w:rsid w:val="004402A6"/>
    <w:rsid w:val="0044177D"/>
    <w:rsid w:val="00441C04"/>
    <w:rsid w:val="00441FD7"/>
    <w:rsid w:val="00442836"/>
    <w:rsid w:val="00442DBB"/>
    <w:rsid w:val="00445223"/>
    <w:rsid w:val="00446CF8"/>
    <w:rsid w:val="00447ED7"/>
    <w:rsid w:val="00457BD6"/>
    <w:rsid w:val="00463F65"/>
    <w:rsid w:val="004678A3"/>
    <w:rsid w:val="00470283"/>
    <w:rsid w:val="0047337D"/>
    <w:rsid w:val="0047389D"/>
    <w:rsid w:val="00474AF0"/>
    <w:rsid w:val="00474BBB"/>
    <w:rsid w:val="00474FEF"/>
    <w:rsid w:val="00475A73"/>
    <w:rsid w:val="00481D32"/>
    <w:rsid w:val="00484729"/>
    <w:rsid w:val="00486DB8"/>
    <w:rsid w:val="004872A4"/>
    <w:rsid w:val="004908FF"/>
    <w:rsid w:val="00491EE3"/>
    <w:rsid w:val="00495BC0"/>
    <w:rsid w:val="00497E6E"/>
    <w:rsid w:val="004A671A"/>
    <w:rsid w:val="004A7962"/>
    <w:rsid w:val="004B4F8B"/>
    <w:rsid w:val="004B7EA1"/>
    <w:rsid w:val="004C7698"/>
    <w:rsid w:val="004D48C5"/>
    <w:rsid w:val="004D6024"/>
    <w:rsid w:val="004E2C37"/>
    <w:rsid w:val="004E56D4"/>
    <w:rsid w:val="004E5E40"/>
    <w:rsid w:val="004E7DED"/>
    <w:rsid w:val="004F3703"/>
    <w:rsid w:val="004F42EA"/>
    <w:rsid w:val="004F5B49"/>
    <w:rsid w:val="004F5B9D"/>
    <w:rsid w:val="004F6CF4"/>
    <w:rsid w:val="00501130"/>
    <w:rsid w:val="00503F39"/>
    <w:rsid w:val="00504089"/>
    <w:rsid w:val="00510388"/>
    <w:rsid w:val="00512E1B"/>
    <w:rsid w:val="005136A1"/>
    <w:rsid w:val="00516A9C"/>
    <w:rsid w:val="00521D04"/>
    <w:rsid w:val="005247D3"/>
    <w:rsid w:val="00524988"/>
    <w:rsid w:val="00525453"/>
    <w:rsid w:val="00532644"/>
    <w:rsid w:val="00534B9A"/>
    <w:rsid w:val="00534D9C"/>
    <w:rsid w:val="00536596"/>
    <w:rsid w:val="00540A37"/>
    <w:rsid w:val="00540B60"/>
    <w:rsid w:val="00541296"/>
    <w:rsid w:val="00541A00"/>
    <w:rsid w:val="00542C2A"/>
    <w:rsid w:val="0054714B"/>
    <w:rsid w:val="00550848"/>
    <w:rsid w:val="00550E79"/>
    <w:rsid w:val="005515AF"/>
    <w:rsid w:val="00551750"/>
    <w:rsid w:val="00552CDC"/>
    <w:rsid w:val="005632C5"/>
    <w:rsid w:val="0056335E"/>
    <w:rsid w:val="0056356D"/>
    <w:rsid w:val="00563AF3"/>
    <w:rsid w:val="00567812"/>
    <w:rsid w:val="0057064F"/>
    <w:rsid w:val="00570AFF"/>
    <w:rsid w:val="00572075"/>
    <w:rsid w:val="005811FD"/>
    <w:rsid w:val="00583E70"/>
    <w:rsid w:val="00584392"/>
    <w:rsid w:val="00585841"/>
    <w:rsid w:val="00585D73"/>
    <w:rsid w:val="00590CB8"/>
    <w:rsid w:val="005919E0"/>
    <w:rsid w:val="005979E7"/>
    <w:rsid w:val="005A2EC0"/>
    <w:rsid w:val="005A33AA"/>
    <w:rsid w:val="005A40B2"/>
    <w:rsid w:val="005A64B2"/>
    <w:rsid w:val="005A72D7"/>
    <w:rsid w:val="005B07B2"/>
    <w:rsid w:val="005B33E2"/>
    <w:rsid w:val="005B4A22"/>
    <w:rsid w:val="005B4CAA"/>
    <w:rsid w:val="005B60F0"/>
    <w:rsid w:val="005C3F1E"/>
    <w:rsid w:val="005C4092"/>
    <w:rsid w:val="005C484F"/>
    <w:rsid w:val="005D1A57"/>
    <w:rsid w:val="005D521E"/>
    <w:rsid w:val="005E2A74"/>
    <w:rsid w:val="005E3061"/>
    <w:rsid w:val="005E3D6B"/>
    <w:rsid w:val="005E4267"/>
    <w:rsid w:val="005F58FF"/>
    <w:rsid w:val="005F66D9"/>
    <w:rsid w:val="0060080E"/>
    <w:rsid w:val="00601F1F"/>
    <w:rsid w:val="006069A1"/>
    <w:rsid w:val="006108A5"/>
    <w:rsid w:val="00616C18"/>
    <w:rsid w:val="00617AD6"/>
    <w:rsid w:val="00617BE7"/>
    <w:rsid w:val="00620A15"/>
    <w:rsid w:val="00622423"/>
    <w:rsid w:val="00622DD5"/>
    <w:rsid w:val="00626CE3"/>
    <w:rsid w:val="00626EF4"/>
    <w:rsid w:val="00634BFF"/>
    <w:rsid w:val="00634E75"/>
    <w:rsid w:val="00634F0E"/>
    <w:rsid w:val="00642878"/>
    <w:rsid w:val="0064315E"/>
    <w:rsid w:val="00644631"/>
    <w:rsid w:val="0064517C"/>
    <w:rsid w:val="00647844"/>
    <w:rsid w:val="00651EDA"/>
    <w:rsid w:val="00652356"/>
    <w:rsid w:val="006533A5"/>
    <w:rsid w:val="00654013"/>
    <w:rsid w:val="00660780"/>
    <w:rsid w:val="00660971"/>
    <w:rsid w:val="00661362"/>
    <w:rsid w:val="006621B9"/>
    <w:rsid w:val="00664396"/>
    <w:rsid w:val="00665081"/>
    <w:rsid w:val="0066598E"/>
    <w:rsid w:val="006709AC"/>
    <w:rsid w:val="00672BFF"/>
    <w:rsid w:val="0067621D"/>
    <w:rsid w:val="006769C4"/>
    <w:rsid w:val="006808FB"/>
    <w:rsid w:val="006824A8"/>
    <w:rsid w:val="00682AE7"/>
    <w:rsid w:val="00691A1A"/>
    <w:rsid w:val="006938BE"/>
    <w:rsid w:val="00694AE3"/>
    <w:rsid w:val="00696B4C"/>
    <w:rsid w:val="006A1297"/>
    <w:rsid w:val="006A2379"/>
    <w:rsid w:val="006A24E6"/>
    <w:rsid w:val="006A3750"/>
    <w:rsid w:val="006A453B"/>
    <w:rsid w:val="006A5D96"/>
    <w:rsid w:val="006A6A82"/>
    <w:rsid w:val="006B1CC7"/>
    <w:rsid w:val="006B1D48"/>
    <w:rsid w:val="006B5723"/>
    <w:rsid w:val="006C406D"/>
    <w:rsid w:val="006C6224"/>
    <w:rsid w:val="006D3466"/>
    <w:rsid w:val="006D66B3"/>
    <w:rsid w:val="006D698E"/>
    <w:rsid w:val="006E1B6E"/>
    <w:rsid w:val="006E2AF8"/>
    <w:rsid w:val="006E38D4"/>
    <w:rsid w:val="006E63E9"/>
    <w:rsid w:val="006E7854"/>
    <w:rsid w:val="006E7AEF"/>
    <w:rsid w:val="006F3397"/>
    <w:rsid w:val="006F38E9"/>
    <w:rsid w:val="00705C9B"/>
    <w:rsid w:val="0070645F"/>
    <w:rsid w:val="00706A6D"/>
    <w:rsid w:val="007074FA"/>
    <w:rsid w:val="007101B5"/>
    <w:rsid w:val="00711969"/>
    <w:rsid w:val="007159F1"/>
    <w:rsid w:val="007168FF"/>
    <w:rsid w:val="0072091D"/>
    <w:rsid w:val="00722BF2"/>
    <w:rsid w:val="00723F66"/>
    <w:rsid w:val="00726A09"/>
    <w:rsid w:val="00734859"/>
    <w:rsid w:val="007375A7"/>
    <w:rsid w:val="00740645"/>
    <w:rsid w:val="00740C9C"/>
    <w:rsid w:val="0075122C"/>
    <w:rsid w:val="00756DE6"/>
    <w:rsid w:val="00761205"/>
    <w:rsid w:val="00761CE0"/>
    <w:rsid w:val="00766085"/>
    <w:rsid w:val="0077045F"/>
    <w:rsid w:val="00772436"/>
    <w:rsid w:val="00772AFB"/>
    <w:rsid w:val="007747F0"/>
    <w:rsid w:val="007755ED"/>
    <w:rsid w:val="007765A8"/>
    <w:rsid w:val="0078331D"/>
    <w:rsid w:val="00787C90"/>
    <w:rsid w:val="00791BE9"/>
    <w:rsid w:val="00794A39"/>
    <w:rsid w:val="00794C68"/>
    <w:rsid w:val="00794EF6"/>
    <w:rsid w:val="00795541"/>
    <w:rsid w:val="0079562C"/>
    <w:rsid w:val="00795ABB"/>
    <w:rsid w:val="007A1483"/>
    <w:rsid w:val="007A61C5"/>
    <w:rsid w:val="007B2F78"/>
    <w:rsid w:val="007B4975"/>
    <w:rsid w:val="007B635D"/>
    <w:rsid w:val="007B662B"/>
    <w:rsid w:val="007B70FA"/>
    <w:rsid w:val="007C0542"/>
    <w:rsid w:val="007C3F29"/>
    <w:rsid w:val="007C5F5C"/>
    <w:rsid w:val="007C6F47"/>
    <w:rsid w:val="007D3338"/>
    <w:rsid w:val="007D50EA"/>
    <w:rsid w:val="007D537D"/>
    <w:rsid w:val="007E3ED8"/>
    <w:rsid w:val="007E44D1"/>
    <w:rsid w:val="007E5C0C"/>
    <w:rsid w:val="007F14ED"/>
    <w:rsid w:val="007F336C"/>
    <w:rsid w:val="007F4FD8"/>
    <w:rsid w:val="007F5610"/>
    <w:rsid w:val="007F5AEB"/>
    <w:rsid w:val="007F64CF"/>
    <w:rsid w:val="00810AFE"/>
    <w:rsid w:val="008121BF"/>
    <w:rsid w:val="0081544F"/>
    <w:rsid w:val="00816021"/>
    <w:rsid w:val="008176D9"/>
    <w:rsid w:val="008205C4"/>
    <w:rsid w:val="00820CFF"/>
    <w:rsid w:val="00823241"/>
    <w:rsid w:val="008337CC"/>
    <w:rsid w:val="00833DA8"/>
    <w:rsid w:val="00835158"/>
    <w:rsid w:val="00835283"/>
    <w:rsid w:val="008352AA"/>
    <w:rsid w:val="00835925"/>
    <w:rsid w:val="0083648C"/>
    <w:rsid w:val="0083704E"/>
    <w:rsid w:val="00841810"/>
    <w:rsid w:val="00841A49"/>
    <w:rsid w:val="00843B77"/>
    <w:rsid w:val="00851BDA"/>
    <w:rsid w:val="00855E34"/>
    <w:rsid w:val="00856C31"/>
    <w:rsid w:val="008572B7"/>
    <w:rsid w:val="008614AC"/>
    <w:rsid w:val="008617C6"/>
    <w:rsid w:val="00861E9E"/>
    <w:rsid w:val="00862B32"/>
    <w:rsid w:val="008734C0"/>
    <w:rsid w:val="00873A16"/>
    <w:rsid w:val="00874AD5"/>
    <w:rsid w:val="00875B15"/>
    <w:rsid w:val="00881994"/>
    <w:rsid w:val="00881AFC"/>
    <w:rsid w:val="008857AF"/>
    <w:rsid w:val="008863EC"/>
    <w:rsid w:val="008874E6"/>
    <w:rsid w:val="00893685"/>
    <w:rsid w:val="0089530B"/>
    <w:rsid w:val="0089543F"/>
    <w:rsid w:val="00896589"/>
    <w:rsid w:val="00897D93"/>
    <w:rsid w:val="008A0EC4"/>
    <w:rsid w:val="008A2B79"/>
    <w:rsid w:val="008A2EC8"/>
    <w:rsid w:val="008A6922"/>
    <w:rsid w:val="008A7CCE"/>
    <w:rsid w:val="008B0D9C"/>
    <w:rsid w:val="008B50D1"/>
    <w:rsid w:val="008B6ABD"/>
    <w:rsid w:val="008C19D4"/>
    <w:rsid w:val="008C5A7F"/>
    <w:rsid w:val="008C5CCA"/>
    <w:rsid w:val="008D0329"/>
    <w:rsid w:val="008D0402"/>
    <w:rsid w:val="008D0E09"/>
    <w:rsid w:val="008D1E62"/>
    <w:rsid w:val="008D2076"/>
    <w:rsid w:val="008D39B0"/>
    <w:rsid w:val="008D3E3D"/>
    <w:rsid w:val="008D66A4"/>
    <w:rsid w:val="008D6CC0"/>
    <w:rsid w:val="008D74A3"/>
    <w:rsid w:val="008E0260"/>
    <w:rsid w:val="008E35FB"/>
    <w:rsid w:val="008F0878"/>
    <w:rsid w:val="008F0A6B"/>
    <w:rsid w:val="008F2B6E"/>
    <w:rsid w:val="008F546C"/>
    <w:rsid w:val="008F5C7D"/>
    <w:rsid w:val="009035C7"/>
    <w:rsid w:val="00904203"/>
    <w:rsid w:val="009046FA"/>
    <w:rsid w:val="00904B9E"/>
    <w:rsid w:val="00904CBC"/>
    <w:rsid w:val="00907DF1"/>
    <w:rsid w:val="0091119A"/>
    <w:rsid w:val="009134E7"/>
    <w:rsid w:val="00914622"/>
    <w:rsid w:val="0091490F"/>
    <w:rsid w:val="009178A8"/>
    <w:rsid w:val="0092284F"/>
    <w:rsid w:val="009316F3"/>
    <w:rsid w:val="00934467"/>
    <w:rsid w:val="009368DE"/>
    <w:rsid w:val="0094080C"/>
    <w:rsid w:val="00941810"/>
    <w:rsid w:val="009438B1"/>
    <w:rsid w:val="00943B23"/>
    <w:rsid w:val="00943D9F"/>
    <w:rsid w:val="00944941"/>
    <w:rsid w:val="00945713"/>
    <w:rsid w:val="00952CA1"/>
    <w:rsid w:val="00952FB2"/>
    <w:rsid w:val="0095335F"/>
    <w:rsid w:val="00954022"/>
    <w:rsid w:val="009542B6"/>
    <w:rsid w:val="00954ADA"/>
    <w:rsid w:val="0096020E"/>
    <w:rsid w:val="0096181B"/>
    <w:rsid w:val="00965F1B"/>
    <w:rsid w:val="009710F2"/>
    <w:rsid w:val="00980BF5"/>
    <w:rsid w:val="00982DF0"/>
    <w:rsid w:val="0098578A"/>
    <w:rsid w:val="00986959"/>
    <w:rsid w:val="00986EF0"/>
    <w:rsid w:val="00991E19"/>
    <w:rsid w:val="00991FA4"/>
    <w:rsid w:val="00992C2D"/>
    <w:rsid w:val="00993115"/>
    <w:rsid w:val="009939DC"/>
    <w:rsid w:val="00995D03"/>
    <w:rsid w:val="009A0C44"/>
    <w:rsid w:val="009A2E89"/>
    <w:rsid w:val="009A669B"/>
    <w:rsid w:val="009A68ED"/>
    <w:rsid w:val="009A726A"/>
    <w:rsid w:val="009B2A6D"/>
    <w:rsid w:val="009B3C2A"/>
    <w:rsid w:val="009B49AF"/>
    <w:rsid w:val="009B5FD1"/>
    <w:rsid w:val="009C0E00"/>
    <w:rsid w:val="009C104F"/>
    <w:rsid w:val="009C784A"/>
    <w:rsid w:val="009D2CD6"/>
    <w:rsid w:val="009D437D"/>
    <w:rsid w:val="009D5AF3"/>
    <w:rsid w:val="009D7317"/>
    <w:rsid w:val="009D757B"/>
    <w:rsid w:val="009D7C1D"/>
    <w:rsid w:val="009E07E1"/>
    <w:rsid w:val="009E1153"/>
    <w:rsid w:val="009E1BEF"/>
    <w:rsid w:val="009E4DA0"/>
    <w:rsid w:val="009E53D6"/>
    <w:rsid w:val="009E644C"/>
    <w:rsid w:val="009E6E43"/>
    <w:rsid w:val="009E6F97"/>
    <w:rsid w:val="009E724E"/>
    <w:rsid w:val="009F1985"/>
    <w:rsid w:val="009F6255"/>
    <w:rsid w:val="00A003D0"/>
    <w:rsid w:val="00A04F76"/>
    <w:rsid w:val="00A0540A"/>
    <w:rsid w:val="00A05887"/>
    <w:rsid w:val="00A10084"/>
    <w:rsid w:val="00A12980"/>
    <w:rsid w:val="00A14592"/>
    <w:rsid w:val="00A22A0F"/>
    <w:rsid w:val="00A23100"/>
    <w:rsid w:val="00A26ADC"/>
    <w:rsid w:val="00A270D1"/>
    <w:rsid w:val="00A30FA8"/>
    <w:rsid w:val="00A324CE"/>
    <w:rsid w:val="00A422B4"/>
    <w:rsid w:val="00A50EA1"/>
    <w:rsid w:val="00A51199"/>
    <w:rsid w:val="00A55520"/>
    <w:rsid w:val="00A5629D"/>
    <w:rsid w:val="00A60B16"/>
    <w:rsid w:val="00A64113"/>
    <w:rsid w:val="00A6418B"/>
    <w:rsid w:val="00A66FA1"/>
    <w:rsid w:val="00A67A2B"/>
    <w:rsid w:val="00A722CF"/>
    <w:rsid w:val="00A7295D"/>
    <w:rsid w:val="00A80A06"/>
    <w:rsid w:val="00A80AD9"/>
    <w:rsid w:val="00A810B2"/>
    <w:rsid w:val="00A8352B"/>
    <w:rsid w:val="00A879CE"/>
    <w:rsid w:val="00A90EA6"/>
    <w:rsid w:val="00A935A3"/>
    <w:rsid w:val="00A93B80"/>
    <w:rsid w:val="00A9697C"/>
    <w:rsid w:val="00A96A52"/>
    <w:rsid w:val="00A97BA4"/>
    <w:rsid w:val="00AA6B2C"/>
    <w:rsid w:val="00AA7DED"/>
    <w:rsid w:val="00AB3714"/>
    <w:rsid w:val="00AB40E5"/>
    <w:rsid w:val="00AC0A13"/>
    <w:rsid w:val="00AC25C6"/>
    <w:rsid w:val="00AC36D3"/>
    <w:rsid w:val="00AC6BA0"/>
    <w:rsid w:val="00AC6D58"/>
    <w:rsid w:val="00AC7882"/>
    <w:rsid w:val="00AC7AB2"/>
    <w:rsid w:val="00AD0563"/>
    <w:rsid w:val="00AD09A5"/>
    <w:rsid w:val="00AD3731"/>
    <w:rsid w:val="00AE2A85"/>
    <w:rsid w:val="00AE2BFE"/>
    <w:rsid w:val="00AE4611"/>
    <w:rsid w:val="00AE682B"/>
    <w:rsid w:val="00AF08C4"/>
    <w:rsid w:val="00AF144C"/>
    <w:rsid w:val="00AF190B"/>
    <w:rsid w:val="00AF44C0"/>
    <w:rsid w:val="00AF58B3"/>
    <w:rsid w:val="00AF6015"/>
    <w:rsid w:val="00AF6CC7"/>
    <w:rsid w:val="00B025AE"/>
    <w:rsid w:val="00B04046"/>
    <w:rsid w:val="00B06177"/>
    <w:rsid w:val="00B06C90"/>
    <w:rsid w:val="00B100B4"/>
    <w:rsid w:val="00B11B5A"/>
    <w:rsid w:val="00B13215"/>
    <w:rsid w:val="00B17C6A"/>
    <w:rsid w:val="00B23A91"/>
    <w:rsid w:val="00B24BAA"/>
    <w:rsid w:val="00B26003"/>
    <w:rsid w:val="00B26AAA"/>
    <w:rsid w:val="00B3049E"/>
    <w:rsid w:val="00B35BDA"/>
    <w:rsid w:val="00B377D8"/>
    <w:rsid w:val="00B37EAF"/>
    <w:rsid w:val="00B405FF"/>
    <w:rsid w:val="00B411F4"/>
    <w:rsid w:val="00B51381"/>
    <w:rsid w:val="00B5389F"/>
    <w:rsid w:val="00B54E8D"/>
    <w:rsid w:val="00B557AE"/>
    <w:rsid w:val="00B60D26"/>
    <w:rsid w:val="00B60F57"/>
    <w:rsid w:val="00B62B62"/>
    <w:rsid w:val="00B635F3"/>
    <w:rsid w:val="00B653F9"/>
    <w:rsid w:val="00B71469"/>
    <w:rsid w:val="00B71CB3"/>
    <w:rsid w:val="00B72B35"/>
    <w:rsid w:val="00B74951"/>
    <w:rsid w:val="00B74A54"/>
    <w:rsid w:val="00B7647D"/>
    <w:rsid w:val="00B76678"/>
    <w:rsid w:val="00B80112"/>
    <w:rsid w:val="00B90D28"/>
    <w:rsid w:val="00B91E88"/>
    <w:rsid w:val="00B924E3"/>
    <w:rsid w:val="00B92A6F"/>
    <w:rsid w:val="00B95F63"/>
    <w:rsid w:val="00B9657D"/>
    <w:rsid w:val="00BA15BD"/>
    <w:rsid w:val="00BA21D6"/>
    <w:rsid w:val="00BA3F63"/>
    <w:rsid w:val="00BA40DB"/>
    <w:rsid w:val="00BA46E0"/>
    <w:rsid w:val="00BA5F7C"/>
    <w:rsid w:val="00BA6CED"/>
    <w:rsid w:val="00BA7E9D"/>
    <w:rsid w:val="00BB5CAC"/>
    <w:rsid w:val="00BB67A5"/>
    <w:rsid w:val="00BC0596"/>
    <w:rsid w:val="00BC2FCC"/>
    <w:rsid w:val="00BC6215"/>
    <w:rsid w:val="00BD1EB2"/>
    <w:rsid w:val="00BD50B3"/>
    <w:rsid w:val="00BD5ED8"/>
    <w:rsid w:val="00BD60DA"/>
    <w:rsid w:val="00BD7C1A"/>
    <w:rsid w:val="00BD7D66"/>
    <w:rsid w:val="00BD7F67"/>
    <w:rsid w:val="00BE025A"/>
    <w:rsid w:val="00BE1465"/>
    <w:rsid w:val="00BE291B"/>
    <w:rsid w:val="00BE3103"/>
    <w:rsid w:val="00BE3B4B"/>
    <w:rsid w:val="00BE61DB"/>
    <w:rsid w:val="00BE708C"/>
    <w:rsid w:val="00BF3584"/>
    <w:rsid w:val="00BF4DE6"/>
    <w:rsid w:val="00BF4FEA"/>
    <w:rsid w:val="00C00DD0"/>
    <w:rsid w:val="00C01625"/>
    <w:rsid w:val="00C026AC"/>
    <w:rsid w:val="00C02AEB"/>
    <w:rsid w:val="00C02DEB"/>
    <w:rsid w:val="00C14773"/>
    <w:rsid w:val="00C1526E"/>
    <w:rsid w:val="00C1627B"/>
    <w:rsid w:val="00C20AFB"/>
    <w:rsid w:val="00C23219"/>
    <w:rsid w:val="00C2586E"/>
    <w:rsid w:val="00C25CC9"/>
    <w:rsid w:val="00C310FA"/>
    <w:rsid w:val="00C3223C"/>
    <w:rsid w:val="00C34267"/>
    <w:rsid w:val="00C354AD"/>
    <w:rsid w:val="00C40331"/>
    <w:rsid w:val="00C4058E"/>
    <w:rsid w:val="00C41CC1"/>
    <w:rsid w:val="00C44943"/>
    <w:rsid w:val="00C454D4"/>
    <w:rsid w:val="00C45637"/>
    <w:rsid w:val="00C46A09"/>
    <w:rsid w:val="00C46FDE"/>
    <w:rsid w:val="00C519BB"/>
    <w:rsid w:val="00C546C1"/>
    <w:rsid w:val="00C54E2B"/>
    <w:rsid w:val="00C622A3"/>
    <w:rsid w:val="00C66756"/>
    <w:rsid w:val="00C71F5C"/>
    <w:rsid w:val="00C71FA6"/>
    <w:rsid w:val="00C72FF4"/>
    <w:rsid w:val="00C7410C"/>
    <w:rsid w:val="00C75B60"/>
    <w:rsid w:val="00C76EC9"/>
    <w:rsid w:val="00C82439"/>
    <w:rsid w:val="00C83256"/>
    <w:rsid w:val="00C856F0"/>
    <w:rsid w:val="00C9072E"/>
    <w:rsid w:val="00C90F4A"/>
    <w:rsid w:val="00C9267B"/>
    <w:rsid w:val="00C940F0"/>
    <w:rsid w:val="00C952A0"/>
    <w:rsid w:val="00CA7FD8"/>
    <w:rsid w:val="00CB049A"/>
    <w:rsid w:val="00CB0D90"/>
    <w:rsid w:val="00CB14E9"/>
    <w:rsid w:val="00CB292A"/>
    <w:rsid w:val="00CB7ADF"/>
    <w:rsid w:val="00CB7C6C"/>
    <w:rsid w:val="00CC0909"/>
    <w:rsid w:val="00CC2E8B"/>
    <w:rsid w:val="00CC6806"/>
    <w:rsid w:val="00CC6F57"/>
    <w:rsid w:val="00CD18C8"/>
    <w:rsid w:val="00CD1E15"/>
    <w:rsid w:val="00CD2204"/>
    <w:rsid w:val="00CD267B"/>
    <w:rsid w:val="00CD515C"/>
    <w:rsid w:val="00CD5D39"/>
    <w:rsid w:val="00CE4E34"/>
    <w:rsid w:val="00CE70B7"/>
    <w:rsid w:val="00CF0493"/>
    <w:rsid w:val="00CF08BF"/>
    <w:rsid w:val="00CF1221"/>
    <w:rsid w:val="00CF168E"/>
    <w:rsid w:val="00CF3571"/>
    <w:rsid w:val="00CF4D93"/>
    <w:rsid w:val="00CF6E9C"/>
    <w:rsid w:val="00D01725"/>
    <w:rsid w:val="00D01F79"/>
    <w:rsid w:val="00D05FF5"/>
    <w:rsid w:val="00D06AC2"/>
    <w:rsid w:val="00D07F99"/>
    <w:rsid w:val="00D141AE"/>
    <w:rsid w:val="00D151C1"/>
    <w:rsid w:val="00D17F15"/>
    <w:rsid w:val="00D22685"/>
    <w:rsid w:val="00D23CD6"/>
    <w:rsid w:val="00D242E3"/>
    <w:rsid w:val="00D24A71"/>
    <w:rsid w:val="00D2539B"/>
    <w:rsid w:val="00D25D94"/>
    <w:rsid w:val="00D2690E"/>
    <w:rsid w:val="00D4183E"/>
    <w:rsid w:val="00D44ADB"/>
    <w:rsid w:val="00D45181"/>
    <w:rsid w:val="00D46902"/>
    <w:rsid w:val="00D47D48"/>
    <w:rsid w:val="00D55661"/>
    <w:rsid w:val="00D55A92"/>
    <w:rsid w:val="00D56EF9"/>
    <w:rsid w:val="00D5742B"/>
    <w:rsid w:val="00D62AFF"/>
    <w:rsid w:val="00D62CD7"/>
    <w:rsid w:val="00D64D5E"/>
    <w:rsid w:val="00D654AB"/>
    <w:rsid w:val="00D6580D"/>
    <w:rsid w:val="00D66688"/>
    <w:rsid w:val="00D674AD"/>
    <w:rsid w:val="00D72A33"/>
    <w:rsid w:val="00D73277"/>
    <w:rsid w:val="00D73D5A"/>
    <w:rsid w:val="00D75EE0"/>
    <w:rsid w:val="00D811DA"/>
    <w:rsid w:val="00D82967"/>
    <w:rsid w:val="00D82A99"/>
    <w:rsid w:val="00D82F54"/>
    <w:rsid w:val="00D83453"/>
    <w:rsid w:val="00D84A1F"/>
    <w:rsid w:val="00D86DEF"/>
    <w:rsid w:val="00D87651"/>
    <w:rsid w:val="00D90941"/>
    <w:rsid w:val="00D92676"/>
    <w:rsid w:val="00D92892"/>
    <w:rsid w:val="00D94EEC"/>
    <w:rsid w:val="00DA300A"/>
    <w:rsid w:val="00DA3CDA"/>
    <w:rsid w:val="00DB002A"/>
    <w:rsid w:val="00DB0DF9"/>
    <w:rsid w:val="00DB2A77"/>
    <w:rsid w:val="00DB2B13"/>
    <w:rsid w:val="00DB4A0A"/>
    <w:rsid w:val="00DB54CE"/>
    <w:rsid w:val="00DB5867"/>
    <w:rsid w:val="00DB5982"/>
    <w:rsid w:val="00DB5B44"/>
    <w:rsid w:val="00DB6768"/>
    <w:rsid w:val="00DB7BB6"/>
    <w:rsid w:val="00DC52CD"/>
    <w:rsid w:val="00DC6C64"/>
    <w:rsid w:val="00DD00C5"/>
    <w:rsid w:val="00DD0C3E"/>
    <w:rsid w:val="00DD1742"/>
    <w:rsid w:val="00DD586B"/>
    <w:rsid w:val="00DD5B5C"/>
    <w:rsid w:val="00DD5F21"/>
    <w:rsid w:val="00DD6BD7"/>
    <w:rsid w:val="00DE0968"/>
    <w:rsid w:val="00DE1E36"/>
    <w:rsid w:val="00DE205A"/>
    <w:rsid w:val="00DE73E9"/>
    <w:rsid w:val="00DE7A52"/>
    <w:rsid w:val="00DF1C82"/>
    <w:rsid w:val="00DF317A"/>
    <w:rsid w:val="00DF35CF"/>
    <w:rsid w:val="00DF373E"/>
    <w:rsid w:val="00DF43E8"/>
    <w:rsid w:val="00DF4E5C"/>
    <w:rsid w:val="00DF5898"/>
    <w:rsid w:val="00DF6A55"/>
    <w:rsid w:val="00E0015A"/>
    <w:rsid w:val="00E02CD1"/>
    <w:rsid w:val="00E040C7"/>
    <w:rsid w:val="00E04743"/>
    <w:rsid w:val="00E04980"/>
    <w:rsid w:val="00E12F60"/>
    <w:rsid w:val="00E13B44"/>
    <w:rsid w:val="00E15BCD"/>
    <w:rsid w:val="00E174C2"/>
    <w:rsid w:val="00E22C97"/>
    <w:rsid w:val="00E24B73"/>
    <w:rsid w:val="00E2700F"/>
    <w:rsid w:val="00E278B6"/>
    <w:rsid w:val="00E333BB"/>
    <w:rsid w:val="00E40D8E"/>
    <w:rsid w:val="00E4317C"/>
    <w:rsid w:val="00E4391C"/>
    <w:rsid w:val="00E43C05"/>
    <w:rsid w:val="00E44A3A"/>
    <w:rsid w:val="00E45A79"/>
    <w:rsid w:val="00E511D7"/>
    <w:rsid w:val="00E51D82"/>
    <w:rsid w:val="00E51FBC"/>
    <w:rsid w:val="00E52D47"/>
    <w:rsid w:val="00E53D22"/>
    <w:rsid w:val="00E5684C"/>
    <w:rsid w:val="00E630E8"/>
    <w:rsid w:val="00E6561F"/>
    <w:rsid w:val="00E67E24"/>
    <w:rsid w:val="00E704A2"/>
    <w:rsid w:val="00E71ACE"/>
    <w:rsid w:val="00E765BE"/>
    <w:rsid w:val="00E81410"/>
    <w:rsid w:val="00E841F3"/>
    <w:rsid w:val="00E84DB1"/>
    <w:rsid w:val="00E85A71"/>
    <w:rsid w:val="00E86432"/>
    <w:rsid w:val="00E866AC"/>
    <w:rsid w:val="00E92940"/>
    <w:rsid w:val="00E94187"/>
    <w:rsid w:val="00E95E39"/>
    <w:rsid w:val="00EA09D8"/>
    <w:rsid w:val="00EA3471"/>
    <w:rsid w:val="00EA77A9"/>
    <w:rsid w:val="00EB0DFF"/>
    <w:rsid w:val="00EB0FE8"/>
    <w:rsid w:val="00EB10D3"/>
    <w:rsid w:val="00EB32C6"/>
    <w:rsid w:val="00EB4A7F"/>
    <w:rsid w:val="00EC077C"/>
    <w:rsid w:val="00EC51E7"/>
    <w:rsid w:val="00EC6B76"/>
    <w:rsid w:val="00EC6F8A"/>
    <w:rsid w:val="00ED1A81"/>
    <w:rsid w:val="00ED21BC"/>
    <w:rsid w:val="00ED6CFA"/>
    <w:rsid w:val="00ED729D"/>
    <w:rsid w:val="00EE404C"/>
    <w:rsid w:val="00EE40ED"/>
    <w:rsid w:val="00EE4C95"/>
    <w:rsid w:val="00EE5A9C"/>
    <w:rsid w:val="00EE701E"/>
    <w:rsid w:val="00EF0158"/>
    <w:rsid w:val="00EF10C8"/>
    <w:rsid w:val="00EF45F0"/>
    <w:rsid w:val="00F03154"/>
    <w:rsid w:val="00F03357"/>
    <w:rsid w:val="00F0371B"/>
    <w:rsid w:val="00F037C8"/>
    <w:rsid w:val="00F03846"/>
    <w:rsid w:val="00F03A59"/>
    <w:rsid w:val="00F056CB"/>
    <w:rsid w:val="00F05E29"/>
    <w:rsid w:val="00F10670"/>
    <w:rsid w:val="00F109CE"/>
    <w:rsid w:val="00F1335B"/>
    <w:rsid w:val="00F16DA4"/>
    <w:rsid w:val="00F17EAD"/>
    <w:rsid w:val="00F21CFC"/>
    <w:rsid w:val="00F22621"/>
    <w:rsid w:val="00F306BE"/>
    <w:rsid w:val="00F31747"/>
    <w:rsid w:val="00F44176"/>
    <w:rsid w:val="00F44EE3"/>
    <w:rsid w:val="00F52B55"/>
    <w:rsid w:val="00F544C4"/>
    <w:rsid w:val="00F572E1"/>
    <w:rsid w:val="00F572F2"/>
    <w:rsid w:val="00F6092A"/>
    <w:rsid w:val="00F6282D"/>
    <w:rsid w:val="00F63EB9"/>
    <w:rsid w:val="00F657AF"/>
    <w:rsid w:val="00F65AFB"/>
    <w:rsid w:val="00F662A1"/>
    <w:rsid w:val="00F7015C"/>
    <w:rsid w:val="00F70F0A"/>
    <w:rsid w:val="00F7273F"/>
    <w:rsid w:val="00F72B6A"/>
    <w:rsid w:val="00F758BD"/>
    <w:rsid w:val="00F75A09"/>
    <w:rsid w:val="00F764B2"/>
    <w:rsid w:val="00F77341"/>
    <w:rsid w:val="00F86632"/>
    <w:rsid w:val="00F867DD"/>
    <w:rsid w:val="00F86855"/>
    <w:rsid w:val="00F9333E"/>
    <w:rsid w:val="00F9379D"/>
    <w:rsid w:val="00F95622"/>
    <w:rsid w:val="00F956C7"/>
    <w:rsid w:val="00F969B3"/>
    <w:rsid w:val="00FA2956"/>
    <w:rsid w:val="00FA4983"/>
    <w:rsid w:val="00FA5986"/>
    <w:rsid w:val="00FA7304"/>
    <w:rsid w:val="00FB615A"/>
    <w:rsid w:val="00FB6E8E"/>
    <w:rsid w:val="00FC585D"/>
    <w:rsid w:val="00FC5D49"/>
    <w:rsid w:val="00FC6EC5"/>
    <w:rsid w:val="00FD33B8"/>
    <w:rsid w:val="00FD34EC"/>
    <w:rsid w:val="00FE32A7"/>
    <w:rsid w:val="00FE3577"/>
    <w:rsid w:val="00FE6D19"/>
    <w:rsid w:val="00FF0492"/>
    <w:rsid w:val="00FF4381"/>
    <w:rsid w:val="00FF4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94"/>
  </w:style>
  <w:style w:type="paragraph" w:styleId="Heading1">
    <w:name w:val="heading 1"/>
    <w:basedOn w:val="Normal"/>
    <w:next w:val="Normal"/>
    <w:link w:val="Heading1Char"/>
    <w:uiPriority w:val="9"/>
    <w:qFormat/>
    <w:rsid w:val="00F7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12"/>
    <w:pPr>
      <w:ind w:left="720"/>
      <w:contextualSpacing/>
    </w:p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nhideWhenUsed/>
    <w:rsid w:val="004E7DED"/>
    <w:pPr>
      <w:spacing w:after="0" w:line="240" w:lineRule="auto"/>
    </w:pPr>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rsid w:val="004E7DED"/>
    <w:rPr>
      <w:sz w:val="20"/>
      <w:szCs w:val="20"/>
    </w:rPr>
  </w:style>
  <w:style w:type="character" w:styleId="FootnoteReference">
    <w:name w:val="footnote reference"/>
    <w:aliases w:val="Footnote Reference Number,Footnote symbol,Footnote Reference Superscript"/>
    <w:basedOn w:val="DefaultParagraphFont"/>
    <w:uiPriority w:val="99"/>
    <w:unhideWhenUsed/>
    <w:rsid w:val="004E7DED"/>
    <w:rPr>
      <w:vertAlign w:val="superscript"/>
    </w:rPr>
  </w:style>
  <w:style w:type="paragraph" w:styleId="Header">
    <w:name w:val="header"/>
    <w:basedOn w:val="Normal"/>
    <w:link w:val="HeaderChar"/>
    <w:uiPriority w:val="99"/>
    <w:unhideWhenUsed/>
    <w:rsid w:val="00DB5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982"/>
  </w:style>
  <w:style w:type="paragraph" w:styleId="Footer">
    <w:name w:val="footer"/>
    <w:basedOn w:val="Normal"/>
    <w:link w:val="FooterChar"/>
    <w:unhideWhenUsed/>
    <w:rsid w:val="00DB5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982"/>
  </w:style>
  <w:style w:type="paragraph" w:styleId="BalloonText">
    <w:name w:val="Balloon Text"/>
    <w:basedOn w:val="Normal"/>
    <w:link w:val="BalloonTextChar"/>
    <w:uiPriority w:val="99"/>
    <w:semiHidden/>
    <w:unhideWhenUsed/>
    <w:rsid w:val="0000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02"/>
    <w:rPr>
      <w:rFonts w:ascii="Tahoma" w:hAnsi="Tahoma" w:cs="Tahoma"/>
      <w:sz w:val="16"/>
      <w:szCs w:val="16"/>
    </w:rPr>
  </w:style>
  <w:style w:type="paragraph" w:styleId="NormalWeb">
    <w:name w:val="Normal (Web)"/>
    <w:basedOn w:val="Normal"/>
    <w:uiPriority w:val="99"/>
    <w:unhideWhenUsed/>
    <w:rsid w:val="00C94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940F0"/>
    <w:rPr>
      <w:b/>
      <w:bCs/>
    </w:rPr>
  </w:style>
  <w:style w:type="paragraph" w:customStyle="1" w:styleId="Default">
    <w:name w:val="Default"/>
    <w:rsid w:val="00617B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A729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6D19"/>
    <w:rPr>
      <w:color w:val="0000FF" w:themeColor="hyperlink"/>
      <w:u w:val="single"/>
    </w:rPr>
  </w:style>
  <w:style w:type="character" w:customStyle="1" w:styleId="hps">
    <w:name w:val="hps"/>
    <w:basedOn w:val="DefaultParagraphFont"/>
    <w:rsid w:val="002203F1"/>
  </w:style>
  <w:style w:type="paragraph" w:styleId="HTMLAddress">
    <w:name w:val="HTML Address"/>
    <w:basedOn w:val="Normal"/>
    <w:link w:val="HTMLAddressChar"/>
    <w:uiPriority w:val="99"/>
    <w:semiHidden/>
    <w:unhideWhenUsed/>
    <w:rsid w:val="00AE682B"/>
    <w:pPr>
      <w:spacing w:after="0" w:line="240" w:lineRule="auto"/>
    </w:pPr>
    <w:rPr>
      <w:rFonts w:ascii="Times New Roman" w:eastAsia="Times New Roman" w:hAnsi="Times New Roman" w:cs="Times New Roman"/>
      <w:i/>
      <w:iCs/>
      <w:sz w:val="24"/>
      <w:szCs w:val="24"/>
      <w:lang w:eastAsia="lv-LV"/>
    </w:rPr>
  </w:style>
  <w:style w:type="character" w:customStyle="1" w:styleId="HTMLAddressChar">
    <w:name w:val="HTML Address Char"/>
    <w:basedOn w:val="DefaultParagraphFont"/>
    <w:link w:val="HTMLAddress"/>
    <w:uiPriority w:val="99"/>
    <w:semiHidden/>
    <w:rsid w:val="00AE682B"/>
    <w:rPr>
      <w:rFonts w:ascii="Times New Roman" w:eastAsia="Times New Roman" w:hAnsi="Times New Roman" w:cs="Times New Roman"/>
      <w:i/>
      <w:iCs/>
      <w:sz w:val="24"/>
      <w:szCs w:val="24"/>
      <w:lang w:eastAsia="lv-LV"/>
    </w:rPr>
  </w:style>
  <w:style w:type="character" w:customStyle="1" w:styleId="Heading1Char">
    <w:name w:val="Heading 1 Char"/>
    <w:basedOn w:val="DefaultParagraphFont"/>
    <w:link w:val="Heading1"/>
    <w:uiPriority w:val="9"/>
    <w:rsid w:val="00F70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0F0A"/>
    <w:pPr>
      <w:outlineLvl w:val="9"/>
    </w:pPr>
    <w:rPr>
      <w:lang w:val="en-US"/>
    </w:rPr>
  </w:style>
  <w:style w:type="paragraph" w:styleId="TOC1">
    <w:name w:val="toc 1"/>
    <w:basedOn w:val="Normal"/>
    <w:next w:val="Normal"/>
    <w:autoRedefine/>
    <w:uiPriority w:val="39"/>
    <w:unhideWhenUsed/>
    <w:rsid w:val="00DC6C64"/>
    <w:pPr>
      <w:tabs>
        <w:tab w:val="left" w:pos="426"/>
        <w:tab w:val="right" w:leader="dot" w:pos="9682"/>
      </w:tabs>
      <w:spacing w:after="100"/>
    </w:pPr>
    <w:rPr>
      <w:rFonts w:ascii="Times New Roman" w:hAnsi="Times New Roman" w:cs="Times New Roman"/>
      <w:b/>
      <w:smallCaps/>
      <w:noProof/>
      <w:sz w:val="28"/>
      <w:szCs w:val="28"/>
    </w:rPr>
  </w:style>
  <w:style w:type="character" w:customStyle="1" w:styleId="Heading2Char">
    <w:name w:val="Heading 2 Char"/>
    <w:basedOn w:val="DefaultParagraphFont"/>
    <w:link w:val="Heading2"/>
    <w:uiPriority w:val="9"/>
    <w:rsid w:val="00F70F0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D74A3"/>
    <w:pPr>
      <w:tabs>
        <w:tab w:val="left" w:pos="1134"/>
        <w:tab w:val="right" w:leader="dot" w:pos="9682"/>
      </w:tabs>
      <w:spacing w:after="100"/>
      <w:ind w:left="1134" w:hanging="708"/>
    </w:pPr>
  </w:style>
  <w:style w:type="paragraph" w:styleId="BodyText">
    <w:name w:val="Body Text"/>
    <w:aliases w:val=" Char"/>
    <w:basedOn w:val="Normal"/>
    <w:link w:val="BodyTextChar"/>
    <w:rsid w:val="00D17F15"/>
    <w:pPr>
      <w:spacing w:after="0" w:line="240" w:lineRule="auto"/>
    </w:pPr>
    <w:rPr>
      <w:rFonts w:ascii="Times New Roman" w:eastAsia="Times New Roman" w:hAnsi="Times New Roman" w:cs="Times New Roman"/>
      <w:sz w:val="28"/>
      <w:szCs w:val="20"/>
    </w:rPr>
  </w:style>
  <w:style w:type="character" w:customStyle="1" w:styleId="BodyTextChar">
    <w:name w:val="Body Text Char"/>
    <w:aliases w:val=" Char Char"/>
    <w:basedOn w:val="DefaultParagraphFont"/>
    <w:link w:val="BodyText"/>
    <w:rsid w:val="00D17F15"/>
    <w:rPr>
      <w:rFonts w:ascii="Times New Roman" w:eastAsia="Times New Roman" w:hAnsi="Times New Roman" w:cs="Times New Roman"/>
      <w:sz w:val="28"/>
      <w:szCs w:val="20"/>
    </w:rPr>
  </w:style>
  <w:style w:type="character" w:styleId="FollowedHyperlink">
    <w:name w:val="FollowedHyperlink"/>
    <w:aliases w:val="Footnote Text Char1,Footnote Text Char Char,Footnote Text Char1 Char Char,Footnote Text Char Char Char Char,Vēres teksts Rakstz.1 Char Char Char Char,Vēres teksts Rakstz. Rakstz. Char Char Char Char"/>
    <w:semiHidden/>
    <w:rsid w:val="00D17F15"/>
    <w:rPr>
      <w:lang w:val="en-GB" w:eastAsia="en-US"/>
    </w:rPr>
  </w:style>
  <w:style w:type="character" w:styleId="Emphasis">
    <w:name w:val="Emphasis"/>
    <w:uiPriority w:val="20"/>
    <w:qFormat/>
    <w:rsid w:val="00E92940"/>
    <w:rPr>
      <w:i/>
      <w:iCs/>
    </w:rPr>
  </w:style>
  <w:style w:type="character" w:customStyle="1" w:styleId="Heading3Char">
    <w:name w:val="Heading 3 Char"/>
    <w:basedOn w:val="DefaultParagraphFont"/>
    <w:link w:val="Heading3"/>
    <w:uiPriority w:val="9"/>
    <w:rsid w:val="006F38E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D74A3"/>
    <w:pPr>
      <w:tabs>
        <w:tab w:val="left" w:pos="1985"/>
        <w:tab w:val="right" w:leader="dot" w:pos="9682"/>
      </w:tabs>
      <w:spacing w:after="100"/>
      <w:ind w:left="1985" w:hanging="851"/>
    </w:pPr>
  </w:style>
  <w:style w:type="paragraph" w:styleId="CommentText">
    <w:name w:val="annotation text"/>
    <w:basedOn w:val="Normal"/>
    <w:link w:val="CommentTextChar"/>
    <w:uiPriority w:val="99"/>
    <w:semiHidden/>
    <w:unhideWhenUsed/>
    <w:rsid w:val="001533E5"/>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533E5"/>
    <w:rPr>
      <w:rFonts w:ascii="Calibri" w:eastAsia="Calibri" w:hAnsi="Calibri" w:cs="Calibri"/>
      <w:sz w:val="20"/>
      <w:szCs w:val="20"/>
    </w:rPr>
  </w:style>
  <w:style w:type="character" w:styleId="CommentReference">
    <w:name w:val="annotation reference"/>
    <w:basedOn w:val="DefaultParagraphFont"/>
    <w:uiPriority w:val="99"/>
    <w:semiHidden/>
    <w:unhideWhenUsed/>
    <w:rsid w:val="001533E5"/>
    <w:rPr>
      <w:rFonts w:ascii="Times New Roman" w:hAnsi="Times New Roman" w:cs="Times New Roman" w:hint="default"/>
      <w:sz w:val="16"/>
      <w:szCs w:val="16"/>
    </w:rPr>
  </w:style>
  <w:style w:type="character" w:customStyle="1" w:styleId="fontsize21">
    <w:name w:val="fontsize21"/>
    <w:basedOn w:val="DefaultParagraphFont"/>
    <w:rsid w:val="00DD0C3E"/>
    <w:rPr>
      <w:i/>
      <w:iCs/>
      <w:sz w:val="15"/>
      <w:szCs w:val="15"/>
    </w:rPr>
  </w:style>
  <w:style w:type="paragraph" w:styleId="CommentSubject">
    <w:name w:val="annotation subject"/>
    <w:basedOn w:val="CommentText"/>
    <w:next w:val="CommentText"/>
    <w:link w:val="CommentSubjectChar"/>
    <w:uiPriority w:val="99"/>
    <w:semiHidden/>
    <w:unhideWhenUsed/>
    <w:rsid w:val="00210C9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0C9C"/>
    <w:rPr>
      <w:rFonts w:ascii="Calibri" w:eastAsia="Calibri" w:hAnsi="Calibri" w:cs="Calibri"/>
      <w:b/>
      <w:bCs/>
      <w:sz w:val="20"/>
      <w:szCs w:val="20"/>
    </w:rPr>
  </w:style>
  <w:style w:type="paragraph" w:styleId="Revision">
    <w:name w:val="Revision"/>
    <w:hidden/>
    <w:uiPriority w:val="99"/>
    <w:semiHidden/>
    <w:rsid w:val="00210C9C"/>
    <w:pPr>
      <w:spacing w:after="0" w:line="240" w:lineRule="auto"/>
    </w:pPr>
  </w:style>
  <w:style w:type="paragraph" w:customStyle="1" w:styleId="rpsadaa">
    <w:name w:val="rp sadaļa"/>
    <w:basedOn w:val="Normal"/>
    <w:rsid w:val="006E7AEF"/>
    <w:pPr>
      <w:spacing w:after="0" w:line="240" w:lineRule="auto"/>
      <w:ind w:right="-108"/>
    </w:pPr>
    <w:rPr>
      <w:rFonts w:ascii="Times New Roman" w:eastAsia="Times New Roman" w:hAnsi="Times New Roman" w:cs="Times New Roman"/>
      <w:b/>
      <w:bCs/>
      <w:sz w:val="20"/>
      <w:szCs w:val="20"/>
    </w:rPr>
  </w:style>
  <w:style w:type="paragraph" w:customStyle="1" w:styleId="naisf">
    <w:name w:val="naisf"/>
    <w:basedOn w:val="Normal"/>
    <w:rsid w:val="00321A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316622"/>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94"/>
  </w:style>
  <w:style w:type="paragraph" w:styleId="Heading1">
    <w:name w:val="heading 1"/>
    <w:basedOn w:val="Normal"/>
    <w:next w:val="Normal"/>
    <w:link w:val="Heading1Char"/>
    <w:uiPriority w:val="9"/>
    <w:qFormat/>
    <w:rsid w:val="00F7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12"/>
    <w:pPr>
      <w:ind w:left="720"/>
      <w:contextualSpacing/>
    </w:p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nhideWhenUsed/>
    <w:rsid w:val="004E7DED"/>
    <w:pPr>
      <w:spacing w:after="0" w:line="240" w:lineRule="auto"/>
    </w:pPr>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rsid w:val="004E7DED"/>
    <w:rPr>
      <w:sz w:val="20"/>
      <w:szCs w:val="20"/>
    </w:rPr>
  </w:style>
  <w:style w:type="character" w:styleId="FootnoteReference">
    <w:name w:val="footnote reference"/>
    <w:aliases w:val="Footnote Reference Number,Footnote symbol,Footnote Reference Superscript"/>
    <w:basedOn w:val="DefaultParagraphFont"/>
    <w:uiPriority w:val="99"/>
    <w:unhideWhenUsed/>
    <w:rsid w:val="004E7DED"/>
    <w:rPr>
      <w:vertAlign w:val="superscript"/>
    </w:rPr>
  </w:style>
  <w:style w:type="paragraph" w:styleId="Header">
    <w:name w:val="header"/>
    <w:basedOn w:val="Normal"/>
    <w:link w:val="HeaderChar"/>
    <w:uiPriority w:val="99"/>
    <w:unhideWhenUsed/>
    <w:rsid w:val="00DB5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982"/>
  </w:style>
  <w:style w:type="paragraph" w:styleId="Footer">
    <w:name w:val="footer"/>
    <w:basedOn w:val="Normal"/>
    <w:link w:val="FooterChar"/>
    <w:unhideWhenUsed/>
    <w:rsid w:val="00DB5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982"/>
  </w:style>
  <w:style w:type="paragraph" w:styleId="BalloonText">
    <w:name w:val="Balloon Text"/>
    <w:basedOn w:val="Normal"/>
    <w:link w:val="BalloonTextChar"/>
    <w:uiPriority w:val="99"/>
    <w:semiHidden/>
    <w:unhideWhenUsed/>
    <w:rsid w:val="0000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02"/>
    <w:rPr>
      <w:rFonts w:ascii="Tahoma" w:hAnsi="Tahoma" w:cs="Tahoma"/>
      <w:sz w:val="16"/>
      <w:szCs w:val="16"/>
    </w:rPr>
  </w:style>
  <w:style w:type="paragraph" w:styleId="NormalWeb">
    <w:name w:val="Normal (Web)"/>
    <w:basedOn w:val="Normal"/>
    <w:uiPriority w:val="99"/>
    <w:unhideWhenUsed/>
    <w:rsid w:val="00C94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940F0"/>
    <w:rPr>
      <w:b/>
      <w:bCs/>
    </w:rPr>
  </w:style>
  <w:style w:type="paragraph" w:customStyle="1" w:styleId="Default">
    <w:name w:val="Default"/>
    <w:rsid w:val="00617B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A729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6D19"/>
    <w:rPr>
      <w:color w:val="0000FF" w:themeColor="hyperlink"/>
      <w:u w:val="single"/>
    </w:rPr>
  </w:style>
  <w:style w:type="character" w:customStyle="1" w:styleId="hps">
    <w:name w:val="hps"/>
    <w:basedOn w:val="DefaultParagraphFont"/>
    <w:rsid w:val="002203F1"/>
  </w:style>
  <w:style w:type="paragraph" w:styleId="HTMLAddress">
    <w:name w:val="HTML Address"/>
    <w:basedOn w:val="Normal"/>
    <w:link w:val="HTMLAddressChar"/>
    <w:uiPriority w:val="99"/>
    <w:semiHidden/>
    <w:unhideWhenUsed/>
    <w:rsid w:val="00AE682B"/>
    <w:pPr>
      <w:spacing w:after="0" w:line="240" w:lineRule="auto"/>
    </w:pPr>
    <w:rPr>
      <w:rFonts w:ascii="Times New Roman" w:eastAsia="Times New Roman" w:hAnsi="Times New Roman" w:cs="Times New Roman"/>
      <w:i/>
      <w:iCs/>
      <w:sz w:val="24"/>
      <w:szCs w:val="24"/>
      <w:lang w:eastAsia="lv-LV"/>
    </w:rPr>
  </w:style>
  <w:style w:type="character" w:customStyle="1" w:styleId="HTMLAddressChar">
    <w:name w:val="HTML Address Char"/>
    <w:basedOn w:val="DefaultParagraphFont"/>
    <w:link w:val="HTMLAddress"/>
    <w:uiPriority w:val="99"/>
    <w:semiHidden/>
    <w:rsid w:val="00AE682B"/>
    <w:rPr>
      <w:rFonts w:ascii="Times New Roman" w:eastAsia="Times New Roman" w:hAnsi="Times New Roman" w:cs="Times New Roman"/>
      <w:i/>
      <w:iCs/>
      <w:sz w:val="24"/>
      <w:szCs w:val="24"/>
      <w:lang w:eastAsia="lv-LV"/>
    </w:rPr>
  </w:style>
  <w:style w:type="character" w:customStyle="1" w:styleId="Heading1Char">
    <w:name w:val="Heading 1 Char"/>
    <w:basedOn w:val="DefaultParagraphFont"/>
    <w:link w:val="Heading1"/>
    <w:uiPriority w:val="9"/>
    <w:rsid w:val="00F70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0F0A"/>
    <w:pPr>
      <w:outlineLvl w:val="9"/>
    </w:pPr>
    <w:rPr>
      <w:lang w:val="en-US"/>
    </w:rPr>
  </w:style>
  <w:style w:type="paragraph" w:styleId="TOC1">
    <w:name w:val="toc 1"/>
    <w:basedOn w:val="Normal"/>
    <w:next w:val="Normal"/>
    <w:autoRedefine/>
    <w:uiPriority w:val="39"/>
    <w:unhideWhenUsed/>
    <w:rsid w:val="00DC6C64"/>
    <w:pPr>
      <w:tabs>
        <w:tab w:val="left" w:pos="426"/>
        <w:tab w:val="right" w:leader="dot" w:pos="9682"/>
      </w:tabs>
      <w:spacing w:after="100"/>
    </w:pPr>
    <w:rPr>
      <w:rFonts w:ascii="Times New Roman" w:hAnsi="Times New Roman" w:cs="Times New Roman"/>
      <w:b/>
      <w:smallCaps/>
      <w:noProof/>
      <w:sz w:val="28"/>
      <w:szCs w:val="28"/>
    </w:rPr>
  </w:style>
  <w:style w:type="character" w:customStyle="1" w:styleId="Heading2Char">
    <w:name w:val="Heading 2 Char"/>
    <w:basedOn w:val="DefaultParagraphFont"/>
    <w:link w:val="Heading2"/>
    <w:uiPriority w:val="9"/>
    <w:rsid w:val="00F70F0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D74A3"/>
    <w:pPr>
      <w:tabs>
        <w:tab w:val="left" w:pos="1134"/>
        <w:tab w:val="right" w:leader="dot" w:pos="9682"/>
      </w:tabs>
      <w:spacing w:after="100"/>
      <w:ind w:left="1134" w:hanging="708"/>
    </w:pPr>
  </w:style>
  <w:style w:type="paragraph" w:styleId="BodyText">
    <w:name w:val="Body Text"/>
    <w:aliases w:val=" Char"/>
    <w:basedOn w:val="Normal"/>
    <w:link w:val="BodyTextChar"/>
    <w:rsid w:val="00D17F15"/>
    <w:pPr>
      <w:spacing w:after="0" w:line="240" w:lineRule="auto"/>
    </w:pPr>
    <w:rPr>
      <w:rFonts w:ascii="Times New Roman" w:eastAsia="Times New Roman" w:hAnsi="Times New Roman" w:cs="Times New Roman"/>
      <w:sz w:val="28"/>
      <w:szCs w:val="20"/>
    </w:rPr>
  </w:style>
  <w:style w:type="character" w:customStyle="1" w:styleId="BodyTextChar">
    <w:name w:val="Body Text Char"/>
    <w:aliases w:val=" Char Char"/>
    <w:basedOn w:val="DefaultParagraphFont"/>
    <w:link w:val="BodyText"/>
    <w:rsid w:val="00D17F15"/>
    <w:rPr>
      <w:rFonts w:ascii="Times New Roman" w:eastAsia="Times New Roman" w:hAnsi="Times New Roman" w:cs="Times New Roman"/>
      <w:sz w:val="28"/>
      <w:szCs w:val="20"/>
    </w:rPr>
  </w:style>
  <w:style w:type="character" w:styleId="FollowedHyperlink">
    <w:name w:val="FollowedHyperlink"/>
    <w:aliases w:val="Footnote Text Char1,Footnote Text Char Char,Footnote Text Char1 Char Char,Footnote Text Char Char Char Char,Vēres teksts Rakstz.1 Char Char Char Char,Vēres teksts Rakstz. Rakstz. Char Char Char Char"/>
    <w:semiHidden/>
    <w:rsid w:val="00D17F15"/>
    <w:rPr>
      <w:lang w:val="en-GB" w:eastAsia="en-US"/>
    </w:rPr>
  </w:style>
  <w:style w:type="character" w:styleId="Emphasis">
    <w:name w:val="Emphasis"/>
    <w:uiPriority w:val="20"/>
    <w:qFormat/>
    <w:rsid w:val="00E92940"/>
    <w:rPr>
      <w:i/>
      <w:iCs/>
    </w:rPr>
  </w:style>
  <w:style w:type="character" w:customStyle="1" w:styleId="Heading3Char">
    <w:name w:val="Heading 3 Char"/>
    <w:basedOn w:val="DefaultParagraphFont"/>
    <w:link w:val="Heading3"/>
    <w:uiPriority w:val="9"/>
    <w:rsid w:val="006F38E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D74A3"/>
    <w:pPr>
      <w:tabs>
        <w:tab w:val="left" w:pos="1985"/>
        <w:tab w:val="right" w:leader="dot" w:pos="9682"/>
      </w:tabs>
      <w:spacing w:after="100"/>
      <w:ind w:left="1985" w:hanging="851"/>
    </w:pPr>
  </w:style>
  <w:style w:type="paragraph" w:styleId="CommentText">
    <w:name w:val="annotation text"/>
    <w:basedOn w:val="Normal"/>
    <w:link w:val="CommentTextChar"/>
    <w:uiPriority w:val="99"/>
    <w:semiHidden/>
    <w:unhideWhenUsed/>
    <w:rsid w:val="001533E5"/>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533E5"/>
    <w:rPr>
      <w:rFonts w:ascii="Calibri" w:eastAsia="Calibri" w:hAnsi="Calibri" w:cs="Calibri"/>
      <w:sz w:val="20"/>
      <w:szCs w:val="20"/>
    </w:rPr>
  </w:style>
  <w:style w:type="character" w:styleId="CommentReference">
    <w:name w:val="annotation reference"/>
    <w:basedOn w:val="DefaultParagraphFont"/>
    <w:uiPriority w:val="99"/>
    <w:semiHidden/>
    <w:unhideWhenUsed/>
    <w:rsid w:val="001533E5"/>
    <w:rPr>
      <w:rFonts w:ascii="Times New Roman" w:hAnsi="Times New Roman" w:cs="Times New Roman" w:hint="default"/>
      <w:sz w:val="16"/>
      <w:szCs w:val="16"/>
    </w:rPr>
  </w:style>
  <w:style w:type="character" w:customStyle="1" w:styleId="fontsize21">
    <w:name w:val="fontsize21"/>
    <w:basedOn w:val="DefaultParagraphFont"/>
    <w:rsid w:val="00DD0C3E"/>
    <w:rPr>
      <w:i/>
      <w:iCs/>
      <w:sz w:val="15"/>
      <w:szCs w:val="15"/>
    </w:rPr>
  </w:style>
  <w:style w:type="paragraph" w:styleId="CommentSubject">
    <w:name w:val="annotation subject"/>
    <w:basedOn w:val="CommentText"/>
    <w:next w:val="CommentText"/>
    <w:link w:val="CommentSubjectChar"/>
    <w:uiPriority w:val="99"/>
    <w:semiHidden/>
    <w:unhideWhenUsed/>
    <w:rsid w:val="00210C9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0C9C"/>
    <w:rPr>
      <w:rFonts w:ascii="Calibri" w:eastAsia="Calibri" w:hAnsi="Calibri" w:cs="Calibri"/>
      <w:b/>
      <w:bCs/>
      <w:sz w:val="20"/>
      <w:szCs w:val="20"/>
    </w:rPr>
  </w:style>
  <w:style w:type="paragraph" w:styleId="Revision">
    <w:name w:val="Revision"/>
    <w:hidden/>
    <w:uiPriority w:val="99"/>
    <w:semiHidden/>
    <w:rsid w:val="00210C9C"/>
    <w:pPr>
      <w:spacing w:after="0" w:line="240" w:lineRule="auto"/>
    </w:pPr>
  </w:style>
  <w:style w:type="paragraph" w:customStyle="1" w:styleId="rpsadaa">
    <w:name w:val="rp sadaļa"/>
    <w:basedOn w:val="Normal"/>
    <w:rsid w:val="006E7AEF"/>
    <w:pPr>
      <w:spacing w:after="0" w:line="240" w:lineRule="auto"/>
      <w:ind w:right="-108"/>
    </w:pPr>
    <w:rPr>
      <w:rFonts w:ascii="Times New Roman" w:eastAsia="Times New Roman" w:hAnsi="Times New Roman" w:cs="Times New Roman"/>
      <w:b/>
      <w:bCs/>
      <w:sz w:val="20"/>
      <w:szCs w:val="20"/>
    </w:rPr>
  </w:style>
  <w:style w:type="paragraph" w:customStyle="1" w:styleId="naisf">
    <w:name w:val="naisf"/>
    <w:basedOn w:val="Normal"/>
    <w:rsid w:val="00321A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31662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91">
      <w:bodyDiv w:val="1"/>
      <w:marLeft w:val="0"/>
      <w:marRight w:val="0"/>
      <w:marTop w:val="0"/>
      <w:marBottom w:val="0"/>
      <w:divBdr>
        <w:top w:val="none" w:sz="0" w:space="0" w:color="auto"/>
        <w:left w:val="none" w:sz="0" w:space="0" w:color="auto"/>
        <w:bottom w:val="none" w:sz="0" w:space="0" w:color="auto"/>
        <w:right w:val="none" w:sz="0" w:space="0" w:color="auto"/>
      </w:divBdr>
    </w:div>
    <w:div w:id="18510010">
      <w:bodyDiv w:val="1"/>
      <w:marLeft w:val="0"/>
      <w:marRight w:val="0"/>
      <w:marTop w:val="0"/>
      <w:marBottom w:val="0"/>
      <w:divBdr>
        <w:top w:val="none" w:sz="0" w:space="0" w:color="auto"/>
        <w:left w:val="none" w:sz="0" w:space="0" w:color="auto"/>
        <w:bottom w:val="none" w:sz="0" w:space="0" w:color="auto"/>
        <w:right w:val="none" w:sz="0" w:space="0" w:color="auto"/>
      </w:divBdr>
    </w:div>
    <w:div w:id="35545224">
      <w:bodyDiv w:val="1"/>
      <w:marLeft w:val="0"/>
      <w:marRight w:val="0"/>
      <w:marTop w:val="0"/>
      <w:marBottom w:val="0"/>
      <w:divBdr>
        <w:top w:val="none" w:sz="0" w:space="0" w:color="auto"/>
        <w:left w:val="none" w:sz="0" w:space="0" w:color="auto"/>
        <w:bottom w:val="none" w:sz="0" w:space="0" w:color="auto"/>
        <w:right w:val="none" w:sz="0" w:space="0" w:color="auto"/>
      </w:divBdr>
    </w:div>
    <w:div w:id="38287811">
      <w:bodyDiv w:val="1"/>
      <w:marLeft w:val="0"/>
      <w:marRight w:val="0"/>
      <w:marTop w:val="0"/>
      <w:marBottom w:val="0"/>
      <w:divBdr>
        <w:top w:val="none" w:sz="0" w:space="0" w:color="auto"/>
        <w:left w:val="none" w:sz="0" w:space="0" w:color="auto"/>
        <w:bottom w:val="none" w:sz="0" w:space="0" w:color="auto"/>
        <w:right w:val="none" w:sz="0" w:space="0" w:color="auto"/>
      </w:divBdr>
      <w:divsChild>
        <w:div w:id="699743050">
          <w:marLeft w:val="274"/>
          <w:marRight w:val="0"/>
          <w:marTop w:val="0"/>
          <w:marBottom w:val="120"/>
          <w:divBdr>
            <w:top w:val="none" w:sz="0" w:space="0" w:color="auto"/>
            <w:left w:val="none" w:sz="0" w:space="0" w:color="auto"/>
            <w:bottom w:val="none" w:sz="0" w:space="0" w:color="auto"/>
            <w:right w:val="none" w:sz="0" w:space="0" w:color="auto"/>
          </w:divBdr>
        </w:div>
        <w:div w:id="1067994034">
          <w:marLeft w:val="274"/>
          <w:marRight w:val="0"/>
          <w:marTop w:val="0"/>
          <w:marBottom w:val="0"/>
          <w:divBdr>
            <w:top w:val="none" w:sz="0" w:space="0" w:color="auto"/>
            <w:left w:val="none" w:sz="0" w:space="0" w:color="auto"/>
            <w:bottom w:val="none" w:sz="0" w:space="0" w:color="auto"/>
            <w:right w:val="none" w:sz="0" w:space="0" w:color="auto"/>
          </w:divBdr>
        </w:div>
      </w:divsChild>
    </w:div>
    <w:div w:id="68423768">
      <w:bodyDiv w:val="1"/>
      <w:marLeft w:val="0"/>
      <w:marRight w:val="0"/>
      <w:marTop w:val="0"/>
      <w:marBottom w:val="0"/>
      <w:divBdr>
        <w:top w:val="none" w:sz="0" w:space="0" w:color="auto"/>
        <w:left w:val="none" w:sz="0" w:space="0" w:color="auto"/>
        <w:bottom w:val="none" w:sz="0" w:space="0" w:color="auto"/>
        <w:right w:val="none" w:sz="0" w:space="0" w:color="auto"/>
      </w:divBdr>
    </w:div>
    <w:div w:id="74979507">
      <w:bodyDiv w:val="1"/>
      <w:marLeft w:val="0"/>
      <w:marRight w:val="0"/>
      <w:marTop w:val="0"/>
      <w:marBottom w:val="0"/>
      <w:divBdr>
        <w:top w:val="none" w:sz="0" w:space="0" w:color="auto"/>
        <w:left w:val="none" w:sz="0" w:space="0" w:color="auto"/>
        <w:bottom w:val="none" w:sz="0" w:space="0" w:color="auto"/>
        <w:right w:val="none" w:sz="0" w:space="0" w:color="auto"/>
      </w:divBdr>
      <w:divsChild>
        <w:div w:id="269095829">
          <w:marLeft w:val="547"/>
          <w:marRight w:val="0"/>
          <w:marTop w:val="96"/>
          <w:marBottom w:val="0"/>
          <w:divBdr>
            <w:top w:val="none" w:sz="0" w:space="0" w:color="auto"/>
            <w:left w:val="none" w:sz="0" w:space="0" w:color="auto"/>
            <w:bottom w:val="none" w:sz="0" w:space="0" w:color="auto"/>
            <w:right w:val="none" w:sz="0" w:space="0" w:color="auto"/>
          </w:divBdr>
        </w:div>
        <w:div w:id="868688280">
          <w:marLeft w:val="547"/>
          <w:marRight w:val="0"/>
          <w:marTop w:val="96"/>
          <w:marBottom w:val="0"/>
          <w:divBdr>
            <w:top w:val="none" w:sz="0" w:space="0" w:color="auto"/>
            <w:left w:val="none" w:sz="0" w:space="0" w:color="auto"/>
            <w:bottom w:val="none" w:sz="0" w:space="0" w:color="auto"/>
            <w:right w:val="none" w:sz="0" w:space="0" w:color="auto"/>
          </w:divBdr>
        </w:div>
        <w:div w:id="1885218961">
          <w:marLeft w:val="547"/>
          <w:marRight w:val="0"/>
          <w:marTop w:val="96"/>
          <w:marBottom w:val="0"/>
          <w:divBdr>
            <w:top w:val="none" w:sz="0" w:space="0" w:color="auto"/>
            <w:left w:val="none" w:sz="0" w:space="0" w:color="auto"/>
            <w:bottom w:val="none" w:sz="0" w:space="0" w:color="auto"/>
            <w:right w:val="none" w:sz="0" w:space="0" w:color="auto"/>
          </w:divBdr>
        </w:div>
        <w:div w:id="1952079772">
          <w:marLeft w:val="547"/>
          <w:marRight w:val="0"/>
          <w:marTop w:val="96"/>
          <w:marBottom w:val="0"/>
          <w:divBdr>
            <w:top w:val="none" w:sz="0" w:space="0" w:color="auto"/>
            <w:left w:val="none" w:sz="0" w:space="0" w:color="auto"/>
            <w:bottom w:val="none" w:sz="0" w:space="0" w:color="auto"/>
            <w:right w:val="none" w:sz="0" w:space="0" w:color="auto"/>
          </w:divBdr>
        </w:div>
        <w:div w:id="2145152623">
          <w:marLeft w:val="547"/>
          <w:marRight w:val="0"/>
          <w:marTop w:val="96"/>
          <w:marBottom w:val="0"/>
          <w:divBdr>
            <w:top w:val="none" w:sz="0" w:space="0" w:color="auto"/>
            <w:left w:val="none" w:sz="0" w:space="0" w:color="auto"/>
            <w:bottom w:val="none" w:sz="0" w:space="0" w:color="auto"/>
            <w:right w:val="none" w:sz="0" w:space="0" w:color="auto"/>
          </w:divBdr>
        </w:div>
      </w:divsChild>
    </w:div>
    <w:div w:id="104272765">
      <w:bodyDiv w:val="1"/>
      <w:marLeft w:val="0"/>
      <w:marRight w:val="0"/>
      <w:marTop w:val="0"/>
      <w:marBottom w:val="0"/>
      <w:divBdr>
        <w:top w:val="none" w:sz="0" w:space="0" w:color="auto"/>
        <w:left w:val="none" w:sz="0" w:space="0" w:color="auto"/>
        <w:bottom w:val="none" w:sz="0" w:space="0" w:color="auto"/>
        <w:right w:val="none" w:sz="0" w:space="0" w:color="auto"/>
      </w:divBdr>
    </w:div>
    <w:div w:id="132673537">
      <w:bodyDiv w:val="1"/>
      <w:marLeft w:val="0"/>
      <w:marRight w:val="0"/>
      <w:marTop w:val="0"/>
      <w:marBottom w:val="0"/>
      <w:divBdr>
        <w:top w:val="none" w:sz="0" w:space="0" w:color="auto"/>
        <w:left w:val="none" w:sz="0" w:space="0" w:color="auto"/>
        <w:bottom w:val="none" w:sz="0" w:space="0" w:color="auto"/>
        <w:right w:val="none" w:sz="0" w:space="0" w:color="auto"/>
      </w:divBdr>
    </w:div>
    <w:div w:id="178155066">
      <w:bodyDiv w:val="1"/>
      <w:marLeft w:val="0"/>
      <w:marRight w:val="0"/>
      <w:marTop w:val="0"/>
      <w:marBottom w:val="0"/>
      <w:divBdr>
        <w:top w:val="none" w:sz="0" w:space="0" w:color="auto"/>
        <w:left w:val="none" w:sz="0" w:space="0" w:color="auto"/>
        <w:bottom w:val="none" w:sz="0" w:space="0" w:color="auto"/>
        <w:right w:val="none" w:sz="0" w:space="0" w:color="auto"/>
      </w:divBdr>
    </w:div>
    <w:div w:id="195506370">
      <w:bodyDiv w:val="1"/>
      <w:marLeft w:val="0"/>
      <w:marRight w:val="0"/>
      <w:marTop w:val="0"/>
      <w:marBottom w:val="0"/>
      <w:divBdr>
        <w:top w:val="none" w:sz="0" w:space="0" w:color="auto"/>
        <w:left w:val="none" w:sz="0" w:space="0" w:color="auto"/>
        <w:bottom w:val="none" w:sz="0" w:space="0" w:color="auto"/>
        <w:right w:val="none" w:sz="0" w:space="0" w:color="auto"/>
      </w:divBdr>
    </w:div>
    <w:div w:id="240724264">
      <w:bodyDiv w:val="1"/>
      <w:marLeft w:val="0"/>
      <w:marRight w:val="0"/>
      <w:marTop w:val="0"/>
      <w:marBottom w:val="0"/>
      <w:divBdr>
        <w:top w:val="none" w:sz="0" w:space="0" w:color="auto"/>
        <w:left w:val="none" w:sz="0" w:space="0" w:color="auto"/>
        <w:bottom w:val="none" w:sz="0" w:space="0" w:color="auto"/>
        <w:right w:val="none" w:sz="0" w:space="0" w:color="auto"/>
      </w:divBdr>
    </w:div>
    <w:div w:id="259721014">
      <w:bodyDiv w:val="1"/>
      <w:marLeft w:val="0"/>
      <w:marRight w:val="0"/>
      <w:marTop w:val="0"/>
      <w:marBottom w:val="0"/>
      <w:divBdr>
        <w:top w:val="none" w:sz="0" w:space="0" w:color="auto"/>
        <w:left w:val="none" w:sz="0" w:space="0" w:color="auto"/>
        <w:bottom w:val="none" w:sz="0" w:space="0" w:color="auto"/>
        <w:right w:val="none" w:sz="0" w:space="0" w:color="auto"/>
      </w:divBdr>
    </w:div>
    <w:div w:id="319776535">
      <w:bodyDiv w:val="1"/>
      <w:marLeft w:val="0"/>
      <w:marRight w:val="0"/>
      <w:marTop w:val="0"/>
      <w:marBottom w:val="0"/>
      <w:divBdr>
        <w:top w:val="none" w:sz="0" w:space="0" w:color="auto"/>
        <w:left w:val="none" w:sz="0" w:space="0" w:color="auto"/>
        <w:bottom w:val="none" w:sz="0" w:space="0" w:color="auto"/>
        <w:right w:val="none" w:sz="0" w:space="0" w:color="auto"/>
      </w:divBdr>
    </w:div>
    <w:div w:id="321204093">
      <w:bodyDiv w:val="1"/>
      <w:marLeft w:val="0"/>
      <w:marRight w:val="0"/>
      <w:marTop w:val="0"/>
      <w:marBottom w:val="0"/>
      <w:divBdr>
        <w:top w:val="none" w:sz="0" w:space="0" w:color="auto"/>
        <w:left w:val="none" w:sz="0" w:space="0" w:color="auto"/>
        <w:bottom w:val="none" w:sz="0" w:space="0" w:color="auto"/>
        <w:right w:val="none" w:sz="0" w:space="0" w:color="auto"/>
      </w:divBdr>
      <w:divsChild>
        <w:div w:id="627710047">
          <w:marLeft w:val="274"/>
          <w:marRight w:val="0"/>
          <w:marTop w:val="0"/>
          <w:marBottom w:val="120"/>
          <w:divBdr>
            <w:top w:val="none" w:sz="0" w:space="0" w:color="auto"/>
            <w:left w:val="none" w:sz="0" w:space="0" w:color="auto"/>
            <w:bottom w:val="none" w:sz="0" w:space="0" w:color="auto"/>
            <w:right w:val="none" w:sz="0" w:space="0" w:color="auto"/>
          </w:divBdr>
        </w:div>
        <w:div w:id="1241335127">
          <w:marLeft w:val="274"/>
          <w:marRight w:val="0"/>
          <w:marTop w:val="0"/>
          <w:marBottom w:val="120"/>
          <w:divBdr>
            <w:top w:val="none" w:sz="0" w:space="0" w:color="auto"/>
            <w:left w:val="none" w:sz="0" w:space="0" w:color="auto"/>
            <w:bottom w:val="none" w:sz="0" w:space="0" w:color="auto"/>
            <w:right w:val="none" w:sz="0" w:space="0" w:color="auto"/>
          </w:divBdr>
        </w:div>
        <w:div w:id="1952738837">
          <w:marLeft w:val="274"/>
          <w:marRight w:val="0"/>
          <w:marTop w:val="0"/>
          <w:marBottom w:val="120"/>
          <w:divBdr>
            <w:top w:val="none" w:sz="0" w:space="0" w:color="auto"/>
            <w:left w:val="none" w:sz="0" w:space="0" w:color="auto"/>
            <w:bottom w:val="none" w:sz="0" w:space="0" w:color="auto"/>
            <w:right w:val="none" w:sz="0" w:space="0" w:color="auto"/>
          </w:divBdr>
        </w:div>
      </w:divsChild>
    </w:div>
    <w:div w:id="337316926">
      <w:bodyDiv w:val="1"/>
      <w:marLeft w:val="0"/>
      <w:marRight w:val="0"/>
      <w:marTop w:val="0"/>
      <w:marBottom w:val="0"/>
      <w:divBdr>
        <w:top w:val="none" w:sz="0" w:space="0" w:color="auto"/>
        <w:left w:val="none" w:sz="0" w:space="0" w:color="auto"/>
        <w:bottom w:val="none" w:sz="0" w:space="0" w:color="auto"/>
        <w:right w:val="none" w:sz="0" w:space="0" w:color="auto"/>
      </w:divBdr>
    </w:div>
    <w:div w:id="361976932">
      <w:bodyDiv w:val="1"/>
      <w:marLeft w:val="0"/>
      <w:marRight w:val="0"/>
      <w:marTop w:val="0"/>
      <w:marBottom w:val="0"/>
      <w:divBdr>
        <w:top w:val="none" w:sz="0" w:space="0" w:color="auto"/>
        <w:left w:val="none" w:sz="0" w:space="0" w:color="auto"/>
        <w:bottom w:val="none" w:sz="0" w:space="0" w:color="auto"/>
        <w:right w:val="none" w:sz="0" w:space="0" w:color="auto"/>
      </w:divBdr>
    </w:div>
    <w:div w:id="362902367">
      <w:bodyDiv w:val="1"/>
      <w:marLeft w:val="0"/>
      <w:marRight w:val="0"/>
      <w:marTop w:val="0"/>
      <w:marBottom w:val="0"/>
      <w:divBdr>
        <w:top w:val="none" w:sz="0" w:space="0" w:color="auto"/>
        <w:left w:val="none" w:sz="0" w:space="0" w:color="auto"/>
        <w:bottom w:val="none" w:sz="0" w:space="0" w:color="auto"/>
        <w:right w:val="none" w:sz="0" w:space="0" w:color="auto"/>
      </w:divBdr>
    </w:div>
    <w:div w:id="391272743">
      <w:bodyDiv w:val="1"/>
      <w:marLeft w:val="0"/>
      <w:marRight w:val="0"/>
      <w:marTop w:val="0"/>
      <w:marBottom w:val="0"/>
      <w:divBdr>
        <w:top w:val="none" w:sz="0" w:space="0" w:color="auto"/>
        <w:left w:val="none" w:sz="0" w:space="0" w:color="auto"/>
        <w:bottom w:val="none" w:sz="0" w:space="0" w:color="auto"/>
        <w:right w:val="none" w:sz="0" w:space="0" w:color="auto"/>
      </w:divBdr>
    </w:div>
    <w:div w:id="411241623">
      <w:bodyDiv w:val="1"/>
      <w:marLeft w:val="0"/>
      <w:marRight w:val="0"/>
      <w:marTop w:val="0"/>
      <w:marBottom w:val="0"/>
      <w:divBdr>
        <w:top w:val="none" w:sz="0" w:space="0" w:color="auto"/>
        <w:left w:val="none" w:sz="0" w:space="0" w:color="auto"/>
        <w:bottom w:val="none" w:sz="0" w:space="0" w:color="auto"/>
        <w:right w:val="none" w:sz="0" w:space="0" w:color="auto"/>
      </w:divBdr>
    </w:div>
    <w:div w:id="454296907">
      <w:bodyDiv w:val="1"/>
      <w:marLeft w:val="0"/>
      <w:marRight w:val="0"/>
      <w:marTop w:val="0"/>
      <w:marBottom w:val="0"/>
      <w:divBdr>
        <w:top w:val="none" w:sz="0" w:space="0" w:color="auto"/>
        <w:left w:val="none" w:sz="0" w:space="0" w:color="auto"/>
        <w:bottom w:val="none" w:sz="0" w:space="0" w:color="auto"/>
        <w:right w:val="none" w:sz="0" w:space="0" w:color="auto"/>
      </w:divBdr>
      <w:divsChild>
        <w:div w:id="71511788">
          <w:marLeft w:val="547"/>
          <w:marRight w:val="0"/>
          <w:marTop w:val="96"/>
          <w:marBottom w:val="0"/>
          <w:divBdr>
            <w:top w:val="none" w:sz="0" w:space="0" w:color="auto"/>
            <w:left w:val="none" w:sz="0" w:space="0" w:color="auto"/>
            <w:bottom w:val="none" w:sz="0" w:space="0" w:color="auto"/>
            <w:right w:val="none" w:sz="0" w:space="0" w:color="auto"/>
          </w:divBdr>
        </w:div>
        <w:div w:id="1117288067">
          <w:marLeft w:val="1166"/>
          <w:marRight w:val="0"/>
          <w:marTop w:val="86"/>
          <w:marBottom w:val="0"/>
          <w:divBdr>
            <w:top w:val="none" w:sz="0" w:space="0" w:color="auto"/>
            <w:left w:val="none" w:sz="0" w:space="0" w:color="auto"/>
            <w:bottom w:val="none" w:sz="0" w:space="0" w:color="auto"/>
            <w:right w:val="none" w:sz="0" w:space="0" w:color="auto"/>
          </w:divBdr>
        </w:div>
        <w:div w:id="1157724082">
          <w:marLeft w:val="547"/>
          <w:marRight w:val="0"/>
          <w:marTop w:val="96"/>
          <w:marBottom w:val="0"/>
          <w:divBdr>
            <w:top w:val="none" w:sz="0" w:space="0" w:color="auto"/>
            <w:left w:val="none" w:sz="0" w:space="0" w:color="auto"/>
            <w:bottom w:val="none" w:sz="0" w:space="0" w:color="auto"/>
            <w:right w:val="none" w:sz="0" w:space="0" w:color="auto"/>
          </w:divBdr>
        </w:div>
        <w:div w:id="1539589357">
          <w:marLeft w:val="547"/>
          <w:marRight w:val="0"/>
          <w:marTop w:val="96"/>
          <w:marBottom w:val="0"/>
          <w:divBdr>
            <w:top w:val="none" w:sz="0" w:space="0" w:color="auto"/>
            <w:left w:val="none" w:sz="0" w:space="0" w:color="auto"/>
            <w:bottom w:val="none" w:sz="0" w:space="0" w:color="auto"/>
            <w:right w:val="none" w:sz="0" w:space="0" w:color="auto"/>
          </w:divBdr>
        </w:div>
        <w:div w:id="1877808634">
          <w:marLeft w:val="1166"/>
          <w:marRight w:val="0"/>
          <w:marTop w:val="86"/>
          <w:marBottom w:val="0"/>
          <w:divBdr>
            <w:top w:val="none" w:sz="0" w:space="0" w:color="auto"/>
            <w:left w:val="none" w:sz="0" w:space="0" w:color="auto"/>
            <w:bottom w:val="none" w:sz="0" w:space="0" w:color="auto"/>
            <w:right w:val="none" w:sz="0" w:space="0" w:color="auto"/>
          </w:divBdr>
        </w:div>
      </w:divsChild>
    </w:div>
    <w:div w:id="458694616">
      <w:bodyDiv w:val="1"/>
      <w:marLeft w:val="0"/>
      <w:marRight w:val="0"/>
      <w:marTop w:val="0"/>
      <w:marBottom w:val="0"/>
      <w:divBdr>
        <w:top w:val="none" w:sz="0" w:space="0" w:color="auto"/>
        <w:left w:val="none" w:sz="0" w:space="0" w:color="auto"/>
        <w:bottom w:val="none" w:sz="0" w:space="0" w:color="auto"/>
        <w:right w:val="none" w:sz="0" w:space="0" w:color="auto"/>
      </w:divBdr>
    </w:div>
    <w:div w:id="520978074">
      <w:bodyDiv w:val="1"/>
      <w:marLeft w:val="0"/>
      <w:marRight w:val="0"/>
      <w:marTop w:val="0"/>
      <w:marBottom w:val="0"/>
      <w:divBdr>
        <w:top w:val="none" w:sz="0" w:space="0" w:color="auto"/>
        <w:left w:val="none" w:sz="0" w:space="0" w:color="auto"/>
        <w:bottom w:val="none" w:sz="0" w:space="0" w:color="auto"/>
        <w:right w:val="none" w:sz="0" w:space="0" w:color="auto"/>
      </w:divBdr>
    </w:div>
    <w:div w:id="543374607">
      <w:bodyDiv w:val="1"/>
      <w:marLeft w:val="0"/>
      <w:marRight w:val="0"/>
      <w:marTop w:val="0"/>
      <w:marBottom w:val="0"/>
      <w:divBdr>
        <w:top w:val="none" w:sz="0" w:space="0" w:color="auto"/>
        <w:left w:val="none" w:sz="0" w:space="0" w:color="auto"/>
        <w:bottom w:val="none" w:sz="0" w:space="0" w:color="auto"/>
        <w:right w:val="none" w:sz="0" w:space="0" w:color="auto"/>
      </w:divBdr>
    </w:div>
    <w:div w:id="581067241">
      <w:bodyDiv w:val="1"/>
      <w:marLeft w:val="0"/>
      <w:marRight w:val="0"/>
      <w:marTop w:val="0"/>
      <w:marBottom w:val="0"/>
      <w:divBdr>
        <w:top w:val="none" w:sz="0" w:space="0" w:color="auto"/>
        <w:left w:val="none" w:sz="0" w:space="0" w:color="auto"/>
        <w:bottom w:val="none" w:sz="0" w:space="0" w:color="auto"/>
        <w:right w:val="none" w:sz="0" w:space="0" w:color="auto"/>
      </w:divBdr>
    </w:div>
    <w:div w:id="583495020">
      <w:bodyDiv w:val="1"/>
      <w:marLeft w:val="0"/>
      <w:marRight w:val="0"/>
      <w:marTop w:val="0"/>
      <w:marBottom w:val="0"/>
      <w:divBdr>
        <w:top w:val="none" w:sz="0" w:space="0" w:color="auto"/>
        <w:left w:val="none" w:sz="0" w:space="0" w:color="auto"/>
        <w:bottom w:val="none" w:sz="0" w:space="0" w:color="auto"/>
        <w:right w:val="none" w:sz="0" w:space="0" w:color="auto"/>
      </w:divBdr>
    </w:div>
    <w:div w:id="586304519">
      <w:bodyDiv w:val="1"/>
      <w:marLeft w:val="0"/>
      <w:marRight w:val="0"/>
      <w:marTop w:val="0"/>
      <w:marBottom w:val="0"/>
      <w:divBdr>
        <w:top w:val="none" w:sz="0" w:space="0" w:color="auto"/>
        <w:left w:val="none" w:sz="0" w:space="0" w:color="auto"/>
        <w:bottom w:val="none" w:sz="0" w:space="0" w:color="auto"/>
        <w:right w:val="none" w:sz="0" w:space="0" w:color="auto"/>
      </w:divBdr>
    </w:div>
    <w:div w:id="591201416">
      <w:bodyDiv w:val="1"/>
      <w:marLeft w:val="0"/>
      <w:marRight w:val="0"/>
      <w:marTop w:val="0"/>
      <w:marBottom w:val="0"/>
      <w:divBdr>
        <w:top w:val="none" w:sz="0" w:space="0" w:color="auto"/>
        <w:left w:val="none" w:sz="0" w:space="0" w:color="auto"/>
        <w:bottom w:val="none" w:sz="0" w:space="0" w:color="auto"/>
        <w:right w:val="none" w:sz="0" w:space="0" w:color="auto"/>
      </w:divBdr>
    </w:div>
    <w:div w:id="611059919">
      <w:bodyDiv w:val="1"/>
      <w:marLeft w:val="0"/>
      <w:marRight w:val="0"/>
      <w:marTop w:val="0"/>
      <w:marBottom w:val="0"/>
      <w:divBdr>
        <w:top w:val="none" w:sz="0" w:space="0" w:color="auto"/>
        <w:left w:val="none" w:sz="0" w:space="0" w:color="auto"/>
        <w:bottom w:val="none" w:sz="0" w:space="0" w:color="auto"/>
        <w:right w:val="none" w:sz="0" w:space="0" w:color="auto"/>
      </w:divBdr>
    </w:div>
    <w:div w:id="619343809">
      <w:bodyDiv w:val="1"/>
      <w:marLeft w:val="0"/>
      <w:marRight w:val="0"/>
      <w:marTop w:val="0"/>
      <w:marBottom w:val="0"/>
      <w:divBdr>
        <w:top w:val="none" w:sz="0" w:space="0" w:color="auto"/>
        <w:left w:val="none" w:sz="0" w:space="0" w:color="auto"/>
        <w:bottom w:val="none" w:sz="0" w:space="0" w:color="auto"/>
        <w:right w:val="none" w:sz="0" w:space="0" w:color="auto"/>
      </w:divBdr>
    </w:div>
    <w:div w:id="646476194">
      <w:bodyDiv w:val="1"/>
      <w:marLeft w:val="0"/>
      <w:marRight w:val="0"/>
      <w:marTop w:val="0"/>
      <w:marBottom w:val="0"/>
      <w:divBdr>
        <w:top w:val="none" w:sz="0" w:space="0" w:color="auto"/>
        <w:left w:val="none" w:sz="0" w:space="0" w:color="auto"/>
        <w:bottom w:val="none" w:sz="0" w:space="0" w:color="auto"/>
        <w:right w:val="none" w:sz="0" w:space="0" w:color="auto"/>
      </w:divBdr>
    </w:div>
    <w:div w:id="662585322">
      <w:bodyDiv w:val="1"/>
      <w:marLeft w:val="0"/>
      <w:marRight w:val="0"/>
      <w:marTop w:val="0"/>
      <w:marBottom w:val="0"/>
      <w:divBdr>
        <w:top w:val="none" w:sz="0" w:space="0" w:color="auto"/>
        <w:left w:val="none" w:sz="0" w:space="0" w:color="auto"/>
        <w:bottom w:val="none" w:sz="0" w:space="0" w:color="auto"/>
        <w:right w:val="none" w:sz="0" w:space="0" w:color="auto"/>
      </w:divBdr>
    </w:div>
    <w:div w:id="696084178">
      <w:bodyDiv w:val="1"/>
      <w:marLeft w:val="0"/>
      <w:marRight w:val="0"/>
      <w:marTop w:val="0"/>
      <w:marBottom w:val="0"/>
      <w:divBdr>
        <w:top w:val="none" w:sz="0" w:space="0" w:color="auto"/>
        <w:left w:val="none" w:sz="0" w:space="0" w:color="auto"/>
        <w:bottom w:val="none" w:sz="0" w:space="0" w:color="auto"/>
        <w:right w:val="none" w:sz="0" w:space="0" w:color="auto"/>
      </w:divBdr>
    </w:div>
    <w:div w:id="704645376">
      <w:bodyDiv w:val="1"/>
      <w:marLeft w:val="0"/>
      <w:marRight w:val="0"/>
      <w:marTop w:val="0"/>
      <w:marBottom w:val="0"/>
      <w:divBdr>
        <w:top w:val="none" w:sz="0" w:space="0" w:color="auto"/>
        <w:left w:val="none" w:sz="0" w:space="0" w:color="auto"/>
        <w:bottom w:val="none" w:sz="0" w:space="0" w:color="auto"/>
        <w:right w:val="none" w:sz="0" w:space="0" w:color="auto"/>
      </w:divBdr>
    </w:div>
    <w:div w:id="789513188">
      <w:bodyDiv w:val="1"/>
      <w:marLeft w:val="0"/>
      <w:marRight w:val="0"/>
      <w:marTop w:val="0"/>
      <w:marBottom w:val="0"/>
      <w:divBdr>
        <w:top w:val="none" w:sz="0" w:space="0" w:color="auto"/>
        <w:left w:val="none" w:sz="0" w:space="0" w:color="auto"/>
        <w:bottom w:val="none" w:sz="0" w:space="0" w:color="auto"/>
        <w:right w:val="none" w:sz="0" w:space="0" w:color="auto"/>
      </w:divBdr>
      <w:divsChild>
        <w:div w:id="253511458">
          <w:marLeft w:val="274"/>
          <w:marRight w:val="0"/>
          <w:marTop w:val="0"/>
          <w:marBottom w:val="120"/>
          <w:divBdr>
            <w:top w:val="none" w:sz="0" w:space="0" w:color="auto"/>
            <w:left w:val="none" w:sz="0" w:space="0" w:color="auto"/>
            <w:bottom w:val="none" w:sz="0" w:space="0" w:color="auto"/>
            <w:right w:val="none" w:sz="0" w:space="0" w:color="auto"/>
          </w:divBdr>
        </w:div>
        <w:div w:id="714429407">
          <w:marLeft w:val="274"/>
          <w:marRight w:val="0"/>
          <w:marTop w:val="0"/>
          <w:marBottom w:val="120"/>
          <w:divBdr>
            <w:top w:val="none" w:sz="0" w:space="0" w:color="auto"/>
            <w:left w:val="none" w:sz="0" w:space="0" w:color="auto"/>
            <w:bottom w:val="none" w:sz="0" w:space="0" w:color="auto"/>
            <w:right w:val="none" w:sz="0" w:space="0" w:color="auto"/>
          </w:divBdr>
        </w:div>
        <w:div w:id="1166821979">
          <w:marLeft w:val="274"/>
          <w:marRight w:val="0"/>
          <w:marTop w:val="0"/>
          <w:marBottom w:val="120"/>
          <w:divBdr>
            <w:top w:val="none" w:sz="0" w:space="0" w:color="auto"/>
            <w:left w:val="none" w:sz="0" w:space="0" w:color="auto"/>
            <w:bottom w:val="none" w:sz="0" w:space="0" w:color="auto"/>
            <w:right w:val="none" w:sz="0" w:space="0" w:color="auto"/>
          </w:divBdr>
        </w:div>
      </w:divsChild>
    </w:div>
    <w:div w:id="818115622">
      <w:bodyDiv w:val="1"/>
      <w:marLeft w:val="0"/>
      <w:marRight w:val="0"/>
      <w:marTop w:val="0"/>
      <w:marBottom w:val="0"/>
      <w:divBdr>
        <w:top w:val="none" w:sz="0" w:space="0" w:color="auto"/>
        <w:left w:val="none" w:sz="0" w:space="0" w:color="auto"/>
        <w:bottom w:val="none" w:sz="0" w:space="0" w:color="auto"/>
        <w:right w:val="none" w:sz="0" w:space="0" w:color="auto"/>
      </w:divBdr>
      <w:divsChild>
        <w:div w:id="36438465">
          <w:marLeft w:val="547"/>
          <w:marRight w:val="0"/>
          <w:marTop w:val="115"/>
          <w:marBottom w:val="0"/>
          <w:divBdr>
            <w:top w:val="none" w:sz="0" w:space="0" w:color="auto"/>
            <w:left w:val="none" w:sz="0" w:space="0" w:color="auto"/>
            <w:bottom w:val="none" w:sz="0" w:space="0" w:color="auto"/>
            <w:right w:val="none" w:sz="0" w:space="0" w:color="auto"/>
          </w:divBdr>
        </w:div>
        <w:div w:id="256863259">
          <w:marLeft w:val="547"/>
          <w:marRight w:val="0"/>
          <w:marTop w:val="115"/>
          <w:marBottom w:val="0"/>
          <w:divBdr>
            <w:top w:val="none" w:sz="0" w:space="0" w:color="auto"/>
            <w:left w:val="none" w:sz="0" w:space="0" w:color="auto"/>
            <w:bottom w:val="none" w:sz="0" w:space="0" w:color="auto"/>
            <w:right w:val="none" w:sz="0" w:space="0" w:color="auto"/>
          </w:divBdr>
        </w:div>
        <w:div w:id="552887498">
          <w:marLeft w:val="547"/>
          <w:marRight w:val="0"/>
          <w:marTop w:val="115"/>
          <w:marBottom w:val="0"/>
          <w:divBdr>
            <w:top w:val="none" w:sz="0" w:space="0" w:color="auto"/>
            <w:left w:val="none" w:sz="0" w:space="0" w:color="auto"/>
            <w:bottom w:val="none" w:sz="0" w:space="0" w:color="auto"/>
            <w:right w:val="none" w:sz="0" w:space="0" w:color="auto"/>
          </w:divBdr>
        </w:div>
        <w:div w:id="657415898">
          <w:marLeft w:val="547"/>
          <w:marRight w:val="0"/>
          <w:marTop w:val="115"/>
          <w:marBottom w:val="0"/>
          <w:divBdr>
            <w:top w:val="none" w:sz="0" w:space="0" w:color="auto"/>
            <w:left w:val="none" w:sz="0" w:space="0" w:color="auto"/>
            <w:bottom w:val="none" w:sz="0" w:space="0" w:color="auto"/>
            <w:right w:val="none" w:sz="0" w:space="0" w:color="auto"/>
          </w:divBdr>
        </w:div>
        <w:div w:id="853307102">
          <w:marLeft w:val="1800"/>
          <w:marRight w:val="0"/>
          <w:marTop w:val="115"/>
          <w:marBottom w:val="0"/>
          <w:divBdr>
            <w:top w:val="none" w:sz="0" w:space="0" w:color="auto"/>
            <w:left w:val="none" w:sz="0" w:space="0" w:color="auto"/>
            <w:bottom w:val="none" w:sz="0" w:space="0" w:color="auto"/>
            <w:right w:val="none" w:sz="0" w:space="0" w:color="auto"/>
          </w:divBdr>
        </w:div>
        <w:div w:id="1062755301">
          <w:marLeft w:val="1800"/>
          <w:marRight w:val="0"/>
          <w:marTop w:val="115"/>
          <w:marBottom w:val="0"/>
          <w:divBdr>
            <w:top w:val="none" w:sz="0" w:space="0" w:color="auto"/>
            <w:left w:val="none" w:sz="0" w:space="0" w:color="auto"/>
            <w:bottom w:val="none" w:sz="0" w:space="0" w:color="auto"/>
            <w:right w:val="none" w:sz="0" w:space="0" w:color="auto"/>
          </w:divBdr>
        </w:div>
        <w:div w:id="1128860527">
          <w:marLeft w:val="1800"/>
          <w:marRight w:val="0"/>
          <w:marTop w:val="115"/>
          <w:marBottom w:val="0"/>
          <w:divBdr>
            <w:top w:val="none" w:sz="0" w:space="0" w:color="auto"/>
            <w:left w:val="none" w:sz="0" w:space="0" w:color="auto"/>
            <w:bottom w:val="none" w:sz="0" w:space="0" w:color="auto"/>
            <w:right w:val="none" w:sz="0" w:space="0" w:color="auto"/>
          </w:divBdr>
        </w:div>
        <w:div w:id="1761756589">
          <w:marLeft w:val="547"/>
          <w:marRight w:val="0"/>
          <w:marTop w:val="115"/>
          <w:marBottom w:val="0"/>
          <w:divBdr>
            <w:top w:val="none" w:sz="0" w:space="0" w:color="auto"/>
            <w:left w:val="none" w:sz="0" w:space="0" w:color="auto"/>
            <w:bottom w:val="none" w:sz="0" w:space="0" w:color="auto"/>
            <w:right w:val="none" w:sz="0" w:space="0" w:color="auto"/>
          </w:divBdr>
        </w:div>
      </w:divsChild>
    </w:div>
    <w:div w:id="836962455">
      <w:bodyDiv w:val="1"/>
      <w:marLeft w:val="0"/>
      <w:marRight w:val="0"/>
      <w:marTop w:val="0"/>
      <w:marBottom w:val="0"/>
      <w:divBdr>
        <w:top w:val="none" w:sz="0" w:space="0" w:color="auto"/>
        <w:left w:val="none" w:sz="0" w:space="0" w:color="auto"/>
        <w:bottom w:val="none" w:sz="0" w:space="0" w:color="auto"/>
        <w:right w:val="none" w:sz="0" w:space="0" w:color="auto"/>
      </w:divBdr>
    </w:div>
    <w:div w:id="837769589">
      <w:bodyDiv w:val="1"/>
      <w:marLeft w:val="0"/>
      <w:marRight w:val="0"/>
      <w:marTop w:val="0"/>
      <w:marBottom w:val="0"/>
      <w:divBdr>
        <w:top w:val="none" w:sz="0" w:space="0" w:color="auto"/>
        <w:left w:val="none" w:sz="0" w:space="0" w:color="auto"/>
        <w:bottom w:val="none" w:sz="0" w:space="0" w:color="auto"/>
        <w:right w:val="none" w:sz="0" w:space="0" w:color="auto"/>
      </w:divBdr>
    </w:div>
    <w:div w:id="862937830">
      <w:bodyDiv w:val="1"/>
      <w:marLeft w:val="0"/>
      <w:marRight w:val="0"/>
      <w:marTop w:val="0"/>
      <w:marBottom w:val="0"/>
      <w:divBdr>
        <w:top w:val="none" w:sz="0" w:space="0" w:color="auto"/>
        <w:left w:val="none" w:sz="0" w:space="0" w:color="auto"/>
        <w:bottom w:val="none" w:sz="0" w:space="0" w:color="auto"/>
        <w:right w:val="none" w:sz="0" w:space="0" w:color="auto"/>
      </w:divBdr>
    </w:div>
    <w:div w:id="887372780">
      <w:bodyDiv w:val="1"/>
      <w:marLeft w:val="0"/>
      <w:marRight w:val="0"/>
      <w:marTop w:val="0"/>
      <w:marBottom w:val="0"/>
      <w:divBdr>
        <w:top w:val="none" w:sz="0" w:space="0" w:color="auto"/>
        <w:left w:val="none" w:sz="0" w:space="0" w:color="auto"/>
        <w:bottom w:val="none" w:sz="0" w:space="0" w:color="auto"/>
        <w:right w:val="none" w:sz="0" w:space="0" w:color="auto"/>
      </w:divBdr>
    </w:div>
    <w:div w:id="893347531">
      <w:bodyDiv w:val="1"/>
      <w:marLeft w:val="0"/>
      <w:marRight w:val="0"/>
      <w:marTop w:val="0"/>
      <w:marBottom w:val="0"/>
      <w:divBdr>
        <w:top w:val="none" w:sz="0" w:space="0" w:color="auto"/>
        <w:left w:val="none" w:sz="0" w:space="0" w:color="auto"/>
        <w:bottom w:val="none" w:sz="0" w:space="0" w:color="auto"/>
        <w:right w:val="none" w:sz="0" w:space="0" w:color="auto"/>
      </w:divBdr>
    </w:div>
    <w:div w:id="915357072">
      <w:bodyDiv w:val="1"/>
      <w:marLeft w:val="0"/>
      <w:marRight w:val="0"/>
      <w:marTop w:val="0"/>
      <w:marBottom w:val="0"/>
      <w:divBdr>
        <w:top w:val="none" w:sz="0" w:space="0" w:color="auto"/>
        <w:left w:val="none" w:sz="0" w:space="0" w:color="auto"/>
        <w:bottom w:val="none" w:sz="0" w:space="0" w:color="auto"/>
        <w:right w:val="none" w:sz="0" w:space="0" w:color="auto"/>
      </w:divBdr>
    </w:div>
    <w:div w:id="940451340">
      <w:bodyDiv w:val="1"/>
      <w:marLeft w:val="0"/>
      <w:marRight w:val="0"/>
      <w:marTop w:val="0"/>
      <w:marBottom w:val="0"/>
      <w:divBdr>
        <w:top w:val="none" w:sz="0" w:space="0" w:color="auto"/>
        <w:left w:val="none" w:sz="0" w:space="0" w:color="auto"/>
        <w:bottom w:val="none" w:sz="0" w:space="0" w:color="auto"/>
        <w:right w:val="none" w:sz="0" w:space="0" w:color="auto"/>
      </w:divBdr>
    </w:div>
    <w:div w:id="943725501">
      <w:bodyDiv w:val="1"/>
      <w:marLeft w:val="0"/>
      <w:marRight w:val="0"/>
      <w:marTop w:val="0"/>
      <w:marBottom w:val="0"/>
      <w:divBdr>
        <w:top w:val="none" w:sz="0" w:space="0" w:color="auto"/>
        <w:left w:val="none" w:sz="0" w:space="0" w:color="auto"/>
        <w:bottom w:val="none" w:sz="0" w:space="0" w:color="auto"/>
        <w:right w:val="none" w:sz="0" w:space="0" w:color="auto"/>
      </w:divBdr>
    </w:div>
    <w:div w:id="958534888">
      <w:bodyDiv w:val="1"/>
      <w:marLeft w:val="0"/>
      <w:marRight w:val="0"/>
      <w:marTop w:val="0"/>
      <w:marBottom w:val="0"/>
      <w:divBdr>
        <w:top w:val="none" w:sz="0" w:space="0" w:color="auto"/>
        <w:left w:val="none" w:sz="0" w:space="0" w:color="auto"/>
        <w:bottom w:val="none" w:sz="0" w:space="0" w:color="auto"/>
        <w:right w:val="none" w:sz="0" w:space="0" w:color="auto"/>
      </w:divBdr>
    </w:div>
    <w:div w:id="1061177295">
      <w:bodyDiv w:val="1"/>
      <w:marLeft w:val="0"/>
      <w:marRight w:val="0"/>
      <w:marTop w:val="0"/>
      <w:marBottom w:val="0"/>
      <w:divBdr>
        <w:top w:val="none" w:sz="0" w:space="0" w:color="auto"/>
        <w:left w:val="none" w:sz="0" w:space="0" w:color="auto"/>
        <w:bottom w:val="none" w:sz="0" w:space="0" w:color="auto"/>
        <w:right w:val="none" w:sz="0" w:space="0" w:color="auto"/>
      </w:divBdr>
      <w:divsChild>
        <w:div w:id="1579704158">
          <w:marLeft w:val="0"/>
          <w:marRight w:val="0"/>
          <w:marTop w:val="0"/>
          <w:marBottom w:val="0"/>
          <w:divBdr>
            <w:top w:val="none" w:sz="0" w:space="0" w:color="auto"/>
            <w:left w:val="none" w:sz="0" w:space="0" w:color="auto"/>
            <w:bottom w:val="none" w:sz="0" w:space="0" w:color="auto"/>
            <w:right w:val="none" w:sz="0" w:space="0" w:color="auto"/>
          </w:divBdr>
          <w:divsChild>
            <w:div w:id="967972518">
              <w:marLeft w:val="0"/>
              <w:marRight w:val="0"/>
              <w:marTop w:val="0"/>
              <w:marBottom w:val="0"/>
              <w:divBdr>
                <w:top w:val="none" w:sz="0" w:space="0" w:color="auto"/>
                <w:left w:val="none" w:sz="0" w:space="0" w:color="auto"/>
                <w:bottom w:val="single" w:sz="6" w:space="4" w:color="B2B2B2"/>
                <w:right w:val="none" w:sz="0" w:space="0" w:color="auto"/>
              </w:divBdr>
              <w:divsChild>
                <w:div w:id="1023554892">
                  <w:marLeft w:val="0"/>
                  <w:marRight w:val="0"/>
                  <w:marTop w:val="0"/>
                  <w:marBottom w:val="0"/>
                  <w:divBdr>
                    <w:top w:val="none" w:sz="0" w:space="0" w:color="auto"/>
                    <w:left w:val="none" w:sz="0" w:space="0" w:color="auto"/>
                    <w:bottom w:val="none" w:sz="0" w:space="0" w:color="auto"/>
                    <w:right w:val="none" w:sz="0" w:space="0" w:color="auto"/>
                  </w:divBdr>
                  <w:divsChild>
                    <w:div w:id="2076396701">
                      <w:marLeft w:val="0"/>
                      <w:marRight w:val="0"/>
                      <w:marTop w:val="0"/>
                      <w:marBottom w:val="0"/>
                      <w:divBdr>
                        <w:top w:val="none" w:sz="0" w:space="0" w:color="auto"/>
                        <w:left w:val="none" w:sz="0" w:space="0" w:color="auto"/>
                        <w:bottom w:val="none" w:sz="0" w:space="0" w:color="auto"/>
                        <w:right w:val="none" w:sz="0" w:space="0" w:color="auto"/>
                      </w:divBdr>
                      <w:divsChild>
                        <w:div w:id="468938629">
                          <w:marLeft w:val="0"/>
                          <w:marRight w:val="0"/>
                          <w:marTop w:val="0"/>
                          <w:marBottom w:val="0"/>
                          <w:divBdr>
                            <w:top w:val="none" w:sz="0" w:space="0" w:color="auto"/>
                            <w:left w:val="none" w:sz="0" w:space="0" w:color="auto"/>
                            <w:bottom w:val="none" w:sz="0" w:space="0" w:color="auto"/>
                            <w:right w:val="none" w:sz="0" w:space="0" w:color="auto"/>
                          </w:divBdr>
                          <w:divsChild>
                            <w:div w:id="19937561">
                              <w:marLeft w:val="0"/>
                              <w:marRight w:val="0"/>
                              <w:marTop w:val="0"/>
                              <w:marBottom w:val="0"/>
                              <w:divBdr>
                                <w:top w:val="none" w:sz="0" w:space="0" w:color="auto"/>
                                <w:left w:val="none" w:sz="0" w:space="0" w:color="auto"/>
                                <w:bottom w:val="none" w:sz="0" w:space="0" w:color="auto"/>
                                <w:right w:val="none" w:sz="0" w:space="0" w:color="auto"/>
                              </w:divBdr>
                              <w:divsChild>
                                <w:div w:id="175465749">
                                  <w:marLeft w:val="0"/>
                                  <w:marRight w:val="0"/>
                                  <w:marTop w:val="0"/>
                                  <w:marBottom w:val="0"/>
                                  <w:divBdr>
                                    <w:top w:val="none" w:sz="0" w:space="0" w:color="auto"/>
                                    <w:left w:val="none" w:sz="0" w:space="0" w:color="auto"/>
                                    <w:bottom w:val="none" w:sz="0" w:space="0" w:color="auto"/>
                                    <w:right w:val="none" w:sz="0" w:space="0" w:color="auto"/>
                                  </w:divBdr>
                                  <w:divsChild>
                                    <w:div w:id="775103944">
                                      <w:marLeft w:val="0"/>
                                      <w:marRight w:val="0"/>
                                      <w:marTop w:val="0"/>
                                      <w:marBottom w:val="0"/>
                                      <w:divBdr>
                                        <w:top w:val="none" w:sz="0" w:space="0" w:color="auto"/>
                                        <w:left w:val="none" w:sz="0" w:space="0" w:color="auto"/>
                                        <w:bottom w:val="none" w:sz="0" w:space="0" w:color="auto"/>
                                        <w:right w:val="none" w:sz="0" w:space="0" w:color="auto"/>
                                      </w:divBdr>
                                      <w:divsChild>
                                        <w:div w:id="1971550237">
                                          <w:marLeft w:val="0"/>
                                          <w:marRight w:val="0"/>
                                          <w:marTop w:val="0"/>
                                          <w:marBottom w:val="0"/>
                                          <w:divBdr>
                                            <w:top w:val="none" w:sz="0" w:space="0" w:color="auto"/>
                                            <w:left w:val="none" w:sz="0" w:space="0" w:color="auto"/>
                                            <w:bottom w:val="none" w:sz="0" w:space="0" w:color="auto"/>
                                            <w:right w:val="none" w:sz="0" w:space="0" w:color="auto"/>
                                          </w:divBdr>
                                          <w:divsChild>
                                            <w:div w:id="2101368614">
                                              <w:marLeft w:val="3000"/>
                                              <w:marRight w:val="0"/>
                                              <w:marTop w:val="0"/>
                                              <w:marBottom w:val="0"/>
                                              <w:divBdr>
                                                <w:top w:val="none" w:sz="0" w:space="0" w:color="auto"/>
                                                <w:left w:val="none" w:sz="0" w:space="0" w:color="auto"/>
                                                <w:bottom w:val="none" w:sz="0" w:space="0" w:color="auto"/>
                                                <w:right w:val="none" w:sz="0" w:space="0" w:color="auto"/>
                                              </w:divBdr>
                                              <w:divsChild>
                                                <w:div w:id="1329821257">
                                                  <w:marLeft w:val="0"/>
                                                  <w:marRight w:val="0"/>
                                                  <w:marTop w:val="0"/>
                                                  <w:marBottom w:val="0"/>
                                                  <w:divBdr>
                                                    <w:top w:val="none" w:sz="0" w:space="0" w:color="auto"/>
                                                    <w:left w:val="none" w:sz="0" w:space="0" w:color="auto"/>
                                                    <w:bottom w:val="none" w:sz="0" w:space="0" w:color="auto"/>
                                                    <w:right w:val="none" w:sz="0" w:space="0" w:color="auto"/>
                                                  </w:divBdr>
                                                  <w:divsChild>
                                                    <w:div w:id="426317094">
                                                      <w:marLeft w:val="0"/>
                                                      <w:marRight w:val="0"/>
                                                      <w:marTop w:val="0"/>
                                                      <w:marBottom w:val="0"/>
                                                      <w:divBdr>
                                                        <w:top w:val="none" w:sz="0" w:space="0" w:color="auto"/>
                                                        <w:left w:val="none" w:sz="0" w:space="0" w:color="auto"/>
                                                        <w:bottom w:val="none" w:sz="0" w:space="0" w:color="auto"/>
                                                        <w:right w:val="none" w:sz="0" w:space="0" w:color="auto"/>
                                                      </w:divBdr>
                                                      <w:divsChild>
                                                        <w:div w:id="253244337">
                                                          <w:marLeft w:val="0"/>
                                                          <w:marRight w:val="0"/>
                                                          <w:marTop w:val="0"/>
                                                          <w:marBottom w:val="0"/>
                                                          <w:divBdr>
                                                            <w:top w:val="none" w:sz="0" w:space="0" w:color="auto"/>
                                                            <w:left w:val="none" w:sz="0" w:space="0" w:color="auto"/>
                                                            <w:bottom w:val="none" w:sz="0" w:space="0" w:color="auto"/>
                                                            <w:right w:val="none" w:sz="0" w:space="0" w:color="auto"/>
                                                          </w:divBdr>
                                                          <w:divsChild>
                                                            <w:div w:id="212935619">
                                                              <w:marLeft w:val="0"/>
                                                              <w:marRight w:val="0"/>
                                                              <w:marTop w:val="0"/>
                                                              <w:marBottom w:val="0"/>
                                                              <w:divBdr>
                                                                <w:top w:val="none" w:sz="0" w:space="0" w:color="auto"/>
                                                                <w:left w:val="none" w:sz="0" w:space="0" w:color="auto"/>
                                                                <w:bottom w:val="none" w:sz="0" w:space="0" w:color="auto"/>
                                                                <w:right w:val="none" w:sz="0" w:space="0" w:color="auto"/>
                                                              </w:divBdr>
                                                              <w:divsChild>
                                                                <w:div w:id="1853956529">
                                                                  <w:marLeft w:val="0"/>
                                                                  <w:marRight w:val="0"/>
                                                                  <w:marTop w:val="0"/>
                                                                  <w:marBottom w:val="0"/>
                                                                  <w:divBdr>
                                                                    <w:top w:val="none" w:sz="0" w:space="0" w:color="auto"/>
                                                                    <w:left w:val="none" w:sz="0" w:space="0" w:color="auto"/>
                                                                    <w:bottom w:val="none" w:sz="0" w:space="0" w:color="auto"/>
                                                                    <w:right w:val="none" w:sz="0" w:space="0" w:color="auto"/>
                                                                  </w:divBdr>
                                                                  <w:divsChild>
                                                                    <w:div w:id="859510064">
                                                                      <w:marLeft w:val="0"/>
                                                                      <w:marRight w:val="0"/>
                                                                      <w:marTop w:val="75"/>
                                                                      <w:marBottom w:val="0"/>
                                                                      <w:divBdr>
                                                                        <w:top w:val="none" w:sz="0" w:space="0" w:color="auto"/>
                                                                        <w:left w:val="none" w:sz="0" w:space="0" w:color="auto"/>
                                                                        <w:bottom w:val="none" w:sz="0" w:space="0" w:color="auto"/>
                                                                        <w:right w:val="none" w:sz="0" w:space="0" w:color="auto"/>
                                                                      </w:divBdr>
                                                                      <w:divsChild>
                                                                        <w:div w:id="8919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36219">
      <w:bodyDiv w:val="1"/>
      <w:marLeft w:val="0"/>
      <w:marRight w:val="0"/>
      <w:marTop w:val="0"/>
      <w:marBottom w:val="0"/>
      <w:divBdr>
        <w:top w:val="none" w:sz="0" w:space="0" w:color="auto"/>
        <w:left w:val="none" w:sz="0" w:space="0" w:color="auto"/>
        <w:bottom w:val="none" w:sz="0" w:space="0" w:color="auto"/>
        <w:right w:val="none" w:sz="0" w:space="0" w:color="auto"/>
      </w:divBdr>
    </w:div>
    <w:div w:id="1110708589">
      <w:bodyDiv w:val="1"/>
      <w:marLeft w:val="0"/>
      <w:marRight w:val="0"/>
      <w:marTop w:val="0"/>
      <w:marBottom w:val="0"/>
      <w:divBdr>
        <w:top w:val="none" w:sz="0" w:space="0" w:color="auto"/>
        <w:left w:val="none" w:sz="0" w:space="0" w:color="auto"/>
        <w:bottom w:val="none" w:sz="0" w:space="0" w:color="auto"/>
        <w:right w:val="none" w:sz="0" w:space="0" w:color="auto"/>
      </w:divBdr>
    </w:div>
    <w:div w:id="1118377466">
      <w:bodyDiv w:val="1"/>
      <w:marLeft w:val="0"/>
      <w:marRight w:val="0"/>
      <w:marTop w:val="0"/>
      <w:marBottom w:val="0"/>
      <w:divBdr>
        <w:top w:val="none" w:sz="0" w:space="0" w:color="auto"/>
        <w:left w:val="none" w:sz="0" w:space="0" w:color="auto"/>
        <w:bottom w:val="none" w:sz="0" w:space="0" w:color="auto"/>
        <w:right w:val="none" w:sz="0" w:space="0" w:color="auto"/>
      </w:divBdr>
    </w:div>
    <w:div w:id="1145314510">
      <w:bodyDiv w:val="1"/>
      <w:marLeft w:val="0"/>
      <w:marRight w:val="0"/>
      <w:marTop w:val="0"/>
      <w:marBottom w:val="0"/>
      <w:divBdr>
        <w:top w:val="none" w:sz="0" w:space="0" w:color="auto"/>
        <w:left w:val="none" w:sz="0" w:space="0" w:color="auto"/>
        <w:bottom w:val="none" w:sz="0" w:space="0" w:color="auto"/>
        <w:right w:val="none" w:sz="0" w:space="0" w:color="auto"/>
      </w:divBdr>
    </w:div>
    <w:div w:id="1151018600">
      <w:bodyDiv w:val="1"/>
      <w:marLeft w:val="0"/>
      <w:marRight w:val="0"/>
      <w:marTop w:val="0"/>
      <w:marBottom w:val="0"/>
      <w:divBdr>
        <w:top w:val="none" w:sz="0" w:space="0" w:color="auto"/>
        <w:left w:val="none" w:sz="0" w:space="0" w:color="auto"/>
        <w:bottom w:val="none" w:sz="0" w:space="0" w:color="auto"/>
        <w:right w:val="none" w:sz="0" w:space="0" w:color="auto"/>
      </w:divBdr>
      <w:divsChild>
        <w:div w:id="30302024">
          <w:marLeft w:val="994"/>
          <w:marRight w:val="0"/>
          <w:marTop w:val="0"/>
          <w:marBottom w:val="0"/>
          <w:divBdr>
            <w:top w:val="none" w:sz="0" w:space="0" w:color="auto"/>
            <w:left w:val="none" w:sz="0" w:space="0" w:color="auto"/>
            <w:bottom w:val="none" w:sz="0" w:space="0" w:color="auto"/>
            <w:right w:val="none" w:sz="0" w:space="0" w:color="auto"/>
          </w:divBdr>
        </w:div>
        <w:div w:id="321662610">
          <w:marLeft w:val="994"/>
          <w:marRight w:val="0"/>
          <w:marTop w:val="0"/>
          <w:marBottom w:val="0"/>
          <w:divBdr>
            <w:top w:val="none" w:sz="0" w:space="0" w:color="auto"/>
            <w:left w:val="none" w:sz="0" w:space="0" w:color="auto"/>
            <w:bottom w:val="none" w:sz="0" w:space="0" w:color="auto"/>
            <w:right w:val="none" w:sz="0" w:space="0" w:color="auto"/>
          </w:divBdr>
        </w:div>
        <w:div w:id="482965359">
          <w:marLeft w:val="274"/>
          <w:marRight w:val="0"/>
          <w:marTop w:val="0"/>
          <w:marBottom w:val="0"/>
          <w:divBdr>
            <w:top w:val="none" w:sz="0" w:space="0" w:color="auto"/>
            <w:left w:val="none" w:sz="0" w:space="0" w:color="auto"/>
            <w:bottom w:val="none" w:sz="0" w:space="0" w:color="auto"/>
            <w:right w:val="none" w:sz="0" w:space="0" w:color="auto"/>
          </w:divBdr>
        </w:div>
        <w:div w:id="965695587">
          <w:marLeft w:val="274"/>
          <w:marRight w:val="0"/>
          <w:marTop w:val="0"/>
          <w:marBottom w:val="0"/>
          <w:divBdr>
            <w:top w:val="none" w:sz="0" w:space="0" w:color="auto"/>
            <w:left w:val="none" w:sz="0" w:space="0" w:color="auto"/>
            <w:bottom w:val="none" w:sz="0" w:space="0" w:color="auto"/>
            <w:right w:val="none" w:sz="0" w:space="0" w:color="auto"/>
          </w:divBdr>
        </w:div>
        <w:div w:id="1099570185">
          <w:marLeft w:val="274"/>
          <w:marRight w:val="0"/>
          <w:marTop w:val="0"/>
          <w:marBottom w:val="0"/>
          <w:divBdr>
            <w:top w:val="none" w:sz="0" w:space="0" w:color="auto"/>
            <w:left w:val="none" w:sz="0" w:space="0" w:color="auto"/>
            <w:bottom w:val="none" w:sz="0" w:space="0" w:color="auto"/>
            <w:right w:val="none" w:sz="0" w:space="0" w:color="auto"/>
          </w:divBdr>
        </w:div>
        <w:div w:id="1140030111">
          <w:marLeft w:val="274"/>
          <w:marRight w:val="0"/>
          <w:marTop w:val="0"/>
          <w:marBottom w:val="0"/>
          <w:divBdr>
            <w:top w:val="none" w:sz="0" w:space="0" w:color="auto"/>
            <w:left w:val="none" w:sz="0" w:space="0" w:color="auto"/>
            <w:bottom w:val="none" w:sz="0" w:space="0" w:color="auto"/>
            <w:right w:val="none" w:sz="0" w:space="0" w:color="auto"/>
          </w:divBdr>
        </w:div>
        <w:div w:id="1496611444">
          <w:marLeft w:val="274"/>
          <w:marRight w:val="0"/>
          <w:marTop w:val="0"/>
          <w:marBottom w:val="0"/>
          <w:divBdr>
            <w:top w:val="none" w:sz="0" w:space="0" w:color="auto"/>
            <w:left w:val="none" w:sz="0" w:space="0" w:color="auto"/>
            <w:bottom w:val="none" w:sz="0" w:space="0" w:color="auto"/>
            <w:right w:val="none" w:sz="0" w:space="0" w:color="auto"/>
          </w:divBdr>
        </w:div>
        <w:div w:id="1800343795">
          <w:marLeft w:val="274"/>
          <w:marRight w:val="0"/>
          <w:marTop w:val="0"/>
          <w:marBottom w:val="0"/>
          <w:divBdr>
            <w:top w:val="none" w:sz="0" w:space="0" w:color="auto"/>
            <w:left w:val="none" w:sz="0" w:space="0" w:color="auto"/>
            <w:bottom w:val="none" w:sz="0" w:space="0" w:color="auto"/>
            <w:right w:val="none" w:sz="0" w:space="0" w:color="auto"/>
          </w:divBdr>
        </w:div>
      </w:divsChild>
    </w:div>
    <w:div w:id="1197549077">
      <w:bodyDiv w:val="1"/>
      <w:marLeft w:val="0"/>
      <w:marRight w:val="0"/>
      <w:marTop w:val="0"/>
      <w:marBottom w:val="0"/>
      <w:divBdr>
        <w:top w:val="none" w:sz="0" w:space="0" w:color="auto"/>
        <w:left w:val="none" w:sz="0" w:space="0" w:color="auto"/>
        <w:bottom w:val="none" w:sz="0" w:space="0" w:color="auto"/>
        <w:right w:val="none" w:sz="0" w:space="0" w:color="auto"/>
      </w:divBdr>
      <w:divsChild>
        <w:div w:id="391926601">
          <w:marLeft w:val="0"/>
          <w:marRight w:val="0"/>
          <w:marTop w:val="0"/>
          <w:marBottom w:val="0"/>
          <w:divBdr>
            <w:top w:val="none" w:sz="0" w:space="0" w:color="auto"/>
            <w:left w:val="none" w:sz="0" w:space="0" w:color="auto"/>
            <w:bottom w:val="none" w:sz="0" w:space="0" w:color="auto"/>
            <w:right w:val="none" w:sz="0" w:space="0" w:color="auto"/>
          </w:divBdr>
          <w:divsChild>
            <w:div w:id="1760365419">
              <w:marLeft w:val="0"/>
              <w:marRight w:val="0"/>
              <w:marTop w:val="0"/>
              <w:marBottom w:val="0"/>
              <w:divBdr>
                <w:top w:val="none" w:sz="0" w:space="0" w:color="auto"/>
                <w:left w:val="none" w:sz="0" w:space="0" w:color="auto"/>
                <w:bottom w:val="none" w:sz="0" w:space="0" w:color="auto"/>
                <w:right w:val="none" w:sz="0" w:space="0" w:color="auto"/>
              </w:divBdr>
              <w:divsChild>
                <w:div w:id="1111819981">
                  <w:marLeft w:val="0"/>
                  <w:marRight w:val="0"/>
                  <w:marTop w:val="225"/>
                  <w:marBottom w:val="225"/>
                  <w:divBdr>
                    <w:top w:val="none" w:sz="0" w:space="0" w:color="auto"/>
                    <w:left w:val="none" w:sz="0" w:space="0" w:color="auto"/>
                    <w:bottom w:val="none" w:sz="0" w:space="0" w:color="auto"/>
                    <w:right w:val="none" w:sz="0" w:space="0" w:color="auto"/>
                  </w:divBdr>
                  <w:divsChild>
                    <w:div w:id="723990540">
                      <w:marLeft w:val="3300"/>
                      <w:marRight w:val="3150"/>
                      <w:marTop w:val="0"/>
                      <w:marBottom w:val="0"/>
                      <w:divBdr>
                        <w:top w:val="none" w:sz="0" w:space="0" w:color="auto"/>
                        <w:left w:val="none" w:sz="0" w:space="0" w:color="auto"/>
                        <w:bottom w:val="none" w:sz="0" w:space="0" w:color="auto"/>
                        <w:right w:val="none" w:sz="0" w:space="0" w:color="auto"/>
                      </w:divBdr>
                      <w:divsChild>
                        <w:div w:id="1775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6016">
      <w:bodyDiv w:val="1"/>
      <w:marLeft w:val="0"/>
      <w:marRight w:val="0"/>
      <w:marTop w:val="0"/>
      <w:marBottom w:val="0"/>
      <w:divBdr>
        <w:top w:val="none" w:sz="0" w:space="0" w:color="auto"/>
        <w:left w:val="none" w:sz="0" w:space="0" w:color="auto"/>
        <w:bottom w:val="none" w:sz="0" w:space="0" w:color="auto"/>
        <w:right w:val="none" w:sz="0" w:space="0" w:color="auto"/>
      </w:divBdr>
      <w:divsChild>
        <w:div w:id="74714042">
          <w:marLeft w:val="547"/>
          <w:marRight w:val="0"/>
          <w:marTop w:val="96"/>
          <w:marBottom w:val="120"/>
          <w:divBdr>
            <w:top w:val="none" w:sz="0" w:space="0" w:color="auto"/>
            <w:left w:val="none" w:sz="0" w:space="0" w:color="auto"/>
            <w:bottom w:val="none" w:sz="0" w:space="0" w:color="auto"/>
            <w:right w:val="none" w:sz="0" w:space="0" w:color="auto"/>
          </w:divBdr>
        </w:div>
        <w:div w:id="171996076">
          <w:marLeft w:val="547"/>
          <w:marRight w:val="0"/>
          <w:marTop w:val="96"/>
          <w:marBottom w:val="120"/>
          <w:divBdr>
            <w:top w:val="none" w:sz="0" w:space="0" w:color="auto"/>
            <w:left w:val="none" w:sz="0" w:space="0" w:color="auto"/>
            <w:bottom w:val="none" w:sz="0" w:space="0" w:color="auto"/>
            <w:right w:val="none" w:sz="0" w:space="0" w:color="auto"/>
          </w:divBdr>
        </w:div>
        <w:div w:id="426775554">
          <w:marLeft w:val="547"/>
          <w:marRight w:val="0"/>
          <w:marTop w:val="96"/>
          <w:marBottom w:val="120"/>
          <w:divBdr>
            <w:top w:val="none" w:sz="0" w:space="0" w:color="auto"/>
            <w:left w:val="none" w:sz="0" w:space="0" w:color="auto"/>
            <w:bottom w:val="none" w:sz="0" w:space="0" w:color="auto"/>
            <w:right w:val="none" w:sz="0" w:space="0" w:color="auto"/>
          </w:divBdr>
        </w:div>
        <w:div w:id="1806191174">
          <w:marLeft w:val="547"/>
          <w:marRight w:val="0"/>
          <w:marTop w:val="96"/>
          <w:marBottom w:val="120"/>
          <w:divBdr>
            <w:top w:val="none" w:sz="0" w:space="0" w:color="auto"/>
            <w:left w:val="none" w:sz="0" w:space="0" w:color="auto"/>
            <w:bottom w:val="none" w:sz="0" w:space="0" w:color="auto"/>
            <w:right w:val="none" w:sz="0" w:space="0" w:color="auto"/>
          </w:divBdr>
        </w:div>
      </w:divsChild>
    </w:div>
    <w:div w:id="1224484637">
      <w:bodyDiv w:val="1"/>
      <w:marLeft w:val="0"/>
      <w:marRight w:val="0"/>
      <w:marTop w:val="0"/>
      <w:marBottom w:val="0"/>
      <w:divBdr>
        <w:top w:val="none" w:sz="0" w:space="0" w:color="auto"/>
        <w:left w:val="none" w:sz="0" w:space="0" w:color="auto"/>
        <w:bottom w:val="none" w:sz="0" w:space="0" w:color="auto"/>
        <w:right w:val="none" w:sz="0" w:space="0" w:color="auto"/>
      </w:divBdr>
    </w:div>
    <w:div w:id="1287397314">
      <w:bodyDiv w:val="1"/>
      <w:marLeft w:val="0"/>
      <w:marRight w:val="0"/>
      <w:marTop w:val="0"/>
      <w:marBottom w:val="0"/>
      <w:divBdr>
        <w:top w:val="none" w:sz="0" w:space="0" w:color="auto"/>
        <w:left w:val="none" w:sz="0" w:space="0" w:color="auto"/>
        <w:bottom w:val="none" w:sz="0" w:space="0" w:color="auto"/>
        <w:right w:val="none" w:sz="0" w:space="0" w:color="auto"/>
      </w:divBdr>
    </w:div>
    <w:div w:id="1312952602">
      <w:bodyDiv w:val="1"/>
      <w:marLeft w:val="0"/>
      <w:marRight w:val="0"/>
      <w:marTop w:val="0"/>
      <w:marBottom w:val="0"/>
      <w:divBdr>
        <w:top w:val="none" w:sz="0" w:space="0" w:color="auto"/>
        <w:left w:val="none" w:sz="0" w:space="0" w:color="auto"/>
        <w:bottom w:val="none" w:sz="0" w:space="0" w:color="auto"/>
        <w:right w:val="none" w:sz="0" w:space="0" w:color="auto"/>
      </w:divBdr>
    </w:div>
    <w:div w:id="1323123981">
      <w:bodyDiv w:val="1"/>
      <w:marLeft w:val="0"/>
      <w:marRight w:val="0"/>
      <w:marTop w:val="0"/>
      <w:marBottom w:val="0"/>
      <w:divBdr>
        <w:top w:val="none" w:sz="0" w:space="0" w:color="auto"/>
        <w:left w:val="none" w:sz="0" w:space="0" w:color="auto"/>
        <w:bottom w:val="none" w:sz="0" w:space="0" w:color="auto"/>
        <w:right w:val="none" w:sz="0" w:space="0" w:color="auto"/>
      </w:divBdr>
      <w:divsChild>
        <w:div w:id="55204685">
          <w:marLeft w:val="547"/>
          <w:marRight w:val="0"/>
          <w:marTop w:val="115"/>
          <w:marBottom w:val="0"/>
          <w:divBdr>
            <w:top w:val="none" w:sz="0" w:space="0" w:color="auto"/>
            <w:left w:val="none" w:sz="0" w:space="0" w:color="auto"/>
            <w:bottom w:val="none" w:sz="0" w:space="0" w:color="auto"/>
            <w:right w:val="none" w:sz="0" w:space="0" w:color="auto"/>
          </w:divBdr>
        </w:div>
      </w:divsChild>
    </w:div>
    <w:div w:id="1336155607">
      <w:bodyDiv w:val="1"/>
      <w:marLeft w:val="0"/>
      <w:marRight w:val="0"/>
      <w:marTop w:val="0"/>
      <w:marBottom w:val="0"/>
      <w:divBdr>
        <w:top w:val="none" w:sz="0" w:space="0" w:color="auto"/>
        <w:left w:val="none" w:sz="0" w:space="0" w:color="auto"/>
        <w:bottom w:val="none" w:sz="0" w:space="0" w:color="auto"/>
        <w:right w:val="none" w:sz="0" w:space="0" w:color="auto"/>
      </w:divBdr>
    </w:div>
    <w:div w:id="1336300107">
      <w:bodyDiv w:val="1"/>
      <w:marLeft w:val="0"/>
      <w:marRight w:val="0"/>
      <w:marTop w:val="0"/>
      <w:marBottom w:val="0"/>
      <w:divBdr>
        <w:top w:val="none" w:sz="0" w:space="0" w:color="auto"/>
        <w:left w:val="none" w:sz="0" w:space="0" w:color="auto"/>
        <w:bottom w:val="none" w:sz="0" w:space="0" w:color="auto"/>
        <w:right w:val="none" w:sz="0" w:space="0" w:color="auto"/>
      </w:divBdr>
    </w:div>
    <w:div w:id="1354915199">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69976506">
      <w:bodyDiv w:val="1"/>
      <w:marLeft w:val="0"/>
      <w:marRight w:val="0"/>
      <w:marTop w:val="0"/>
      <w:marBottom w:val="0"/>
      <w:divBdr>
        <w:top w:val="none" w:sz="0" w:space="0" w:color="auto"/>
        <w:left w:val="none" w:sz="0" w:space="0" w:color="auto"/>
        <w:bottom w:val="none" w:sz="0" w:space="0" w:color="auto"/>
        <w:right w:val="none" w:sz="0" w:space="0" w:color="auto"/>
      </w:divBdr>
    </w:div>
    <w:div w:id="1473056778">
      <w:bodyDiv w:val="1"/>
      <w:marLeft w:val="0"/>
      <w:marRight w:val="0"/>
      <w:marTop w:val="0"/>
      <w:marBottom w:val="0"/>
      <w:divBdr>
        <w:top w:val="none" w:sz="0" w:space="0" w:color="auto"/>
        <w:left w:val="none" w:sz="0" w:space="0" w:color="auto"/>
        <w:bottom w:val="none" w:sz="0" w:space="0" w:color="auto"/>
        <w:right w:val="none" w:sz="0" w:space="0" w:color="auto"/>
      </w:divBdr>
    </w:div>
    <w:div w:id="1499929900">
      <w:bodyDiv w:val="1"/>
      <w:marLeft w:val="0"/>
      <w:marRight w:val="0"/>
      <w:marTop w:val="0"/>
      <w:marBottom w:val="0"/>
      <w:divBdr>
        <w:top w:val="none" w:sz="0" w:space="0" w:color="auto"/>
        <w:left w:val="none" w:sz="0" w:space="0" w:color="auto"/>
        <w:bottom w:val="none" w:sz="0" w:space="0" w:color="auto"/>
        <w:right w:val="none" w:sz="0" w:space="0" w:color="auto"/>
      </w:divBdr>
    </w:div>
    <w:div w:id="1501655808">
      <w:bodyDiv w:val="1"/>
      <w:marLeft w:val="0"/>
      <w:marRight w:val="0"/>
      <w:marTop w:val="0"/>
      <w:marBottom w:val="0"/>
      <w:divBdr>
        <w:top w:val="none" w:sz="0" w:space="0" w:color="auto"/>
        <w:left w:val="none" w:sz="0" w:space="0" w:color="auto"/>
        <w:bottom w:val="none" w:sz="0" w:space="0" w:color="auto"/>
        <w:right w:val="none" w:sz="0" w:space="0" w:color="auto"/>
      </w:divBdr>
    </w:div>
    <w:div w:id="1512909291">
      <w:bodyDiv w:val="1"/>
      <w:marLeft w:val="0"/>
      <w:marRight w:val="0"/>
      <w:marTop w:val="0"/>
      <w:marBottom w:val="0"/>
      <w:divBdr>
        <w:top w:val="none" w:sz="0" w:space="0" w:color="auto"/>
        <w:left w:val="none" w:sz="0" w:space="0" w:color="auto"/>
        <w:bottom w:val="none" w:sz="0" w:space="0" w:color="auto"/>
        <w:right w:val="none" w:sz="0" w:space="0" w:color="auto"/>
      </w:divBdr>
    </w:div>
    <w:div w:id="1515343853">
      <w:bodyDiv w:val="1"/>
      <w:marLeft w:val="0"/>
      <w:marRight w:val="0"/>
      <w:marTop w:val="0"/>
      <w:marBottom w:val="0"/>
      <w:divBdr>
        <w:top w:val="none" w:sz="0" w:space="0" w:color="auto"/>
        <w:left w:val="none" w:sz="0" w:space="0" w:color="auto"/>
        <w:bottom w:val="none" w:sz="0" w:space="0" w:color="auto"/>
        <w:right w:val="none" w:sz="0" w:space="0" w:color="auto"/>
      </w:divBdr>
      <w:divsChild>
        <w:div w:id="72749531">
          <w:marLeft w:val="547"/>
          <w:marRight w:val="0"/>
          <w:marTop w:val="115"/>
          <w:marBottom w:val="0"/>
          <w:divBdr>
            <w:top w:val="none" w:sz="0" w:space="0" w:color="auto"/>
            <w:left w:val="none" w:sz="0" w:space="0" w:color="auto"/>
            <w:bottom w:val="none" w:sz="0" w:space="0" w:color="auto"/>
            <w:right w:val="none" w:sz="0" w:space="0" w:color="auto"/>
          </w:divBdr>
        </w:div>
        <w:div w:id="490760572">
          <w:marLeft w:val="547"/>
          <w:marRight w:val="0"/>
          <w:marTop w:val="115"/>
          <w:marBottom w:val="0"/>
          <w:divBdr>
            <w:top w:val="none" w:sz="0" w:space="0" w:color="auto"/>
            <w:left w:val="none" w:sz="0" w:space="0" w:color="auto"/>
            <w:bottom w:val="none" w:sz="0" w:space="0" w:color="auto"/>
            <w:right w:val="none" w:sz="0" w:space="0" w:color="auto"/>
          </w:divBdr>
        </w:div>
        <w:div w:id="1305740123">
          <w:marLeft w:val="547"/>
          <w:marRight w:val="0"/>
          <w:marTop w:val="115"/>
          <w:marBottom w:val="0"/>
          <w:divBdr>
            <w:top w:val="none" w:sz="0" w:space="0" w:color="auto"/>
            <w:left w:val="none" w:sz="0" w:space="0" w:color="auto"/>
            <w:bottom w:val="none" w:sz="0" w:space="0" w:color="auto"/>
            <w:right w:val="none" w:sz="0" w:space="0" w:color="auto"/>
          </w:divBdr>
        </w:div>
        <w:div w:id="2127574749">
          <w:marLeft w:val="547"/>
          <w:marRight w:val="0"/>
          <w:marTop w:val="115"/>
          <w:marBottom w:val="0"/>
          <w:divBdr>
            <w:top w:val="none" w:sz="0" w:space="0" w:color="auto"/>
            <w:left w:val="none" w:sz="0" w:space="0" w:color="auto"/>
            <w:bottom w:val="none" w:sz="0" w:space="0" w:color="auto"/>
            <w:right w:val="none" w:sz="0" w:space="0" w:color="auto"/>
          </w:divBdr>
        </w:div>
      </w:divsChild>
    </w:div>
    <w:div w:id="1530297605">
      <w:bodyDiv w:val="1"/>
      <w:marLeft w:val="0"/>
      <w:marRight w:val="0"/>
      <w:marTop w:val="0"/>
      <w:marBottom w:val="0"/>
      <w:divBdr>
        <w:top w:val="none" w:sz="0" w:space="0" w:color="auto"/>
        <w:left w:val="none" w:sz="0" w:space="0" w:color="auto"/>
        <w:bottom w:val="none" w:sz="0" w:space="0" w:color="auto"/>
        <w:right w:val="none" w:sz="0" w:space="0" w:color="auto"/>
      </w:divBdr>
    </w:div>
    <w:div w:id="1560941925">
      <w:bodyDiv w:val="1"/>
      <w:marLeft w:val="0"/>
      <w:marRight w:val="0"/>
      <w:marTop w:val="0"/>
      <w:marBottom w:val="0"/>
      <w:divBdr>
        <w:top w:val="none" w:sz="0" w:space="0" w:color="auto"/>
        <w:left w:val="none" w:sz="0" w:space="0" w:color="auto"/>
        <w:bottom w:val="none" w:sz="0" w:space="0" w:color="auto"/>
        <w:right w:val="none" w:sz="0" w:space="0" w:color="auto"/>
      </w:divBdr>
    </w:div>
    <w:div w:id="1573588965">
      <w:bodyDiv w:val="1"/>
      <w:marLeft w:val="0"/>
      <w:marRight w:val="0"/>
      <w:marTop w:val="25"/>
      <w:marBottom w:val="0"/>
      <w:divBdr>
        <w:top w:val="none" w:sz="0" w:space="0" w:color="auto"/>
        <w:left w:val="none" w:sz="0" w:space="0" w:color="auto"/>
        <w:bottom w:val="none" w:sz="0" w:space="0" w:color="auto"/>
        <w:right w:val="none" w:sz="0" w:space="0" w:color="auto"/>
      </w:divBdr>
      <w:divsChild>
        <w:div w:id="918754298">
          <w:marLeft w:val="0"/>
          <w:marRight w:val="0"/>
          <w:marTop w:val="63"/>
          <w:marBottom w:val="0"/>
          <w:divBdr>
            <w:top w:val="none" w:sz="0" w:space="0" w:color="auto"/>
            <w:left w:val="none" w:sz="0" w:space="0" w:color="auto"/>
            <w:bottom w:val="none" w:sz="0" w:space="0" w:color="auto"/>
            <w:right w:val="none" w:sz="0" w:space="0" w:color="auto"/>
          </w:divBdr>
          <w:divsChild>
            <w:div w:id="1315792060">
              <w:marLeft w:val="0"/>
              <w:marRight w:val="0"/>
              <w:marTop w:val="0"/>
              <w:marBottom w:val="0"/>
              <w:divBdr>
                <w:top w:val="none" w:sz="0" w:space="0" w:color="auto"/>
                <w:left w:val="none" w:sz="0" w:space="0" w:color="auto"/>
                <w:bottom w:val="none" w:sz="0" w:space="0" w:color="auto"/>
                <w:right w:val="none" w:sz="0" w:space="0" w:color="auto"/>
              </w:divBdr>
              <w:divsChild>
                <w:div w:id="1464881390">
                  <w:marLeft w:val="0"/>
                  <w:marRight w:val="0"/>
                  <w:marTop w:val="0"/>
                  <w:marBottom w:val="0"/>
                  <w:divBdr>
                    <w:top w:val="none" w:sz="0" w:space="0" w:color="auto"/>
                    <w:left w:val="none" w:sz="0" w:space="0" w:color="auto"/>
                    <w:bottom w:val="none" w:sz="0" w:space="0" w:color="auto"/>
                    <w:right w:val="none" w:sz="0" w:space="0" w:color="auto"/>
                  </w:divBdr>
                  <w:divsChild>
                    <w:div w:id="14714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529">
      <w:bodyDiv w:val="1"/>
      <w:marLeft w:val="0"/>
      <w:marRight w:val="0"/>
      <w:marTop w:val="0"/>
      <w:marBottom w:val="0"/>
      <w:divBdr>
        <w:top w:val="none" w:sz="0" w:space="0" w:color="auto"/>
        <w:left w:val="none" w:sz="0" w:space="0" w:color="auto"/>
        <w:bottom w:val="none" w:sz="0" w:space="0" w:color="auto"/>
        <w:right w:val="none" w:sz="0" w:space="0" w:color="auto"/>
      </w:divBdr>
    </w:div>
    <w:div w:id="1611011881">
      <w:bodyDiv w:val="1"/>
      <w:marLeft w:val="0"/>
      <w:marRight w:val="0"/>
      <w:marTop w:val="0"/>
      <w:marBottom w:val="0"/>
      <w:divBdr>
        <w:top w:val="none" w:sz="0" w:space="0" w:color="auto"/>
        <w:left w:val="none" w:sz="0" w:space="0" w:color="auto"/>
        <w:bottom w:val="none" w:sz="0" w:space="0" w:color="auto"/>
        <w:right w:val="none" w:sz="0" w:space="0" w:color="auto"/>
      </w:divBdr>
    </w:div>
    <w:div w:id="1611545239">
      <w:bodyDiv w:val="1"/>
      <w:marLeft w:val="0"/>
      <w:marRight w:val="0"/>
      <w:marTop w:val="0"/>
      <w:marBottom w:val="0"/>
      <w:divBdr>
        <w:top w:val="none" w:sz="0" w:space="0" w:color="auto"/>
        <w:left w:val="none" w:sz="0" w:space="0" w:color="auto"/>
        <w:bottom w:val="none" w:sz="0" w:space="0" w:color="auto"/>
        <w:right w:val="none" w:sz="0" w:space="0" w:color="auto"/>
      </w:divBdr>
    </w:div>
    <w:div w:id="1619340436">
      <w:bodyDiv w:val="1"/>
      <w:marLeft w:val="0"/>
      <w:marRight w:val="0"/>
      <w:marTop w:val="0"/>
      <w:marBottom w:val="0"/>
      <w:divBdr>
        <w:top w:val="none" w:sz="0" w:space="0" w:color="auto"/>
        <w:left w:val="none" w:sz="0" w:space="0" w:color="auto"/>
        <w:bottom w:val="none" w:sz="0" w:space="0" w:color="auto"/>
        <w:right w:val="none" w:sz="0" w:space="0" w:color="auto"/>
      </w:divBdr>
    </w:div>
    <w:div w:id="1656493726">
      <w:bodyDiv w:val="1"/>
      <w:marLeft w:val="0"/>
      <w:marRight w:val="0"/>
      <w:marTop w:val="0"/>
      <w:marBottom w:val="0"/>
      <w:divBdr>
        <w:top w:val="none" w:sz="0" w:space="0" w:color="auto"/>
        <w:left w:val="none" w:sz="0" w:space="0" w:color="auto"/>
        <w:bottom w:val="none" w:sz="0" w:space="0" w:color="auto"/>
        <w:right w:val="none" w:sz="0" w:space="0" w:color="auto"/>
      </w:divBdr>
    </w:div>
    <w:div w:id="1673724610">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sChild>
        <w:div w:id="1600790960">
          <w:marLeft w:val="0"/>
          <w:marRight w:val="0"/>
          <w:marTop w:val="0"/>
          <w:marBottom w:val="0"/>
          <w:divBdr>
            <w:top w:val="none" w:sz="0" w:space="0" w:color="auto"/>
            <w:left w:val="none" w:sz="0" w:space="0" w:color="auto"/>
            <w:bottom w:val="none" w:sz="0" w:space="0" w:color="auto"/>
            <w:right w:val="none" w:sz="0" w:space="0" w:color="auto"/>
          </w:divBdr>
          <w:divsChild>
            <w:div w:id="1817648916">
              <w:marLeft w:val="0"/>
              <w:marRight w:val="0"/>
              <w:marTop w:val="0"/>
              <w:marBottom w:val="0"/>
              <w:divBdr>
                <w:top w:val="none" w:sz="0" w:space="0" w:color="auto"/>
                <w:left w:val="none" w:sz="0" w:space="0" w:color="auto"/>
                <w:bottom w:val="none" w:sz="0" w:space="0" w:color="auto"/>
                <w:right w:val="none" w:sz="0" w:space="0" w:color="auto"/>
              </w:divBdr>
              <w:divsChild>
                <w:div w:id="297759328">
                  <w:marLeft w:val="0"/>
                  <w:marRight w:val="0"/>
                  <w:marTop w:val="0"/>
                  <w:marBottom w:val="0"/>
                  <w:divBdr>
                    <w:top w:val="none" w:sz="0" w:space="0" w:color="auto"/>
                    <w:left w:val="none" w:sz="0" w:space="0" w:color="auto"/>
                    <w:bottom w:val="none" w:sz="0" w:space="0" w:color="auto"/>
                    <w:right w:val="none" w:sz="0" w:space="0" w:color="auto"/>
                  </w:divBdr>
                  <w:divsChild>
                    <w:div w:id="1674334915">
                      <w:marLeft w:val="0"/>
                      <w:marRight w:val="0"/>
                      <w:marTop w:val="0"/>
                      <w:marBottom w:val="0"/>
                      <w:divBdr>
                        <w:top w:val="none" w:sz="0" w:space="0" w:color="auto"/>
                        <w:left w:val="none" w:sz="0" w:space="0" w:color="auto"/>
                        <w:bottom w:val="none" w:sz="0" w:space="0" w:color="auto"/>
                        <w:right w:val="none" w:sz="0" w:space="0" w:color="auto"/>
                      </w:divBdr>
                      <w:divsChild>
                        <w:div w:id="89356723">
                          <w:marLeft w:val="0"/>
                          <w:marRight w:val="0"/>
                          <w:marTop w:val="0"/>
                          <w:marBottom w:val="0"/>
                          <w:divBdr>
                            <w:top w:val="none" w:sz="0" w:space="0" w:color="auto"/>
                            <w:left w:val="none" w:sz="0" w:space="0" w:color="auto"/>
                            <w:bottom w:val="none" w:sz="0" w:space="0" w:color="auto"/>
                            <w:right w:val="none" w:sz="0" w:space="0" w:color="auto"/>
                          </w:divBdr>
                          <w:divsChild>
                            <w:div w:id="1696929083">
                              <w:marLeft w:val="0"/>
                              <w:marRight w:val="0"/>
                              <w:marTop w:val="0"/>
                              <w:marBottom w:val="0"/>
                              <w:divBdr>
                                <w:top w:val="none" w:sz="0" w:space="0" w:color="auto"/>
                                <w:left w:val="none" w:sz="0" w:space="0" w:color="auto"/>
                                <w:bottom w:val="none" w:sz="0" w:space="0" w:color="auto"/>
                                <w:right w:val="none" w:sz="0" w:space="0" w:color="auto"/>
                              </w:divBdr>
                              <w:divsChild>
                                <w:div w:id="1213729015">
                                  <w:marLeft w:val="0"/>
                                  <w:marRight w:val="0"/>
                                  <w:marTop w:val="0"/>
                                  <w:marBottom w:val="0"/>
                                  <w:divBdr>
                                    <w:top w:val="single" w:sz="6" w:space="0" w:color="F5F5F5"/>
                                    <w:left w:val="single" w:sz="6" w:space="0" w:color="F5F5F5"/>
                                    <w:bottom w:val="single" w:sz="6" w:space="0" w:color="F5F5F5"/>
                                    <w:right w:val="single" w:sz="6" w:space="0" w:color="F5F5F5"/>
                                  </w:divBdr>
                                  <w:divsChild>
                                    <w:div w:id="1727146749">
                                      <w:marLeft w:val="0"/>
                                      <w:marRight w:val="0"/>
                                      <w:marTop w:val="0"/>
                                      <w:marBottom w:val="0"/>
                                      <w:divBdr>
                                        <w:top w:val="none" w:sz="0" w:space="0" w:color="auto"/>
                                        <w:left w:val="none" w:sz="0" w:space="0" w:color="auto"/>
                                        <w:bottom w:val="none" w:sz="0" w:space="0" w:color="auto"/>
                                        <w:right w:val="none" w:sz="0" w:space="0" w:color="auto"/>
                                      </w:divBdr>
                                      <w:divsChild>
                                        <w:div w:id="9245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717221">
      <w:bodyDiv w:val="1"/>
      <w:marLeft w:val="0"/>
      <w:marRight w:val="0"/>
      <w:marTop w:val="0"/>
      <w:marBottom w:val="0"/>
      <w:divBdr>
        <w:top w:val="none" w:sz="0" w:space="0" w:color="auto"/>
        <w:left w:val="none" w:sz="0" w:space="0" w:color="auto"/>
        <w:bottom w:val="none" w:sz="0" w:space="0" w:color="auto"/>
        <w:right w:val="none" w:sz="0" w:space="0" w:color="auto"/>
      </w:divBdr>
      <w:divsChild>
        <w:div w:id="161512480">
          <w:marLeft w:val="1166"/>
          <w:marRight w:val="0"/>
          <w:marTop w:val="96"/>
          <w:marBottom w:val="0"/>
          <w:divBdr>
            <w:top w:val="none" w:sz="0" w:space="0" w:color="auto"/>
            <w:left w:val="none" w:sz="0" w:space="0" w:color="auto"/>
            <w:bottom w:val="none" w:sz="0" w:space="0" w:color="auto"/>
            <w:right w:val="none" w:sz="0" w:space="0" w:color="auto"/>
          </w:divBdr>
        </w:div>
        <w:div w:id="681976120">
          <w:marLeft w:val="1166"/>
          <w:marRight w:val="0"/>
          <w:marTop w:val="96"/>
          <w:marBottom w:val="0"/>
          <w:divBdr>
            <w:top w:val="none" w:sz="0" w:space="0" w:color="auto"/>
            <w:left w:val="none" w:sz="0" w:space="0" w:color="auto"/>
            <w:bottom w:val="none" w:sz="0" w:space="0" w:color="auto"/>
            <w:right w:val="none" w:sz="0" w:space="0" w:color="auto"/>
          </w:divBdr>
        </w:div>
        <w:div w:id="1208374978">
          <w:marLeft w:val="547"/>
          <w:marRight w:val="0"/>
          <w:marTop w:val="96"/>
          <w:marBottom w:val="0"/>
          <w:divBdr>
            <w:top w:val="none" w:sz="0" w:space="0" w:color="auto"/>
            <w:left w:val="none" w:sz="0" w:space="0" w:color="auto"/>
            <w:bottom w:val="none" w:sz="0" w:space="0" w:color="auto"/>
            <w:right w:val="none" w:sz="0" w:space="0" w:color="auto"/>
          </w:divBdr>
        </w:div>
        <w:div w:id="1216309651">
          <w:marLeft w:val="1166"/>
          <w:marRight w:val="0"/>
          <w:marTop w:val="96"/>
          <w:marBottom w:val="0"/>
          <w:divBdr>
            <w:top w:val="none" w:sz="0" w:space="0" w:color="auto"/>
            <w:left w:val="none" w:sz="0" w:space="0" w:color="auto"/>
            <w:bottom w:val="none" w:sz="0" w:space="0" w:color="auto"/>
            <w:right w:val="none" w:sz="0" w:space="0" w:color="auto"/>
          </w:divBdr>
        </w:div>
        <w:div w:id="1275209653">
          <w:marLeft w:val="1166"/>
          <w:marRight w:val="0"/>
          <w:marTop w:val="96"/>
          <w:marBottom w:val="0"/>
          <w:divBdr>
            <w:top w:val="none" w:sz="0" w:space="0" w:color="auto"/>
            <w:left w:val="none" w:sz="0" w:space="0" w:color="auto"/>
            <w:bottom w:val="none" w:sz="0" w:space="0" w:color="auto"/>
            <w:right w:val="none" w:sz="0" w:space="0" w:color="auto"/>
          </w:divBdr>
        </w:div>
      </w:divsChild>
    </w:div>
    <w:div w:id="1748962190">
      <w:bodyDiv w:val="1"/>
      <w:marLeft w:val="0"/>
      <w:marRight w:val="0"/>
      <w:marTop w:val="0"/>
      <w:marBottom w:val="0"/>
      <w:divBdr>
        <w:top w:val="none" w:sz="0" w:space="0" w:color="auto"/>
        <w:left w:val="none" w:sz="0" w:space="0" w:color="auto"/>
        <w:bottom w:val="none" w:sz="0" w:space="0" w:color="auto"/>
        <w:right w:val="none" w:sz="0" w:space="0" w:color="auto"/>
      </w:divBdr>
      <w:divsChild>
        <w:div w:id="691489948">
          <w:marLeft w:val="706"/>
          <w:marRight w:val="0"/>
          <w:marTop w:val="0"/>
          <w:marBottom w:val="120"/>
          <w:divBdr>
            <w:top w:val="none" w:sz="0" w:space="0" w:color="auto"/>
            <w:left w:val="none" w:sz="0" w:space="0" w:color="auto"/>
            <w:bottom w:val="none" w:sz="0" w:space="0" w:color="auto"/>
            <w:right w:val="none" w:sz="0" w:space="0" w:color="auto"/>
          </w:divBdr>
        </w:div>
        <w:div w:id="1221479328">
          <w:marLeft w:val="706"/>
          <w:marRight w:val="0"/>
          <w:marTop w:val="0"/>
          <w:marBottom w:val="120"/>
          <w:divBdr>
            <w:top w:val="none" w:sz="0" w:space="0" w:color="auto"/>
            <w:left w:val="none" w:sz="0" w:space="0" w:color="auto"/>
            <w:bottom w:val="none" w:sz="0" w:space="0" w:color="auto"/>
            <w:right w:val="none" w:sz="0" w:space="0" w:color="auto"/>
          </w:divBdr>
        </w:div>
        <w:div w:id="1311210070">
          <w:marLeft w:val="706"/>
          <w:marRight w:val="0"/>
          <w:marTop w:val="0"/>
          <w:marBottom w:val="120"/>
          <w:divBdr>
            <w:top w:val="none" w:sz="0" w:space="0" w:color="auto"/>
            <w:left w:val="none" w:sz="0" w:space="0" w:color="auto"/>
            <w:bottom w:val="none" w:sz="0" w:space="0" w:color="auto"/>
            <w:right w:val="none" w:sz="0" w:space="0" w:color="auto"/>
          </w:divBdr>
        </w:div>
        <w:div w:id="1908224030">
          <w:marLeft w:val="706"/>
          <w:marRight w:val="0"/>
          <w:marTop w:val="0"/>
          <w:marBottom w:val="120"/>
          <w:divBdr>
            <w:top w:val="none" w:sz="0" w:space="0" w:color="auto"/>
            <w:left w:val="none" w:sz="0" w:space="0" w:color="auto"/>
            <w:bottom w:val="none" w:sz="0" w:space="0" w:color="auto"/>
            <w:right w:val="none" w:sz="0" w:space="0" w:color="auto"/>
          </w:divBdr>
        </w:div>
      </w:divsChild>
    </w:div>
    <w:div w:id="1773469743">
      <w:bodyDiv w:val="1"/>
      <w:marLeft w:val="0"/>
      <w:marRight w:val="0"/>
      <w:marTop w:val="0"/>
      <w:marBottom w:val="0"/>
      <w:divBdr>
        <w:top w:val="none" w:sz="0" w:space="0" w:color="auto"/>
        <w:left w:val="none" w:sz="0" w:space="0" w:color="auto"/>
        <w:bottom w:val="none" w:sz="0" w:space="0" w:color="auto"/>
        <w:right w:val="none" w:sz="0" w:space="0" w:color="auto"/>
      </w:divBdr>
      <w:divsChild>
        <w:div w:id="432435540">
          <w:marLeft w:val="1267"/>
          <w:marRight w:val="0"/>
          <w:marTop w:val="0"/>
          <w:marBottom w:val="0"/>
          <w:divBdr>
            <w:top w:val="none" w:sz="0" w:space="0" w:color="auto"/>
            <w:left w:val="none" w:sz="0" w:space="0" w:color="auto"/>
            <w:bottom w:val="none" w:sz="0" w:space="0" w:color="auto"/>
            <w:right w:val="none" w:sz="0" w:space="0" w:color="auto"/>
          </w:divBdr>
        </w:div>
        <w:div w:id="860553766">
          <w:marLeft w:val="1267"/>
          <w:marRight w:val="0"/>
          <w:marTop w:val="0"/>
          <w:marBottom w:val="0"/>
          <w:divBdr>
            <w:top w:val="none" w:sz="0" w:space="0" w:color="auto"/>
            <w:left w:val="none" w:sz="0" w:space="0" w:color="auto"/>
            <w:bottom w:val="none" w:sz="0" w:space="0" w:color="auto"/>
            <w:right w:val="none" w:sz="0" w:space="0" w:color="auto"/>
          </w:divBdr>
        </w:div>
        <w:div w:id="1557812415">
          <w:marLeft w:val="1267"/>
          <w:marRight w:val="0"/>
          <w:marTop w:val="0"/>
          <w:marBottom w:val="0"/>
          <w:divBdr>
            <w:top w:val="none" w:sz="0" w:space="0" w:color="auto"/>
            <w:left w:val="none" w:sz="0" w:space="0" w:color="auto"/>
            <w:bottom w:val="none" w:sz="0" w:space="0" w:color="auto"/>
            <w:right w:val="none" w:sz="0" w:space="0" w:color="auto"/>
          </w:divBdr>
        </w:div>
        <w:div w:id="1867131993">
          <w:marLeft w:val="1267"/>
          <w:marRight w:val="0"/>
          <w:marTop w:val="0"/>
          <w:marBottom w:val="0"/>
          <w:divBdr>
            <w:top w:val="none" w:sz="0" w:space="0" w:color="auto"/>
            <w:left w:val="none" w:sz="0" w:space="0" w:color="auto"/>
            <w:bottom w:val="none" w:sz="0" w:space="0" w:color="auto"/>
            <w:right w:val="none" w:sz="0" w:space="0" w:color="auto"/>
          </w:divBdr>
        </w:div>
      </w:divsChild>
    </w:div>
    <w:div w:id="1787432400">
      <w:bodyDiv w:val="1"/>
      <w:marLeft w:val="0"/>
      <w:marRight w:val="0"/>
      <w:marTop w:val="0"/>
      <w:marBottom w:val="0"/>
      <w:divBdr>
        <w:top w:val="none" w:sz="0" w:space="0" w:color="auto"/>
        <w:left w:val="none" w:sz="0" w:space="0" w:color="auto"/>
        <w:bottom w:val="none" w:sz="0" w:space="0" w:color="auto"/>
        <w:right w:val="none" w:sz="0" w:space="0" w:color="auto"/>
      </w:divBdr>
      <w:divsChild>
        <w:div w:id="138959661">
          <w:marLeft w:val="1166"/>
          <w:marRight w:val="0"/>
          <w:marTop w:val="86"/>
          <w:marBottom w:val="0"/>
          <w:divBdr>
            <w:top w:val="none" w:sz="0" w:space="0" w:color="auto"/>
            <w:left w:val="none" w:sz="0" w:space="0" w:color="auto"/>
            <w:bottom w:val="none" w:sz="0" w:space="0" w:color="auto"/>
            <w:right w:val="none" w:sz="0" w:space="0" w:color="auto"/>
          </w:divBdr>
        </w:div>
        <w:div w:id="401946766">
          <w:marLeft w:val="547"/>
          <w:marRight w:val="0"/>
          <w:marTop w:val="96"/>
          <w:marBottom w:val="0"/>
          <w:divBdr>
            <w:top w:val="none" w:sz="0" w:space="0" w:color="auto"/>
            <w:left w:val="none" w:sz="0" w:space="0" w:color="auto"/>
            <w:bottom w:val="none" w:sz="0" w:space="0" w:color="auto"/>
            <w:right w:val="none" w:sz="0" w:space="0" w:color="auto"/>
          </w:divBdr>
        </w:div>
        <w:div w:id="481121545">
          <w:marLeft w:val="1166"/>
          <w:marRight w:val="0"/>
          <w:marTop w:val="86"/>
          <w:marBottom w:val="0"/>
          <w:divBdr>
            <w:top w:val="none" w:sz="0" w:space="0" w:color="auto"/>
            <w:left w:val="none" w:sz="0" w:space="0" w:color="auto"/>
            <w:bottom w:val="none" w:sz="0" w:space="0" w:color="auto"/>
            <w:right w:val="none" w:sz="0" w:space="0" w:color="auto"/>
          </w:divBdr>
        </w:div>
        <w:div w:id="575480824">
          <w:marLeft w:val="547"/>
          <w:marRight w:val="0"/>
          <w:marTop w:val="96"/>
          <w:marBottom w:val="0"/>
          <w:divBdr>
            <w:top w:val="none" w:sz="0" w:space="0" w:color="auto"/>
            <w:left w:val="none" w:sz="0" w:space="0" w:color="auto"/>
            <w:bottom w:val="none" w:sz="0" w:space="0" w:color="auto"/>
            <w:right w:val="none" w:sz="0" w:space="0" w:color="auto"/>
          </w:divBdr>
        </w:div>
        <w:div w:id="581258443">
          <w:marLeft w:val="1166"/>
          <w:marRight w:val="0"/>
          <w:marTop w:val="86"/>
          <w:marBottom w:val="0"/>
          <w:divBdr>
            <w:top w:val="none" w:sz="0" w:space="0" w:color="auto"/>
            <w:left w:val="none" w:sz="0" w:space="0" w:color="auto"/>
            <w:bottom w:val="none" w:sz="0" w:space="0" w:color="auto"/>
            <w:right w:val="none" w:sz="0" w:space="0" w:color="auto"/>
          </w:divBdr>
        </w:div>
        <w:div w:id="811336409">
          <w:marLeft w:val="1166"/>
          <w:marRight w:val="0"/>
          <w:marTop w:val="86"/>
          <w:marBottom w:val="0"/>
          <w:divBdr>
            <w:top w:val="none" w:sz="0" w:space="0" w:color="auto"/>
            <w:left w:val="none" w:sz="0" w:space="0" w:color="auto"/>
            <w:bottom w:val="none" w:sz="0" w:space="0" w:color="auto"/>
            <w:right w:val="none" w:sz="0" w:space="0" w:color="auto"/>
          </w:divBdr>
        </w:div>
        <w:div w:id="982345448">
          <w:marLeft w:val="1166"/>
          <w:marRight w:val="0"/>
          <w:marTop w:val="86"/>
          <w:marBottom w:val="0"/>
          <w:divBdr>
            <w:top w:val="none" w:sz="0" w:space="0" w:color="auto"/>
            <w:left w:val="none" w:sz="0" w:space="0" w:color="auto"/>
            <w:bottom w:val="none" w:sz="0" w:space="0" w:color="auto"/>
            <w:right w:val="none" w:sz="0" w:space="0" w:color="auto"/>
          </w:divBdr>
        </w:div>
        <w:div w:id="1446120771">
          <w:marLeft w:val="1166"/>
          <w:marRight w:val="0"/>
          <w:marTop w:val="86"/>
          <w:marBottom w:val="0"/>
          <w:divBdr>
            <w:top w:val="none" w:sz="0" w:space="0" w:color="auto"/>
            <w:left w:val="none" w:sz="0" w:space="0" w:color="auto"/>
            <w:bottom w:val="none" w:sz="0" w:space="0" w:color="auto"/>
            <w:right w:val="none" w:sz="0" w:space="0" w:color="auto"/>
          </w:divBdr>
        </w:div>
        <w:div w:id="1901944803">
          <w:marLeft w:val="1166"/>
          <w:marRight w:val="0"/>
          <w:marTop w:val="86"/>
          <w:marBottom w:val="0"/>
          <w:divBdr>
            <w:top w:val="none" w:sz="0" w:space="0" w:color="auto"/>
            <w:left w:val="none" w:sz="0" w:space="0" w:color="auto"/>
            <w:bottom w:val="none" w:sz="0" w:space="0" w:color="auto"/>
            <w:right w:val="none" w:sz="0" w:space="0" w:color="auto"/>
          </w:divBdr>
        </w:div>
        <w:div w:id="2077970899">
          <w:marLeft w:val="1166"/>
          <w:marRight w:val="0"/>
          <w:marTop w:val="86"/>
          <w:marBottom w:val="0"/>
          <w:divBdr>
            <w:top w:val="none" w:sz="0" w:space="0" w:color="auto"/>
            <w:left w:val="none" w:sz="0" w:space="0" w:color="auto"/>
            <w:bottom w:val="none" w:sz="0" w:space="0" w:color="auto"/>
            <w:right w:val="none" w:sz="0" w:space="0" w:color="auto"/>
          </w:divBdr>
        </w:div>
        <w:div w:id="2087219473">
          <w:marLeft w:val="1166"/>
          <w:marRight w:val="0"/>
          <w:marTop w:val="86"/>
          <w:marBottom w:val="0"/>
          <w:divBdr>
            <w:top w:val="none" w:sz="0" w:space="0" w:color="auto"/>
            <w:left w:val="none" w:sz="0" w:space="0" w:color="auto"/>
            <w:bottom w:val="none" w:sz="0" w:space="0" w:color="auto"/>
            <w:right w:val="none" w:sz="0" w:space="0" w:color="auto"/>
          </w:divBdr>
        </w:div>
      </w:divsChild>
    </w:div>
    <w:div w:id="1814713012">
      <w:bodyDiv w:val="1"/>
      <w:marLeft w:val="0"/>
      <w:marRight w:val="0"/>
      <w:marTop w:val="0"/>
      <w:marBottom w:val="0"/>
      <w:divBdr>
        <w:top w:val="none" w:sz="0" w:space="0" w:color="auto"/>
        <w:left w:val="none" w:sz="0" w:space="0" w:color="auto"/>
        <w:bottom w:val="none" w:sz="0" w:space="0" w:color="auto"/>
        <w:right w:val="none" w:sz="0" w:space="0" w:color="auto"/>
      </w:divBdr>
    </w:div>
    <w:div w:id="1843936843">
      <w:bodyDiv w:val="1"/>
      <w:marLeft w:val="0"/>
      <w:marRight w:val="0"/>
      <w:marTop w:val="0"/>
      <w:marBottom w:val="0"/>
      <w:divBdr>
        <w:top w:val="none" w:sz="0" w:space="0" w:color="auto"/>
        <w:left w:val="none" w:sz="0" w:space="0" w:color="auto"/>
        <w:bottom w:val="none" w:sz="0" w:space="0" w:color="auto"/>
        <w:right w:val="none" w:sz="0" w:space="0" w:color="auto"/>
      </w:divBdr>
    </w:div>
    <w:div w:id="1854952449">
      <w:bodyDiv w:val="1"/>
      <w:marLeft w:val="0"/>
      <w:marRight w:val="0"/>
      <w:marTop w:val="0"/>
      <w:marBottom w:val="0"/>
      <w:divBdr>
        <w:top w:val="none" w:sz="0" w:space="0" w:color="auto"/>
        <w:left w:val="none" w:sz="0" w:space="0" w:color="auto"/>
        <w:bottom w:val="none" w:sz="0" w:space="0" w:color="auto"/>
        <w:right w:val="none" w:sz="0" w:space="0" w:color="auto"/>
      </w:divBdr>
    </w:div>
    <w:div w:id="1925722245">
      <w:bodyDiv w:val="1"/>
      <w:marLeft w:val="0"/>
      <w:marRight w:val="0"/>
      <w:marTop w:val="0"/>
      <w:marBottom w:val="0"/>
      <w:divBdr>
        <w:top w:val="none" w:sz="0" w:space="0" w:color="auto"/>
        <w:left w:val="none" w:sz="0" w:space="0" w:color="auto"/>
        <w:bottom w:val="none" w:sz="0" w:space="0" w:color="auto"/>
        <w:right w:val="none" w:sz="0" w:space="0" w:color="auto"/>
      </w:divBdr>
    </w:div>
    <w:div w:id="1932080382">
      <w:bodyDiv w:val="1"/>
      <w:marLeft w:val="0"/>
      <w:marRight w:val="0"/>
      <w:marTop w:val="0"/>
      <w:marBottom w:val="0"/>
      <w:divBdr>
        <w:top w:val="none" w:sz="0" w:space="0" w:color="auto"/>
        <w:left w:val="none" w:sz="0" w:space="0" w:color="auto"/>
        <w:bottom w:val="none" w:sz="0" w:space="0" w:color="auto"/>
        <w:right w:val="none" w:sz="0" w:space="0" w:color="auto"/>
      </w:divBdr>
    </w:div>
    <w:div w:id="1974938707">
      <w:bodyDiv w:val="1"/>
      <w:marLeft w:val="0"/>
      <w:marRight w:val="0"/>
      <w:marTop w:val="0"/>
      <w:marBottom w:val="0"/>
      <w:divBdr>
        <w:top w:val="none" w:sz="0" w:space="0" w:color="auto"/>
        <w:left w:val="none" w:sz="0" w:space="0" w:color="auto"/>
        <w:bottom w:val="none" w:sz="0" w:space="0" w:color="auto"/>
        <w:right w:val="none" w:sz="0" w:space="0" w:color="auto"/>
      </w:divBdr>
    </w:div>
    <w:div w:id="2098094683">
      <w:bodyDiv w:val="1"/>
      <w:marLeft w:val="0"/>
      <w:marRight w:val="0"/>
      <w:marTop w:val="0"/>
      <w:marBottom w:val="0"/>
      <w:divBdr>
        <w:top w:val="none" w:sz="0" w:space="0" w:color="auto"/>
        <w:left w:val="none" w:sz="0" w:space="0" w:color="auto"/>
        <w:bottom w:val="none" w:sz="0" w:space="0" w:color="auto"/>
        <w:right w:val="none" w:sz="0" w:space="0" w:color="auto"/>
      </w:divBdr>
    </w:div>
    <w:div w:id="2098480158">
      <w:bodyDiv w:val="1"/>
      <w:marLeft w:val="0"/>
      <w:marRight w:val="0"/>
      <w:marTop w:val="0"/>
      <w:marBottom w:val="0"/>
      <w:divBdr>
        <w:top w:val="none" w:sz="0" w:space="0" w:color="auto"/>
        <w:left w:val="none" w:sz="0" w:space="0" w:color="auto"/>
        <w:bottom w:val="none" w:sz="0" w:space="0" w:color="auto"/>
        <w:right w:val="none" w:sz="0" w:space="0" w:color="auto"/>
      </w:divBdr>
      <w:divsChild>
        <w:div w:id="1253659921">
          <w:marLeft w:val="0"/>
          <w:marRight w:val="0"/>
          <w:marTop w:val="100"/>
          <w:marBottom w:val="100"/>
          <w:divBdr>
            <w:top w:val="none" w:sz="0" w:space="0" w:color="auto"/>
            <w:left w:val="none" w:sz="0" w:space="0" w:color="auto"/>
            <w:bottom w:val="none" w:sz="0" w:space="0" w:color="auto"/>
            <w:right w:val="none" w:sz="0" w:space="0" w:color="auto"/>
          </w:divBdr>
          <w:divsChild>
            <w:div w:id="1306666983">
              <w:marLeft w:val="0"/>
              <w:marRight w:val="0"/>
              <w:marTop w:val="0"/>
              <w:marBottom w:val="0"/>
              <w:divBdr>
                <w:top w:val="none" w:sz="0" w:space="0" w:color="auto"/>
                <w:left w:val="none" w:sz="0" w:space="0" w:color="auto"/>
                <w:bottom w:val="none" w:sz="0" w:space="0" w:color="auto"/>
                <w:right w:val="none" w:sz="0" w:space="0" w:color="auto"/>
              </w:divBdr>
              <w:divsChild>
                <w:div w:id="343481922">
                  <w:marLeft w:val="0"/>
                  <w:marRight w:val="0"/>
                  <w:marTop w:val="0"/>
                  <w:marBottom w:val="0"/>
                  <w:divBdr>
                    <w:top w:val="none" w:sz="0" w:space="0" w:color="auto"/>
                    <w:left w:val="none" w:sz="0" w:space="0" w:color="auto"/>
                    <w:bottom w:val="none" w:sz="0" w:space="0" w:color="auto"/>
                    <w:right w:val="none" w:sz="0" w:space="0" w:color="auto"/>
                  </w:divBdr>
                  <w:divsChild>
                    <w:div w:id="1125347833">
                      <w:marLeft w:val="0"/>
                      <w:marRight w:val="0"/>
                      <w:marTop w:val="0"/>
                      <w:marBottom w:val="0"/>
                      <w:divBdr>
                        <w:top w:val="none" w:sz="0" w:space="0" w:color="auto"/>
                        <w:left w:val="none" w:sz="0" w:space="0" w:color="auto"/>
                        <w:bottom w:val="none" w:sz="0" w:space="0" w:color="auto"/>
                        <w:right w:val="none" w:sz="0" w:space="0" w:color="auto"/>
                      </w:divBdr>
                      <w:divsChild>
                        <w:div w:id="680477002">
                          <w:marLeft w:val="0"/>
                          <w:marRight w:val="0"/>
                          <w:marTop w:val="0"/>
                          <w:marBottom w:val="0"/>
                          <w:divBdr>
                            <w:top w:val="none" w:sz="0" w:space="0" w:color="auto"/>
                            <w:left w:val="none" w:sz="0" w:space="0" w:color="auto"/>
                            <w:bottom w:val="none" w:sz="0" w:space="0" w:color="auto"/>
                            <w:right w:val="none" w:sz="0" w:space="0" w:color="auto"/>
                          </w:divBdr>
                          <w:divsChild>
                            <w:div w:id="932663786">
                              <w:marLeft w:val="0"/>
                              <w:marRight w:val="0"/>
                              <w:marTop w:val="0"/>
                              <w:marBottom w:val="0"/>
                              <w:divBdr>
                                <w:top w:val="none" w:sz="0" w:space="0" w:color="auto"/>
                                <w:left w:val="none" w:sz="0" w:space="0" w:color="auto"/>
                                <w:bottom w:val="none" w:sz="0" w:space="0" w:color="auto"/>
                                <w:right w:val="none" w:sz="0" w:space="0" w:color="auto"/>
                              </w:divBdr>
                              <w:divsChild>
                                <w:div w:id="2105029860">
                                  <w:marLeft w:val="0"/>
                                  <w:marRight w:val="0"/>
                                  <w:marTop w:val="0"/>
                                  <w:marBottom w:val="0"/>
                                  <w:divBdr>
                                    <w:top w:val="none" w:sz="0" w:space="0" w:color="auto"/>
                                    <w:left w:val="none" w:sz="0" w:space="0" w:color="auto"/>
                                    <w:bottom w:val="none" w:sz="0" w:space="0" w:color="auto"/>
                                    <w:right w:val="none" w:sz="0" w:space="0" w:color="auto"/>
                                  </w:divBdr>
                                  <w:divsChild>
                                    <w:div w:id="1563952999">
                                      <w:marLeft w:val="0"/>
                                      <w:marRight w:val="0"/>
                                      <w:marTop w:val="0"/>
                                      <w:marBottom w:val="150"/>
                                      <w:divBdr>
                                        <w:top w:val="none" w:sz="0" w:space="0" w:color="auto"/>
                                        <w:left w:val="none" w:sz="0" w:space="0" w:color="auto"/>
                                        <w:bottom w:val="none" w:sz="0" w:space="0" w:color="auto"/>
                                        <w:right w:val="none" w:sz="0" w:space="0" w:color="auto"/>
                                      </w:divBdr>
                                      <w:divsChild>
                                        <w:div w:id="161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1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mailto:Dace.Avotina@f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ilex\NAD\_Darba_nodok&#316;i\Informat&#299;vais%20zi&#326;ojums\Nodok&#316;u%20plaisa_2706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D%2015%2004%202013\Dati_28%2003%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Progresivit&#257;tes%20modelis_13%2003%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Ietekme%20uz%20m&#257;jsaimniec&#299;b&#257;m_07%2003%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Ietekme%20uz%20m&#257;jsaimniec&#299;b&#257;m_07%2003%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4054930250283"/>
          <c:y val="4.6770852116767847E-2"/>
          <c:w val="0.85283609487464385"/>
          <c:h val="0.72400125925736381"/>
        </c:manualLayout>
      </c:layout>
      <c:lineChart>
        <c:grouping val="standard"/>
        <c:varyColors val="0"/>
        <c:ser>
          <c:idx val="0"/>
          <c:order val="0"/>
          <c:tx>
            <c:strRef>
              <c:f>'IIN likme'!$A$4</c:f>
              <c:strCache>
                <c:ptCount val="1"/>
                <c:pt idx="0">
                  <c:v>Latvija</c:v>
                </c:pt>
              </c:strCache>
            </c:strRef>
          </c:tx>
          <c:spPr>
            <a:ln>
              <a:solidFill>
                <a:srgbClr val="C00000"/>
              </a:solidFill>
            </a:ln>
          </c:spPr>
          <c:marker>
            <c:symbol val="square"/>
            <c:size val="5"/>
            <c:spPr>
              <a:solidFill>
                <a:srgbClr val="C00000"/>
              </a:solidFill>
              <a:ln>
                <a:noFill/>
              </a:ln>
            </c:spPr>
          </c:marker>
          <c:dPt>
            <c:idx val="9"/>
            <c:bubble3D val="0"/>
            <c:spPr>
              <a:ln>
                <a:solidFill>
                  <a:srgbClr val="C00000"/>
                </a:solidFill>
                <a:prstDash val="solid"/>
              </a:ln>
            </c:spPr>
          </c:dPt>
          <c:dPt>
            <c:idx val="10"/>
            <c:bubble3D val="0"/>
            <c:spPr>
              <a:ln>
                <a:solidFill>
                  <a:srgbClr val="C00000"/>
                </a:solidFill>
                <a:prstDash val="sysDot"/>
              </a:ln>
            </c:spPr>
          </c:dPt>
          <c:dPt>
            <c:idx val="11"/>
            <c:bubble3D val="0"/>
            <c:spPr>
              <a:ln>
                <a:solidFill>
                  <a:srgbClr val="C00000"/>
                </a:solidFill>
                <a:prstDash val="sysDot"/>
              </a:ln>
            </c:spPr>
          </c:dPt>
          <c:dLbls>
            <c:dLbl>
              <c:idx val="0"/>
              <c:delete val="1"/>
            </c:dLbl>
            <c:dLbl>
              <c:idx val="1"/>
              <c:layout>
                <c:manualLayout>
                  <c:x val="-2.1756999125109335E-2"/>
                  <c:y val="-5.9033078880407125E-2"/>
                </c:manualLayout>
              </c:layout>
              <c:dLblPos val="r"/>
              <c:showLegendKey val="0"/>
              <c:showVal val="1"/>
              <c:showCatName val="0"/>
              <c:showSerName val="0"/>
              <c:showPercent val="0"/>
              <c:showBubbleSize val="0"/>
            </c:dLbl>
            <c:dLbl>
              <c:idx val="2"/>
              <c:delete val="1"/>
            </c:dLbl>
            <c:dLbl>
              <c:idx val="3"/>
              <c:delete val="1"/>
            </c:dLbl>
            <c:dLbl>
              <c:idx val="4"/>
              <c:delete val="1"/>
            </c:dLbl>
            <c:dLbl>
              <c:idx val="7"/>
              <c:layout>
                <c:manualLayout>
                  <c:x val="-1.3423665791776028E-2"/>
                  <c:y val="-5.9033078880407125E-2"/>
                </c:manualLayout>
              </c:layout>
              <c:dLblPos val="r"/>
              <c:showLegendKey val="0"/>
              <c:showVal val="1"/>
              <c:showCatName val="0"/>
              <c:showSerName val="0"/>
              <c:showPercent val="0"/>
              <c:showBubbleSize val="0"/>
            </c:dLbl>
            <c:dLbl>
              <c:idx val="8"/>
              <c:delete val="1"/>
            </c:dLbl>
            <c:dLbl>
              <c:idx val="11"/>
              <c:layout>
                <c:manualLayout>
                  <c:x val="-3.4722222222222224E-2"/>
                  <c:y val="-3.867684478371506E-2"/>
                </c:manualLayout>
              </c:layout>
              <c:dLblPos val="r"/>
              <c:showLegendKey val="0"/>
              <c:showVal val="1"/>
              <c:showCatName val="0"/>
              <c:showSerName val="0"/>
              <c:showPercent val="0"/>
              <c:showBubbleSize val="0"/>
            </c:dLbl>
            <c:txPr>
              <a:bodyPr/>
              <a:lstStyle/>
              <a:p>
                <a:pPr>
                  <a:defRPr sz="800" b="1">
                    <a:solidFill>
                      <a:srgbClr val="C00000"/>
                    </a:solidFill>
                  </a:defRPr>
                </a:pPr>
                <a:endParaRPr lang="lv-LV"/>
              </a:p>
            </c:txPr>
            <c:dLblPos val="t"/>
            <c:showLegendKey val="0"/>
            <c:showVal val="1"/>
            <c:showCatName val="0"/>
            <c:showSerName val="0"/>
            <c:showPercent val="0"/>
            <c:showBubbleSize val="0"/>
            <c:showLeaderLines val="0"/>
          </c:dLbls>
          <c:cat>
            <c:numRef>
              <c:f>'IIN likme'!$B$3:$M$3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'IIN likme'!$B$4:$M$4</c:f>
              <c:numCache>
                <c:formatCode>0%</c:formatCode>
                <c:ptCount val="12"/>
                <c:pt idx="0">
                  <c:v>0.25</c:v>
                </c:pt>
                <c:pt idx="1">
                  <c:v>0.25</c:v>
                </c:pt>
                <c:pt idx="2">
                  <c:v>0.25</c:v>
                </c:pt>
                <c:pt idx="3">
                  <c:v>0.25</c:v>
                </c:pt>
                <c:pt idx="4">
                  <c:v>0.25</c:v>
                </c:pt>
                <c:pt idx="5">
                  <c:v>0.23</c:v>
                </c:pt>
                <c:pt idx="6">
                  <c:v>0.26</c:v>
                </c:pt>
                <c:pt idx="7">
                  <c:v>0.25</c:v>
                </c:pt>
                <c:pt idx="8">
                  <c:v>0.25</c:v>
                </c:pt>
                <c:pt idx="9">
                  <c:v>0.24</c:v>
                </c:pt>
                <c:pt idx="10">
                  <c:v>0.22</c:v>
                </c:pt>
                <c:pt idx="11">
                  <c:v>0.2</c:v>
                </c:pt>
              </c:numCache>
            </c:numRef>
          </c:val>
          <c:smooth val="0"/>
        </c:ser>
        <c:ser>
          <c:idx val="1"/>
          <c:order val="1"/>
          <c:tx>
            <c:strRef>
              <c:f>'IIN likme'!$A$5</c:f>
              <c:strCache>
                <c:ptCount val="1"/>
                <c:pt idx="0">
                  <c:v>Lietuva</c:v>
                </c:pt>
              </c:strCache>
            </c:strRef>
          </c:tx>
          <c:spPr>
            <a:ln>
              <a:solidFill>
                <a:srgbClr val="00B050"/>
              </a:solidFill>
            </a:ln>
          </c:spPr>
          <c:marker>
            <c:symbol val="diamond"/>
            <c:size val="6"/>
            <c:spPr>
              <a:solidFill>
                <a:srgbClr val="00B050"/>
              </a:solidFill>
              <a:ln>
                <a:solidFill>
                  <a:srgbClr val="00B050"/>
                </a:solidFill>
              </a:ln>
            </c:spPr>
          </c:marker>
          <c:dPt>
            <c:idx val="9"/>
            <c:bubble3D val="0"/>
            <c:spPr>
              <a:ln>
                <a:solidFill>
                  <a:srgbClr val="00B050"/>
                </a:solidFill>
                <a:prstDash val="solid"/>
              </a:ln>
            </c:spPr>
          </c:dPt>
          <c:dPt>
            <c:idx val="10"/>
            <c:bubble3D val="0"/>
            <c:spPr>
              <a:ln>
                <a:solidFill>
                  <a:srgbClr val="00B050"/>
                </a:solidFill>
                <a:prstDash val="sysDot"/>
              </a:ln>
            </c:spPr>
          </c:dPt>
          <c:dPt>
            <c:idx val="11"/>
            <c:bubble3D val="0"/>
            <c:spPr>
              <a:ln>
                <a:solidFill>
                  <a:srgbClr val="00B050"/>
                </a:solidFill>
                <a:prstDash val="sysDot"/>
              </a:ln>
            </c:spPr>
          </c:dPt>
          <c:dLbls>
            <c:dLbl>
              <c:idx val="0"/>
              <c:layout>
                <c:manualLayout>
                  <c:x val="-8.3333333333333332E-3"/>
                  <c:y val="-4.6310432569974552E-2"/>
                </c:manualLayout>
              </c:layout>
              <c:dLblPos val="r"/>
              <c:showLegendKey val="0"/>
              <c:showVal val="1"/>
              <c:showCatName val="0"/>
              <c:showSerName val="0"/>
              <c:showPercent val="0"/>
              <c:showBubbleSize val="0"/>
            </c:dLbl>
            <c:dLbl>
              <c:idx val="1"/>
              <c:delete val="1"/>
            </c:dLbl>
            <c:dLbl>
              <c:idx val="2"/>
              <c:delete val="1"/>
            </c:dLbl>
            <c:dLbl>
              <c:idx val="3"/>
              <c:layout>
                <c:manualLayout>
                  <c:x val="-8.0555555555555561E-2"/>
                  <c:y val="-4.6310432569974552E-2"/>
                </c:manualLayout>
              </c:layout>
              <c:dLblPos val="r"/>
              <c:showLegendKey val="0"/>
              <c:showVal val="1"/>
              <c:showCatName val="0"/>
              <c:showSerName val="0"/>
              <c:showPercent val="0"/>
              <c:showBubbleSize val="0"/>
            </c:dLbl>
            <c:dLbl>
              <c:idx val="4"/>
              <c:layout>
                <c:manualLayout>
                  <c:x val="-8.611111111111111E-2"/>
                  <c:y val="1.4758269720101781E-2"/>
                </c:manualLayout>
              </c:layout>
              <c:dLblPos val="r"/>
              <c:showLegendKey val="0"/>
              <c:showVal val="1"/>
              <c:showCatName val="0"/>
              <c:showSerName val="0"/>
              <c:showPercent val="0"/>
              <c:showBubbleSize val="0"/>
            </c:dLbl>
            <c:dLbl>
              <c:idx val="5"/>
              <c:delete val="1"/>
            </c:dLbl>
            <c:dLbl>
              <c:idx val="6"/>
              <c:delete val="1"/>
            </c:dLbl>
            <c:dLbl>
              <c:idx val="7"/>
              <c:delete val="1"/>
            </c:dLbl>
            <c:dLbl>
              <c:idx val="9"/>
              <c:delete val="1"/>
            </c:dLbl>
            <c:dLbl>
              <c:idx val="10"/>
              <c:delete val="1"/>
            </c:dLbl>
            <c:dLbl>
              <c:idx val="11"/>
              <c:delete val="1"/>
            </c:dLbl>
            <c:txPr>
              <a:bodyPr/>
              <a:lstStyle/>
              <a:p>
                <a:pPr>
                  <a:defRPr sz="800" b="1">
                    <a:solidFill>
                      <a:srgbClr val="006600"/>
                    </a:solidFill>
                  </a:defRPr>
                </a:pPr>
                <a:endParaRPr lang="lv-LV"/>
              </a:p>
            </c:txPr>
            <c:dLblPos val="t"/>
            <c:showLegendKey val="0"/>
            <c:showVal val="1"/>
            <c:showCatName val="0"/>
            <c:showSerName val="0"/>
            <c:showPercent val="0"/>
            <c:showBubbleSize val="0"/>
            <c:showLeaderLines val="0"/>
          </c:dLbls>
          <c:cat>
            <c:numRef>
              <c:f>'IIN likme'!$B$3:$M$3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'IIN likme'!$B$5:$M$5</c:f>
              <c:numCache>
                <c:formatCode>0%</c:formatCode>
                <c:ptCount val="12"/>
                <c:pt idx="0">
                  <c:v>0.33</c:v>
                </c:pt>
                <c:pt idx="1">
                  <c:v>0.33</c:v>
                </c:pt>
                <c:pt idx="2">
                  <c:v>0.27</c:v>
                </c:pt>
                <c:pt idx="3">
                  <c:v>0.27</c:v>
                </c:pt>
                <c:pt idx="4">
                  <c:v>0.24</c:v>
                </c:pt>
                <c:pt idx="5">
                  <c:v>0.15</c:v>
                </c:pt>
                <c:pt idx="6">
                  <c:v>0.15</c:v>
                </c:pt>
                <c:pt idx="7">
                  <c:v>0.15</c:v>
                </c:pt>
                <c:pt idx="8">
                  <c:v>0.15</c:v>
                </c:pt>
                <c:pt idx="9">
                  <c:v>0.15</c:v>
                </c:pt>
                <c:pt idx="10">
                  <c:v>0.15</c:v>
                </c:pt>
                <c:pt idx="11">
                  <c:v>0.15</c:v>
                </c:pt>
              </c:numCache>
            </c:numRef>
          </c:val>
          <c:smooth val="0"/>
        </c:ser>
        <c:ser>
          <c:idx val="2"/>
          <c:order val="2"/>
          <c:tx>
            <c:strRef>
              <c:f>'IIN likme'!$A$6</c:f>
              <c:strCache>
                <c:ptCount val="1"/>
                <c:pt idx="0">
                  <c:v>Igaunija</c:v>
                </c:pt>
              </c:strCache>
            </c:strRef>
          </c:tx>
          <c:spPr>
            <a:ln>
              <a:solidFill>
                <a:srgbClr val="0070C0"/>
              </a:solidFill>
            </a:ln>
          </c:spPr>
          <c:marker>
            <c:symbol val="triangle"/>
            <c:size val="6"/>
            <c:spPr>
              <a:solidFill>
                <a:srgbClr val="0070C0"/>
              </a:solidFill>
              <a:ln>
                <a:noFill/>
              </a:ln>
            </c:spPr>
          </c:marker>
          <c:dPt>
            <c:idx val="9"/>
            <c:bubble3D val="0"/>
            <c:spPr>
              <a:ln>
                <a:solidFill>
                  <a:srgbClr val="0070C0"/>
                </a:solidFill>
                <a:prstDash val="solid"/>
              </a:ln>
            </c:spPr>
          </c:dPt>
          <c:dPt>
            <c:idx val="10"/>
            <c:bubble3D val="0"/>
            <c:spPr>
              <a:ln>
                <a:solidFill>
                  <a:srgbClr val="0070C0"/>
                </a:solidFill>
                <a:prstDash val="sysDot"/>
              </a:ln>
            </c:spPr>
          </c:dPt>
          <c:dPt>
            <c:idx val="11"/>
            <c:bubble3D val="0"/>
            <c:spPr>
              <a:ln>
                <a:solidFill>
                  <a:srgbClr val="0070C0"/>
                </a:solidFill>
                <a:prstDash val="sysDot"/>
              </a:ln>
            </c:spPr>
          </c:dPt>
          <c:dLbls>
            <c:dLbl>
              <c:idx val="0"/>
              <c:layout>
                <c:manualLayout>
                  <c:x val="-0.05"/>
                  <c:y val="-4.1221374045801527E-2"/>
                </c:manualLayout>
              </c:layout>
              <c:dLblPos val="r"/>
              <c:showLegendKey val="0"/>
              <c:showVal val="1"/>
              <c:showCatName val="0"/>
              <c:showSerName val="0"/>
              <c:showPercent val="0"/>
              <c:showBubbleSize val="0"/>
            </c:dLbl>
            <c:dLbl>
              <c:idx val="1"/>
              <c:layout>
                <c:manualLayout>
                  <c:x val="-6.1111111111111109E-2"/>
                  <c:y val="4.5292620865139951E-2"/>
                </c:manualLayout>
              </c:layout>
              <c:dLblPos val="r"/>
              <c:showLegendKey val="0"/>
              <c:showVal val="1"/>
              <c:showCatName val="0"/>
              <c:showSerName val="0"/>
              <c:showPercent val="0"/>
              <c:showBubbleSize val="0"/>
            </c:dLbl>
            <c:dLbl>
              <c:idx val="2"/>
              <c:layout>
                <c:manualLayout>
                  <c:x val="-5.555555555555558E-2"/>
                  <c:y val="4.5292620865139951E-2"/>
                </c:manualLayout>
              </c:layout>
              <c:dLblPos val="r"/>
              <c:showLegendKey val="0"/>
              <c:showVal val="1"/>
              <c:showCatName val="0"/>
              <c:showSerName val="0"/>
              <c:showPercent val="0"/>
              <c:showBubbleSize val="0"/>
            </c:dLbl>
            <c:dLbl>
              <c:idx val="3"/>
              <c:layout>
                <c:manualLayout>
                  <c:x val="-6.1111111111111109E-2"/>
                  <c:y val="5.0381278676043355E-2"/>
                </c:manualLayout>
              </c:layout>
              <c:dLblPos val="r"/>
              <c:showLegendKey val="0"/>
              <c:showVal val="1"/>
              <c:showCatName val="0"/>
              <c:showSerName val="0"/>
              <c:showPercent val="0"/>
              <c:showBubbleSize val="0"/>
            </c:dLbl>
            <c:dLbl>
              <c:idx val="4"/>
              <c:layout>
                <c:manualLayout>
                  <c:x val="9.166666666666666E-2"/>
                  <c:y val="4.020356234096692E-2"/>
                </c:manualLayout>
              </c:layout>
              <c:dLblPos val="r"/>
              <c:showLegendKey val="0"/>
              <c:showVal val="1"/>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txPr>
              <a:bodyPr/>
              <a:lstStyle/>
              <a:p>
                <a:pPr>
                  <a:defRPr sz="800" b="1">
                    <a:solidFill>
                      <a:srgbClr val="002060"/>
                    </a:solidFill>
                  </a:defRPr>
                </a:pPr>
                <a:endParaRPr lang="lv-LV"/>
              </a:p>
            </c:txPr>
            <c:dLblPos val="t"/>
            <c:showLegendKey val="0"/>
            <c:showVal val="1"/>
            <c:showCatName val="0"/>
            <c:showSerName val="0"/>
            <c:showPercent val="0"/>
            <c:showBubbleSize val="0"/>
            <c:showLeaderLines val="0"/>
          </c:dLbls>
          <c:cat>
            <c:numRef>
              <c:f>'IIN likme'!$B$3:$M$3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'IIN likme'!$B$6:$M$6</c:f>
              <c:numCache>
                <c:formatCode>0%</c:formatCode>
                <c:ptCount val="12"/>
                <c:pt idx="0">
                  <c:v>0.26</c:v>
                </c:pt>
                <c:pt idx="1">
                  <c:v>0.24</c:v>
                </c:pt>
                <c:pt idx="2">
                  <c:v>0.23</c:v>
                </c:pt>
                <c:pt idx="3">
                  <c:v>0.22</c:v>
                </c:pt>
                <c:pt idx="4">
                  <c:v>0.21</c:v>
                </c:pt>
                <c:pt idx="5">
                  <c:v>0.21</c:v>
                </c:pt>
                <c:pt idx="6">
                  <c:v>0.21</c:v>
                </c:pt>
                <c:pt idx="7">
                  <c:v>0.21</c:v>
                </c:pt>
                <c:pt idx="8">
                  <c:v>0.21</c:v>
                </c:pt>
                <c:pt idx="9">
                  <c:v>0.21</c:v>
                </c:pt>
                <c:pt idx="10">
                  <c:v>0.21</c:v>
                </c:pt>
                <c:pt idx="11">
                  <c:v>0.2</c:v>
                </c:pt>
              </c:numCache>
            </c:numRef>
          </c:val>
          <c:smooth val="0"/>
        </c:ser>
        <c:dLbls>
          <c:showLegendKey val="0"/>
          <c:showVal val="0"/>
          <c:showCatName val="0"/>
          <c:showSerName val="0"/>
          <c:showPercent val="0"/>
          <c:showBubbleSize val="0"/>
        </c:dLbls>
        <c:marker val="1"/>
        <c:smooth val="0"/>
        <c:axId val="86294528"/>
        <c:axId val="86296064"/>
      </c:lineChart>
      <c:catAx>
        <c:axId val="86294528"/>
        <c:scaling>
          <c:orientation val="minMax"/>
        </c:scaling>
        <c:delete val="0"/>
        <c:axPos val="b"/>
        <c:numFmt formatCode="General" sourceLinked="1"/>
        <c:majorTickMark val="out"/>
        <c:minorTickMark val="none"/>
        <c:tickLblPos val="nextTo"/>
        <c:crossAx val="86296064"/>
        <c:crosses val="autoZero"/>
        <c:auto val="1"/>
        <c:lblAlgn val="ctr"/>
        <c:lblOffset val="100"/>
        <c:noMultiLvlLbl val="0"/>
      </c:catAx>
      <c:valAx>
        <c:axId val="86296064"/>
        <c:scaling>
          <c:orientation val="minMax"/>
        </c:scaling>
        <c:delete val="0"/>
        <c:axPos val="l"/>
        <c:majorGridlines>
          <c:spPr>
            <a:ln>
              <a:solidFill>
                <a:schemeClr val="bg1">
                  <a:lumMod val="75000"/>
                </a:schemeClr>
              </a:solidFill>
            </a:ln>
          </c:spPr>
        </c:majorGridlines>
        <c:title>
          <c:tx>
            <c:rich>
              <a:bodyPr rot="-5400000" vert="horz"/>
              <a:lstStyle/>
              <a:p>
                <a:pPr>
                  <a:defRPr/>
                </a:pPr>
                <a:r>
                  <a:rPr lang="lv-LV"/>
                  <a:t>IIN likme</a:t>
                </a:r>
              </a:p>
            </c:rich>
          </c:tx>
          <c:layout/>
          <c:overlay val="0"/>
        </c:title>
        <c:numFmt formatCode="0%" sourceLinked="1"/>
        <c:majorTickMark val="out"/>
        <c:minorTickMark val="none"/>
        <c:tickLblPos val="nextTo"/>
        <c:crossAx val="86294528"/>
        <c:crosses val="autoZero"/>
        <c:crossBetween val="between"/>
      </c:valAx>
    </c:plotArea>
    <c:legend>
      <c:legendPos val="b"/>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'PIT rate'!$B$35</c:f>
              <c:strCache>
                <c:ptCount val="1"/>
                <c:pt idx="0">
                  <c:v>Neapliekamais minimums</c:v>
                </c:pt>
              </c:strCache>
            </c:strRef>
          </c:tx>
          <c:marker>
            <c:symbol val="square"/>
            <c:size val="5"/>
          </c:marker>
          <c:dLbls>
            <c:dLbl>
              <c:idx val="8"/>
              <c:layout>
                <c:manualLayout>
                  <c:x val="-1.4579505686789151E-2"/>
                  <c:y val="-5.1143735523960024E-2"/>
                </c:manualLayout>
              </c:layout>
              <c:dLblPos val="r"/>
              <c:showLegendKey val="0"/>
              <c:showVal val="1"/>
              <c:showCatName val="0"/>
              <c:showSerName val="0"/>
              <c:showPercent val="0"/>
              <c:showBubbleSize val="0"/>
            </c:dLbl>
            <c:dLbl>
              <c:idx val="9"/>
              <c:delete val="1"/>
            </c:dLbl>
            <c:txPr>
              <a:bodyPr/>
              <a:lstStyle/>
              <a:p>
                <a:pPr>
                  <a:defRPr b="1">
                    <a:solidFill>
                      <a:srgbClr val="002060"/>
                    </a:solidFill>
                  </a:defRPr>
                </a:pPr>
                <a:endParaRPr lang="lv-LV"/>
              </a:p>
            </c:txPr>
            <c:dLblPos val="t"/>
            <c:showLegendKey val="0"/>
            <c:showVal val="1"/>
            <c:showCatName val="0"/>
            <c:showSerName val="0"/>
            <c:showPercent val="0"/>
            <c:showBubbleSize val="0"/>
            <c:showLeaderLines val="0"/>
          </c:dLbls>
          <c:cat>
            <c:strRef>
              <c:f>'PIT rate'!$A$36:$A$47</c:f>
              <c:strCache>
                <c:ptCount val="12"/>
                <c:pt idx="0">
                  <c:v>No 01.01.1994</c:v>
                </c:pt>
                <c:pt idx="1">
                  <c:v>No 01.05.1994.</c:v>
                </c:pt>
                <c:pt idx="2">
                  <c:v>No 01.01.1996.</c:v>
                </c:pt>
                <c:pt idx="3">
                  <c:v>No 01.07.1996.</c:v>
                </c:pt>
                <c:pt idx="4">
                  <c:v>No 01.01.1997.</c:v>
                </c:pt>
                <c:pt idx="5">
                  <c:v>No 01.01.2006.</c:v>
                </c:pt>
                <c:pt idx="6">
                  <c:v>No 01.01.2007.</c:v>
                </c:pt>
                <c:pt idx="7">
                  <c:v>No 01.01.2008.</c:v>
                </c:pt>
                <c:pt idx="8">
                  <c:v>No 01.01.2009.</c:v>
                </c:pt>
                <c:pt idx="9">
                  <c:v>No 01.07.2009.</c:v>
                </c:pt>
                <c:pt idx="10">
                  <c:v>No 01.01.2011.</c:v>
                </c:pt>
                <c:pt idx="11">
                  <c:v>No 01.07.2013.</c:v>
                </c:pt>
              </c:strCache>
            </c:strRef>
          </c:cat>
          <c:val>
            <c:numRef>
              <c:f>'PIT rate'!$B$36:$B$47</c:f>
              <c:numCache>
                <c:formatCode>General</c:formatCode>
                <c:ptCount val="12"/>
                <c:pt idx="0">
                  <c:v>25</c:v>
                </c:pt>
                <c:pt idx="1">
                  <c:v>22.5</c:v>
                </c:pt>
                <c:pt idx="2">
                  <c:v>22.5</c:v>
                </c:pt>
                <c:pt idx="3">
                  <c:v>25</c:v>
                </c:pt>
                <c:pt idx="4">
                  <c:v>21</c:v>
                </c:pt>
                <c:pt idx="5">
                  <c:v>32</c:v>
                </c:pt>
                <c:pt idx="6">
                  <c:v>50</c:v>
                </c:pt>
                <c:pt idx="7">
                  <c:v>80</c:v>
                </c:pt>
                <c:pt idx="8">
                  <c:v>90</c:v>
                </c:pt>
                <c:pt idx="9">
                  <c:v>35</c:v>
                </c:pt>
                <c:pt idx="10">
                  <c:v>45</c:v>
                </c:pt>
                <c:pt idx="11">
                  <c:v>45</c:v>
                </c:pt>
              </c:numCache>
            </c:numRef>
          </c:val>
          <c:smooth val="0"/>
        </c:ser>
        <c:ser>
          <c:idx val="1"/>
          <c:order val="1"/>
          <c:tx>
            <c:strRef>
              <c:f>'PIT rate'!$C$35</c:f>
              <c:strCache>
                <c:ptCount val="1"/>
                <c:pt idx="0">
                  <c:v>Atvieglojums par apgādībā esošām personām</c:v>
                </c:pt>
              </c:strCache>
            </c:strRef>
          </c:tx>
          <c:marker>
            <c:symbol val="none"/>
          </c:marker>
          <c:dLbls>
            <c:dLbl>
              <c:idx val="0"/>
              <c:layout>
                <c:manualLayout>
                  <c:x val="-4.1944705048957497E-2"/>
                  <c:y val="4.3593840367008731E-2"/>
                </c:manualLayout>
              </c:layout>
              <c:dLblPos val="r"/>
              <c:showLegendKey val="0"/>
              <c:showVal val="1"/>
              <c:showCatName val="0"/>
              <c:showSerName val="0"/>
              <c:showPercent val="0"/>
              <c:showBubbleSize val="0"/>
            </c:dLbl>
            <c:dLbl>
              <c:idx val="1"/>
              <c:layout>
                <c:manualLayout>
                  <c:x val="-4.1944705048957483E-2"/>
                  <c:y val="3.5087725173446049E-2"/>
                </c:manualLayout>
              </c:layout>
              <c:dLblPos val="r"/>
              <c:showLegendKey val="0"/>
              <c:showVal val="1"/>
              <c:showCatName val="0"/>
              <c:showSerName val="0"/>
              <c:showPercent val="0"/>
              <c:showBubbleSize val="0"/>
            </c:dLbl>
            <c:dLbl>
              <c:idx val="2"/>
              <c:layout>
                <c:manualLayout>
                  <c:x val="-4.9385249550478225E-2"/>
                  <c:y val="4.4873211986713041E-2"/>
                </c:manualLayout>
              </c:layout>
              <c:dLblPos val="r"/>
              <c:showLegendKey val="0"/>
              <c:showVal val="1"/>
              <c:showCatName val="0"/>
              <c:showSerName val="0"/>
              <c:showPercent val="0"/>
              <c:showBubbleSize val="0"/>
            </c:dLbl>
            <c:dLbl>
              <c:idx val="3"/>
              <c:layout>
                <c:manualLayout>
                  <c:x val="-4.1944705048957462E-2"/>
                  <c:y val="4.7846897963789992E-2"/>
                </c:manualLayout>
              </c:layout>
              <c:dLblPos val="r"/>
              <c:showLegendKey val="0"/>
              <c:showVal val="1"/>
              <c:showCatName val="0"/>
              <c:showSerName val="0"/>
              <c:showPercent val="0"/>
              <c:showBubbleSize val="0"/>
            </c:dLbl>
            <c:dLbl>
              <c:idx val="4"/>
              <c:layout>
                <c:manualLayout>
                  <c:x val="-6.4823635075661606E-2"/>
                  <c:y val="3.0834667576664788E-2"/>
                </c:manualLayout>
              </c:layout>
              <c:dLblPos val="r"/>
              <c:showLegendKey val="0"/>
              <c:showVal val="1"/>
              <c:showCatName val="0"/>
              <c:showSerName val="0"/>
              <c:showPercent val="0"/>
              <c:showBubbleSize val="0"/>
            </c:dLbl>
            <c:dLbl>
              <c:idx val="5"/>
              <c:layout>
                <c:manualLayout>
                  <c:x val="-1.6523671685952958E-2"/>
                  <c:y val="1.8075494786320694E-2"/>
                </c:manualLayout>
              </c:layout>
              <c:dLblPos val="r"/>
              <c:showLegendKey val="0"/>
              <c:showVal val="1"/>
              <c:showCatName val="0"/>
              <c:showSerName val="0"/>
              <c:showPercent val="0"/>
              <c:showBubbleSize val="0"/>
            </c:dLbl>
            <c:dLbl>
              <c:idx val="7"/>
              <c:delete val="1"/>
            </c:dLbl>
            <c:dLbl>
              <c:idx val="8"/>
              <c:layout>
                <c:manualLayout>
                  <c:x val="-6.4823635075661606E-2"/>
                  <c:y val="-5.4226484358962115E-2"/>
                </c:manualLayout>
              </c:layout>
              <c:dLblPos val="r"/>
              <c:showLegendKey val="0"/>
              <c:showVal val="1"/>
              <c:showCatName val="0"/>
              <c:showSerName val="0"/>
              <c:showPercent val="0"/>
              <c:showBubbleSize val="0"/>
            </c:dLbl>
            <c:txPr>
              <a:bodyPr/>
              <a:lstStyle/>
              <a:p>
                <a:pPr>
                  <a:defRPr b="1">
                    <a:solidFill>
                      <a:srgbClr val="C00000"/>
                    </a:solidFill>
                  </a:defRPr>
                </a:pPr>
                <a:endParaRPr lang="lv-LV"/>
              </a:p>
            </c:txPr>
            <c:dLblPos val="t"/>
            <c:showLegendKey val="0"/>
            <c:showVal val="1"/>
            <c:showCatName val="0"/>
            <c:showSerName val="0"/>
            <c:showPercent val="0"/>
            <c:showBubbleSize val="0"/>
            <c:showLeaderLines val="0"/>
          </c:dLbls>
          <c:cat>
            <c:strRef>
              <c:f>'PIT rate'!$A$36:$A$47</c:f>
              <c:strCache>
                <c:ptCount val="12"/>
                <c:pt idx="0">
                  <c:v>No 01.01.1994</c:v>
                </c:pt>
                <c:pt idx="1">
                  <c:v>No 01.05.1994.</c:v>
                </c:pt>
                <c:pt idx="2">
                  <c:v>No 01.01.1996.</c:v>
                </c:pt>
                <c:pt idx="3">
                  <c:v>No 01.07.1996.</c:v>
                </c:pt>
                <c:pt idx="4">
                  <c:v>No 01.01.1997.</c:v>
                </c:pt>
                <c:pt idx="5">
                  <c:v>No 01.01.2006.</c:v>
                </c:pt>
                <c:pt idx="6">
                  <c:v>No 01.01.2007.</c:v>
                </c:pt>
                <c:pt idx="7">
                  <c:v>No 01.01.2008.</c:v>
                </c:pt>
                <c:pt idx="8">
                  <c:v>No 01.01.2009.</c:v>
                </c:pt>
                <c:pt idx="9">
                  <c:v>No 01.07.2009.</c:v>
                </c:pt>
                <c:pt idx="10">
                  <c:v>No 01.01.2011.</c:v>
                </c:pt>
                <c:pt idx="11">
                  <c:v>No 01.07.2013.</c:v>
                </c:pt>
              </c:strCache>
            </c:strRef>
          </c:cat>
          <c:val>
            <c:numRef>
              <c:f>'PIT rate'!$C$36:$C$47</c:f>
              <c:numCache>
                <c:formatCode>General</c:formatCode>
                <c:ptCount val="12"/>
                <c:pt idx="0">
                  <c:v>20</c:v>
                </c:pt>
                <c:pt idx="1">
                  <c:v>15</c:v>
                </c:pt>
                <c:pt idx="2">
                  <c:v>11.25</c:v>
                </c:pt>
                <c:pt idx="3">
                  <c:v>12.5</c:v>
                </c:pt>
                <c:pt idx="4">
                  <c:v>10.5</c:v>
                </c:pt>
                <c:pt idx="5">
                  <c:v>22</c:v>
                </c:pt>
                <c:pt idx="6">
                  <c:v>35</c:v>
                </c:pt>
                <c:pt idx="7">
                  <c:v>56</c:v>
                </c:pt>
                <c:pt idx="8">
                  <c:v>63</c:v>
                </c:pt>
                <c:pt idx="9">
                  <c:v>63</c:v>
                </c:pt>
                <c:pt idx="10">
                  <c:v>70</c:v>
                </c:pt>
                <c:pt idx="11">
                  <c:v>80</c:v>
                </c:pt>
              </c:numCache>
            </c:numRef>
          </c:val>
          <c:smooth val="0"/>
        </c:ser>
        <c:dLbls>
          <c:showLegendKey val="0"/>
          <c:showVal val="0"/>
          <c:showCatName val="0"/>
          <c:showSerName val="0"/>
          <c:showPercent val="0"/>
          <c:showBubbleSize val="0"/>
        </c:dLbls>
        <c:marker val="1"/>
        <c:smooth val="0"/>
        <c:axId val="36945920"/>
        <c:axId val="36947456"/>
      </c:lineChart>
      <c:catAx>
        <c:axId val="36945920"/>
        <c:scaling>
          <c:orientation val="minMax"/>
        </c:scaling>
        <c:delete val="0"/>
        <c:axPos val="b"/>
        <c:majorTickMark val="out"/>
        <c:minorTickMark val="none"/>
        <c:tickLblPos val="nextTo"/>
        <c:txPr>
          <a:bodyPr/>
          <a:lstStyle/>
          <a:p>
            <a:pPr>
              <a:defRPr sz="900"/>
            </a:pPr>
            <a:endParaRPr lang="lv-LV"/>
          </a:p>
        </c:txPr>
        <c:crossAx val="36947456"/>
        <c:crosses val="autoZero"/>
        <c:auto val="1"/>
        <c:lblAlgn val="ctr"/>
        <c:lblOffset val="100"/>
        <c:noMultiLvlLbl val="0"/>
      </c:catAx>
      <c:valAx>
        <c:axId val="36947456"/>
        <c:scaling>
          <c:orientation val="minMax"/>
        </c:scaling>
        <c:delete val="0"/>
        <c:axPos val="l"/>
        <c:majorGridlines>
          <c:spPr>
            <a:ln>
              <a:solidFill>
                <a:schemeClr val="bg1">
                  <a:lumMod val="75000"/>
                </a:schemeClr>
              </a:solidFill>
            </a:ln>
          </c:spPr>
        </c:majorGridlines>
        <c:title>
          <c:tx>
            <c:rich>
              <a:bodyPr rot="-5400000" vert="horz"/>
              <a:lstStyle/>
              <a:p>
                <a:pPr>
                  <a:defRPr i="1"/>
                </a:pPr>
                <a:r>
                  <a:rPr lang="en-US" i="1"/>
                  <a:t>LVL/mēnesī</a:t>
                </a:r>
              </a:p>
            </c:rich>
          </c:tx>
          <c:layout/>
          <c:overlay val="0"/>
        </c:title>
        <c:numFmt formatCode="General" sourceLinked="1"/>
        <c:majorTickMark val="out"/>
        <c:minorTickMark val="none"/>
        <c:tickLblPos val="nextTo"/>
        <c:crossAx val="36945920"/>
        <c:crosses val="autoZero"/>
        <c:crossBetween val="between"/>
      </c:valAx>
    </c:plotArea>
    <c:legend>
      <c:legendPos val="b"/>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63188976377953"/>
          <c:y val="4.4612790043012863E-2"/>
          <c:w val="0.84581255468066496"/>
          <c:h val="0.77133757575312423"/>
        </c:manualLayout>
      </c:layout>
      <c:barChart>
        <c:barDir val="col"/>
        <c:grouping val="clustered"/>
        <c:varyColors val="0"/>
        <c:ser>
          <c:idx val="0"/>
          <c:order val="0"/>
          <c:tx>
            <c:strRef>
              <c:f>'PIT rate'!$A$31</c:f>
              <c:strCache>
                <c:ptCount val="1"/>
                <c:pt idx="0">
                  <c:v>Neapliekamais minimums</c:v>
                </c:pt>
              </c:strCache>
            </c:strRef>
          </c:tx>
          <c:spPr>
            <a:solidFill>
              <a:schemeClr val="tx1">
                <a:lumMod val="65000"/>
                <a:lumOff val="35000"/>
              </a:schemeClr>
            </a:solidFill>
          </c:spPr>
          <c:invertIfNegative val="0"/>
          <c:dLbls>
            <c:dLbl>
              <c:idx val="0"/>
              <c:spPr/>
              <c:txPr>
                <a:bodyPr/>
                <a:lstStyle/>
                <a:p>
                  <a:pPr>
                    <a:defRPr sz="900" b="1">
                      <a:solidFill>
                        <a:srgbClr val="C00000"/>
                      </a:solidFill>
                    </a:defRPr>
                  </a:pPr>
                  <a:endParaRPr lang="lv-LV"/>
                </a:p>
              </c:txPr>
              <c:showLegendKey val="0"/>
              <c:showVal val="1"/>
              <c:showCatName val="0"/>
              <c:showSerName val="0"/>
              <c:showPercent val="0"/>
              <c:showBubbleSize val="0"/>
            </c:dLbl>
            <c:dLbl>
              <c:idx val="1"/>
              <c:layout/>
              <c:tx>
                <c:rich>
                  <a:bodyPr/>
                  <a:lstStyle/>
                  <a:p>
                    <a:pPr>
                      <a:defRPr sz="900" b="1">
                        <a:solidFill>
                          <a:srgbClr val="004C22"/>
                        </a:solidFill>
                      </a:defRPr>
                    </a:pPr>
                    <a:r>
                      <a:rPr lang="en-US"/>
                      <a:t>96</a:t>
                    </a:r>
                    <a:r>
                      <a:rPr lang="lv-LV" baseline="30000"/>
                      <a:t>**</a:t>
                    </a:r>
                    <a:endParaRPr lang="en-US" baseline="30000"/>
                  </a:p>
                </c:rich>
              </c:tx>
              <c:spPr/>
              <c:showLegendKey val="0"/>
              <c:showVal val="1"/>
              <c:showCatName val="0"/>
              <c:showSerName val="0"/>
              <c:showPercent val="0"/>
              <c:showBubbleSize val="0"/>
            </c:dLbl>
            <c:dLbl>
              <c:idx val="2"/>
              <c:spPr/>
              <c:txPr>
                <a:bodyPr/>
                <a:lstStyle/>
                <a:p>
                  <a:pPr>
                    <a:defRPr sz="900" b="1">
                      <a:solidFill>
                        <a:srgbClr val="002060"/>
                      </a:solidFill>
                    </a:defRPr>
                  </a:pPr>
                  <a:endParaRPr lang="lv-LV"/>
                </a:p>
              </c:txPr>
              <c:showLegendKey val="0"/>
              <c:showVal val="1"/>
              <c:showCatName val="0"/>
              <c:showSerName val="0"/>
              <c:showPercent val="0"/>
              <c:showBubbleSize val="0"/>
            </c:dLbl>
            <c:txPr>
              <a:bodyPr/>
              <a:lstStyle/>
              <a:p>
                <a:pPr>
                  <a:defRPr sz="900" b="1"/>
                </a:pPr>
                <a:endParaRPr lang="lv-LV"/>
              </a:p>
            </c:txPr>
            <c:showLegendKey val="0"/>
            <c:showVal val="1"/>
            <c:showCatName val="0"/>
            <c:showSerName val="0"/>
            <c:showPercent val="0"/>
            <c:showBubbleSize val="0"/>
            <c:showLeaderLines val="0"/>
          </c:dLbls>
          <c:cat>
            <c:strRef>
              <c:f>'PIT rate'!$B$27:$D$27</c:f>
              <c:strCache>
                <c:ptCount val="3"/>
                <c:pt idx="0">
                  <c:v>Latvija </c:v>
                </c:pt>
                <c:pt idx="1">
                  <c:v>Lietuva </c:v>
                </c:pt>
                <c:pt idx="2">
                  <c:v>Igaunija</c:v>
                </c:pt>
              </c:strCache>
            </c:strRef>
          </c:cat>
          <c:val>
            <c:numRef>
              <c:f>'PIT rate'!$B$31:$D$31</c:f>
              <c:numCache>
                <c:formatCode>General</c:formatCode>
                <c:ptCount val="3"/>
                <c:pt idx="0">
                  <c:v>45</c:v>
                </c:pt>
                <c:pt idx="1">
                  <c:v>96</c:v>
                </c:pt>
                <c:pt idx="2">
                  <c:v>101</c:v>
                </c:pt>
              </c:numCache>
            </c:numRef>
          </c:val>
        </c:ser>
        <c:ser>
          <c:idx val="1"/>
          <c:order val="1"/>
          <c:tx>
            <c:strRef>
              <c:f>'PIT rate'!$A$32</c:f>
              <c:strCache>
                <c:ptCount val="1"/>
                <c:pt idx="0">
                  <c:v>Atvieglojums par apgādībā esošām personām</c:v>
                </c:pt>
              </c:strCache>
            </c:strRef>
          </c:tx>
          <c:spPr>
            <a:solidFill>
              <a:schemeClr val="accent4">
                <a:lumMod val="40000"/>
                <a:lumOff val="60000"/>
              </a:schemeClr>
            </a:solidFill>
          </c:spPr>
          <c:invertIfNegative val="0"/>
          <c:dLbls>
            <c:dLbl>
              <c:idx val="0"/>
              <c:layout/>
              <c:tx>
                <c:rich>
                  <a:bodyPr/>
                  <a:lstStyle/>
                  <a:p>
                    <a:pPr>
                      <a:defRPr sz="900" b="1">
                        <a:solidFill>
                          <a:srgbClr val="C00000"/>
                        </a:solidFill>
                      </a:defRPr>
                    </a:pPr>
                    <a:r>
                      <a:rPr lang="en-US"/>
                      <a:t>80</a:t>
                    </a:r>
                    <a:r>
                      <a:rPr lang="lv-LV" baseline="30000"/>
                      <a:t>*</a:t>
                    </a:r>
                    <a:endParaRPr lang="en-US" baseline="30000"/>
                  </a:p>
                </c:rich>
              </c:tx>
              <c:spPr/>
              <c:showLegendKey val="0"/>
              <c:showVal val="1"/>
              <c:showCatName val="0"/>
              <c:showSerName val="0"/>
              <c:showPercent val="0"/>
              <c:showBubbleSize val="0"/>
            </c:dLbl>
            <c:dLbl>
              <c:idx val="1"/>
              <c:spPr/>
              <c:txPr>
                <a:bodyPr/>
                <a:lstStyle/>
                <a:p>
                  <a:pPr>
                    <a:defRPr sz="900" b="1">
                      <a:solidFill>
                        <a:srgbClr val="004C22"/>
                      </a:solidFill>
                    </a:defRPr>
                  </a:pPr>
                  <a:endParaRPr lang="lv-LV"/>
                </a:p>
              </c:txPr>
              <c:showLegendKey val="0"/>
              <c:showVal val="1"/>
              <c:showCatName val="0"/>
              <c:showSerName val="0"/>
              <c:showPercent val="0"/>
              <c:showBubbleSize val="0"/>
            </c:dLbl>
            <c:dLbl>
              <c:idx val="2"/>
              <c:layout/>
              <c:tx>
                <c:rich>
                  <a:bodyPr/>
                  <a:lstStyle/>
                  <a:p>
                    <a:pPr>
                      <a:defRPr sz="900" b="1">
                        <a:solidFill>
                          <a:srgbClr val="002060"/>
                        </a:solidFill>
                      </a:defRPr>
                    </a:pPr>
                    <a:r>
                      <a:rPr lang="en-US"/>
                      <a:t>101</a:t>
                    </a:r>
                    <a:r>
                      <a:rPr lang="lv-LV" baseline="30000"/>
                      <a:t>***</a:t>
                    </a:r>
                    <a:endParaRPr lang="en-US" baseline="30000"/>
                  </a:p>
                </c:rich>
              </c:tx>
              <c:spPr/>
              <c:showLegendKey val="0"/>
              <c:showVal val="1"/>
              <c:showCatName val="0"/>
              <c:showSerName val="0"/>
              <c:showPercent val="0"/>
              <c:showBubbleSize val="0"/>
            </c:dLbl>
            <c:txPr>
              <a:bodyPr/>
              <a:lstStyle/>
              <a:p>
                <a:pPr>
                  <a:defRPr sz="900" b="1"/>
                </a:pPr>
                <a:endParaRPr lang="lv-LV"/>
              </a:p>
            </c:txPr>
            <c:showLegendKey val="0"/>
            <c:showVal val="1"/>
            <c:showCatName val="0"/>
            <c:showSerName val="0"/>
            <c:showPercent val="0"/>
            <c:showBubbleSize val="0"/>
            <c:showLeaderLines val="0"/>
          </c:dLbls>
          <c:cat>
            <c:strRef>
              <c:f>'PIT rate'!$B$27:$D$27</c:f>
              <c:strCache>
                <c:ptCount val="3"/>
                <c:pt idx="0">
                  <c:v>Latvija </c:v>
                </c:pt>
                <c:pt idx="1">
                  <c:v>Lietuva </c:v>
                </c:pt>
                <c:pt idx="2">
                  <c:v>Igaunija</c:v>
                </c:pt>
              </c:strCache>
            </c:strRef>
          </c:cat>
          <c:val>
            <c:numRef>
              <c:f>'PIT rate'!$B$32:$D$32</c:f>
              <c:numCache>
                <c:formatCode>General</c:formatCode>
                <c:ptCount val="3"/>
                <c:pt idx="0">
                  <c:v>80</c:v>
                </c:pt>
                <c:pt idx="1">
                  <c:v>41</c:v>
                </c:pt>
                <c:pt idx="2">
                  <c:v>101</c:v>
                </c:pt>
              </c:numCache>
            </c:numRef>
          </c:val>
        </c:ser>
        <c:dLbls>
          <c:showLegendKey val="0"/>
          <c:showVal val="0"/>
          <c:showCatName val="0"/>
          <c:showSerName val="0"/>
          <c:showPercent val="0"/>
          <c:showBubbleSize val="0"/>
        </c:dLbls>
        <c:gapWidth val="150"/>
        <c:axId val="37836288"/>
        <c:axId val="37837824"/>
      </c:barChart>
      <c:catAx>
        <c:axId val="37836288"/>
        <c:scaling>
          <c:orientation val="minMax"/>
        </c:scaling>
        <c:delete val="0"/>
        <c:axPos val="b"/>
        <c:majorTickMark val="out"/>
        <c:minorTickMark val="none"/>
        <c:tickLblPos val="nextTo"/>
        <c:txPr>
          <a:bodyPr/>
          <a:lstStyle/>
          <a:p>
            <a:pPr>
              <a:defRPr b="1"/>
            </a:pPr>
            <a:endParaRPr lang="lv-LV"/>
          </a:p>
        </c:txPr>
        <c:crossAx val="37837824"/>
        <c:crosses val="autoZero"/>
        <c:auto val="1"/>
        <c:lblAlgn val="ctr"/>
        <c:lblOffset val="100"/>
        <c:noMultiLvlLbl val="0"/>
      </c:catAx>
      <c:valAx>
        <c:axId val="37837824"/>
        <c:scaling>
          <c:orientation val="minMax"/>
        </c:scaling>
        <c:delete val="0"/>
        <c:axPos val="l"/>
        <c:majorGridlines>
          <c:spPr>
            <a:ln>
              <a:solidFill>
                <a:schemeClr val="bg1">
                  <a:lumMod val="85000"/>
                </a:schemeClr>
              </a:solidFill>
            </a:ln>
          </c:spPr>
        </c:majorGridlines>
        <c:title>
          <c:tx>
            <c:rich>
              <a:bodyPr rot="-5400000" vert="horz"/>
              <a:lstStyle/>
              <a:p>
                <a:pPr>
                  <a:defRPr i="1"/>
                </a:pPr>
                <a:r>
                  <a:rPr lang="lv-LV" i="1"/>
                  <a:t>LVL/mēnesī</a:t>
                </a:r>
              </a:p>
            </c:rich>
          </c:tx>
          <c:layout>
            <c:manualLayout>
              <c:xMode val="edge"/>
              <c:yMode val="edge"/>
              <c:x val="8.3333333333333332E-3"/>
              <c:y val="0.31586293746973532"/>
            </c:manualLayout>
          </c:layout>
          <c:overlay val="0"/>
        </c:title>
        <c:numFmt formatCode="General" sourceLinked="1"/>
        <c:majorTickMark val="out"/>
        <c:minorTickMark val="none"/>
        <c:tickLblPos val="nextTo"/>
        <c:crossAx val="37836288"/>
        <c:crosses val="autoZero"/>
        <c:crossBetween val="between"/>
      </c:valAx>
    </c:plotArea>
    <c:legend>
      <c:legendPos val="b"/>
      <c:layout/>
      <c:overlay val="0"/>
      <c:spPr>
        <a:noFill/>
        <a:ln>
          <a:solidFill>
            <a:schemeClr val="bg1">
              <a:lumMod val="7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56675702422443"/>
          <c:y val="5.3621884220994107E-2"/>
          <c:w val="0.80804913730046024"/>
          <c:h val="0.75616797900262478"/>
        </c:manualLayout>
      </c:layout>
      <c:lineChart>
        <c:grouping val="standard"/>
        <c:varyColors val="0"/>
        <c:ser>
          <c:idx val="0"/>
          <c:order val="0"/>
          <c:tx>
            <c:strRef>
              <c:f>Grafiks!$O$1</c:f>
              <c:strCache>
                <c:ptCount val="1"/>
                <c:pt idx="0">
                  <c:v>2014 bāze</c:v>
                </c:pt>
              </c:strCache>
            </c:strRef>
          </c:tx>
          <c:spPr>
            <a:ln>
              <a:solidFill>
                <a:srgbClr val="FF0000"/>
              </a:solidFill>
              <a:prstDash val="sysDash"/>
            </a:ln>
          </c:spPr>
          <c:marker>
            <c:symbol val="none"/>
          </c:marker>
          <c:dLbls>
            <c:dLbl>
              <c:idx val="0"/>
              <c:layout>
                <c:manualLayout>
                  <c:x val="-8.2707239720034992E-2"/>
                  <c:y val="-0.1145241100304656"/>
                </c:manualLayout>
              </c:layout>
              <c:tx>
                <c:rich>
                  <a:bodyPr/>
                  <a:lstStyle/>
                  <a:p>
                    <a:r>
                      <a:rPr lang="lv-LV" b="1">
                        <a:solidFill>
                          <a:srgbClr val="C00000"/>
                        </a:solidFill>
                      </a:rPr>
                      <a:t>NM 45</a:t>
                    </a:r>
                    <a:endParaRPr lang="en-US"/>
                  </a:p>
                </c:rich>
              </c:tx>
              <c:showLegendKey val="0"/>
              <c:showVal val="1"/>
              <c:showCatName val="0"/>
              <c:showSerName val="0"/>
              <c:showPercent val="0"/>
              <c:showBubbleSize val="0"/>
            </c:dLbl>
            <c:txPr>
              <a:bodyPr/>
              <a:lstStyle/>
              <a:p>
                <a:pPr>
                  <a:defRPr b="1">
                    <a:solidFill>
                      <a:srgbClr val="C00000"/>
                    </a:solidFill>
                  </a:defRPr>
                </a:pPr>
                <a:endParaRPr lang="lv-LV"/>
              </a:p>
            </c:txPr>
            <c:showLegendKey val="0"/>
            <c:showVal val="0"/>
            <c:showCatName val="0"/>
            <c:showSerName val="0"/>
            <c:showPercent val="0"/>
            <c:showBubbleSize val="0"/>
          </c:dLbls>
          <c:cat>
            <c:strRef>
              <c:f>Grafiks!$N$3:$N$8</c:f>
              <c:strCache>
                <c:ptCount val="6"/>
                <c:pt idx="0">
                  <c:v>Līdz 200</c:v>
                </c:pt>
                <c:pt idx="1">
                  <c:v>200-400</c:v>
                </c:pt>
                <c:pt idx="2">
                  <c:v>400-600</c:v>
                </c:pt>
                <c:pt idx="3">
                  <c:v>600-800</c:v>
                </c:pt>
                <c:pt idx="4">
                  <c:v>800-1000</c:v>
                </c:pt>
                <c:pt idx="5">
                  <c:v>Virs 1000</c:v>
                </c:pt>
              </c:strCache>
            </c:strRef>
          </c:cat>
          <c:val>
            <c:numRef>
              <c:f>Grafiks!$O$3:$O$8</c:f>
              <c:numCache>
                <c:formatCode>0%</c:formatCode>
                <c:ptCount val="6"/>
                <c:pt idx="0">
                  <c:v>4.2561569409706596E-2</c:v>
                </c:pt>
                <c:pt idx="1">
                  <c:v>0.15055737855356338</c:v>
                </c:pt>
                <c:pt idx="2">
                  <c:v>0.16914188972011313</c:v>
                </c:pt>
                <c:pt idx="3">
                  <c:v>0.17685223546260348</c:v>
                </c:pt>
                <c:pt idx="4">
                  <c:v>0.18109264627902213</c:v>
                </c:pt>
                <c:pt idx="5">
                  <c:v>0.19023163551097189</c:v>
                </c:pt>
              </c:numCache>
            </c:numRef>
          </c:val>
          <c:smooth val="0"/>
        </c:ser>
        <c:ser>
          <c:idx val="2"/>
          <c:order val="1"/>
          <c:tx>
            <c:strRef>
              <c:f>Grafiks!$P$2</c:f>
              <c:strCache>
                <c:ptCount val="1"/>
                <c:pt idx="0">
                  <c:v>Piedāvājums</c:v>
                </c:pt>
              </c:strCache>
            </c:strRef>
          </c:tx>
          <c:spPr>
            <a:ln>
              <a:solidFill>
                <a:srgbClr val="002060"/>
              </a:solidFill>
            </a:ln>
          </c:spPr>
          <c:marker>
            <c:symbol val="square"/>
            <c:size val="5"/>
            <c:spPr>
              <a:solidFill>
                <a:srgbClr val="002060"/>
              </a:solidFill>
              <a:ln>
                <a:solidFill>
                  <a:srgbClr val="002060"/>
                </a:solidFill>
              </a:ln>
            </c:spPr>
          </c:marker>
          <c:dLbls>
            <c:dLbl>
              <c:idx val="0"/>
              <c:layout>
                <c:manualLayout>
                  <c:x val="1.6542469085854657E-2"/>
                  <c:y val="-6.0209176672871446E-3"/>
                </c:manualLayout>
              </c:layout>
              <c:tx>
                <c:rich>
                  <a:bodyPr/>
                  <a:lstStyle/>
                  <a:p>
                    <a:r>
                      <a:rPr lang="lv-LV" b="1">
                        <a:solidFill>
                          <a:srgbClr val="002060"/>
                        </a:solidFill>
                      </a:rPr>
                      <a:t>NM 84</a:t>
                    </a:r>
                    <a:endParaRPr lang="en-US"/>
                  </a:p>
                </c:rich>
              </c:tx>
              <c:showLegendKey val="0"/>
              <c:showVal val="1"/>
              <c:showCatName val="0"/>
              <c:showSerName val="0"/>
              <c:showPercent val="0"/>
              <c:showBubbleSize val="0"/>
            </c:dLbl>
            <c:dLbl>
              <c:idx val="1"/>
              <c:layout>
                <c:manualLayout>
                  <c:x val="-6.6170397370169578E-3"/>
                  <c:y val="3.6271485587078191E-2"/>
                </c:manualLayout>
              </c:layout>
              <c:tx>
                <c:rich>
                  <a:bodyPr/>
                  <a:lstStyle/>
                  <a:p>
                    <a:r>
                      <a:rPr lang="lv-LV" b="1">
                        <a:solidFill>
                          <a:srgbClr val="002060"/>
                        </a:solidFill>
                      </a:rPr>
                      <a:t>NM 68</a:t>
                    </a:r>
                    <a:endParaRPr lang="en-US"/>
                  </a:p>
                </c:rich>
              </c:tx>
              <c:showLegendKey val="0"/>
              <c:showVal val="1"/>
              <c:showCatName val="0"/>
              <c:showSerName val="0"/>
              <c:showPercent val="0"/>
              <c:showBubbleSize val="0"/>
            </c:dLbl>
            <c:dLbl>
              <c:idx val="2"/>
              <c:layout>
                <c:manualLayout>
                  <c:x val="6.0655496891846081E-17"/>
                  <c:y val="4.3383947939262472E-2"/>
                </c:manualLayout>
              </c:layout>
              <c:tx>
                <c:rich>
                  <a:bodyPr/>
                  <a:lstStyle/>
                  <a:p>
                    <a:r>
                      <a:rPr lang="lv-LV" b="1">
                        <a:solidFill>
                          <a:srgbClr val="002060"/>
                        </a:solidFill>
                      </a:rPr>
                      <a:t>NM 45</a:t>
                    </a:r>
                    <a:endParaRPr lang="en-US"/>
                  </a:p>
                </c:rich>
              </c:tx>
              <c:showLegendKey val="0"/>
              <c:showVal val="1"/>
              <c:showCatName val="0"/>
              <c:showSerName val="0"/>
              <c:showPercent val="0"/>
              <c:showBubbleSize val="0"/>
            </c:dLbl>
            <c:dLbl>
              <c:idx val="3"/>
              <c:layout>
                <c:manualLayout>
                  <c:x val="-1.3234079474033916E-2"/>
                  <c:y val="4.6276211135213303E-2"/>
                </c:manualLayout>
              </c:layout>
              <c:tx>
                <c:rich>
                  <a:bodyPr/>
                  <a:lstStyle/>
                  <a:p>
                    <a:r>
                      <a:rPr lang="lv-LV" b="1">
                        <a:solidFill>
                          <a:srgbClr val="002060"/>
                        </a:solidFill>
                      </a:rPr>
                      <a:t>NM 45</a:t>
                    </a:r>
                    <a:endParaRPr lang="en-US"/>
                  </a:p>
                </c:rich>
              </c:tx>
              <c:showLegendKey val="0"/>
              <c:showVal val="1"/>
              <c:showCatName val="0"/>
              <c:showSerName val="0"/>
              <c:showPercent val="0"/>
              <c:showBubbleSize val="0"/>
            </c:dLbl>
            <c:dLbl>
              <c:idx val="4"/>
              <c:layout>
                <c:manualLayout>
                  <c:x val="-9.9255596055254358E-3"/>
                  <c:y val="3.4707158351409979E-2"/>
                </c:manualLayout>
              </c:layout>
              <c:tx>
                <c:rich>
                  <a:bodyPr/>
                  <a:lstStyle/>
                  <a:p>
                    <a:r>
                      <a:rPr lang="lv-LV" b="1">
                        <a:solidFill>
                          <a:srgbClr val="002060"/>
                        </a:solidFill>
                      </a:rPr>
                      <a:t>NM 45</a:t>
                    </a:r>
                    <a:endParaRPr lang="en-US"/>
                  </a:p>
                </c:rich>
              </c:tx>
              <c:showLegendKey val="0"/>
              <c:showVal val="1"/>
              <c:showCatName val="0"/>
              <c:showSerName val="0"/>
              <c:showPercent val="0"/>
              <c:showBubbleSize val="0"/>
            </c:dLbl>
            <c:dLbl>
              <c:idx val="5"/>
              <c:delete val="1"/>
            </c:dLbl>
            <c:txPr>
              <a:bodyPr/>
              <a:lstStyle/>
              <a:p>
                <a:pPr>
                  <a:defRPr b="1">
                    <a:solidFill>
                      <a:srgbClr val="002060"/>
                    </a:solidFill>
                  </a:defRPr>
                </a:pPr>
                <a:endParaRPr lang="lv-LV"/>
              </a:p>
            </c:txPr>
            <c:showLegendKey val="0"/>
            <c:showVal val="1"/>
            <c:showCatName val="0"/>
            <c:showSerName val="0"/>
            <c:showPercent val="0"/>
            <c:showBubbleSize val="0"/>
            <c:showLeaderLines val="0"/>
          </c:dLbls>
          <c:cat>
            <c:strRef>
              <c:f>Grafiks!$N$3:$N$8</c:f>
              <c:strCache>
                <c:ptCount val="6"/>
                <c:pt idx="0">
                  <c:v>Līdz 200</c:v>
                </c:pt>
                <c:pt idx="1">
                  <c:v>200-400</c:v>
                </c:pt>
                <c:pt idx="2">
                  <c:v>400-600</c:v>
                </c:pt>
                <c:pt idx="3">
                  <c:v>600-800</c:v>
                </c:pt>
                <c:pt idx="4">
                  <c:v>800-1000</c:v>
                </c:pt>
                <c:pt idx="5">
                  <c:v>Virs 1000</c:v>
                </c:pt>
              </c:strCache>
            </c:strRef>
          </c:cat>
          <c:val>
            <c:numRef>
              <c:f>Grafiks!$P$3:$P$8</c:f>
              <c:numCache>
                <c:formatCode>0%</c:formatCode>
                <c:ptCount val="6"/>
                <c:pt idx="0">
                  <c:v>2.1718703820091525E-2</c:v>
                </c:pt>
                <c:pt idx="1">
                  <c:v>0.13680572932474955</c:v>
                </c:pt>
                <c:pt idx="2">
                  <c:v>0.16914188972011313</c:v>
                </c:pt>
                <c:pt idx="3">
                  <c:v>0.17685223546260351</c:v>
                </c:pt>
                <c:pt idx="4">
                  <c:v>0.18109264627902219</c:v>
                </c:pt>
                <c:pt idx="5">
                  <c:v>0.19023163551097189</c:v>
                </c:pt>
              </c:numCache>
            </c:numRef>
          </c:val>
          <c:smooth val="0"/>
        </c:ser>
        <c:dLbls>
          <c:showLegendKey val="0"/>
          <c:showVal val="0"/>
          <c:showCatName val="0"/>
          <c:showSerName val="0"/>
          <c:showPercent val="0"/>
          <c:showBubbleSize val="0"/>
        </c:dLbls>
        <c:marker val="1"/>
        <c:smooth val="0"/>
        <c:axId val="37854592"/>
        <c:axId val="37862016"/>
      </c:lineChart>
      <c:catAx>
        <c:axId val="37854592"/>
        <c:scaling>
          <c:orientation val="minMax"/>
        </c:scaling>
        <c:delete val="0"/>
        <c:axPos val="b"/>
        <c:title>
          <c:tx>
            <c:rich>
              <a:bodyPr/>
              <a:lstStyle/>
              <a:p>
                <a:pPr>
                  <a:defRPr sz="1100"/>
                </a:pPr>
                <a:r>
                  <a:rPr lang="en-US" sz="1100"/>
                  <a:t>Darba algu grupa</a:t>
                </a:r>
                <a:r>
                  <a:rPr lang="lv-LV" sz="1100"/>
                  <a:t>s, Ls/mēnesī</a:t>
                </a:r>
                <a:r>
                  <a:rPr lang="en-US" sz="1100"/>
                  <a:t> </a:t>
                </a:r>
              </a:p>
            </c:rich>
          </c:tx>
          <c:layout>
            <c:manualLayout>
              <c:xMode val="edge"/>
              <c:yMode val="edge"/>
              <c:x val="0.35123414260717412"/>
              <c:y val="0.91090731987008033"/>
            </c:manualLayout>
          </c:layout>
          <c:overlay val="0"/>
        </c:title>
        <c:majorTickMark val="out"/>
        <c:minorTickMark val="none"/>
        <c:tickLblPos val="nextTo"/>
        <c:txPr>
          <a:bodyPr/>
          <a:lstStyle/>
          <a:p>
            <a:pPr>
              <a:defRPr b="0"/>
            </a:pPr>
            <a:endParaRPr lang="lv-LV"/>
          </a:p>
        </c:txPr>
        <c:crossAx val="37862016"/>
        <c:crossesAt val="0"/>
        <c:auto val="1"/>
        <c:lblAlgn val="ctr"/>
        <c:lblOffset val="100"/>
        <c:noMultiLvlLbl val="0"/>
      </c:catAx>
      <c:valAx>
        <c:axId val="37862016"/>
        <c:scaling>
          <c:orientation val="minMax"/>
        </c:scaling>
        <c:delete val="0"/>
        <c:axPos val="l"/>
        <c:majorGridlines>
          <c:spPr>
            <a:ln>
              <a:solidFill>
                <a:schemeClr val="bg1">
                  <a:lumMod val="75000"/>
                </a:schemeClr>
              </a:solidFill>
            </a:ln>
          </c:spPr>
        </c:majorGridlines>
        <c:title>
          <c:tx>
            <c:rich>
              <a:bodyPr rot="-5400000" vert="horz"/>
              <a:lstStyle/>
              <a:p>
                <a:pPr>
                  <a:defRPr/>
                </a:pPr>
                <a:r>
                  <a:rPr lang="lv-LV"/>
                  <a:t>Netiešā nodokļa likme</a:t>
                </a:r>
              </a:p>
            </c:rich>
          </c:tx>
          <c:layout>
            <c:manualLayout>
              <c:xMode val="edge"/>
              <c:yMode val="edge"/>
              <c:x val="5.0927748614756499E-3"/>
              <c:y val="0.25576803416742955"/>
            </c:manualLayout>
          </c:layout>
          <c:overlay val="0"/>
        </c:title>
        <c:numFmt formatCode="0.0%" sourceLinked="0"/>
        <c:majorTickMark val="out"/>
        <c:minorTickMark val="none"/>
        <c:tickLblPos val="nextTo"/>
        <c:crossAx val="37854592"/>
        <c:crosses val="autoZero"/>
        <c:crossBetween val="between"/>
      </c:valAx>
    </c:plotArea>
    <c:legend>
      <c:legendPos val="r"/>
      <c:layout>
        <c:manualLayout>
          <c:xMode val="edge"/>
          <c:yMode val="edge"/>
          <c:x val="0.64110359251968507"/>
          <c:y val="0.49392536459258385"/>
          <c:w val="0.26930343667979001"/>
          <c:h val="0.20260256941566515"/>
        </c:manualLayout>
      </c:layout>
      <c:overlay val="0"/>
      <c:spPr>
        <a:solidFill>
          <a:schemeClr val="bg1"/>
        </a:solidFill>
        <a:ln>
          <a:solidFill>
            <a:schemeClr val="bg1">
              <a:lumMod val="75000"/>
            </a:schemeClr>
          </a:solid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v-LV" sz="1100"/>
              <a:t>Strādājošajam bez bērniem</a:t>
            </a:r>
          </a:p>
        </c:rich>
      </c:tx>
      <c:layout/>
      <c:overlay val="1"/>
    </c:title>
    <c:autoTitleDeleted val="0"/>
    <c:plotArea>
      <c:layout>
        <c:manualLayout>
          <c:layoutTarget val="inner"/>
          <c:xMode val="edge"/>
          <c:yMode val="edge"/>
          <c:x val="0.16834350040773483"/>
          <c:y val="0.12192660212619609"/>
          <c:w val="0.79935512807734477"/>
          <c:h val="0.64025402965793843"/>
        </c:manualLayout>
      </c:layout>
      <c:lineChart>
        <c:grouping val="standard"/>
        <c:varyColors val="0"/>
        <c:ser>
          <c:idx val="0"/>
          <c:order val="0"/>
          <c:tx>
            <c:strRef>
              <c:f>Nod.plaisa!$A$95</c:f>
              <c:strCache>
                <c:ptCount val="1"/>
                <c:pt idx="0">
                  <c:v>67% no vidējās algas</c:v>
                </c:pt>
              </c:strCache>
            </c:strRef>
          </c:tx>
          <c:spPr>
            <a:ln>
              <a:solidFill>
                <a:srgbClr val="0070C0"/>
              </a:solidFill>
            </a:ln>
          </c:spPr>
          <c:marker>
            <c:symbol val="diamond"/>
            <c:size val="6"/>
            <c:spPr>
              <a:solidFill>
                <a:srgbClr val="0070C0"/>
              </a:solidFill>
              <a:ln>
                <a:solidFill>
                  <a:srgbClr val="0070C0"/>
                </a:solidFill>
              </a:ln>
            </c:spPr>
          </c:marker>
          <c:dLbls>
            <c:dLbl>
              <c:idx val="0"/>
              <c:layout>
                <c:manualLayout>
                  <c:x val="-6.0721290573971659E-2"/>
                  <c:y val="4.5111579465711989E-2"/>
                </c:manualLayout>
              </c:layout>
              <c:dLblPos val="r"/>
              <c:showLegendKey val="0"/>
              <c:showVal val="1"/>
              <c:showCatName val="0"/>
              <c:showSerName val="0"/>
              <c:showPercent val="0"/>
              <c:showBubbleSize val="0"/>
            </c:dLbl>
            <c:dLbl>
              <c:idx val="1"/>
              <c:layout>
                <c:manualLayout>
                  <c:x val="-4.1049166197954928E-2"/>
                  <c:y val="3.4870615772213016E-2"/>
                </c:manualLayout>
              </c:layout>
              <c:dLblPos val="r"/>
              <c:showLegendKey val="0"/>
              <c:showVal val="1"/>
              <c:showCatName val="0"/>
              <c:showSerName val="0"/>
              <c:showPercent val="0"/>
              <c:showBubbleSize val="0"/>
            </c:dLbl>
            <c:dLbl>
              <c:idx val="2"/>
              <c:layout>
                <c:manualLayout>
                  <c:x val="-4.1049166197954928E-2"/>
                  <c:y val="3.4870615772212982E-2"/>
                </c:manualLayout>
              </c:layout>
              <c:dLblPos val="r"/>
              <c:showLegendKey val="0"/>
              <c:showVal val="1"/>
              <c:showCatName val="0"/>
              <c:showSerName val="0"/>
              <c:showPercent val="0"/>
              <c:showBubbleSize val="0"/>
            </c:dLbl>
            <c:dLbl>
              <c:idx val="3"/>
              <c:layout>
                <c:manualLayout>
                  <c:x val="-4.1049166197954928E-2"/>
                  <c:y val="3.4870615772213016E-2"/>
                </c:manualLayout>
              </c:layout>
              <c:dLblPos val="r"/>
              <c:showLegendKey val="0"/>
              <c:showVal val="1"/>
              <c:showCatName val="0"/>
              <c:showSerName val="0"/>
              <c:showPercent val="0"/>
              <c:showBubbleSize val="0"/>
            </c:dLbl>
            <c:txPr>
              <a:bodyPr/>
              <a:lstStyle/>
              <a:p>
                <a:pPr>
                  <a:defRPr sz="900" b="1">
                    <a:solidFill>
                      <a:srgbClr val="002060"/>
                    </a:solidFill>
                  </a:defRPr>
                </a:pPr>
                <a:endParaRPr lang="lv-LV"/>
              </a:p>
            </c:txPr>
            <c:dLblPos val="b"/>
            <c:showLegendKey val="0"/>
            <c:showVal val="1"/>
            <c:showCatName val="0"/>
            <c:showSerName val="0"/>
            <c:showPercent val="0"/>
            <c:showBubbleSize val="0"/>
            <c:showLeaderLines val="0"/>
          </c:dLbls>
          <c:cat>
            <c:numRef>
              <c:f>Nod.plaisa!$B$93:$F$93</c:f>
              <c:numCache>
                <c:formatCode>General</c:formatCode>
                <c:ptCount val="5"/>
                <c:pt idx="0">
                  <c:v>2011</c:v>
                </c:pt>
                <c:pt idx="1">
                  <c:v>2012</c:v>
                </c:pt>
                <c:pt idx="2">
                  <c:v>2013</c:v>
                </c:pt>
                <c:pt idx="3">
                  <c:v>2014</c:v>
                </c:pt>
                <c:pt idx="4">
                  <c:v>2015</c:v>
                </c:pt>
              </c:numCache>
            </c:numRef>
          </c:cat>
          <c:val>
            <c:numRef>
              <c:f>Nod.plaisa!$B$95:$F$95</c:f>
              <c:numCache>
                <c:formatCode>0.0</c:formatCode>
                <c:ptCount val="5"/>
                <c:pt idx="0">
                  <c:v>29.63124034997427</c:v>
                </c:pt>
                <c:pt idx="1">
                  <c:v>29.765478390283146</c:v>
                </c:pt>
                <c:pt idx="2">
                  <c:v>29.148873615623316</c:v>
                </c:pt>
                <c:pt idx="3">
                  <c:v>27.105767717677153</c:v>
                </c:pt>
                <c:pt idx="4">
                  <c:v>25.515972047420703</c:v>
                </c:pt>
              </c:numCache>
            </c:numRef>
          </c:val>
          <c:smooth val="0"/>
        </c:ser>
        <c:ser>
          <c:idx val="1"/>
          <c:order val="1"/>
          <c:tx>
            <c:strRef>
              <c:f>Nod.plaisa!$A$96</c:f>
              <c:strCache>
                <c:ptCount val="1"/>
                <c:pt idx="0">
                  <c:v>100% no vidējās algas</c:v>
                </c:pt>
              </c:strCache>
            </c:strRef>
          </c:tx>
          <c:spPr>
            <a:ln>
              <a:solidFill>
                <a:srgbClr val="C00000"/>
              </a:solidFill>
            </a:ln>
          </c:spPr>
          <c:marker>
            <c:symbol val="triangle"/>
            <c:size val="6"/>
            <c:spPr>
              <a:solidFill>
                <a:srgbClr val="C00000"/>
              </a:solidFill>
              <a:ln>
                <a:solidFill>
                  <a:srgbClr val="C00000"/>
                </a:solidFill>
              </a:ln>
            </c:spPr>
          </c:marker>
          <c:dLbls>
            <c:dLbl>
              <c:idx val="0"/>
              <c:layout>
                <c:manualLayout>
                  <c:x val="-7.9390379318017693E-2"/>
                  <c:y val="2.9816064488827946E-3"/>
                </c:manualLayout>
              </c:layout>
              <c:dLblPos val="r"/>
              <c:showLegendKey val="0"/>
              <c:showVal val="1"/>
              <c:showCatName val="0"/>
              <c:showSerName val="0"/>
              <c:showPercent val="0"/>
              <c:showBubbleSize val="0"/>
            </c:dLbl>
            <c:dLbl>
              <c:idx val="1"/>
              <c:layout>
                <c:manualLayout>
                  <c:x val="-2.2126629705266181E-2"/>
                  <c:y val="1.7359105439725745E-2"/>
                </c:manualLayout>
              </c:layout>
              <c:dLblPos val="r"/>
              <c:showLegendKey val="0"/>
              <c:showVal val="1"/>
              <c:showCatName val="0"/>
              <c:showSerName val="0"/>
              <c:showPercent val="0"/>
              <c:showBubbleSize val="0"/>
            </c:dLbl>
            <c:dLbl>
              <c:idx val="2"/>
              <c:layout>
                <c:manualLayout>
                  <c:x val="-8.6967313147666828E-2"/>
                  <c:y val="1.2792334490839982E-2"/>
                </c:manualLayout>
              </c:layout>
              <c:dLblPos val="r"/>
              <c:showLegendKey val="0"/>
              <c:showVal val="1"/>
              <c:showCatName val="0"/>
              <c:showSerName val="0"/>
              <c:showPercent val="0"/>
              <c:showBubbleSize val="0"/>
            </c:dLbl>
            <c:dLbl>
              <c:idx val="3"/>
              <c:layout>
                <c:manualLayout>
                  <c:x val="-6.9157037129938342E-2"/>
                  <c:y val="2.0004015747968003E-2"/>
                </c:manualLayout>
              </c:layout>
              <c:dLblPos val="r"/>
              <c:showLegendKey val="0"/>
              <c:showVal val="1"/>
              <c:showCatName val="0"/>
              <c:showSerName val="0"/>
              <c:showPercent val="0"/>
              <c:showBubbleSize val="0"/>
            </c:dLbl>
            <c:dLbl>
              <c:idx val="4"/>
              <c:layout>
                <c:manualLayout>
                  <c:x val="-4.0631073946541538E-3"/>
                  <c:y val="2.1971777913682943E-2"/>
                </c:manualLayout>
              </c:layout>
              <c:dLblPos val="r"/>
              <c:showLegendKey val="0"/>
              <c:showVal val="1"/>
              <c:showCatName val="0"/>
              <c:showSerName val="0"/>
              <c:showPercent val="0"/>
              <c:showBubbleSize val="0"/>
            </c:dLbl>
            <c:dLbl>
              <c:idx val="5"/>
              <c:layout>
                <c:manualLayout>
                  <c:x val="-5.1978124184630888E-2"/>
                  <c:y val="6.0935077934808875E-3"/>
                </c:manualLayout>
              </c:layout>
              <c:dLblPos val="r"/>
              <c:showLegendKey val="0"/>
              <c:showVal val="1"/>
              <c:showCatName val="0"/>
              <c:showSerName val="0"/>
              <c:showPercent val="0"/>
              <c:showBubbleSize val="0"/>
            </c:dLbl>
            <c:dLbl>
              <c:idx val="6"/>
              <c:layout>
                <c:manualLayout>
                  <c:x val="-8.2622922379270297E-3"/>
                  <c:y val="1.9748126051479523E-2"/>
                </c:manualLayout>
              </c:layout>
              <c:dLblPos val="r"/>
              <c:showLegendKey val="0"/>
              <c:showVal val="1"/>
              <c:showCatName val="0"/>
              <c:showSerName val="0"/>
              <c:showPercent val="0"/>
              <c:showBubbleSize val="0"/>
            </c:dLbl>
            <c:txPr>
              <a:bodyPr/>
              <a:lstStyle/>
              <a:p>
                <a:pPr>
                  <a:defRPr sz="900" b="1">
                    <a:solidFill>
                      <a:srgbClr val="C00000"/>
                    </a:solidFill>
                  </a:defRPr>
                </a:pPr>
                <a:endParaRPr lang="lv-LV"/>
              </a:p>
            </c:txPr>
            <c:dLblPos val="t"/>
            <c:showLegendKey val="0"/>
            <c:showVal val="1"/>
            <c:showCatName val="0"/>
            <c:showSerName val="0"/>
            <c:showPercent val="0"/>
            <c:showBubbleSize val="0"/>
            <c:showLeaderLines val="0"/>
          </c:dLbls>
          <c:cat>
            <c:numRef>
              <c:f>Nod.plaisa!$B$93:$F$93</c:f>
              <c:numCache>
                <c:formatCode>General</c:formatCode>
                <c:ptCount val="5"/>
                <c:pt idx="0">
                  <c:v>2011</c:v>
                </c:pt>
                <c:pt idx="1">
                  <c:v>2012</c:v>
                </c:pt>
                <c:pt idx="2">
                  <c:v>2013</c:v>
                </c:pt>
                <c:pt idx="3">
                  <c:v>2014</c:v>
                </c:pt>
                <c:pt idx="4">
                  <c:v>2015</c:v>
                </c:pt>
              </c:numCache>
            </c:numRef>
          </c:cat>
          <c:val>
            <c:numRef>
              <c:f>Nod.plaisa!$B$96:$F$96</c:f>
              <c:numCache>
                <c:formatCode>0.0</c:formatCode>
                <c:ptCount val="5"/>
                <c:pt idx="0">
                  <c:v>30.825431034482758</c:v>
                </c:pt>
                <c:pt idx="1">
                  <c:v>30.915370521489706</c:v>
                </c:pt>
                <c:pt idx="2">
                  <c:v>30.208545322467621</c:v>
                </c:pt>
                <c:pt idx="3">
                  <c:v>28.702291360958547</c:v>
                </c:pt>
                <c:pt idx="4">
                  <c:v>27.172903791770558</c:v>
                </c:pt>
              </c:numCache>
            </c:numRef>
          </c:val>
          <c:smooth val="0"/>
        </c:ser>
        <c:ser>
          <c:idx val="2"/>
          <c:order val="2"/>
          <c:tx>
            <c:strRef>
              <c:f>Nod.plaisa!$A$97</c:f>
              <c:strCache>
                <c:ptCount val="1"/>
                <c:pt idx="0">
                  <c:v>167% no vidējās algas</c:v>
                </c:pt>
              </c:strCache>
            </c:strRef>
          </c:tx>
          <c:spPr>
            <a:ln>
              <a:solidFill>
                <a:srgbClr val="00B050"/>
              </a:solidFill>
            </a:ln>
          </c:spPr>
          <c:marker>
            <c:symbol val="square"/>
            <c:size val="6"/>
            <c:spPr>
              <a:solidFill>
                <a:srgbClr val="00B050"/>
              </a:solidFill>
              <a:ln>
                <a:solidFill>
                  <a:srgbClr val="00B050"/>
                </a:solidFill>
              </a:ln>
            </c:spPr>
          </c:marker>
          <c:dLbls>
            <c:txPr>
              <a:bodyPr/>
              <a:lstStyle/>
              <a:p>
                <a:pPr>
                  <a:defRPr sz="900" b="1">
                    <a:solidFill>
                      <a:schemeClr val="accent3">
                        <a:lumMod val="50000"/>
                      </a:schemeClr>
                    </a:solidFill>
                  </a:defRPr>
                </a:pPr>
                <a:endParaRPr lang="lv-LV"/>
              </a:p>
            </c:txPr>
            <c:dLblPos val="t"/>
            <c:showLegendKey val="0"/>
            <c:showVal val="1"/>
            <c:showCatName val="0"/>
            <c:showSerName val="0"/>
            <c:showPercent val="0"/>
            <c:showBubbleSize val="0"/>
            <c:showLeaderLines val="0"/>
          </c:dLbls>
          <c:cat>
            <c:numRef>
              <c:f>Nod.plaisa!$B$93:$F$93</c:f>
              <c:numCache>
                <c:formatCode>General</c:formatCode>
                <c:ptCount val="5"/>
                <c:pt idx="0">
                  <c:v>2011</c:v>
                </c:pt>
                <c:pt idx="1">
                  <c:v>2012</c:v>
                </c:pt>
                <c:pt idx="2">
                  <c:v>2013</c:v>
                </c:pt>
                <c:pt idx="3">
                  <c:v>2014</c:v>
                </c:pt>
                <c:pt idx="4">
                  <c:v>2015</c:v>
                </c:pt>
              </c:numCache>
            </c:numRef>
          </c:cat>
          <c:val>
            <c:numRef>
              <c:f>Nod.plaisa!$B$97:$F$97</c:f>
              <c:numCache>
                <c:formatCode>0.0</c:formatCode>
                <c:ptCount val="5"/>
                <c:pt idx="0">
                  <c:v>31.798162296097459</c:v>
                </c:pt>
                <c:pt idx="1">
                  <c:v>31.852018276341141</c:v>
                </c:pt>
                <c:pt idx="2">
                  <c:v>31.071703785908756</c:v>
                </c:pt>
                <c:pt idx="3">
                  <c:v>29.455623569436252</c:v>
                </c:pt>
                <c:pt idx="4">
                  <c:v>27.825690893275784</c:v>
                </c:pt>
              </c:numCache>
            </c:numRef>
          </c:val>
          <c:smooth val="0"/>
        </c:ser>
        <c:ser>
          <c:idx val="3"/>
          <c:order val="3"/>
          <c:tx>
            <c:strRef>
              <c:f>Nod.plaisa!$A$94</c:f>
              <c:strCache>
                <c:ptCount val="1"/>
                <c:pt idx="0">
                  <c:v>Minimālā alga</c:v>
                </c:pt>
              </c:strCache>
            </c:strRef>
          </c:tx>
          <c:dLbls>
            <c:dLbl>
              <c:idx val="6"/>
              <c:layout>
                <c:manualLayout>
                  <c:x val="-8.1486310748655991E-2"/>
                  <c:y val="2.9301984099095797E-2"/>
                </c:manualLayout>
              </c:layout>
              <c:dLblPos val="r"/>
              <c:showLegendKey val="0"/>
              <c:showVal val="1"/>
              <c:showCatName val="0"/>
              <c:showSerName val="0"/>
              <c:showPercent val="0"/>
              <c:showBubbleSize val="0"/>
            </c:dLbl>
            <c:txPr>
              <a:bodyPr/>
              <a:lstStyle/>
              <a:p>
                <a:pPr>
                  <a:defRPr sz="900" b="1">
                    <a:solidFill>
                      <a:srgbClr val="7030A0"/>
                    </a:solidFill>
                  </a:defRPr>
                </a:pPr>
                <a:endParaRPr lang="lv-LV"/>
              </a:p>
            </c:txPr>
            <c:dLblPos val="b"/>
            <c:showLegendKey val="0"/>
            <c:showVal val="1"/>
            <c:showCatName val="0"/>
            <c:showSerName val="0"/>
            <c:showPercent val="0"/>
            <c:showBubbleSize val="0"/>
            <c:showLeaderLines val="0"/>
          </c:dLbls>
          <c:cat>
            <c:numRef>
              <c:f>Nod.plaisa!$B$93:$F$93</c:f>
              <c:numCache>
                <c:formatCode>General</c:formatCode>
                <c:ptCount val="5"/>
                <c:pt idx="0">
                  <c:v>2011</c:v>
                </c:pt>
                <c:pt idx="1">
                  <c:v>2012</c:v>
                </c:pt>
                <c:pt idx="2">
                  <c:v>2013</c:v>
                </c:pt>
                <c:pt idx="3">
                  <c:v>2014</c:v>
                </c:pt>
                <c:pt idx="4">
                  <c:v>2015</c:v>
                </c:pt>
              </c:numCache>
            </c:numRef>
          </c:cat>
          <c:val>
            <c:numRef>
              <c:f>Nod.plaisa!$B$94:$F$94</c:f>
              <c:numCache>
                <c:formatCode>0.0</c:formatCode>
                <c:ptCount val="5"/>
                <c:pt idx="0">
                  <c:v>27.625</c:v>
                </c:pt>
                <c:pt idx="1">
                  <c:v>27.625</c:v>
                </c:pt>
                <c:pt idx="2">
                  <c:v>26.96</c:v>
                </c:pt>
                <c:pt idx="3">
                  <c:v>22.366666666666667</c:v>
                </c:pt>
                <c:pt idx="4">
                  <c:v>20.921760876126417</c:v>
                </c:pt>
              </c:numCache>
            </c:numRef>
          </c:val>
          <c:smooth val="0"/>
        </c:ser>
        <c:dLbls>
          <c:showLegendKey val="0"/>
          <c:showVal val="0"/>
          <c:showCatName val="0"/>
          <c:showSerName val="0"/>
          <c:showPercent val="0"/>
          <c:showBubbleSize val="0"/>
        </c:dLbls>
        <c:marker val="1"/>
        <c:smooth val="0"/>
        <c:axId val="37891456"/>
        <c:axId val="37901440"/>
      </c:lineChart>
      <c:catAx>
        <c:axId val="37891456"/>
        <c:scaling>
          <c:orientation val="minMax"/>
        </c:scaling>
        <c:delete val="0"/>
        <c:axPos val="b"/>
        <c:numFmt formatCode="General" sourceLinked="1"/>
        <c:majorTickMark val="out"/>
        <c:minorTickMark val="none"/>
        <c:tickLblPos val="nextTo"/>
        <c:txPr>
          <a:bodyPr/>
          <a:lstStyle/>
          <a:p>
            <a:pPr>
              <a:defRPr sz="900"/>
            </a:pPr>
            <a:endParaRPr lang="lv-LV"/>
          </a:p>
        </c:txPr>
        <c:crossAx val="37901440"/>
        <c:crosses val="autoZero"/>
        <c:auto val="1"/>
        <c:lblAlgn val="ctr"/>
        <c:lblOffset val="100"/>
        <c:noMultiLvlLbl val="0"/>
      </c:catAx>
      <c:valAx>
        <c:axId val="37901440"/>
        <c:scaling>
          <c:orientation val="minMax"/>
          <c:max val="35"/>
          <c:min val="10"/>
        </c:scaling>
        <c:delete val="0"/>
        <c:axPos val="l"/>
        <c:majorGridlines>
          <c:spPr>
            <a:ln>
              <a:solidFill>
                <a:schemeClr val="bg1">
                  <a:lumMod val="85000"/>
                </a:schemeClr>
              </a:solidFill>
            </a:ln>
          </c:spPr>
        </c:majorGridlines>
        <c:title>
          <c:tx>
            <c:rich>
              <a:bodyPr rot="-5400000" vert="horz"/>
              <a:lstStyle/>
              <a:p>
                <a:pPr>
                  <a:defRPr/>
                </a:pPr>
                <a:r>
                  <a:rPr lang="lv-LV"/>
                  <a:t>Netiešā nodokļu likme</a:t>
                </a:r>
              </a:p>
            </c:rich>
          </c:tx>
          <c:layout/>
          <c:overlay val="0"/>
        </c:title>
        <c:numFmt formatCode="0.0" sourceLinked="1"/>
        <c:majorTickMark val="out"/>
        <c:minorTickMark val="none"/>
        <c:tickLblPos val="nextTo"/>
        <c:txPr>
          <a:bodyPr/>
          <a:lstStyle/>
          <a:p>
            <a:pPr>
              <a:defRPr sz="900"/>
            </a:pPr>
            <a:endParaRPr lang="lv-LV"/>
          </a:p>
        </c:txPr>
        <c:crossAx val="37891456"/>
        <c:crosses val="autoZero"/>
        <c:crossBetween val="between"/>
      </c:valAx>
    </c:plotArea>
    <c:legend>
      <c:legendPos val="b"/>
      <c:layout>
        <c:manualLayout>
          <c:xMode val="edge"/>
          <c:yMode val="edge"/>
          <c:x val="4.7616867564436095E-2"/>
          <c:y val="0.8556916099773243"/>
          <c:w val="0.906952056468463"/>
          <c:h val="0.12138254518864644"/>
        </c:manualLayout>
      </c:layout>
      <c:overlay val="0"/>
      <c:spPr>
        <a:ln>
          <a:solidFill>
            <a:schemeClr val="bg1">
              <a:lumMod val="6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v-LV" sz="1100"/>
              <a:t>Strādājošam ar diviem bērniem</a:t>
            </a:r>
          </a:p>
        </c:rich>
      </c:tx>
      <c:layout>
        <c:manualLayout>
          <c:xMode val="edge"/>
          <c:yMode val="edge"/>
          <c:x val="0.19072182062513024"/>
          <c:y val="2.0420413982355903E-2"/>
        </c:manualLayout>
      </c:layout>
      <c:overlay val="1"/>
    </c:title>
    <c:autoTitleDeleted val="0"/>
    <c:plotArea>
      <c:layout>
        <c:manualLayout>
          <c:layoutTarget val="inner"/>
          <c:xMode val="edge"/>
          <c:yMode val="edge"/>
          <c:x val="0.16966332132581313"/>
          <c:y val="0.12192647065420394"/>
          <c:w val="0.80898766158903035"/>
          <c:h val="0.63012120072021716"/>
        </c:manualLayout>
      </c:layout>
      <c:lineChart>
        <c:grouping val="standard"/>
        <c:varyColors val="0"/>
        <c:ser>
          <c:idx val="0"/>
          <c:order val="0"/>
          <c:tx>
            <c:strRef>
              <c:f>Nod.plaisa!$O$95</c:f>
              <c:strCache>
                <c:ptCount val="1"/>
                <c:pt idx="0">
                  <c:v>67% no vidējās algas</c:v>
                </c:pt>
              </c:strCache>
            </c:strRef>
          </c:tx>
          <c:spPr>
            <a:ln>
              <a:solidFill>
                <a:srgbClr val="0070C0"/>
              </a:solidFill>
            </a:ln>
          </c:spPr>
          <c:marker>
            <c:symbol val="diamond"/>
            <c:size val="6"/>
            <c:spPr>
              <a:solidFill>
                <a:srgbClr val="0070C0"/>
              </a:solidFill>
              <a:ln>
                <a:solidFill>
                  <a:srgbClr val="0070C0"/>
                </a:solidFill>
              </a:ln>
            </c:spPr>
          </c:marker>
          <c:dLbls>
            <c:dLbl>
              <c:idx val="0"/>
              <c:layout>
                <c:manualLayout>
                  <c:x val="-4.4221193536043722E-2"/>
                  <c:y val="-3.6705560141067066E-2"/>
                </c:manualLayout>
              </c:layout>
              <c:dLblPos val="r"/>
              <c:showLegendKey val="0"/>
              <c:showVal val="1"/>
              <c:showCatName val="0"/>
              <c:showSerName val="0"/>
              <c:showPercent val="0"/>
              <c:showBubbleSize val="0"/>
            </c:dLbl>
            <c:dLbl>
              <c:idx val="1"/>
              <c:layout>
                <c:manualLayout>
                  <c:x val="-4.9491895983724735E-2"/>
                  <c:y val="-4.6915767132244962E-2"/>
                </c:manualLayout>
              </c:layout>
              <c:dLblPos val="r"/>
              <c:showLegendKey val="0"/>
              <c:showVal val="1"/>
              <c:showCatName val="0"/>
              <c:showSerName val="0"/>
              <c:showPercent val="0"/>
              <c:showBubbleSize val="0"/>
            </c:dLbl>
            <c:dLbl>
              <c:idx val="2"/>
              <c:layout>
                <c:manualLayout>
                  <c:x val="-4.1585842312203213E-2"/>
                  <c:y val="-3.3302157810674415E-2"/>
                </c:manualLayout>
              </c:layout>
              <c:dLblPos val="r"/>
              <c:showLegendKey val="0"/>
              <c:showVal val="1"/>
              <c:showCatName val="0"/>
              <c:showSerName val="0"/>
              <c:showPercent val="0"/>
              <c:showBubbleSize val="0"/>
            </c:dLbl>
            <c:dLbl>
              <c:idx val="3"/>
              <c:layout>
                <c:manualLayout>
                  <c:x val="-4.4221193536043722E-2"/>
                  <c:y val="-6.0529376453815564E-2"/>
                </c:manualLayout>
              </c:layout>
              <c:dLblPos val="r"/>
              <c:showLegendKey val="0"/>
              <c:showVal val="1"/>
              <c:showCatName val="0"/>
              <c:showSerName val="0"/>
              <c:showPercent val="0"/>
              <c:showBubbleSize val="0"/>
            </c:dLbl>
            <c:dLbl>
              <c:idx val="4"/>
              <c:layout>
                <c:manualLayout>
                  <c:x val="-4.9491895983724832E-2"/>
                  <c:y val="-5.3722571793030263E-2"/>
                </c:manualLayout>
              </c:layout>
              <c:dLblPos val="r"/>
              <c:showLegendKey val="0"/>
              <c:showVal val="1"/>
              <c:showCatName val="0"/>
              <c:showSerName val="0"/>
              <c:showPercent val="0"/>
              <c:showBubbleSize val="0"/>
            </c:dLbl>
            <c:dLbl>
              <c:idx val="6"/>
              <c:layout>
                <c:manualLayout>
                  <c:x val="-1.8988002441913038E-2"/>
                  <c:y val="-2.9898755480281706E-2"/>
                </c:manualLayout>
              </c:layout>
              <c:dLblPos val="r"/>
              <c:showLegendKey val="0"/>
              <c:showVal val="1"/>
              <c:showCatName val="0"/>
              <c:showSerName val="0"/>
              <c:showPercent val="0"/>
              <c:showBubbleSize val="0"/>
            </c:dLbl>
            <c:txPr>
              <a:bodyPr/>
              <a:lstStyle/>
              <a:p>
                <a:pPr>
                  <a:defRPr sz="900" b="1">
                    <a:solidFill>
                      <a:srgbClr val="002060"/>
                    </a:solidFill>
                  </a:defRPr>
                </a:pPr>
                <a:endParaRPr lang="lv-LV"/>
              </a:p>
            </c:txPr>
            <c:dLblPos val="b"/>
            <c:showLegendKey val="0"/>
            <c:showVal val="1"/>
            <c:showCatName val="0"/>
            <c:showSerName val="0"/>
            <c:showPercent val="0"/>
            <c:showBubbleSize val="0"/>
            <c:showLeaderLines val="0"/>
          </c:dLbls>
          <c:cat>
            <c:numRef>
              <c:f>Nod.plaisa!$P$93:$T$93</c:f>
              <c:numCache>
                <c:formatCode>General</c:formatCode>
                <c:ptCount val="5"/>
                <c:pt idx="0">
                  <c:v>2011</c:v>
                </c:pt>
                <c:pt idx="1">
                  <c:v>2012</c:v>
                </c:pt>
                <c:pt idx="2">
                  <c:v>2013</c:v>
                </c:pt>
                <c:pt idx="3">
                  <c:v>2014</c:v>
                </c:pt>
                <c:pt idx="4">
                  <c:v>2015</c:v>
                </c:pt>
              </c:numCache>
            </c:numRef>
          </c:cat>
          <c:val>
            <c:numRef>
              <c:f>Nod.plaisa!$P$95:$T$95</c:f>
              <c:numCache>
                <c:formatCode>0.0</c:formatCode>
                <c:ptCount val="5"/>
                <c:pt idx="0">
                  <c:v>18.372876994338657</c:v>
                </c:pt>
                <c:pt idx="1">
                  <c:v>18.924744493386271</c:v>
                </c:pt>
                <c:pt idx="2">
                  <c:v>18.445119001034364</c:v>
                </c:pt>
                <c:pt idx="3">
                  <c:v>14.899104591570206</c:v>
                </c:pt>
                <c:pt idx="4">
                  <c:v>13.378859701457134</c:v>
                </c:pt>
              </c:numCache>
            </c:numRef>
          </c:val>
          <c:smooth val="0"/>
        </c:ser>
        <c:ser>
          <c:idx val="1"/>
          <c:order val="1"/>
          <c:tx>
            <c:strRef>
              <c:f>Nod.plaisa!$O$96</c:f>
              <c:strCache>
                <c:ptCount val="1"/>
                <c:pt idx="0">
                  <c:v>100% no vidējās algas</c:v>
                </c:pt>
              </c:strCache>
            </c:strRef>
          </c:tx>
          <c:spPr>
            <a:ln>
              <a:solidFill>
                <a:srgbClr val="C00000"/>
              </a:solidFill>
            </a:ln>
          </c:spPr>
          <c:marker>
            <c:symbol val="triangle"/>
            <c:size val="6"/>
            <c:spPr>
              <a:solidFill>
                <a:srgbClr val="C00000"/>
              </a:solidFill>
              <a:ln>
                <a:solidFill>
                  <a:srgbClr val="C00000"/>
                </a:solidFill>
              </a:ln>
            </c:spPr>
          </c:marker>
          <c:dLbls>
            <c:dLbl>
              <c:idx val="0"/>
              <c:layout>
                <c:manualLayout>
                  <c:x val="-4.7433354865681641E-2"/>
                  <c:y val="-4.6392839359597586E-2"/>
                </c:manualLayout>
              </c:layout>
              <c:dLblPos val="r"/>
              <c:showLegendKey val="0"/>
              <c:showVal val="1"/>
              <c:showCatName val="0"/>
              <c:showSerName val="0"/>
              <c:showPercent val="0"/>
              <c:showBubbleSize val="0"/>
            </c:dLbl>
            <c:dLbl>
              <c:idx val="1"/>
              <c:layout>
                <c:manualLayout>
                  <c:x val="-3.6020131846990197E-2"/>
                  <c:y val="-3.8796770773677526E-2"/>
                </c:manualLayout>
              </c:layout>
              <c:dLblPos val="r"/>
              <c:showLegendKey val="0"/>
              <c:showVal val="1"/>
              <c:showCatName val="0"/>
              <c:showSerName val="0"/>
              <c:showPercent val="0"/>
              <c:showBubbleSize val="0"/>
            </c:dLbl>
            <c:dLbl>
              <c:idx val="2"/>
              <c:layout>
                <c:manualLayout>
                  <c:x val="-7.0259800903064537E-2"/>
                  <c:y val="-3.4998736480717496E-2"/>
                </c:manualLayout>
              </c:layout>
              <c:dLblPos val="r"/>
              <c:showLegendKey val="0"/>
              <c:showVal val="1"/>
              <c:showCatName val="0"/>
              <c:showSerName val="0"/>
              <c:showPercent val="0"/>
              <c:showBubbleSize val="0"/>
            </c:dLbl>
            <c:dLbl>
              <c:idx val="3"/>
              <c:layout>
                <c:manualLayout>
                  <c:x val="-4.7433354865681641E-2"/>
                  <c:y val="-3.8796770773677526E-2"/>
                </c:manualLayout>
              </c:layout>
              <c:dLblPos val="r"/>
              <c:showLegendKey val="0"/>
              <c:showVal val="1"/>
              <c:showCatName val="0"/>
              <c:showSerName val="0"/>
              <c:showPercent val="0"/>
              <c:showBubbleSize val="0"/>
            </c:dLbl>
            <c:dLbl>
              <c:idx val="4"/>
              <c:layout>
                <c:manualLayout>
                  <c:x val="-4.0631073946541538E-3"/>
                  <c:y val="2.1971777913682943E-2"/>
                </c:manualLayout>
              </c:layout>
              <c:dLblPos val="r"/>
              <c:showLegendKey val="0"/>
              <c:showVal val="1"/>
              <c:showCatName val="0"/>
              <c:showSerName val="0"/>
              <c:showPercent val="0"/>
              <c:showBubbleSize val="0"/>
            </c:dLbl>
            <c:txPr>
              <a:bodyPr/>
              <a:lstStyle/>
              <a:p>
                <a:pPr>
                  <a:defRPr sz="900" b="1" i="0">
                    <a:solidFill>
                      <a:srgbClr val="C00000"/>
                    </a:solidFill>
                  </a:defRPr>
                </a:pPr>
                <a:endParaRPr lang="lv-LV"/>
              </a:p>
            </c:txPr>
            <c:dLblPos val="t"/>
            <c:showLegendKey val="0"/>
            <c:showVal val="1"/>
            <c:showCatName val="0"/>
            <c:showSerName val="0"/>
            <c:showPercent val="0"/>
            <c:showBubbleSize val="0"/>
            <c:showLeaderLines val="0"/>
          </c:dLbls>
          <c:cat>
            <c:numRef>
              <c:f>Nod.plaisa!$P$93:$T$93</c:f>
              <c:numCache>
                <c:formatCode>General</c:formatCode>
                <c:ptCount val="5"/>
                <c:pt idx="0">
                  <c:v>2011</c:v>
                </c:pt>
                <c:pt idx="1">
                  <c:v>2012</c:v>
                </c:pt>
                <c:pt idx="2">
                  <c:v>2013</c:v>
                </c:pt>
                <c:pt idx="3">
                  <c:v>2014</c:v>
                </c:pt>
                <c:pt idx="4">
                  <c:v>2015</c:v>
                </c:pt>
              </c:numCache>
            </c:numRef>
          </c:cat>
          <c:val>
            <c:numRef>
              <c:f>Nod.plaisa!$P$96:$T$96</c:f>
              <c:numCache>
                <c:formatCode>0.0</c:formatCode>
                <c:ptCount val="5"/>
                <c:pt idx="0">
                  <c:v>23.282327586206897</c:v>
                </c:pt>
                <c:pt idx="1">
                  <c:v>23.652078810568799</c:v>
                </c:pt>
                <c:pt idx="2">
                  <c:v>23.037029730693025</c:v>
                </c:pt>
                <c:pt idx="3">
                  <c:v>20.523827066466893</c:v>
                </c:pt>
                <c:pt idx="4">
                  <c:v>19.041038519974968</c:v>
                </c:pt>
              </c:numCache>
            </c:numRef>
          </c:val>
          <c:smooth val="0"/>
        </c:ser>
        <c:ser>
          <c:idx val="2"/>
          <c:order val="2"/>
          <c:tx>
            <c:strRef>
              <c:f>Nod.plaisa!$O$97</c:f>
              <c:strCache>
                <c:ptCount val="1"/>
                <c:pt idx="0">
                  <c:v>167% no vidējās algas</c:v>
                </c:pt>
              </c:strCache>
            </c:strRef>
          </c:tx>
          <c:spPr>
            <a:ln>
              <a:solidFill>
                <a:srgbClr val="00B050"/>
              </a:solidFill>
            </a:ln>
          </c:spPr>
          <c:marker>
            <c:symbol val="square"/>
            <c:size val="6"/>
            <c:spPr>
              <a:solidFill>
                <a:srgbClr val="00B050"/>
              </a:solidFill>
              <a:ln>
                <a:solidFill>
                  <a:srgbClr val="00B050"/>
                </a:solidFill>
              </a:ln>
            </c:spPr>
          </c:marker>
          <c:dLbls>
            <c:txPr>
              <a:bodyPr/>
              <a:lstStyle/>
              <a:p>
                <a:pPr>
                  <a:defRPr sz="900" b="1">
                    <a:solidFill>
                      <a:schemeClr val="accent3">
                        <a:lumMod val="50000"/>
                      </a:schemeClr>
                    </a:solidFill>
                  </a:defRPr>
                </a:pPr>
                <a:endParaRPr lang="lv-LV"/>
              </a:p>
            </c:txPr>
            <c:dLblPos val="t"/>
            <c:showLegendKey val="0"/>
            <c:showVal val="1"/>
            <c:showCatName val="0"/>
            <c:showSerName val="0"/>
            <c:showPercent val="0"/>
            <c:showBubbleSize val="0"/>
            <c:showLeaderLines val="0"/>
          </c:dLbls>
          <c:cat>
            <c:numRef>
              <c:f>Nod.plaisa!$P$93:$T$93</c:f>
              <c:numCache>
                <c:formatCode>General</c:formatCode>
                <c:ptCount val="5"/>
                <c:pt idx="0">
                  <c:v>2011</c:v>
                </c:pt>
                <c:pt idx="1">
                  <c:v>2012</c:v>
                </c:pt>
                <c:pt idx="2">
                  <c:v>2013</c:v>
                </c:pt>
                <c:pt idx="3">
                  <c:v>2014</c:v>
                </c:pt>
                <c:pt idx="4">
                  <c:v>2015</c:v>
                </c:pt>
              </c:numCache>
            </c:numRef>
          </c:cat>
          <c:val>
            <c:numRef>
              <c:f>Nod.plaisa!$P$97:$T$97</c:f>
              <c:numCache>
                <c:formatCode>0.0</c:formatCode>
                <c:ptCount val="5"/>
                <c:pt idx="0">
                  <c:v>27.281333883956226</c:v>
                </c:pt>
                <c:pt idx="1">
                  <c:v>27.502741802735809</c:v>
                </c:pt>
                <c:pt idx="2">
                  <c:v>26.77738307227127</c:v>
                </c:pt>
                <c:pt idx="3">
                  <c:v>24.558339560758618</c:v>
                </c:pt>
                <c:pt idx="4">
                  <c:v>22.956310491002974</c:v>
                </c:pt>
              </c:numCache>
            </c:numRef>
          </c:val>
          <c:smooth val="0"/>
        </c:ser>
        <c:ser>
          <c:idx val="3"/>
          <c:order val="3"/>
          <c:tx>
            <c:strRef>
              <c:f>Nod.plaisa!$O$94</c:f>
              <c:strCache>
                <c:ptCount val="1"/>
                <c:pt idx="0">
                  <c:v>Minimālā alga</c:v>
                </c:pt>
              </c:strCache>
            </c:strRef>
          </c:tx>
          <c:dLbls>
            <c:dLbl>
              <c:idx val="4"/>
              <c:layout>
                <c:manualLayout>
                  <c:x val="-9.6509314003692559E-2"/>
                  <c:y val="-3.6467440130606564E-2"/>
                </c:manualLayout>
              </c:layout>
              <c:dLblPos val="r"/>
              <c:showLegendKey val="0"/>
              <c:showVal val="1"/>
              <c:showCatName val="0"/>
              <c:showSerName val="0"/>
              <c:showPercent val="0"/>
              <c:showBubbleSize val="0"/>
            </c:dLbl>
            <c:txPr>
              <a:bodyPr/>
              <a:lstStyle/>
              <a:p>
                <a:pPr>
                  <a:defRPr sz="900" b="1">
                    <a:solidFill>
                      <a:srgbClr val="7030A0"/>
                    </a:solidFill>
                  </a:defRPr>
                </a:pPr>
                <a:endParaRPr lang="lv-LV"/>
              </a:p>
            </c:txPr>
            <c:dLblPos val="t"/>
            <c:showLegendKey val="0"/>
            <c:showVal val="1"/>
            <c:showCatName val="0"/>
            <c:showSerName val="0"/>
            <c:showPercent val="0"/>
            <c:showBubbleSize val="0"/>
            <c:showLeaderLines val="0"/>
          </c:dLbls>
          <c:cat>
            <c:numRef>
              <c:f>Nod.plaisa!$P$93:$T$93</c:f>
              <c:numCache>
                <c:formatCode>General</c:formatCode>
                <c:ptCount val="5"/>
                <c:pt idx="0">
                  <c:v>2011</c:v>
                </c:pt>
                <c:pt idx="1">
                  <c:v>2012</c:v>
                </c:pt>
                <c:pt idx="2">
                  <c:v>2013</c:v>
                </c:pt>
                <c:pt idx="3">
                  <c:v>2014</c:v>
                </c:pt>
                <c:pt idx="4">
                  <c:v>2015</c:v>
                </c:pt>
              </c:numCache>
            </c:numRef>
          </c:cat>
          <c:val>
            <c:numRef>
              <c:f>Nod.plaisa!$P$94:$T$94</c:f>
              <c:numCache>
                <c:formatCode>0.0</c:formatCode>
                <c:ptCount val="5"/>
                <c:pt idx="0">
                  <c:v>11</c:v>
                </c:pt>
                <c:pt idx="1">
                  <c:v>11</c:v>
                </c:pt>
                <c:pt idx="2">
                  <c:v>11</c:v>
                </c:pt>
                <c:pt idx="3">
                  <c:v>11</c:v>
                </c:pt>
                <c:pt idx="4">
                  <c:v>11</c:v>
                </c:pt>
              </c:numCache>
            </c:numRef>
          </c:val>
          <c:smooth val="0"/>
        </c:ser>
        <c:dLbls>
          <c:showLegendKey val="0"/>
          <c:showVal val="0"/>
          <c:showCatName val="0"/>
          <c:showSerName val="0"/>
          <c:showPercent val="0"/>
          <c:showBubbleSize val="0"/>
        </c:dLbls>
        <c:marker val="1"/>
        <c:smooth val="0"/>
        <c:axId val="37943168"/>
        <c:axId val="37944704"/>
      </c:lineChart>
      <c:catAx>
        <c:axId val="37943168"/>
        <c:scaling>
          <c:orientation val="minMax"/>
        </c:scaling>
        <c:delete val="0"/>
        <c:axPos val="b"/>
        <c:numFmt formatCode="General" sourceLinked="1"/>
        <c:majorTickMark val="out"/>
        <c:minorTickMark val="none"/>
        <c:tickLblPos val="nextTo"/>
        <c:txPr>
          <a:bodyPr/>
          <a:lstStyle/>
          <a:p>
            <a:pPr>
              <a:defRPr sz="900"/>
            </a:pPr>
            <a:endParaRPr lang="lv-LV"/>
          </a:p>
        </c:txPr>
        <c:crossAx val="37944704"/>
        <c:crosses val="autoZero"/>
        <c:auto val="1"/>
        <c:lblAlgn val="ctr"/>
        <c:lblOffset val="100"/>
        <c:noMultiLvlLbl val="0"/>
      </c:catAx>
      <c:valAx>
        <c:axId val="37944704"/>
        <c:scaling>
          <c:orientation val="minMax"/>
          <c:max val="35"/>
          <c:min val="10"/>
        </c:scaling>
        <c:delete val="0"/>
        <c:axPos val="l"/>
        <c:majorGridlines>
          <c:spPr>
            <a:ln>
              <a:solidFill>
                <a:schemeClr val="bg1">
                  <a:lumMod val="85000"/>
                </a:schemeClr>
              </a:solidFill>
            </a:ln>
          </c:spPr>
        </c:majorGridlines>
        <c:title>
          <c:tx>
            <c:rich>
              <a:bodyPr rot="-5400000" vert="horz"/>
              <a:lstStyle/>
              <a:p>
                <a:pPr>
                  <a:defRPr/>
                </a:pPr>
                <a:r>
                  <a:rPr lang="lv-LV"/>
                  <a:t>Netiešā nodokļu likme</a:t>
                </a:r>
              </a:p>
            </c:rich>
          </c:tx>
          <c:layout/>
          <c:overlay val="0"/>
        </c:title>
        <c:numFmt formatCode="0.0" sourceLinked="1"/>
        <c:majorTickMark val="out"/>
        <c:minorTickMark val="none"/>
        <c:tickLblPos val="nextTo"/>
        <c:txPr>
          <a:bodyPr/>
          <a:lstStyle/>
          <a:p>
            <a:pPr>
              <a:defRPr sz="900"/>
            </a:pPr>
            <a:endParaRPr lang="lv-LV"/>
          </a:p>
        </c:txPr>
        <c:crossAx val="37943168"/>
        <c:crosses val="autoZero"/>
        <c:crossBetween val="between"/>
      </c:valAx>
    </c:plotArea>
    <c:legend>
      <c:legendPos val="b"/>
      <c:layout>
        <c:manualLayout>
          <c:xMode val="edge"/>
          <c:yMode val="edge"/>
          <c:x val="0"/>
          <c:y val="0.8575109510628578"/>
          <c:w val="0.98817783734032416"/>
          <c:h val="0.1217608023945882"/>
        </c:manualLayout>
      </c:layout>
      <c:overlay val="0"/>
      <c:spPr>
        <a:ln>
          <a:solidFill>
            <a:schemeClr val="bg1">
              <a:lumMod val="6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C23A-77A8-4A52-99D8-119F6F6C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4562</Words>
  <Characters>29593</Characters>
  <Application>Microsoft Office Word</Application>
  <DocSecurity>0</DocSecurity>
  <Lines>1233</Lines>
  <Paragraphs>711</Paragraphs>
  <ScaleCrop>false</ScaleCrop>
  <HeadingPairs>
    <vt:vector size="2" baseType="variant">
      <vt:variant>
        <vt:lpstr>Title</vt:lpstr>
      </vt:variant>
      <vt:variant>
        <vt:i4>1</vt:i4>
      </vt:variant>
    </vt:vector>
  </HeadingPairs>
  <TitlesOfParts>
    <vt:vector size="1" baseType="lpstr">
      <vt:lpstr>Priekšlikumi ienākumu nevienlīdzības mazināšanai</vt:lpstr>
    </vt:vector>
  </TitlesOfParts>
  <Company>Finanšu ministrija</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ienākumu nevienlīdzības mazināšanai</dc:title>
  <dc:subject>Informatīvais ziņojums</dc:subject>
  <dc:creator>Dace Avotiņa</dc:creator>
  <dc:description>tālrunis 67083920
Dace.Avotiņa@fm.gov.lv</dc:description>
  <cp:lastModifiedBy>Dace Avotina</cp:lastModifiedBy>
  <cp:revision>4</cp:revision>
  <cp:lastPrinted>2013-05-23T06:20:00Z</cp:lastPrinted>
  <dcterms:created xsi:type="dcterms:W3CDTF">2013-05-22T12:53:00Z</dcterms:created>
  <dcterms:modified xsi:type="dcterms:W3CDTF">2013-05-23T07:17:00Z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1sKZu4BY2V85vpCgFGlEuCJ6zJn_uQcrqROYdw3bydXQ</vt:lpwstr>
  </property>
  <property fmtid="{D5CDD505-2E9C-101B-9397-08002B2CF9AE}" pid="4" name="Google.Documents.RevisionId">
    <vt:lpwstr>05877861454678190637</vt:lpwstr>
  </property>
  <property fmtid="{D5CDD505-2E9C-101B-9397-08002B2CF9AE}" pid="5" name="Google.Documents.PluginVersion">
    <vt:lpwstr>2.0.2662.553</vt:lpwstr>
  </property>
  <property fmtid="{D5CDD505-2E9C-101B-9397-08002B2CF9AE}" pid="6" name="Google.Documents.MergeIncapabilityFlags">
    <vt:i4>0</vt:i4>
  </property>
</Properties>
</file>