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72" w:type="dxa"/>
        <w:tblInd w:w="8" w:type="dxa"/>
        <w:tblLayout w:type="fixed"/>
        <w:tblCellMar>
          <w:left w:w="0" w:type="dxa"/>
          <w:right w:w="0" w:type="dxa"/>
        </w:tblCellMar>
        <w:tblLook w:val="0000" w:firstRow="0" w:lastRow="0" w:firstColumn="0" w:lastColumn="0" w:noHBand="0" w:noVBand="0"/>
      </w:tblPr>
      <w:tblGrid>
        <w:gridCol w:w="5954"/>
        <w:gridCol w:w="3118"/>
      </w:tblGrid>
      <w:tr w:rsidR="006A276C" w:rsidRPr="003927D1" w:rsidTr="00D95A95">
        <w:tc>
          <w:tcPr>
            <w:tcW w:w="5954" w:type="dxa"/>
          </w:tcPr>
          <w:p w:rsidR="006A276C" w:rsidRPr="003927D1" w:rsidRDefault="006A276C" w:rsidP="00D95A95">
            <w:pPr>
              <w:spacing w:after="0"/>
              <w:ind w:firstLine="0"/>
              <w:jc w:val="left"/>
              <w:rPr>
                <w:rFonts w:cs="Times New Roman"/>
                <w:b/>
                <w:bCs/>
                <w:sz w:val="40"/>
              </w:rPr>
            </w:pPr>
            <w:bookmarkStart w:id="0" w:name="_Toc195693328"/>
          </w:p>
        </w:tc>
        <w:tc>
          <w:tcPr>
            <w:tcW w:w="3118" w:type="dxa"/>
          </w:tcPr>
          <w:p w:rsidR="006A276C" w:rsidRPr="003927D1" w:rsidRDefault="006A276C" w:rsidP="00D95A95">
            <w:pPr>
              <w:spacing w:after="0"/>
              <w:jc w:val="right"/>
              <w:rPr>
                <w:rFonts w:cs="Times New Roman"/>
                <w:sz w:val="20"/>
              </w:rPr>
            </w:pPr>
            <w:r w:rsidRPr="003927D1">
              <w:rPr>
                <w:rFonts w:cs="Times New Roman"/>
                <w:noProof/>
                <w:sz w:val="20"/>
                <w:lang w:eastAsia="lv-LV"/>
              </w:rPr>
              <w:drawing>
                <wp:inline distT="0" distB="0" distL="0" distR="0" wp14:anchorId="165041AB" wp14:editId="1FF3FC5D">
                  <wp:extent cx="1573530" cy="818515"/>
                  <wp:effectExtent l="0" t="0" r="7620" b="635"/>
                  <wp:docPr id="36" name="Picture 36" descr="FM_logo_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_logo_L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3530" cy="818515"/>
                          </a:xfrm>
                          <a:prstGeom prst="rect">
                            <a:avLst/>
                          </a:prstGeom>
                          <a:noFill/>
                          <a:ln>
                            <a:noFill/>
                          </a:ln>
                        </pic:spPr>
                      </pic:pic>
                    </a:graphicData>
                  </a:graphic>
                </wp:inline>
              </w:drawing>
            </w:r>
          </w:p>
        </w:tc>
      </w:tr>
    </w:tbl>
    <w:p w:rsidR="006A276C" w:rsidRPr="003927D1" w:rsidRDefault="006A276C" w:rsidP="006A276C">
      <w:pPr>
        <w:ind w:firstLine="0"/>
        <w:jc w:val="left"/>
        <w:rPr>
          <w:rFonts w:cs="Times New Roman"/>
        </w:rPr>
      </w:pPr>
    </w:p>
    <w:p w:rsidR="006A276C" w:rsidRPr="003927D1" w:rsidRDefault="006A276C" w:rsidP="006A276C">
      <w:pPr>
        <w:ind w:firstLine="0"/>
        <w:jc w:val="left"/>
        <w:rPr>
          <w:rFonts w:cs="Times New Roman"/>
        </w:rPr>
      </w:pPr>
    </w:p>
    <w:p w:rsidR="006A276C" w:rsidRPr="003927D1" w:rsidRDefault="006A276C" w:rsidP="006A276C">
      <w:pPr>
        <w:ind w:firstLine="0"/>
        <w:jc w:val="left"/>
        <w:rPr>
          <w:rFonts w:cs="Times New Roman"/>
        </w:rPr>
      </w:pPr>
    </w:p>
    <w:p w:rsidR="006A276C" w:rsidRPr="003927D1" w:rsidRDefault="006A276C" w:rsidP="006A276C">
      <w:pPr>
        <w:ind w:firstLine="0"/>
        <w:jc w:val="left"/>
        <w:rPr>
          <w:rFonts w:cs="Times New Roman"/>
        </w:rPr>
      </w:pPr>
    </w:p>
    <w:p w:rsidR="006A276C" w:rsidRPr="003927D1" w:rsidRDefault="006A276C" w:rsidP="006A276C">
      <w:pPr>
        <w:ind w:firstLine="0"/>
        <w:jc w:val="left"/>
        <w:rPr>
          <w:rFonts w:cs="Times New Roman"/>
        </w:rPr>
      </w:pPr>
    </w:p>
    <w:p w:rsidR="006A276C" w:rsidRPr="003927D1" w:rsidRDefault="006A276C" w:rsidP="006A276C">
      <w:pPr>
        <w:ind w:firstLine="0"/>
        <w:jc w:val="left"/>
        <w:rPr>
          <w:rFonts w:cs="Times New Roman"/>
        </w:rPr>
      </w:pPr>
    </w:p>
    <w:p w:rsidR="006A276C" w:rsidRPr="003927D1" w:rsidRDefault="006A276C" w:rsidP="006A276C">
      <w:pPr>
        <w:ind w:firstLine="0"/>
        <w:jc w:val="left"/>
        <w:rPr>
          <w:rFonts w:cs="Times New Roman"/>
        </w:rPr>
      </w:pPr>
    </w:p>
    <w:p w:rsidR="006A276C" w:rsidRPr="003927D1" w:rsidRDefault="006A276C" w:rsidP="006A276C">
      <w:pPr>
        <w:ind w:firstLine="0"/>
        <w:jc w:val="left"/>
        <w:rPr>
          <w:rFonts w:cs="Times New Roman"/>
        </w:rPr>
      </w:pPr>
    </w:p>
    <w:p w:rsidR="006A276C" w:rsidRPr="003927D1" w:rsidRDefault="006A276C" w:rsidP="003B4D3D">
      <w:pPr>
        <w:ind w:firstLine="0"/>
        <w:jc w:val="center"/>
        <w:rPr>
          <w:rFonts w:cs="Times New Roman"/>
        </w:rPr>
      </w:pPr>
      <w:bookmarkStart w:id="1" w:name="OLE_LINK1"/>
      <w:bookmarkStart w:id="2" w:name="OLE_LINK2"/>
      <w:r w:rsidRPr="003927D1">
        <w:rPr>
          <w:rFonts w:cs="Times New Roman"/>
          <w:b/>
          <w:bCs/>
          <w:kern w:val="52"/>
          <w:sz w:val="56"/>
        </w:rPr>
        <w:t>Par tautsaimniecības attīstību u</w:t>
      </w:r>
      <w:r w:rsidR="00007150">
        <w:rPr>
          <w:rFonts w:cs="Times New Roman"/>
          <w:b/>
          <w:bCs/>
          <w:kern w:val="52"/>
          <w:sz w:val="56"/>
        </w:rPr>
        <w:t>n kopbudžeta izpildes gaitu 2012</w:t>
      </w:r>
      <w:r w:rsidRPr="003927D1">
        <w:rPr>
          <w:rFonts w:cs="Times New Roman"/>
          <w:b/>
          <w:bCs/>
          <w:kern w:val="52"/>
          <w:sz w:val="56"/>
        </w:rPr>
        <w:t xml:space="preserve">. gada </w:t>
      </w:r>
      <w:r w:rsidR="004D1739">
        <w:rPr>
          <w:rFonts w:cs="Times New Roman"/>
          <w:b/>
          <w:bCs/>
          <w:kern w:val="52"/>
          <w:sz w:val="56"/>
        </w:rPr>
        <w:t>1.</w:t>
      </w:r>
      <w:r w:rsidRPr="003927D1">
        <w:rPr>
          <w:rFonts w:cs="Times New Roman"/>
          <w:b/>
          <w:bCs/>
          <w:kern w:val="52"/>
          <w:sz w:val="56"/>
        </w:rPr>
        <w:t xml:space="preserve"> ceturksnī</w:t>
      </w:r>
      <w:bookmarkEnd w:id="1"/>
      <w:bookmarkEnd w:id="2"/>
    </w:p>
    <w:p w:rsidR="006A276C" w:rsidRPr="003927D1" w:rsidRDefault="006A276C" w:rsidP="006A276C">
      <w:pPr>
        <w:ind w:firstLine="0"/>
        <w:jc w:val="left"/>
        <w:rPr>
          <w:rFonts w:cs="Times New Roman"/>
        </w:rPr>
      </w:pPr>
    </w:p>
    <w:p w:rsidR="006A276C" w:rsidRPr="003927D1" w:rsidRDefault="006A276C" w:rsidP="006A276C">
      <w:pPr>
        <w:ind w:firstLine="0"/>
        <w:jc w:val="left"/>
        <w:rPr>
          <w:rFonts w:cs="Times New Roman"/>
        </w:rPr>
      </w:pPr>
    </w:p>
    <w:p w:rsidR="006A276C" w:rsidRPr="003927D1" w:rsidRDefault="006A276C" w:rsidP="006A276C">
      <w:pPr>
        <w:ind w:firstLine="0"/>
        <w:jc w:val="left"/>
        <w:rPr>
          <w:rFonts w:cs="Times New Roman"/>
        </w:rPr>
      </w:pPr>
    </w:p>
    <w:p w:rsidR="006A276C" w:rsidRPr="003927D1" w:rsidRDefault="006A276C" w:rsidP="006A276C">
      <w:pPr>
        <w:ind w:firstLine="0"/>
        <w:jc w:val="left"/>
        <w:rPr>
          <w:rFonts w:cs="Times New Roman"/>
        </w:rPr>
      </w:pPr>
    </w:p>
    <w:p w:rsidR="006A276C" w:rsidRPr="003927D1" w:rsidRDefault="006A276C" w:rsidP="006A276C">
      <w:pPr>
        <w:ind w:firstLine="0"/>
        <w:jc w:val="left"/>
        <w:rPr>
          <w:rFonts w:cs="Times New Roman"/>
        </w:rPr>
      </w:pPr>
    </w:p>
    <w:p w:rsidR="006A276C" w:rsidRPr="003927D1" w:rsidRDefault="006A276C" w:rsidP="006A276C">
      <w:pPr>
        <w:ind w:firstLine="0"/>
        <w:jc w:val="left"/>
        <w:rPr>
          <w:rFonts w:cs="Times New Roman"/>
        </w:rPr>
      </w:pPr>
    </w:p>
    <w:p w:rsidR="006A276C" w:rsidRPr="003927D1" w:rsidRDefault="006A276C" w:rsidP="006A276C">
      <w:pPr>
        <w:ind w:firstLine="0"/>
        <w:jc w:val="left"/>
        <w:rPr>
          <w:rFonts w:cs="Times New Roman"/>
        </w:rPr>
      </w:pPr>
    </w:p>
    <w:p w:rsidR="006A276C" w:rsidRPr="003927D1" w:rsidRDefault="006A276C" w:rsidP="006A276C">
      <w:pPr>
        <w:ind w:firstLine="0"/>
        <w:jc w:val="left"/>
        <w:rPr>
          <w:rFonts w:cs="Times New Roman"/>
        </w:rPr>
      </w:pPr>
    </w:p>
    <w:p w:rsidR="006A276C" w:rsidRPr="003927D1" w:rsidRDefault="006A276C" w:rsidP="006A276C">
      <w:pPr>
        <w:ind w:firstLine="0"/>
        <w:jc w:val="left"/>
        <w:rPr>
          <w:rFonts w:cs="Times New Roman"/>
        </w:rPr>
      </w:pPr>
    </w:p>
    <w:p w:rsidR="006A276C" w:rsidRPr="003927D1" w:rsidRDefault="006A276C" w:rsidP="006A276C">
      <w:pPr>
        <w:ind w:firstLine="0"/>
        <w:jc w:val="left"/>
        <w:rPr>
          <w:rFonts w:cs="Times New Roman"/>
        </w:rPr>
      </w:pPr>
    </w:p>
    <w:p w:rsidR="006A276C" w:rsidRPr="003927D1" w:rsidRDefault="006A276C" w:rsidP="006A276C">
      <w:pPr>
        <w:ind w:firstLine="0"/>
        <w:jc w:val="left"/>
        <w:rPr>
          <w:rFonts w:cs="Times New Roman"/>
        </w:rPr>
      </w:pPr>
    </w:p>
    <w:p w:rsidR="006A276C" w:rsidRPr="003927D1" w:rsidRDefault="006A276C" w:rsidP="006A276C">
      <w:pPr>
        <w:ind w:firstLine="0"/>
        <w:jc w:val="left"/>
        <w:rPr>
          <w:rFonts w:cs="Times New Roman"/>
        </w:rPr>
      </w:pPr>
    </w:p>
    <w:p w:rsidR="006A276C" w:rsidRPr="003927D1" w:rsidRDefault="006A276C" w:rsidP="006A276C">
      <w:pPr>
        <w:ind w:firstLine="0"/>
        <w:jc w:val="left"/>
        <w:rPr>
          <w:rFonts w:cs="Times New Roman"/>
        </w:rPr>
      </w:pPr>
    </w:p>
    <w:p w:rsidR="006A276C" w:rsidRPr="003927D1" w:rsidRDefault="006A276C" w:rsidP="006A276C">
      <w:pPr>
        <w:jc w:val="left"/>
        <w:rPr>
          <w:rFonts w:cs="Times New Roman"/>
          <w:sz w:val="20"/>
        </w:rPr>
      </w:pPr>
    </w:p>
    <w:p w:rsidR="006A276C" w:rsidRPr="003927D1" w:rsidRDefault="00007150" w:rsidP="006A276C">
      <w:pPr>
        <w:pBdr>
          <w:top w:val="single" w:sz="4" w:space="4" w:color="auto"/>
        </w:pBdr>
        <w:ind w:firstLine="0"/>
        <w:jc w:val="left"/>
        <w:rPr>
          <w:rFonts w:cs="Times New Roman"/>
          <w:sz w:val="36"/>
        </w:rPr>
        <w:sectPr w:rsidR="006A276C" w:rsidRPr="003927D1">
          <w:headerReference w:type="even" r:id="rId10"/>
          <w:headerReference w:type="default" r:id="rId11"/>
          <w:footerReference w:type="default" r:id="rId12"/>
          <w:footerReference w:type="first" r:id="rId13"/>
          <w:pgSz w:w="11906" w:h="16838" w:code="9"/>
          <w:pgMar w:top="1418" w:right="1134" w:bottom="1134" w:left="1701" w:header="720" w:footer="720" w:gutter="0"/>
          <w:cols w:space="720"/>
          <w:titlePg/>
          <w:rtlGutter/>
        </w:sectPr>
      </w:pPr>
      <w:r>
        <w:rPr>
          <w:rFonts w:cs="Times New Roman"/>
        </w:rPr>
        <w:t>2012</w:t>
      </w:r>
      <w:r w:rsidR="006A276C" w:rsidRPr="003927D1">
        <w:rPr>
          <w:rFonts w:cs="Times New Roman"/>
        </w:rPr>
        <w:t>. gada maijs</w:t>
      </w:r>
    </w:p>
    <w:p w:rsidR="006A276C" w:rsidRPr="00324E86" w:rsidRDefault="006A276C" w:rsidP="00324E86">
      <w:pPr>
        <w:jc w:val="center"/>
        <w:rPr>
          <w:b/>
          <w:sz w:val="44"/>
          <w:szCs w:val="44"/>
        </w:rPr>
      </w:pPr>
      <w:bookmarkStart w:id="3" w:name="_Toc262026537"/>
      <w:bookmarkStart w:id="4" w:name="_Toc293496355"/>
      <w:r w:rsidRPr="00324E86">
        <w:rPr>
          <w:b/>
          <w:sz w:val="44"/>
          <w:szCs w:val="44"/>
        </w:rPr>
        <w:lastRenderedPageBreak/>
        <w:t>Saturs</w:t>
      </w:r>
      <w:bookmarkEnd w:id="3"/>
      <w:bookmarkEnd w:id="4"/>
    </w:p>
    <w:sdt>
      <w:sdtPr>
        <w:rPr>
          <w:rFonts w:cs="Times New Roman"/>
          <w:b/>
          <w:bCs/>
          <w:noProof w:val="0"/>
          <w:szCs w:val="28"/>
        </w:rPr>
        <w:id w:val="-1511519373"/>
        <w:docPartObj>
          <w:docPartGallery w:val="Table of Contents"/>
          <w:docPartUnique/>
        </w:docPartObj>
      </w:sdtPr>
      <w:sdtEndPr>
        <w:rPr>
          <w:b w:val="0"/>
          <w:bCs w:val="0"/>
        </w:rPr>
      </w:sdtEndPr>
      <w:sdtContent>
        <w:p w:rsidR="005F25FE" w:rsidRDefault="0010037C" w:rsidP="005F25FE">
          <w:pPr>
            <w:pStyle w:val="TOC1"/>
            <w:ind w:right="1416"/>
            <w:rPr>
              <w:rFonts w:asciiTheme="minorHAnsi" w:eastAsiaTheme="minorEastAsia" w:hAnsiTheme="minorHAnsi"/>
              <w:sz w:val="22"/>
              <w:szCs w:val="22"/>
              <w:lang w:eastAsia="lv-LV"/>
            </w:rPr>
          </w:pPr>
          <w:r w:rsidRPr="00F53D19">
            <w:fldChar w:fldCharType="begin"/>
          </w:r>
          <w:r w:rsidR="00C90FCC" w:rsidRPr="00F53D19">
            <w:instrText xml:space="preserve"> TOC \o "1-3" \h \z \u </w:instrText>
          </w:r>
          <w:r w:rsidRPr="00F53D19">
            <w:fldChar w:fldCharType="separate"/>
          </w:r>
          <w:hyperlink w:anchor="_Toc325101910" w:history="1">
            <w:r w:rsidR="005F25FE" w:rsidRPr="003F425A">
              <w:rPr>
                <w:rStyle w:val="Hyperlink"/>
                <w:rFonts w:cs="Times New Roman"/>
              </w:rPr>
              <w:t>Kopsavilkums</w:t>
            </w:r>
            <w:r w:rsidR="005F25FE">
              <w:rPr>
                <w:webHidden/>
              </w:rPr>
              <w:tab/>
            </w:r>
            <w:r w:rsidR="005F25FE">
              <w:rPr>
                <w:webHidden/>
              </w:rPr>
              <w:fldChar w:fldCharType="begin"/>
            </w:r>
            <w:r w:rsidR="005F25FE">
              <w:rPr>
                <w:webHidden/>
              </w:rPr>
              <w:instrText xml:space="preserve"> PAGEREF _Toc325101910 \h </w:instrText>
            </w:r>
            <w:r w:rsidR="005F25FE">
              <w:rPr>
                <w:webHidden/>
              </w:rPr>
            </w:r>
            <w:r w:rsidR="005F25FE">
              <w:rPr>
                <w:webHidden/>
              </w:rPr>
              <w:fldChar w:fldCharType="separate"/>
            </w:r>
            <w:r w:rsidR="00ED6341">
              <w:rPr>
                <w:webHidden/>
              </w:rPr>
              <w:t>3</w:t>
            </w:r>
            <w:r w:rsidR="005F25FE">
              <w:rPr>
                <w:webHidden/>
              </w:rPr>
              <w:fldChar w:fldCharType="end"/>
            </w:r>
          </w:hyperlink>
        </w:p>
        <w:p w:rsidR="005F25FE" w:rsidRDefault="00ED6341" w:rsidP="005F25FE">
          <w:pPr>
            <w:pStyle w:val="TOC1"/>
            <w:ind w:right="1416"/>
            <w:rPr>
              <w:rFonts w:asciiTheme="minorHAnsi" w:eastAsiaTheme="minorEastAsia" w:hAnsiTheme="minorHAnsi"/>
              <w:sz w:val="22"/>
              <w:szCs w:val="22"/>
              <w:lang w:eastAsia="lv-LV"/>
            </w:rPr>
          </w:pPr>
          <w:hyperlink w:anchor="_Toc325101911" w:history="1">
            <w:r w:rsidR="005F25FE" w:rsidRPr="003F425A">
              <w:rPr>
                <w:rStyle w:val="Hyperlink"/>
              </w:rPr>
              <w:t>1. Tautsaimniecības attīstība</w:t>
            </w:r>
            <w:r w:rsidR="005F25FE">
              <w:rPr>
                <w:webHidden/>
              </w:rPr>
              <w:tab/>
            </w:r>
            <w:r w:rsidR="005F25FE">
              <w:rPr>
                <w:webHidden/>
              </w:rPr>
              <w:fldChar w:fldCharType="begin"/>
            </w:r>
            <w:r w:rsidR="005F25FE">
              <w:rPr>
                <w:webHidden/>
              </w:rPr>
              <w:instrText xml:space="preserve"> PAGEREF _Toc325101911 \h </w:instrText>
            </w:r>
            <w:r w:rsidR="005F25FE">
              <w:rPr>
                <w:webHidden/>
              </w:rPr>
            </w:r>
            <w:r w:rsidR="005F25FE">
              <w:rPr>
                <w:webHidden/>
              </w:rPr>
              <w:fldChar w:fldCharType="separate"/>
            </w:r>
            <w:r>
              <w:rPr>
                <w:webHidden/>
              </w:rPr>
              <w:t>5</w:t>
            </w:r>
            <w:r w:rsidR="005F25FE">
              <w:rPr>
                <w:webHidden/>
              </w:rPr>
              <w:fldChar w:fldCharType="end"/>
            </w:r>
          </w:hyperlink>
        </w:p>
        <w:p w:rsidR="005F25FE" w:rsidRDefault="00ED6341" w:rsidP="005F25FE">
          <w:pPr>
            <w:pStyle w:val="TOC2"/>
            <w:ind w:right="1416"/>
            <w:rPr>
              <w:rFonts w:asciiTheme="minorHAnsi" w:eastAsiaTheme="minorEastAsia" w:hAnsiTheme="minorHAnsi"/>
              <w:sz w:val="22"/>
              <w:szCs w:val="22"/>
              <w:lang w:eastAsia="lv-LV"/>
            </w:rPr>
          </w:pPr>
          <w:hyperlink w:anchor="_Toc325101912" w:history="1">
            <w:r w:rsidR="005F25FE" w:rsidRPr="003F425A">
              <w:rPr>
                <w:rStyle w:val="Hyperlink"/>
                <w:rFonts w:eastAsia="Calibri"/>
              </w:rPr>
              <w:t>1.1. Ārējā ekonomiskā vide</w:t>
            </w:r>
            <w:r w:rsidR="005F25FE">
              <w:rPr>
                <w:webHidden/>
              </w:rPr>
              <w:tab/>
            </w:r>
            <w:r w:rsidR="005F25FE">
              <w:rPr>
                <w:webHidden/>
              </w:rPr>
              <w:fldChar w:fldCharType="begin"/>
            </w:r>
            <w:r w:rsidR="005F25FE">
              <w:rPr>
                <w:webHidden/>
              </w:rPr>
              <w:instrText xml:space="preserve"> PAGEREF _Toc325101912 \h </w:instrText>
            </w:r>
            <w:r w:rsidR="005F25FE">
              <w:rPr>
                <w:webHidden/>
              </w:rPr>
            </w:r>
            <w:r w:rsidR="005F25FE">
              <w:rPr>
                <w:webHidden/>
              </w:rPr>
              <w:fldChar w:fldCharType="separate"/>
            </w:r>
            <w:r>
              <w:rPr>
                <w:webHidden/>
              </w:rPr>
              <w:t>5</w:t>
            </w:r>
            <w:r w:rsidR="005F25FE">
              <w:rPr>
                <w:webHidden/>
              </w:rPr>
              <w:fldChar w:fldCharType="end"/>
            </w:r>
          </w:hyperlink>
        </w:p>
        <w:p w:rsidR="005F25FE" w:rsidRDefault="00ED6341" w:rsidP="005F25FE">
          <w:pPr>
            <w:pStyle w:val="TOC2"/>
            <w:ind w:right="1416"/>
            <w:rPr>
              <w:rFonts w:asciiTheme="minorHAnsi" w:eastAsiaTheme="minorEastAsia" w:hAnsiTheme="minorHAnsi"/>
              <w:sz w:val="22"/>
              <w:szCs w:val="22"/>
              <w:lang w:eastAsia="lv-LV"/>
            </w:rPr>
          </w:pPr>
          <w:hyperlink w:anchor="_Toc325101913" w:history="1">
            <w:r w:rsidR="005F25FE" w:rsidRPr="003F425A">
              <w:rPr>
                <w:rStyle w:val="Hyperlink"/>
              </w:rPr>
              <w:t>1.2. Iekšzemes kopprodukts, ekonomiskā aktivitāte</w:t>
            </w:r>
            <w:r w:rsidR="005F25FE">
              <w:rPr>
                <w:webHidden/>
              </w:rPr>
              <w:tab/>
            </w:r>
            <w:r w:rsidR="005F25FE">
              <w:rPr>
                <w:webHidden/>
              </w:rPr>
              <w:fldChar w:fldCharType="begin"/>
            </w:r>
            <w:r w:rsidR="005F25FE">
              <w:rPr>
                <w:webHidden/>
              </w:rPr>
              <w:instrText xml:space="preserve"> PAGEREF _Toc325101913 \h </w:instrText>
            </w:r>
            <w:r w:rsidR="005F25FE">
              <w:rPr>
                <w:webHidden/>
              </w:rPr>
            </w:r>
            <w:r w:rsidR="005F25FE">
              <w:rPr>
                <w:webHidden/>
              </w:rPr>
              <w:fldChar w:fldCharType="separate"/>
            </w:r>
            <w:r>
              <w:rPr>
                <w:webHidden/>
              </w:rPr>
              <w:t>7</w:t>
            </w:r>
            <w:r w:rsidR="005F25FE">
              <w:rPr>
                <w:webHidden/>
              </w:rPr>
              <w:fldChar w:fldCharType="end"/>
            </w:r>
          </w:hyperlink>
        </w:p>
        <w:p w:rsidR="005F25FE" w:rsidRDefault="00ED6341" w:rsidP="005F25FE">
          <w:pPr>
            <w:pStyle w:val="TOC2"/>
            <w:ind w:right="1416"/>
            <w:rPr>
              <w:rFonts w:asciiTheme="minorHAnsi" w:eastAsiaTheme="minorEastAsia" w:hAnsiTheme="minorHAnsi"/>
              <w:sz w:val="22"/>
              <w:szCs w:val="22"/>
              <w:lang w:eastAsia="lv-LV"/>
            </w:rPr>
          </w:pPr>
          <w:hyperlink w:anchor="_Toc325101914" w:history="1">
            <w:r w:rsidR="005F25FE" w:rsidRPr="003F425A">
              <w:rPr>
                <w:rStyle w:val="Hyperlink"/>
              </w:rPr>
              <w:t>1.3. Tautsaimniecības nozaru attīstība</w:t>
            </w:r>
            <w:r w:rsidR="005F25FE">
              <w:rPr>
                <w:webHidden/>
              </w:rPr>
              <w:tab/>
            </w:r>
            <w:r w:rsidR="005F25FE">
              <w:rPr>
                <w:webHidden/>
              </w:rPr>
              <w:fldChar w:fldCharType="begin"/>
            </w:r>
            <w:r w:rsidR="005F25FE">
              <w:rPr>
                <w:webHidden/>
              </w:rPr>
              <w:instrText xml:space="preserve"> PAGEREF _Toc325101914 \h </w:instrText>
            </w:r>
            <w:r w:rsidR="005F25FE">
              <w:rPr>
                <w:webHidden/>
              </w:rPr>
            </w:r>
            <w:r w:rsidR="005F25FE">
              <w:rPr>
                <w:webHidden/>
              </w:rPr>
              <w:fldChar w:fldCharType="separate"/>
            </w:r>
            <w:r>
              <w:rPr>
                <w:webHidden/>
              </w:rPr>
              <w:t>8</w:t>
            </w:r>
            <w:r w:rsidR="005F25FE">
              <w:rPr>
                <w:webHidden/>
              </w:rPr>
              <w:fldChar w:fldCharType="end"/>
            </w:r>
          </w:hyperlink>
        </w:p>
        <w:p w:rsidR="005F25FE" w:rsidRDefault="00ED6341" w:rsidP="005F25FE">
          <w:pPr>
            <w:pStyle w:val="TOC2"/>
            <w:ind w:right="1416"/>
            <w:rPr>
              <w:rFonts w:asciiTheme="minorHAnsi" w:eastAsiaTheme="minorEastAsia" w:hAnsiTheme="minorHAnsi"/>
              <w:sz w:val="22"/>
              <w:szCs w:val="22"/>
              <w:lang w:eastAsia="lv-LV"/>
            </w:rPr>
          </w:pPr>
          <w:hyperlink w:anchor="_Toc325101915" w:history="1">
            <w:r w:rsidR="005F25FE" w:rsidRPr="003F425A">
              <w:rPr>
                <w:rStyle w:val="Hyperlink"/>
              </w:rPr>
              <w:t>1.4. Inflācija</w:t>
            </w:r>
            <w:r w:rsidR="005F25FE">
              <w:rPr>
                <w:webHidden/>
              </w:rPr>
              <w:tab/>
            </w:r>
            <w:r w:rsidR="005F25FE">
              <w:rPr>
                <w:webHidden/>
              </w:rPr>
              <w:fldChar w:fldCharType="begin"/>
            </w:r>
            <w:r w:rsidR="005F25FE">
              <w:rPr>
                <w:webHidden/>
              </w:rPr>
              <w:instrText xml:space="preserve"> PAGEREF _Toc325101915 \h </w:instrText>
            </w:r>
            <w:r w:rsidR="005F25FE">
              <w:rPr>
                <w:webHidden/>
              </w:rPr>
            </w:r>
            <w:r w:rsidR="005F25FE">
              <w:rPr>
                <w:webHidden/>
              </w:rPr>
              <w:fldChar w:fldCharType="separate"/>
            </w:r>
            <w:r>
              <w:rPr>
                <w:webHidden/>
              </w:rPr>
              <w:t>16</w:t>
            </w:r>
            <w:r w:rsidR="005F25FE">
              <w:rPr>
                <w:webHidden/>
              </w:rPr>
              <w:fldChar w:fldCharType="end"/>
            </w:r>
          </w:hyperlink>
        </w:p>
        <w:p w:rsidR="005F25FE" w:rsidRDefault="00ED6341" w:rsidP="005F25FE">
          <w:pPr>
            <w:pStyle w:val="TOC2"/>
            <w:ind w:right="1416"/>
            <w:rPr>
              <w:rFonts w:asciiTheme="minorHAnsi" w:eastAsiaTheme="minorEastAsia" w:hAnsiTheme="minorHAnsi"/>
              <w:sz w:val="22"/>
              <w:szCs w:val="22"/>
              <w:lang w:eastAsia="lv-LV"/>
            </w:rPr>
          </w:pPr>
          <w:hyperlink w:anchor="_Toc325101916" w:history="1">
            <w:r w:rsidR="005F25FE" w:rsidRPr="003F425A">
              <w:rPr>
                <w:rStyle w:val="Hyperlink"/>
              </w:rPr>
              <w:t>1.5. Nodarbinātība un bezdarbs</w:t>
            </w:r>
            <w:r w:rsidR="005F25FE">
              <w:rPr>
                <w:webHidden/>
              </w:rPr>
              <w:tab/>
            </w:r>
            <w:r w:rsidR="005F25FE">
              <w:rPr>
                <w:webHidden/>
              </w:rPr>
              <w:fldChar w:fldCharType="begin"/>
            </w:r>
            <w:r w:rsidR="005F25FE">
              <w:rPr>
                <w:webHidden/>
              </w:rPr>
              <w:instrText xml:space="preserve"> PAGEREF _Toc325101916 \h </w:instrText>
            </w:r>
            <w:r w:rsidR="005F25FE">
              <w:rPr>
                <w:webHidden/>
              </w:rPr>
            </w:r>
            <w:r w:rsidR="005F25FE">
              <w:rPr>
                <w:webHidden/>
              </w:rPr>
              <w:fldChar w:fldCharType="separate"/>
            </w:r>
            <w:r>
              <w:rPr>
                <w:webHidden/>
              </w:rPr>
              <w:t>18</w:t>
            </w:r>
            <w:r w:rsidR="005F25FE">
              <w:rPr>
                <w:webHidden/>
              </w:rPr>
              <w:fldChar w:fldCharType="end"/>
            </w:r>
          </w:hyperlink>
        </w:p>
        <w:p w:rsidR="005F25FE" w:rsidRDefault="00ED6341" w:rsidP="005F25FE">
          <w:pPr>
            <w:pStyle w:val="TOC2"/>
            <w:ind w:right="1416"/>
            <w:rPr>
              <w:rFonts w:asciiTheme="minorHAnsi" w:eastAsiaTheme="minorEastAsia" w:hAnsiTheme="minorHAnsi"/>
              <w:sz w:val="22"/>
              <w:szCs w:val="22"/>
              <w:lang w:eastAsia="lv-LV"/>
            </w:rPr>
          </w:pPr>
          <w:hyperlink w:anchor="_Toc325101917" w:history="1">
            <w:r w:rsidR="005F25FE" w:rsidRPr="003F425A">
              <w:rPr>
                <w:rStyle w:val="Hyperlink"/>
              </w:rPr>
              <w:t>1.6. Iedzīvotāju ienākumi</w:t>
            </w:r>
            <w:r w:rsidR="005F25FE">
              <w:rPr>
                <w:webHidden/>
              </w:rPr>
              <w:tab/>
            </w:r>
            <w:r w:rsidR="005F25FE">
              <w:rPr>
                <w:webHidden/>
              </w:rPr>
              <w:fldChar w:fldCharType="begin"/>
            </w:r>
            <w:r w:rsidR="005F25FE">
              <w:rPr>
                <w:webHidden/>
              </w:rPr>
              <w:instrText xml:space="preserve"> PAGEREF _Toc325101917 \h </w:instrText>
            </w:r>
            <w:r w:rsidR="005F25FE">
              <w:rPr>
                <w:webHidden/>
              </w:rPr>
            </w:r>
            <w:r w:rsidR="005F25FE">
              <w:rPr>
                <w:webHidden/>
              </w:rPr>
              <w:fldChar w:fldCharType="separate"/>
            </w:r>
            <w:r>
              <w:rPr>
                <w:webHidden/>
              </w:rPr>
              <w:t>20</w:t>
            </w:r>
            <w:r w:rsidR="005F25FE">
              <w:rPr>
                <w:webHidden/>
              </w:rPr>
              <w:fldChar w:fldCharType="end"/>
            </w:r>
          </w:hyperlink>
        </w:p>
        <w:p w:rsidR="005F25FE" w:rsidRDefault="00ED6341" w:rsidP="005F25FE">
          <w:pPr>
            <w:pStyle w:val="TOC2"/>
            <w:ind w:right="1416"/>
            <w:rPr>
              <w:rFonts w:asciiTheme="minorHAnsi" w:eastAsiaTheme="minorEastAsia" w:hAnsiTheme="minorHAnsi"/>
              <w:sz w:val="22"/>
              <w:szCs w:val="22"/>
              <w:lang w:eastAsia="lv-LV"/>
            </w:rPr>
          </w:pPr>
          <w:hyperlink w:anchor="_Toc325101918" w:history="1">
            <w:r w:rsidR="005F25FE" w:rsidRPr="003F425A">
              <w:rPr>
                <w:rStyle w:val="Hyperlink"/>
              </w:rPr>
              <w:t>1.7. Ārējā tirdzniecība un maksājumu bilance</w:t>
            </w:r>
            <w:r w:rsidR="005F25FE">
              <w:rPr>
                <w:webHidden/>
              </w:rPr>
              <w:tab/>
            </w:r>
            <w:r w:rsidR="005F25FE">
              <w:rPr>
                <w:webHidden/>
              </w:rPr>
              <w:fldChar w:fldCharType="begin"/>
            </w:r>
            <w:r w:rsidR="005F25FE">
              <w:rPr>
                <w:webHidden/>
              </w:rPr>
              <w:instrText xml:space="preserve"> PAGEREF _Toc325101918 \h </w:instrText>
            </w:r>
            <w:r w:rsidR="005F25FE">
              <w:rPr>
                <w:webHidden/>
              </w:rPr>
            </w:r>
            <w:r w:rsidR="005F25FE">
              <w:rPr>
                <w:webHidden/>
              </w:rPr>
              <w:fldChar w:fldCharType="separate"/>
            </w:r>
            <w:r>
              <w:rPr>
                <w:webHidden/>
              </w:rPr>
              <w:t>23</w:t>
            </w:r>
            <w:r w:rsidR="005F25FE">
              <w:rPr>
                <w:webHidden/>
              </w:rPr>
              <w:fldChar w:fldCharType="end"/>
            </w:r>
          </w:hyperlink>
        </w:p>
        <w:p w:rsidR="005F25FE" w:rsidRDefault="00ED6341" w:rsidP="005F25FE">
          <w:pPr>
            <w:pStyle w:val="TOC2"/>
            <w:ind w:right="1416"/>
            <w:rPr>
              <w:rFonts w:asciiTheme="minorHAnsi" w:eastAsiaTheme="minorEastAsia" w:hAnsiTheme="minorHAnsi"/>
              <w:sz w:val="22"/>
              <w:szCs w:val="22"/>
              <w:lang w:eastAsia="lv-LV"/>
            </w:rPr>
          </w:pPr>
          <w:hyperlink w:anchor="_Toc325101919" w:history="1">
            <w:r w:rsidR="005F25FE" w:rsidRPr="003F425A">
              <w:rPr>
                <w:rStyle w:val="Hyperlink"/>
              </w:rPr>
              <w:t>1.8. Centrālās valdības parāds</w:t>
            </w:r>
            <w:r w:rsidR="005F25FE">
              <w:rPr>
                <w:webHidden/>
              </w:rPr>
              <w:tab/>
            </w:r>
            <w:r w:rsidR="005F25FE">
              <w:rPr>
                <w:webHidden/>
              </w:rPr>
              <w:fldChar w:fldCharType="begin"/>
            </w:r>
            <w:r w:rsidR="005F25FE">
              <w:rPr>
                <w:webHidden/>
              </w:rPr>
              <w:instrText xml:space="preserve"> PAGEREF _Toc325101919 \h </w:instrText>
            </w:r>
            <w:r w:rsidR="005F25FE">
              <w:rPr>
                <w:webHidden/>
              </w:rPr>
            </w:r>
            <w:r w:rsidR="005F25FE">
              <w:rPr>
                <w:webHidden/>
              </w:rPr>
              <w:fldChar w:fldCharType="separate"/>
            </w:r>
            <w:r>
              <w:rPr>
                <w:webHidden/>
              </w:rPr>
              <w:t>26</w:t>
            </w:r>
            <w:r w:rsidR="005F25FE">
              <w:rPr>
                <w:webHidden/>
              </w:rPr>
              <w:fldChar w:fldCharType="end"/>
            </w:r>
          </w:hyperlink>
        </w:p>
        <w:p w:rsidR="005F25FE" w:rsidRDefault="00ED6341" w:rsidP="005F25FE">
          <w:pPr>
            <w:pStyle w:val="TOC1"/>
            <w:ind w:right="1416"/>
            <w:rPr>
              <w:rFonts w:asciiTheme="minorHAnsi" w:eastAsiaTheme="minorEastAsia" w:hAnsiTheme="minorHAnsi"/>
              <w:sz w:val="22"/>
              <w:szCs w:val="22"/>
              <w:lang w:eastAsia="lv-LV"/>
            </w:rPr>
          </w:pPr>
          <w:hyperlink w:anchor="_Toc325101920" w:history="1">
            <w:r w:rsidR="005F25FE" w:rsidRPr="003F425A">
              <w:rPr>
                <w:rStyle w:val="Hyperlink"/>
              </w:rPr>
              <w:t>2. Kopbudžeta izpilde</w:t>
            </w:r>
            <w:r w:rsidR="005F25FE">
              <w:rPr>
                <w:webHidden/>
              </w:rPr>
              <w:tab/>
            </w:r>
            <w:r w:rsidR="005F25FE">
              <w:rPr>
                <w:webHidden/>
              </w:rPr>
              <w:fldChar w:fldCharType="begin"/>
            </w:r>
            <w:r w:rsidR="005F25FE">
              <w:rPr>
                <w:webHidden/>
              </w:rPr>
              <w:instrText xml:space="preserve"> PAGEREF _Toc325101920 \h </w:instrText>
            </w:r>
            <w:r w:rsidR="005F25FE">
              <w:rPr>
                <w:webHidden/>
              </w:rPr>
            </w:r>
            <w:r w:rsidR="005F25FE">
              <w:rPr>
                <w:webHidden/>
              </w:rPr>
              <w:fldChar w:fldCharType="separate"/>
            </w:r>
            <w:r>
              <w:rPr>
                <w:webHidden/>
              </w:rPr>
              <w:t>31</w:t>
            </w:r>
            <w:r w:rsidR="005F25FE">
              <w:rPr>
                <w:webHidden/>
              </w:rPr>
              <w:fldChar w:fldCharType="end"/>
            </w:r>
          </w:hyperlink>
        </w:p>
        <w:p w:rsidR="005F25FE" w:rsidRDefault="00ED6341" w:rsidP="005F25FE">
          <w:pPr>
            <w:pStyle w:val="TOC2"/>
            <w:ind w:right="1416"/>
            <w:rPr>
              <w:rFonts w:asciiTheme="minorHAnsi" w:eastAsiaTheme="minorEastAsia" w:hAnsiTheme="minorHAnsi"/>
              <w:sz w:val="22"/>
              <w:szCs w:val="22"/>
              <w:lang w:eastAsia="lv-LV"/>
            </w:rPr>
          </w:pPr>
          <w:hyperlink w:anchor="_Toc325101921" w:history="1">
            <w:r w:rsidR="005F25FE" w:rsidRPr="003F425A">
              <w:rPr>
                <w:rStyle w:val="Hyperlink"/>
              </w:rPr>
              <w:t>2.1. Vispārējs fiskālās situācijas raksturojums</w:t>
            </w:r>
            <w:r w:rsidR="005F25FE">
              <w:rPr>
                <w:webHidden/>
              </w:rPr>
              <w:tab/>
            </w:r>
            <w:r w:rsidR="005F25FE">
              <w:rPr>
                <w:webHidden/>
              </w:rPr>
              <w:fldChar w:fldCharType="begin"/>
            </w:r>
            <w:r w:rsidR="005F25FE">
              <w:rPr>
                <w:webHidden/>
              </w:rPr>
              <w:instrText xml:space="preserve"> PAGEREF _Toc325101921 \h </w:instrText>
            </w:r>
            <w:r w:rsidR="005F25FE">
              <w:rPr>
                <w:webHidden/>
              </w:rPr>
            </w:r>
            <w:r w:rsidR="005F25FE">
              <w:rPr>
                <w:webHidden/>
              </w:rPr>
              <w:fldChar w:fldCharType="separate"/>
            </w:r>
            <w:r>
              <w:rPr>
                <w:webHidden/>
              </w:rPr>
              <w:t>31</w:t>
            </w:r>
            <w:r w:rsidR="005F25FE">
              <w:rPr>
                <w:webHidden/>
              </w:rPr>
              <w:fldChar w:fldCharType="end"/>
            </w:r>
          </w:hyperlink>
        </w:p>
        <w:p w:rsidR="005F25FE" w:rsidRDefault="00ED6341" w:rsidP="005F25FE">
          <w:pPr>
            <w:pStyle w:val="TOC2"/>
            <w:ind w:right="1416"/>
            <w:rPr>
              <w:rFonts w:asciiTheme="minorHAnsi" w:eastAsiaTheme="minorEastAsia" w:hAnsiTheme="minorHAnsi"/>
              <w:sz w:val="22"/>
              <w:szCs w:val="22"/>
              <w:lang w:eastAsia="lv-LV"/>
            </w:rPr>
          </w:pPr>
          <w:hyperlink w:anchor="_Toc325101922" w:history="1">
            <w:r w:rsidR="005F25FE" w:rsidRPr="003F425A">
              <w:rPr>
                <w:rStyle w:val="Hyperlink"/>
                <w:rFonts w:cs="Times New Roman"/>
              </w:rPr>
              <w:t>2.2. Nodokļu ieņēmumi</w:t>
            </w:r>
            <w:r w:rsidR="005F25FE">
              <w:rPr>
                <w:webHidden/>
              </w:rPr>
              <w:tab/>
            </w:r>
            <w:r w:rsidR="005F25FE">
              <w:rPr>
                <w:webHidden/>
              </w:rPr>
              <w:fldChar w:fldCharType="begin"/>
            </w:r>
            <w:r w:rsidR="005F25FE">
              <w:rPr>
                <w:webHidden/>
              </w:rPr>
              <w:instrText xml:space="preserve"> PAGEREF _Toc325101922 \h </w:instrText>
            </w:r>
            <w:r w:rsidR="005F25FE">
              <w:rPr>
                <w:webHidden/>
              </w:rPr>
            </w:r>
            <w:r w:rsidR="005F25FE">
              <w:rPr>
                <w:webHidden/>
              </w:rPr>
              <w:fldChar w:fldCharType="separate"/>
            </w:r>
            <w:r>
              <w:rPr>
                <w:webHidden/>
              </w:rPr>
              <w:t>32</w:t>
            </w:r>
            <w:r w:rsidR="005F25FE">
              <w:rPr>
                <w:webHidden/>
              </w:rPr>
              <w:fldChar w:fldCharType="end"/>
            </w:r>
          </w:hyperlink>
        </w:p>
        <w:p w:rsidR="005F25FE" w:rsidRDefault="00ED6341" w:rsidP="005F25FE">
          <w:pPr>
            <w:pStyle w:val="TOC3"/>
            <w:ind w:right="1416"/>
            <w:rPr>
              <w:rFonts w:asciiTheme="minorHAnsi" w:eastAsiaTheme="minorEastAsia" w:hAnsiTheme="minorHAnsi"/>
              <w:sz w:val="22"/>
              <w:szCs w:val="22"/>
              <w:lang w:eastAsia="lv-LV"/>
            </w:rPr>
          </w:pPr>
          <w:hyperlink w:anchor="_Toc325101923" w:history="1">
            <w:r w:rsidR="005F25FE" w:rsidRPr="003F425A">
              <w:rPr>
                <w:rStyle w:val="Hyperlink"/>
              </w:rPr>
              <w:t xml:space="preserve">2.2.1. Nodokļu ieņēmumi atbilstoši ekonomikas funkciju sadalījumam </w:t>
            </w:r>
            <w:r w:rsidR="005F25FE">
              <w:rPr>
                <w:webHidden/>
              </w:rPr>
              <w:tab/>
            </w:r>
            <w:r w:rsidR="005F25FE">
              <w:rPr>
                <w:webHidden/>
              </w:rPr>
              <w:fldChar w:fldCharType="begin"/>
            </w:r>
            <w:r w:rsidR="005F25FE">
              <w:rPr>
                <w:webHidden/>
              </w:rPr>
              <w:instrText xml:space="preserve"> PAGEREF _Toc325101923 \h </w:instrText>
            </w:r>
            <w:r w:rsidR="005F25FE">
              <w:rPr>
                <w:webHidden/>
              </w:rPr>
            </w:r>
            <w:r w:rsidR="005F25FE">
              <w:rPr>
                <w:webHidden/>
              </w:rPr>
              <w:fldChar w:fldCharType="separate"/>
            </w:r>
            <w:r>
              <w:rPr>
                <w:webHidden/>
              </w:rPr>
              <w:t>44</w:t>
            </w:r>
            <w:r w:rsidR="005F25FE">
              <w:rPr>
                <w:webHidden/>
              </w:rPr>
              <w:fldChar w:fldCharType="end"/>
            </w:r>
          </w:hyperlink>
        </w:p>
        <w:p w:rsidR="005F25FE" w:rsidRDefault="00ED6341" w:rsidP="005F25FE">
          <w:pPr>
            <w:pStyle w:val="TOC3"/>
            <w:ind w:right="1416"/>
            <w:rPr>
              <w:rFonts w:asciiTheme="minorHAnsi" w:eastAsiaTheme="minorEastAsia" w:hAnsiTheme="minorHAnsi"/>
              <w:sz w:val="22"/>
              <w:szCs w:val="22"/>
              <w:lang w:eastAsia="lv-LV"/>
            </w:rPr>
          </w:pPr>
          <w:hyperlink w:anchor="_Toc325101924" w:history="1">
            <w:r w:rsidR="005F25FE" w:rsidRPr="003F425A">
              <w:rPr>
                <w:rStyle w:val="Hyperlink"/>
              </w:rPr>
              <w:t>2.2.2. Kopbudžeta nodokļu maksājumu parādi</w:t>
            </w:r>
            <w:r w:rsidR="005F25FE">
              <w:rPr>
                <w:webHidden/>
              </w:rPr>
              <w:tab/>
            </w:r>
            <w:r w:rsidR="005F25FE">
              <w:rPr>
                <w:webHidden/>
              </w:rPr>
              <w:fldChar w:fldCharType="begin"/>
            </w:r>
            <w:r w:rsidR="005F25FE">
              <w:rPr>
                <w:webHidden/>
              </w:rPr>
              <w:instrText xml:space="preserve"> PAGEREF _Toc325101924 \h </w:instrText>
            </w:r>
            <w:r w:rsidR="005F25FE">
              <w:rPr>
                <w:webHidden/>
              </w:rPr>
            </w:r>
            <w:r w:rsidR="005F25FE">
              <w:rPr>
                <w:webHidden/>
              </w:rPr>
              <w:fldChar w:fldCharType="separate"/>
            </w:r>
            <w:r>
              <w:rPr>
                <w:webHidden/>
              </w:rPr>
              <w:t>45</w:t>
            </w:r>
            <w:r w:rsidR="005F25FE">
              <w:rPr>
                <w:webHidden/>
              </w:rPr>
              <w:fldChar w:fldCharType="end"/>
            </w:r>
          </w:hyperlink>
        </w:p>
        <w:p w:rsidR="005F25FE" w:rsidRDefault="00ED6341" w:rsidP="005F25FE">
          <w:pPr>
            <w:pStyle w:val="TOC3"/>
            <w:ind w:right="1416"/>
            <w:rPr>
              <w:rFonts w:asciiTheme="minorHAnsi" w:eastAsiaTheme="minorEastAsia" w:hAnsiTheme="minorHAnsi"/>
              <w:sz w:val="22"/>
              <w:szCs w:val="22"/>
              <w:lang w:eastAsia="lv-LV"/>
            </w:rPr>
          </w:pPr>
          <w:hyperlink w:anchor="_Toc325101925" w:history="1">
            <w:r w:rsidR="005F25FE" w:rsidRPr="003F425A">
              <w:rPr>
                <w:rStyle w:val="Hyperlink"/>
              </w:rPr>
              <w:t>2.3. Nenodokļu ieņēmumu izpilde</w:t>
            </w:r>
            <w:r w:rsidR="005F25FE">
              <w:rPr>
                <w:webHidden/>
              </w:rPr>
              <w:tab/>
            </w:r>
            <w:r w:rsidR="005F25FE">
              <w:rPr>
                <w:webHidden/>
              </w:rPr>
              <w:fldChar w:fldCharType="begin"/>
            </w:r>
            <w:r w:rsidR="005F25FE">
              <w:rPr>
                <w:webHidden/>
              </w:rPr>
              <w:instrText xml:space="preserve"> PAGEREF _Toc325101925 \h </w:instrText>
            </w:r>
            <w:r w:rsidR="005F25FE">
              <w:rPr>
                <w:webHidden/>
              </w:rPr>
            </w:r>
            <w:r w:rsidR="005F25FE">
              <w:rPr>
                <w:webHidden/>
              </w:rPr>
              <w:fldChar w:fldCharType="separate"/>
            </w:r>
            <w:r>
              <w:rPr>
                <w:webHidden/>
              </w:rPr>
              <w:t>47</w:t>
            </w:r>
            <w:r w:rsidR="005F25FE">
              <w:rPr>
                <w:webHidden/>
              </w:rPr>
              <w:fldChar w:fldCharType="end"/>
            </w:r>
          </w:hyperlink>
        </w:p>
        <w:p w:rsidR="005F25FE" w:rsidRDefault="00ED6341" w:rsidP="005F25FE">
          <w:pPr>
            <w:pStyle w:val="TOC2"/>
            <w:ind w:right="1416"/>
            <w:rPr>
              <w:rFonts w:asciiTheme="minorHAnsi" w:eastAsiaTheme="minorEastAsia" w:hAnsiTheme="minorHAnsi"/>
              <w:sz w:val="22"/>
              <w:szCs w:val="22"/>
              <w:lang w:eastAsia="lv-LV"/>
            </w:rPr>
          </w:pPr>
          <w:hyperlink w:anchor="_Toc325101926" w:history="1">
            <w:r w:rsidR="005F25FE" w:rsidRPr="003F425A">
              <w:rPr>
                <w:rStyle w:val="Hyperlink"/>
                <w:rFonts w:cs="Times New Roman"/>
              </w:rPr>
              <w:t>2.4. Valsts konsolidētā budžeta izpilde</w:t>
            </w:r>
            <w:r w:rsidR="005F25FE">
              <w:rPr>
                <w:webHidden/>
              </w:rPr>
              <w:tab/>
            </w:r>
            <w:r w:rsidR="005F25FE">
              <w:rPr>
                <w:webHidden/>
              </w:rPr>
              <w:fldChar w:fldCharType="begin"/>
            </w:r>
            <w:r w:rsidR="005F25FE">
              <w:rPr>
                <w:webHidden/>
              </w:rPr>
              <w:instrText xml:space="preserve"> PAGEREF _Toc325101926 \h </w:instrText>
            </w:r>
            <w:r w:rsidR="005F25FE">
              <w:rPr>
                <w:webHidden/>
              </w:rPr>
            </w:r>
            <w:r w:rsidR="005F25FE">
              <w:rPr>
                <w:webHidden/>
              </w:rPr>
              <w:fldChar w:fldCharType="separate"/>
            </w:r>
            <w:r>
              <w:rPr>
                <w:webHidden/>
              </w:rPr>
              <w:t>49</w:t>
            </w:r>
            <w:r w:rsidR="005F25FE">
              <w:rPr>
                <w:webHidden/>
              </w:rPr>
              <w:fldChar w:fldCharType="end"/>
            </w:r>
          </w:hyperlink>
        </w:p>
        <w:p w:rsidR="005F25FE" w:rsidRDefault="00ED6341" w:rsidP="005F25FE">
          <w:pPr>
            <w:pStyle w:val="TOC3"/>
            <w:ind w:right="1416"/>
            <w:rPr>
              <w:rFonts w:asciiTheme="minorHAnsi" w:eastAsiaTheme="minorEastAsia" w:hAnsiTheme="minorHAnsi"/>
              <w:sz w:val="22"/>
              <w:szCs w:val="22"/>
              <w:lang w:eastAsia="lv-LV"/>
            </w:rPr>
          </w:pPr>
          <w:hyperlink w:anchor="_Toc325101927" w:history="1">
            <w:r w:rsidR="005F25FE" w:rsidRPr="003F425A">
              <w:rPr>
                <w:rStyle w:val="Hyperlink"/>
              </w:rPr>
              <w:t>2.4.1. Valsts pamatbudžeta izpilde</w:t>
            </w:r>
            <w:r w:rsidR="005F25FE">
              <w:rPr>
                <w:webHidden/>
              </w:rPr>
              <w:tab/>
            </w:r>
            <w:r w:rsidR="005F25FE">
              <w:rPr>
                <w:webHidden/>
              </w:rPr>
              <w:fldChar w:fldCharType="begin"/>
            </w:r>
            <w:r w:rsidR="005F25FE">
              <w:rPr>
                <w:webHidden/>
              </w:rPr>
              <w:instrText xml:space="preserve"> PAGEREF _Toc325101927 \h </w:instrText>
            </w:r>
            <w:r w:rsidR="005F25FE">
              <w:rPr>
                <w:webHidden/>
              </w:rPr>
            </w:r>
            <w:r w:rsidR="005F25FE">
              <w:rPr>
                <w:webHidden/>
              </w:rPr>
              <w:fldChar w:fldCharType="separate"/>
            </w:r>
            <w:r>
              <w:rPr>
                <w:webHidden/>
              </w:rPr>
              <w:t>51</w:t>
            </w:r>
            <w:r w:rsidR="005F25FE">
              <w:rPr>
                <w:webHidden/>
              </w:rPr>
              <w:fldChar w:fldCharType="end"/>
            </w:r>
          </w:hyperlink>
        </w:p>
        <w:p w:rsidR="005F25FE" w:rsidRDefault="00ED6341" w:rsidP="005F25FE">
          <w:pPr>
            <w:pStyle w:val="TOC3"/>
            <w:ind w:right="1416"/>
            <w:rPr>
              <w:rFonts w:asciiTheme="minorHAnsi" w:eastAsiaTheme="minorEastAsia" w:hAnsiTheme="minorHAnsi"/>
              <w:sz w:val="22"/>
              <w:szCs w:val="22"/>
              <w:lang w:eastAsia="lv-LV"/>
            </w:rPr>
          </w:pPr>
          <w:hyperlink w:anchor="_Toc325101928" w:history="1">
            <w:r w:rsidR="005F25FE" w:rsidRPr="003F425A">
              <w:rPr>
                <w:rStyle w:val="Hyperlink"/>
              </w:rPr>
              <w:t>2.4.2. Sociālās apdrošināšanas budžeta izpilde</w:t>
            </w:r>
            <w:r w:rsidR="005F25FE">
              <w:rPr>
                <w:webHidden/>
              </w:rPr>
              <w:tab/>
            </w:r>
            <w:r w:rsidR="005F25FE">
              <w:rPr>
                <w:webHidden/>
              </w:rPr>
              <w:fldChar w:fldCharType="begin"/>
            </w:r>
            <w:r w:rsidR="005F25FE">
              <w:rPr>
                <w:webHidden/>
              </w:rPr>
              <w:instrText xml:space="preserve"> PAGEREF _Toc325101928 \h </w:instrText>
            </w:r>
            <w:r w:rsidR="005F25FE">
              <w:rPr>
                <w:webHidden/>
              </w:rPr>
            </w:r>
            <w:r w:rsidR="005F25FE">
              <w:rPr>
                <w:webHidden/>
              </w:rPr>
              <w:fldChar w:fldCharType="separate"/>
            </w:r>
            <w:r>
              <w:rPr>
                <w:webHidden/>
              </w:rPr>
              <w:t>55</w:t>
            </w:r>
            <w:r w:rsidR="005F25FE">
              <w:rPr>
                <w:webHidden/>
              </w:rPr>
              <w:fldChar w:fldCharType="end"/>
            </w:r>
          </w:hyperlink>
        </w:p>
        <w:p w:rsidR="005F25FE" w:rsidRDefault="00ED6341" w:rsidP="005F25FE">
          <w:pPr>
            <w:pStyle w:val="TOC3"/>
            <w:ind w:right="1416"/>
            <w:rPr>
              <w:rFonts w:asciiTheme="minorHAnsi" w:eastAsiaTheme="minorEastAsia" w:hAnsiTheme="minorHAnsi"/>
              <w:sz w:val="22"/>
              <w:szCs w:val="22"/>
              <w:lang w:eastAsia="lv-LV"/>
            </w:rPr>
          </w:pPr>
          <w:hyperlink w:anchor="_Toc325101929" w:history="1">
            <w:r w:rsidR="005F25FE" w:rsidRPr="003F425A">
              <w:rPr>
                <w:rStyle w:val="Hyperlink"/>
              </w:rPr>
              <w:t xml:space="preserve">2.4.3. Valsts pamatbudžeta izpilde valsts pamatfunkciju un </w:t>
            </w:r>
            <w:r w:rsidR="005F25FE" w:rsidRPr="003F425A">
              <w:rPr>
                <w:rStyle w:val="Hyperlink"/>
                <w:lang w:eastAsia="lv-LV"/>
              </w:rPr>
              <w:t>Eiropas Savienības politiku instrumentu un pārējās ārvalstu finanšu palīdzības līdzfinansēto un finansēto projektu un pasākumu īstenošanai</w:t>
            </w:r>
            <w:r w:rsidR="005F25FE">
              <w:rPr>
                <w:webHidden/>
              </w:rPr>
              <w:tab/>
            </w:r>
            <w:r w:rsidR="005F25FE">
              <w:rPr>
                <w:webHidden/>
              </w:rPr>
              <w:fldChar w:fldCharType="begin"/>
            </w:r>
            <w:r w:rsidR="005F25FE">
              <w:rPr>
                <w:webHidden/>
              </w:rPr>
              <w:instrText xml:space="preserve"> PAGEREF _Toc325101929 \h </w:instrText>
            </w:r>
            <w:r w:rsidR="005F25FE">
              <w:rPr>
                <w:webHidden/>
              </w:rPr>
            </w:r>
            <w:r w:rsidR="005F25FE">
              <w:rPr>
                <w:webHidden/>
              </w:rPr>
              <w:fldChar w:fldCharType="separate"/>
            </w:r>
            <w:r>
              <w:rPr>
                <w:webHidden/>
              </w:rPr>
              <w:t>57</w:t>
            </w:r>
            <w:r w:rsidR="005F25FE">
              <w:rPr>
                <w:webHidden/>
              </w:rPr>
              <w:fldChar w:fldCharType="end"/>
            </w:r>
          </w:hyperlink>
        </w:p>
        <w:p w:rsidR="005F25FE" w:rsidRDefault="00ED6341" w:rsidP="005F25FE">
          <w:pPr>
            <w:pStyle w:val="TOC2"/>
            <w:ind w:right="1416"/>
            <w:rPr>
              <w:rFonts w:asciiTheme="minorHAnsi" w:eastAsiaTheme="minorEastAsia" w:hAnsiTheme="minorHAnsi"/>
              <w:sz w:val="22"/>
              <w:szCs w:val="22"/>
              <w:lang w:eastAsia="lv-LV"/>
            </w:rPr>
          </w:pPr>
          <w:hyperlink w:anchor="_Toc325101930" w:history="1">
            <w:r w:rsidR="005F25FE" w:rsidRPr="003F425A">
              <w:rPr>
                <w:rStyle w:val="Hyperlink"/>
                <w:rFonts w:cs="Times New Roman"/>
              </w:rPr>
              <w:t>2.5. Pašvaldību budžeta izpilde</w:t>
            </w:r>
            <w:r w:rsidR="005F25FE">
              <w:rPr>
                <w:webHidden/>
              </w:rPr>
              <w:tab/>
            </w:r>
            <w:r w:rsidR="005F25FE">
              <w:rPr>
                <w:webHidden/>
              </w:rPr>
              <w:fldChar w:fldCharType="begin"/>
            </w:r>
            <w:r w:rsidR="005F25FE">
              <w:rPr>
                <w:webHidden/>
              </w:rPr>
              <w:instrText xml:space="preserve"> PAGEREF _Toc325101930 \h </w:instrText>
            </w:r>
            <w:r w:rsidR="005F25FE">
              <w:rPr>
                <w:webHidden/>
              </w:rPr>
            </w:r>
            <w:r w:rsidR="005F25FE">
              <w:rPr>
                <w:webHidden/>
              </w:rPr>
              <w:fldChar w:fldCharType="separate"/>
            </w:r>
            <w:r>
              <w:rPr>
                <w:webHidden/>
              </w:rPr>
              <w:t>60</w:t>
            </w:r>
            <w:r w:rsidR="005F25FE">
              <w:rPr>
                <w:webHidden/>
              </w:rPr>
              <w:fldChar w:fldCharType="end"/>
            </w:r>
          </w:hyperlink>
        </w:p>
        <w:p w:rsidR="005F25FE" w:rsidRDefault="00ED6341" w:rsidP="005F25FE">
          <w:pPr>
            <w:pStyle w:val="TOC2"/>
            <w:ind w:right="1416"/>
            <w:rPr>
              <w:rFonts w:asciiTheme="minorHAnsi" w:eastAsiaTheme="minorEastAsia" w:hAnsiTheme="minorHAnsi"/>
              <w:sz w:val="22"/>
              <w:szCs w:val="22"/>
              <w:lang w:eastAsia="lv-LV"/>
            </w:rPr>
          </w:pPr>
          <w:hyperlink w:anchor="_Toc325101931" w:history="1">
            <w:r w:rsidR="005F25FE" w:rsidRPr="003F425A">
              <w:rPr>
                <w:rStyle w:val="Hyperlink"/>
              </w:rPr>
              <w:t>2.6. Valsts aizdevumu kopsavilkums</w:t>
            </w:r>
            <w:r w:rsidR="005F25FE">
              <w:rPr>
                <w:webHidden/>
              </w:rPr>
              <w:tab/>
            </w:r>
            <w:r w:rsidR="005F25FE">
              <w:rPr>
                <w:webHidden/>
              </w:rPr>
              <w:fldChar w:fldCharType="begin"/>
            </w:r>
            <w:r w:rsidR="005F25FE">
              <w:rPr>
                <w:webHidden/>
              </w:rPr>
              <w:instrText xml:space="preserve"> PAGEREF _Toc325101931 \h </w:instrText>
            </w:r>
            <w:r w:rsidR="005F25FE">
              <w:rPr>
                <w:webHidden/>
              </w:rPr>
            </w:r>
            <w:r w:rsidR="005F25FE">
              <w:rPr>
                <w:webHidden/>
              </w:rPr>
              <w:fldChar w:fldCharType="separate"/>
            </w:r>
            <w:r>
              <w:rPr>
                <w:webHidden/>
              </w:rPr>
              <w:t>62</w:t>
            </w:r>
            <w:r w:rsidR="005F25FE">
              <w:rPr>
                <w:webHidden/>
              </w:rPr>
              <w:fldChar w:fldCharType="end"/>
            </w:r>
          </w:hyperlink>
        </w:p>
        <w:p w:rsidR="00C90FCC" w:rsidRPr="003927D1" w:rsidRDefault="0010037C" w:rsidP="005F25FE">
          <w:pPr>
            <w:tabs>
              <w:tab w:val="right" w:leader="dot" w:pos="8222"/>
              <w:tab w:val="right" w:leader="dot" w:pos="8364"/>
              <w:tab w:val="right" w:leader="dot" w:pos="8505"/>
              <w:tab w:val="right" w:leader="dot" w:pos="8931"/>
            </w:tabs>
            <w:ind w:right="1416" w:firstLine="0"/>
            <w:rPr>
              <w:rFonts w:cs="Times New Roman"/>
            </w:rPr>
          </w:pPr>
          <w:r w:rsidRPr="00F53D19">
            <w:rPr>
              <w:rFonts w:cs="Times New Roman"/>
              <w:bCs/>
              <w:noProof/>
            </w:rPr>
            <w:fldChar w:fldCharType="end"/>
          </w:r>
        </w:p>
      </w:sdtContent>
    </w:sdt>
    <w:p w:rsidR="00324E86" w:rsidRPr="006C3F05" w:rsidRDefault="00324E86" w:rsidP="00324E86">
      <w:pPr>
        <w:pStyle w:val="Heading1"/>
        <w:jc w:val="center"/>
        <w:rPr>
          <w:rFonts w:cs="Times New Roman"/>
          <w:szCs w:val="44"/>
        </w:rPr>
      </w:pPr>
      <w:bookmarkStart w:id="5" w:name="_Toc262026538"/>
      <w:bookmarkStart w:id="6" w:name="_Toc293496356"/>
      <w:bookmarkStart w:id="7" w:name="_Toc226433810"/>
      <w:bookmarkEnd w:id="0"/>
      <w:r>
        <w:br w:type="page"/>
      </w:r>
      <w:bookmarkStart w:id="8" w:name="_Toc9844573"/>
      <w:bookmarkStart w:id="9" w:name="_Toc167254128"/>
      <w:bookmarkStart w:id="10" w:name="_Toc262026536"/>
      <w:bookmarkStart w:id="11" w:name="_Toc293496354"/>
      <w:bookmarkStart w:id="12" w:name="_Toc325101910"/>
      <w:r w:rsidRPr="006C3F05">
        <w:rPr>
          <w:rFonts w:cs="Times New Roman"/>
          <w:szCs w:val="44"/>
        </w:rPr>
        <w:lastRenderedPageBreak/>
        <w:t>Kopsavilkums</w:t>
      </w:r>
      <w:bookmarkEnd w:id="8"/>
      <w:bookmarkEnd w:id="9"/>
      <w:bookmarkEnd w:id="10"/>
      <w:bookmarkEnd w:id="11"/>
      <w:bookmarkEnd w:id="12"/>
    </w:p>
    <w:p w:rsidR="00324E86" w:rsidRPr="00007150" w:rsidRDefault="00324E86" w:rsidP="00324E86">
      <w:pPr>
        <w:rPr>
          <w:rFonts w:cs="Times New Roman"/>
          <w:i/>
          <w:iCs/>
          <w:highlight w:val="yellow"/>
        </w:rPr>
      </w:pPr>
    </w:p>
    <w:p w:rsidR="00324E86" w:rsidRDefault="00324E86" w:rsidP="00324E86">
      <w:pPr>
        <w:ind w:right="42"/>
      </w:pPr>
      <w:r w:rsidRPr="008E751D">
        <w:t xml:space="preserve">Ņemot vērā nozīmīgas pārmaiņas Latvijas tautsaimniecībā un pakāpenisku globālās ekonomikas atlabšanu no straujās lejupslīdes, Latvijas ekonomika jau sākot no 2010. gada vidus ir atgriezusies pie izaugsmes un </w:t>
      </w:r>
      <w:r>
        <w:t xml:space="preserve">kopš 2011. gada otrā ceturkšņa </w:t>
      </w:r>
      <w:r w:rsidRPr="00871285">
        <w:rPr>
          <w:b/>
        </w:rPr>
        <w:t>iekšzemes kopprodukta</w:t>
      </w:r>
      <w:r>
        <w:t xml:space="preserve"> (turpmāk – I</w:t>
      </w:r>
      <w:r w:rsidRPr="008E751D">
        <w:t>KP</w:t>
      </w:r>
      <w:r>
        <w:t>)</w:t>
      </w:r>
      <w:r w:rsidRPr="008E751D">
        <w:t xml:space="preserve"> pieaugums </w:t>
      </w:r>
      <w:r>
        <w:t>gada griezumā</w:t>
      </w:r>
      <w:r w:rsidRPr="008E751D">
        <w:t xml:space="preserve"> pārsniedz 5%. Salīdzinājumā ar pērnā gada pēdējo ceturksni izaugsmes temps 2012. gada pirmajā ceturksnī ir pat palielinājies, </w:t>
      </w:r>
      <w:r>
        <w:t>un</w:t>
      </w:r>
      <w:r w:rsidRPr="00E524C6">
        <w:t xml:space="preserve">, atbilstoši </w:t>
      </w:r>
      <w:proofErr w:type="spellStart"/>
      <w:r w:rsidRPr="00E524C6">
        <w:t>E</w:t>
      </w:r>
      <w:r>
        <w:t>u</w:t>
      </w:r>
      <w:r w:rsidRPr="00E524C6">
        <w:t>rostat</w:t>
      </w:r>
      <w:proofErr w:type="spellEnd"/>
      <w:r w:rsidRPr="00E524C6">
        <w:t xml:space="preserve"> publicētajiem datiem,</w:t>
      </w:r>
      <w:r>
        <w:t xml:space="preserve"> atkal bija </w:t>
      </w:r>
      <w:r w:rsidRPr="008E751D">
        <w:t>visstraujākais Eiropas Savienībā. Saskaņā ar Centrālās Statistikas pārvaldes publicēto ātro novērtējumu</w:t>
      </w:r>
      <w:r>
        <w:t>,</w:t>
      </w:r>
      <w:r w:rsidRPr="008E751D">
        <w:t xml:space="preserve"> 2012. gada pirmajā ceturksnī salīdzinājumā ar pagājušā gada attiecīgo ceturksni IKP ir palielinājies par 6,8%, savukārt salīdzinājumā ar iepriekšējo ceturksni tas </w:t>
      </w:r>
      <w:r>
        <w:t>pieaudzis</w:t>
      </w:r>
      <w:r w:rsidRPr="008E751D">
        <w:t xml:space="preserve"> par 1</w:t>
      </w:r>
      <w:r w:rsidR="003F375F" w:rsidRPr="003F375F">
        <w:t xml:space="preserve"> </w:t>
      </w:r>
      <w:r w:rsidR="003F375F">
        <w:t>procentu</w:t>
      </w:r>
      <w:r w:rsidRPr="008E751D">
        <w:t>.</w:t>
      </w:r>
    </w:p>
    <w:p w:rsidR="00324E86" w:rsidRDefault="00324E86" w:rsidP="00324E86">
      <w:pPr>
        <w:ind w:right="42"/>
      </w:pPr>
      <w:r w:rsidRPr="008E751D">
        <w:t xml:space="preserve">Latvijas ekonomikas atlabšana arvien balstās uz </w:t>
      </w:r>
      <w:r w:rsidRPr="008274D2">
        <w:rPr>
          <w:b/>
        </w:rPr>
        <w:t>rūpniecības</w:t>
      </w:r>
      <w:r w:rsidRPr="008E751D">
        <w:t xml:space="preserve"> un </w:t>
      </w:r>
      <w:r w:rsidRPr="008274D2">
        <w:rPr>
          <w:b/>
        </w:rPr>
        <w:t xml:space="preserve">eksporta </w:t>
      </w:r>
      <w:r w:rsidRPr="008E751D">
        <w:t>pieaugumu. Šī gada pirmajā ceturksnī gandrīz 65% no apstrādes rūpniecības apgrozījuma tika eksportēta, savukārt atsevišķās apakšnozarēs eksporta īpatsvars pārsniedz 90% no izlaides, tādēļ ārējā vide un rūpniecības attīstība reģionā ir svarīgi indikatori, vērtējot rūpniecības un visas ekonomikas attīstības perspektīvas Latvijā. Kopumā pirmajā ceturksnī Latvijas rūpniecības g</w:t>
      </w:r>
      <w:r>
        <w:t>ada izaugsme sasniegusi 8,3% un</w:t>
      </w:r>
      <w:r w:rsidRPr="008E751D">
        <w:t xml:space="preserve"> </w:t>
      </w:r>
      <w:r>
        <w:t>tāpat</w:t>
      </w:r>
      <w:r w:rsidRPr="008E751D">
        <w:t xml:space="preserve"> kā IKP arī uzrādījusi straujāko kāpumu starp visām Eiropas Savienības valstīm. Rūpniecības pieaugums saglabājies arī salīdzinājumā ar iepriekšējo ceturksni, veidojot 1,7</w:t>
      </w:r>
      <w:r w:rsidR="003F375F" w:rsidRPr="003F375F">
        <w:t xml:space="preserve"> </w:t>
      </w:r>
      <w:r w:rsidR="000055E4" w:rsidRPr="000055E4">
        <w:t>procentus</w:t>
      </w:r>
      <w:r w:rsidRPr="008E751D">
        <w:t>.</w:t>
      </w:r>
      <w:r>
        <w:t xml:space="preserve"> </w:t>
      </w:r>
      <w:r w:rsidRPr="008E751D">
        <w:t xml:space="preserve">Līdzšinējie ārējās vides riski Latvijas rūpniecībai nav būtiski mazinājušies un nozari joprojām apdraud pieprasījuma samazinājums būtiskajos eksporta tirgos </w:t>
      </w:r>
      <w:proofErr w:type="spellStart"/>
      <w:r w:rsidRPr="008E751D">
        <w:t>eirozonas</w:t>
      </w:r>
      <w:proofErr w:type="spellEnd"/>
      <w:r w:rsidRPr="008E751D">
        <w:t xml:space="preserve"> finanšu krīzes un ekonomiskās stagnācijas ietekmē.</w:t>
      </w:r>
      <w:r>
        <w:t xml:space="preserve"> </w:t>
      </w:r>
      <w:r w:rsidRPr="008E751D">
        <w:t>Aprīlī pasliktinājies gan Latvijas, gan visas Eiropas Savienības uzņēmēju vērtējums par nozares tuvākajām perspektīvām, kas jau tuvākajos mēnešos var atspoguļoties rūpniecības izlaides datos.</w:t>
      </w:r>
    </w:p>
    <w:p w:rsidR="00324E86" w:rsidRDefault="00324E86" w:rsidP="00324E86">
      <w:r w:rsidRPr="008274D2">
        <w:rPr>
          <w:b/>
        </w:rPr>
        <w:t>Mazumtirdzniecības apgrozījums</w:t>
      </w:r>
      <w:r w:rsidRPr="008E751D">
        <w:t xml:space="preserve"> </w:t>
      </w:r>
      <w:r>
        <w:t>pirmajā ceturksnī, salīdzinot ar</w:t>
      </w:r>
      <w:r w:rsidRPr="008E751D">
        <w:t xml:space="preserve"> iepriekšējā gada atbilstošo ceturksni</w:t>
      </w:r>
      <w:r>
        <w:t>,</w:t>
      </w:r>
      <w:r w:rsidRPr="008E751D">
        <w:t xml:space="preserve"> ir pieaudzis par 11,7%, kas neapšaubāmi liecina par labāku situāciju privātajā patēriņā nekā pērn – ir uzlabojušies gan bezdarba rādītāji, gan arī ekonomi</w:t>
      </w:r>
      <w:r>
        <w:t>s</w:t>
      </w:r>
      <w:r w:rsidRPr="008E751D">
        <w:t>k</w:t>
      </w:r>
      <w:r>
        <w:t>ā</w:t>
      </w:r>
      <w:r w:rsidRPr="008E751D">
        <w:t xml:space="preserve"> aktivitāte kopumā.</w:t>
      </w:r>
      <w:r>
        <w:t xml:space="preserve"> </w:t>
      </w:r>
      <w:r w:rsidRPr="008274D2">
        <w:rPr>
          <w:b/>
        </w:rPr>
        <w:t>Transporta un uzglabāšanas nozarē</w:t>
      </w:r>
      <w:r w:rsidRPr="00E66A59">
        <w:t xml:space="preserve"> 201</w:t>
      </w:r>
      <w:r>
        <w:t>1</w:t>
      </w:r>
      <w:r w:rsidRPr="00E66A59">
        <w:t xml:space="preserve">. gadā tika sasniegts </w:t>
      </w:r>
      <w:r>
        <w:t>8,0</w:t>
      </w:r>
      <w:r w:rsidRPr="00E66A59">
        <w:t>% p</w:t>
      </w:r>
      <w:r>
        <w:t>ieaugums un strauja attīstība turpinājās arī 2012. gada pirmajā ceturksnī.</w:t>
      </w:r>
    </w:p>
    <w:p w:rsidR="00324E86" w:rsidRPr="008E751D" w:rsidRDefault="00324E86" w:rsidP="00324E86">
      <w:r w:rsidRPr="008274D2">
        <w:rPr>
          <w:b/>
          <w:lang w:eastAsia="lv-LV"/>
        </w:rPr>
        <w:t>Reģistrētā bezdarba līmenis</w:t>
      </w:r>
      <w:r w:rsidRPr="005C7AC0">
        <w:rPr>
          <w:lang w:eastAsia="lv-LV"/>
        </w:rPr>
        <w:t>, pēc Nodarbinātības valsts aģentūras datiem, 2012. gada pirmā ceturkšņa beigās bija samazinājies līdz 11,7% no ekonomiski aktīvajiem iedzīvotājiem.</w:t>
      </w:r>
      <w:r>
        <w:rPr>
          <w:lang w:eastAsia="lv-LV"/>
        </w:rPr>
        <w:t xml:space="preserve"> </w:t>
      </w:r>
      <w:r w:rsidRPr="005C7AC0">
        <w:rPr>
          <w:lang w:eastAsia="lv-LV"/>
        </w:rPr>
        <w:t xml:space="preserve">Pēdējā gada laikā - no 2011. gada marta līdz 2012. gada martam – reģistrētā bezdarba līmenis ir samazinājies par 2,7 procentpunktiem. Savukārt reģistrēto bezdarbnieku skaits gada laikā ir sarucis </w:t>
      </w:r>
      <w:r w:rsidRPr="005C7AC0">
        <w:rPr>
          <w:lang w:eastAsia="lv-LV"/>
        </w:rPr>
        <w:lastRenderedPageBreak/>
        <w:t>par 31,3 tūkstošiem cilvēku jeb 19,1% un 2012. gada marta beigās bija 132,2 tūkstoši cilvēku.</w:t>
      </w:r>
    </w:p>
    <w:p w:rsidR="00324E86" w:rsidRPr="00BA2671" w:rsidRDefault="00324E86" w:rsidP="00324E86">
      <w:pPr>
        <w:rPr>
          <w:rFonts w:cs="Times New Roman"/>
        </w:rPr>
      </w:pPr>
      <w:r>
        <w:rPr>
          <w:rFonts w:cs="Times New Roman"/>
        </w:rPr>
        <w:t>L</w:t>
      </w:r>
      <w:r w:rsidRPr="00327722">
        <w:rPr>
          <w:rFonts w:cs="Times New Roman"/>
        </w:rPr>
        <w:t>ab</w:t>
      </w:r>
      <w:r>
        <w:rPr>
          <w:rFonts w:cs="Times New Roman"/>
        </w:rPr>
        <w:t>ie tautsaimniecības rādītāji</w:t>
      </w:r>
      <w:r w:rsidRPr="00327722">
        <w:rPr>
          <w:rFonts w:cs="Times New Roman"/>
        </w:rPr>
        <w:t xml:space="preserve"> šā gada </w:t>
      </w:r>
      <w:r>
        <w:rPr>
          <w:rFonts w:cs="Times New Roman"/>
        </w:rPr>
        <w:t>pirmajā ceturksnī</w:t>
      </w:r>
      <w:r w:rsidRPr="00327722">
        <w:rPr>
          <w:rFonts w:cs="Times New Roman"/>
        </w:rPr>
        <w:t xml:space="preserve"> </w:t>
      </w:r>
      <w:r>
        <w:rPr>
          <w:rFonts w:cs="Times New Roman"/>
        </w:rPr>
        <w:t xml:space="preserve">atspoguļojās arī </w:t>
      </w:r>
      <w:r w:rsidRPr="00327722">
        <w:rPr>
          <w:rFonts w:cs="Times New Roman"/>
        </w:rPr>
        <w:t>sekmīg</w:t>
      </w:r>
      <w:r>
        <w:rPr>
          <w:rFonts w:cs="Times New Roman"/>
        </w:rPr>
        <w:t>ā</w:t>
      </w:r>
      <w:r w:rsidRPr="00327722">
        <w:rPr>
          <w:rFonts w:cs="Times New Roman"/>
        </w:rPr>
        <w:t xml:space="preserve"> valsts budžeta ieņēmumu </w:t>
      </w:r>
      <w:r>
        <w:rPr>
          <w:rFonts w:cs="Times New Roman"/>
        </w:rPr>
        <w:t>izpildē. Salīdzinājumā ar 2011. </w:t>
      </w:r>
      <w:r w:rsidRPr="00327722">
        <w:rPr>
          <w:rFonts w:cs="Times New Roman"/>
        </w:rPr>
        <w:t xml:space="preserve">gada atbilstošo periodu </w:t>
      </w:r>
      <w:r>
        <w:rPr>
          <w:rFonts w:cs="Times New Roman"/>
        </w:rPr>
        <w:t xml:space="preserve">turpinājās sekmīga </w:t>
      </w:r>
      <w:r w:rsidRPr="00327722">
        <w:rPr>
          <w:rFonts w:cs="Times New Roman"/>
        </w:rPr>
        <w:t>nodokļu ieņēmum</w:t>
      </w:r>
      <w:r>
        <w:rPr>
          <w:rFonts w:cs="Times New Roman"/>
        </w:rPr>
        <w:t>u izpilde</w:t>
      </w:r>
      <w:r w:rsidRPr="00327722">
        <w:rPr>
          <w:rFonts w:cs="Times New Roman"/>
        </w:rPr>
        <w:t xml:space="preserve">. </w:t>
      </w:r>
      <w:r w:rsidRPr="0032080D">
        <w:rPr>
          <w:rFonts w:cs="Times New Roman"/>
        </w:rPr>
        <w:t>Valsts kases oficiālā</w:t>
      </w:r>
      <w:r>
        <w:rPr>
          <w:rFonts w:cs="Times New Roman"/>
        </w:rPr>
        <w:t xml:space="preserve"> mēneša pārskata dati par 2012. </w:t>
      </w:r>
      <w:r w:rsidRPr="0032080D">
        <w:rPr>
          <w:rFonts w:cs="Times New Roman"/>
        </w:rPr>
        <w:t xml:space="preserve">gada pirmo ceturksni liecina, ka </w:t>
      </w:r>
      <w:r w:rsidRPr="00A714C9">
        <w:rPr>
          <w:rFonts w:cs="Times New Roman"/>
          <w:b/>
        </w:rPr>
        <w:t>konsolidētā kopbudžeta deficīts</w:t>
      </w:r>
      <w:r w:rsidRPr="0032080D">
        <w:rPr>
          <w:rFonts w:cs="Times New Roman"/>
        </w:rPr>
        <w:t xml:space="preserve"> salīdzinājumā ar iepriekšējā gada attiecīgo periodu samaz</w:t>
      </w:r>
      <w:r>
        <w:rPr>
          <w:rFonts w:cs="Times New Roman"/>
        </w:rPr>
        <w:t>inājās par 137,8 milj. latu un bija 43,9 milj. latu, izdevumiem (1 292,8 milj. latu) pārsniedzot ieņēmumus (1 248,9 milj. </w:t>
      </w:r>
      <w:r w:rsidRPr="0032080D">
        <w:rPr>
          <w:rFonts w:cs="Times New Roman"/>
        </w:rPr>
        <w:t>latu). Deficīta apmēru kopbudžetā noteica deficīts valsts konsolidētajā budžetā (ieskaitot atvasinātās publiskās personas, kā arī zie</w:t>
      </w:r>
      <w:r>
        <w:rPr>
          <w:rFonts w:cs="Times New Roman"/>
        </w:rPr>
        <w:t>dojumus un dāvinājumus) 108,6 milj. </w:t>
      </w:r>
      <w:r w:rsidRPr="0032080D">
        <w:rPr>
          <w:rFonts w:cs="Times New Roman"/>
        </w:rPr>
        <w:t>latu apmērā. Jā</w:t>
      </w:r>
      <w:r>
        <w:rPr>
          <w:rFonts w:cs="Times New Roman"/>
        </w:rPr>
        <w:t>atzīmē, ka, salīdzinot ar 2011. </w:t>
      </w:r>
      <w:r w:rsidRPr="0032080D">
        <w:rPr>
          <w:rFonts w:cs="Times New Roman"/>
        </w:rPr>
        <w:t xml:space="preserve">gada </w:t>
      </w:r>
      <w:r>
        <w:rPr>
          <w:rFonts w:cs="Times New Roman"/>
        </w:rPr>
        <w:t>pirmo ceturksni</w:t>
      </w:r>
      <w:r w:rsidRPr="0032080D">
        <w:rPr>
          <w:rFonts w:cs="Times New Roman"/>
        </w:rPr>
        <w:t>, šā gada janvārī–martā valsts bu</w:t>
      </w:r>
      <w:r>
        <w:rPr>
          <w:rFonts w:cs="Times New Roman"/>
        </w:rPr>
        <w:t>džetā deficīts saruka par 121,7 milj. </w:t>
      </w:r>
      <w:r w:rsidRPr="0032080D">
        <w:rPr>
          <w:rFonts w:cs="Times New Roman"/>
        </w:rPr>
        <w:t>latu, savukārt, pašvaldību budžetā pā</w:t>
      </w:r>
      <w:r>
        <w:rPr>
          <w:rFonts w:cs="Times New Roman"/>
        </w:rPr>
        <w:t>rpalikums palielinājās par 19,6 </w:t>
      </w:r>
      <w:r w:rsidRPr="0032080D">
        <w:rPr>
          <w:rFonts w:cs="Times New Roman"/>
        </w:rPr>
        <w:t>mi</w:t>
      </w:r>
      <w:r>
        <w:rPr>
          <w:rFonts w:cs="Times New Roman"/>
        </w:rPr>
        <w:t>lj. latu.</w:t>
      </w:r>
    </w:p>
    <w:p w:rsidR="003F375F" w:rsidRDefault="003F375F" w:rsidP="003F375F">
      <w:r w:rsidRPr="005418CE">
        <w:rPr>
          <w:rFonts w:cs="Times New Roman"/>
          <w:b/>
        </w:rPr>
        <w:t>Konsolidētā kopbudžeta ieņēmumi</w:t>
      </w:r>
      <w:r w:rsidRPr="005418CE">
        <w:rPr>
          <w:rFonts w:cs="Times New Roman"/>
        </w:rPr>
        <w:t xml:space="preserve"> (ieskaitot ziedojumus, dāvi</w:t>
      </w:r>
      <w:r w:rsidRPr="005418CE">
        <w:rPr>
          <w:rFonts w:cs="Times New Roman"/>
        </w:rPr>
        <w:softHyphen/>
        <w:t xml:space="preserve">nājumus un atvasinātās publiskās personas) 2012. gada pirmajā ceturksnī bija 1 248,9 milj. latu, kas ir par 181,6 milj. latu jeb 17,0% vairāk nekā 2011. gada atbilstošajā periodā.  Pieaugums </w:t>
      </w:r>
      <w:r>
        <w:rPr>
          <w:rFonts w:cs="Times New Roman"/>
        </w:rPr>
        <w:t xml:space="preserve">pamatā </w:t>
      </w:r>
      <w:r w:rsidRPr="005418CE">
        <w:rPr>
          <w:rFonts w:cs="Times New Roman"/>
        </w:rPr>
        <w:t xml:space="preserve">skaidrojams ar </w:t>
      </w:r>
      <w:r>
        <w:rPr>
          <w:rFonts w:cs="Times New Roman"/>
        </w:rPr>
        <w:t xml:space="preserve">kopējo </w:t>
      </w:r>
      <w:r w:rsidRPr="005418CE">
        <w:rPr>
          <w:rFonts w:cs="Times New Roman"/>
        </w:rPr>
        <w:t>nodokļu ieņēmumu kāpumu</w:t>
      </w:r>
      <w:r w:rsidRPr="004157CC">
        <w:rPr>
          <w:rFonts w:cs="Times New Roman"/>
        </w:rPr>
        <w:t xml:space="preserve"> </w:t>
      </w:r>
      <w:r>
        <w:rPr>
          <w:rFonts w:cs="Times New Roman"/>
        </w:rPr>
        <w:t>(</w:t>
      </w:r>
      <w:r w:rsidRPr="005418CE">
        <w:rPr>
          <w:rFonts w:cs="Times New Roman"/>
        </w:rPr>
        <w:t>ieskaitot iemaksas fondēto pensiju shēmā</w:t>
      </w:r>
      <w:r>
        <w:rPr>
          <w:rFonts w:cs="Times New Roman"/>
        </w:rPr>
        <w:t>)</w:t>
      </w:r>
      <w:r w:rsidRPr="005418CE">
        <w:rPr>
          <w:rFonts w:cs="Times New Roman"/>
        </w:rPr>
        <w:t>,</w:t>
      </w:r>
      <w:r>
        <w:rPr>
          <w:rFonts w:cs="Times New Roman"/>
        </w:rPr>
        <w:t xml:space="preserve"> kas</w:t>
      </w:r>
      <w:r w:rsidRPr="005418CE">
        <w:rPr>
          <w:rFonts w:cs="Times New Roman"/>
        </w:rPr>
        <w:t xml:space="preserve"> salīdzinājumā ar 2011. gada trijiem mēnešiem, šā gada pirmajā ceturksnī pieauga par 16,0% un kopumā bija 1017,5 miljoni latu. Ekonomiskā attīstība joprojām sekmēja pieaugumu gandrīz visu nodokļu ieņēmumos</w:t>
      </w:r>
      <w:r>
        <w:rPr>
          <w:rFonts w:cs="Times New Roman"/>
        </w:rPr>
        <w:t xml:space="preserve">, taču </w:t>
      </w:r>
      <w:r w:rsidRPr="004157CC">
        <w:rPr>
          <w:rFonts w:cs="Times New Roman"/>
        </w:rPr>
        <w:t>labāku situāciju joprojām noteica pievienotās vērtības nodokļa, sociālo apdrošināšanas iemaksu un iedzīvotāju ienākuma nodokļa ieņēmumi.</w:t>
      </w:r>
      <w:r>
        <w:rPr>
          <w:rFonts w:cs="Times New Roman"/>
        </w:rPr>
        <w:t xml:space="preserve"> Savukārt, </w:t>
      </w:r>
      <w:r w:rsidRPr="005418CE">
        <w:rPr>
          <w:rFonts w:cs="Times New Roman"/>
        </w:rPr>
        <w:t>nekustamā īpašuma nodokļa ieņēmum</w:t>
      </w:r>
      <w:r>
        <w:rPr>
          <w:rFonts w:cs="Times New Roman"/>
        </w:rPr>
        <w:t>u neizpilde</w:t>
      </w:r>
      <w:r w:rsidRPr="005418CE">
        <w:rPr>
          <w:rFonts w:cs="Times New Roman"/>
        </w:rPr>
        <w:t xml:space="preserve"> šā gada trijos mēnešos skaidrojam</w:t>
      </w:r>
      <w:r>
        <w:rPr>
          <w:rFonts w:cs="Times New Roman"/>
        </w:rPr>
        <w:t>a</w:t>
      </w:r>
      <w:r w:rsidRPr="005418CE">
        <w:rPr>
          <w:rFonts w:cs="Times New Roman"/>
        </w:rPr>
        <w:t xml:space="preserve"> ar atsevišķās pašvaldībās noteikto nodokļa samaksas termiņa nobīdi par vienu mēnesi, ņemot vērā pašvaldību veiktos grozījumus saistošajos noteikumos par iespēju pašām noteikt piemērošanas nosacījumus pieauguma ierobežojuma apmēram attiecībā uz nekustamā īpašuma nodokli par zemi.</w:t>
      </w:r>
      <w:r w:rsidRPr="005418CE">
        <w:t xml:space="preserve"> </w:t>
      </w:r>
    </w:p>
    <w:p w:rsidR="003F375F" w:rsidRPr="004157CC" w:rsidRDefault="003F375F" w:rsidP="003F375F">
      <w:r w:rsidRPr="005418CE">
        <w:t xml:space="preserve">Jāatzīmē, ka kopbudžeta ieņēmumu pieauguma temps bija straujāks, salīdzinot ar iepriekšējā gada pirmo ceturksni, savukārt, </w:t>
      </w:r>
      <w:r w:rsidRPr="005418CE">
        <w:rPr>
          <w:b/>
        </w:rPr>
        <w:t xml:space="preserve">konsolidētā kopbudžeta izdevumi </w:t>
      </w:r>
      <w:r w:rsidRPr="005418CE">
        <w:t>(</w:t>
      </w:r>
      <w:r w:rsidRPr="005418CE">
        <w:rPr>
          <w:rFonts w:cs="Times New Roman"/>
        </w:rPr>
        <w:t xml:space="preserve">ieskaitot ziedojumus, dāvinājumus un atvasinātās publiskās personas) </w:t>
      </w:r>
      <w:r w:rsidRPr="005418CE">
        <w:t xml:space="preserve">pieauga </w:t>
      </w:r>
      <w:r>
        <w:t xml:space="preserve">mērenāk - </w:t>
      </w:r>
      <w:r w:rsidRPr="005418CE">
        <w:t xml:space="preserve">par 43,7 milj. latu jeb 3,5% un </w:t>
      </w:r>
      <w:r w:rsidRPr="005418CE">
        <w:rPr>
          <w:rFonts w:cs="Times New Roman"/>
        </w:rPr>
        <w:t>2012. gada pirmajā ceturksnī bija 1 292,8 milj. latu.</w:t>
      </w:r>
      <w:r w:rsidRPr="00DF2743">
        <w:rPr>
          <w:rFonts w:cs="Times New Roman"/>
        </w:rPr>
        <w:t xml:space="preserve"> </w:t>
      </w:r>
      <w:r w:rsidRPr="005418CE">
        <w:rPr>
          <w:rFonts w:cs="Times New Roman"/>
        </w:rPr>
        <w:t xml:space="preserve">Konsolidētā kopbudžeta izdevumu pieaugumu galvenokārt ietekmēja izdevumu kāpums valsts speciālajā budžetā, kas 2012. gada pirmajā ceturksnī bija par 23,0 milj. latu jeb 6,6% vairāk nekā pagājušā gada atbilstošajā periodā. Izdevumi valsts pensijām (vecuma, invaliditātes, apgādnieka zaudējuma gadījumā </w:t>
      </w:r>
      <w:proofErr w:type="spellStart"/>
      <w:r w:rsidRPr="005418CE">
        <w:rPr>
          <w:rFonts w:cs="Times New Roman"/>
        </w:rPr>
        <w:t>u.c</w:t>
      </w:r>
      <w:proofErr w:type="spellEnd"/>
      <w:r w:rsidRPr="005418CE">
        <w:rPr>
          <w:rFonts w:cs="Times New Roman"/>
        </w:rPr>
        <w:t>.) šā gada pirmajā ceturksnī bija par 9,7% vairāk nekā 2011. gada atbilstošajā periodā.</w:t>
      </w:r>
      <w:r w:rsidRPr="00445B56">
        <w:rPr>
          <w:rFonts w:cs="Times New Roman"/>
        </w:rPr>
        <w:t xml:space="preserve"> </w:t>
      </w:r>
    </w:p>
    <w:p w:rsidR="00324E86" w:rsidRDefault="00324E86">
      <w:pPr>
        <w:spacing w:after="0"/>
        <w:ind w:firstLine="0"/>
        <w:jc w:val="left"/>
        <w:rPr>
          <w:b/>
          <w:kern w:val="28"/>
          <w:sz w:val="44"/>
        </w:rPr>
      </w:pPr>
      <w:r>
        <w:rPr>
          <w:b/>
          <w:kern w:val="28"/>
          <w:sz w:val="44"/>
        </w:rPr>
        <w:br w:type="page"/>
      </w:r>
    </w:p>
    <w:p w:rsidR="00871285" w:rsidRPr="004D1739" w:rsidRDefault="00F53D19" w:rsidP="004D1739">
      <w:pPr>
        <w:pStyle w:val="Heading1"/>
        <w:jc w:val="center"/>
      </w:pPr>
      <w:bookmarkStart w:id="13" w:name="_Toc325101911"/>
      <w:r w:rsidRPr="00F53D19">
        <w:lastRenderedPageBreak/>
        <w:t>1. </w:t>
      </w:r>
      <w:r w:rsidR="00056E14" w:rsidRPr="00F53D19">
        <w:t>Tautsaimniecības attīstība</w:t>
      </w:r>
      <w:bookmarkStart w:id="14" w:name="_Toc167254138"/>
      <w:bookmarkStart w:id="15" w:name="_Toc230678027"/>
      <w:bookmarkEnd w:id="5"/>
      <w:bookmarkEnd w:id="6"/>
      <w:bookmarkEnd w:id="13"/>
    </w:p>
    <w:p w:rsidR="00871285" w:rsidRPr="008E751D" w:rsidRDefault="00871285" w:rsidP="00871285">
      <w:pPr>
        <w:pStyle w:val="H2"/>
        <w:rPr>
          <w:rFonts w:eastAsia="Calibri"/>
        </w:rPr>
      </w:pPr>
      <w:bookmarkStart w:id="16" w:name="_Toc325101912"/>
      <w:r w:rsidRPr="008E751D">
        <w:rPr>
          <w:rFonts w:eastAsia="Calibri"/>
        </w:rPr>
        <w:t>1.1. Ārējā ekonomiskā vide</w:t>
      </w:r>
      <w:bookmarkEnd w:id="16"/>
    </w:p>
    <w:p w:rsidR="00871285" w:rsidRPr="008E751D" w:rsidRDefault="00871285" w:rsidP="00871285">
      <w:bookmarkStart w:id="17" w:name="_Toc262026540"/>
      <w:bookmarkStart w:id="18" w:name="_Toc262026541"/>
      <w:r w:rsidRPr="008E751D">
        <w:t>Pēdējā gada laikā ārējā vidē valda nenoteiktības atmosfēra</w:t>
      </w:r>
      <w:r>
        <w:t xml:space="preserve"> un</w:t>
      </w:r>
      <w:r w:rsidRPr="008E751D">
        <w:t xml:space="preserve"> Eiropas attīstību </w:t>
      </w:r>
      <w:r>
        <w:t>būtiski</w:t>
      </w:r>
      <w:r w:rsidRPr="008E751D">
        <w:t xml:space="preserve"> ierobežo atsevišķu valstu uzkrātā valdības parādu nasta</w:t>
      </w:r>
      <w:r>
        <w:t xml:space="preserve">. No vienas </w:t>
      </w:r>
      <w:r w:rsidRPr="008E751D">
        <w:t>puses</w:t>
      </w:r>
      <w:r>
        <w:t>,</w:t>
      </w:r>
      <w:r w:rsidRPr="008E751D">
        <w:t xml:space="preserve"> finanšu tirgi pieprasa </w:t>
      </w:r>
      <w:r>
        <w:t xml:space="preserve">valdībām </w:t>
      </w:r>
      <w:r w:rsidRPr="008E751D">
        <w:t xml:space="preserve">pierādīt spēju </w:t>
      </w:r>
      <w:r>
        <w:t>parādus</w:t>
      </w:r>
      <w:r w:rsidRPr="008E751D">
        <w:t xml:space="preserve"> atmaksāt</w:t>
      </w:r>
      <w:r>
        <w:t xml:space="preserve"> un </w:t>
      </w:r>
      <w:r w:rsidRPr="008E751D">
        <w:t>veikt plašus budžeta konsolidācijas pasākumus, līdz būs nodrošināta ilgtspējīga parāda sloga uzturēšana. No otras puses, konsolidācijas pasākumi pēc savas būtības palēnina ekonomikas attīstību, uz ko finanšu tirgi reaģē ar akciju cenu kritumu un valdības parādzīmju procentu</w:t>
      </w:r>
      <w:r>
        <w:t xml:space="preserve"> likmju</w:t>
      </w:r>
      <w:r w:rsidRPr="008E751D">
        <w:t xml:space="preserve"> kāpumu. </w:t>
      </w:r>
      <w:r>
        <w:t>Šīs</w:t>
      </w:r>
      <w:r w:rsidRPr="008E751D">
        <w:t xml:space="preserve"> situācijas risinājums var būt tikai ļoti izsvērts</w:t>
      </w:r>
      <w:r>
        <w:t xml:space="preserve"> un </w:t>
      </w:r>
      <w:r w:rsidRPr="008E751D">
        <w:t xml:space="preserve">uz valstu finanšu ilgtspēju </w:t>
      </w:r>
      <w:r>
        <w:t>vērsts kompromiss</w:t>
      </w:r>
      <w:r w:rsidRPr="008E751D">
        <w:t xml:space="preserve">, </w:t>
      </w:r>
      <w:r>
        <w:t>uzmanoties no pagaidu</w:t>
      </w:r>
      <w:r w:rsidRPr="008E751D">
        <w:t xml:space="preserve"> risinājumiem, kas var apgrūtināt mērķa sasniegšanu </w:t>
      </w:r>
      <w:r>
        <w:t>ilgtermiņā</w:t>
      </w:r>
      <w:r w:rsidRPr="008E751D">
        <w:t xml:space="preserve">. Šis līdzsvara stāvoklis Eiropā vēl nav atrasts, </w:t>
      </w:r>
      <w:r>
        <w:t>un tas</w:t>
      </w:r>
      <w:r w:rsidRPr="008E751D">
        <w:t xml:space="preserve"> ir par pamatu salīdzinoši vāja</w:t>
      </w:r>
      <w:r>
        <w:t>jam</w:t>
      </w:r>
      <w:r w:rsidRPr="008E751D">
        <w:t xml:space="preserve"> ES27 ekonomikas sniegumam, kas ir gaidāms 2012. gadā.</w:t>
      </w:r>
    </w:p>
    <w:p w:rsidR="00871285" w:rsidRPr="008E751D" w:rsidRDefault="00871285" w:rsidP="00871285">
      <w:r w:rsidRPr="008E751D">
        <w:t>Jaunāk</w:t>
      </w:r>
      <w:r>
        <w:t>ās</w:t>
      </w:r>
      <w:r w:rsidRPr="008E751D">
        <w:t xml:space="preserve"> Eiropas Komisijas 2012. gada pavasara prognozes būtiski neatšķiras no iep</w:t>
      </w:r>
      <w:r>
        <w:t>riekšējām starpposma prognozēm, kas publicētas 2012. gada februārī un kurās</w:t>
      </w:r>
      <w:r w:rsidRPr="008E751D">
        <w:t xml:space="preserve"> jau tika iezīmēta viegla </w:t>
      </w:r>
      <w:proofErr w:type="spellStart"/>
      <w:r w:rsidRPr="008E751D">
        <w:t>recesija</w:t>
      </w:r>
      <w:proofErr w:type="spellEnd"/>
      <w:r w:rsidRPr="008E751D">
        <w:t xml:space="preserve"> </w:t>
      </w:r>
      <w:r>
        <w:t>–</w:t>
      </w:r>
      <w:r w:rsidR="00F1512A">
        <w:t xml:space="preserve"> </w:t>
      </w:r>
      <w:r w:rsidRPr="008E751D">
        <w:t xml:space="preserve">IKP 2012. gadā Eiropas Savienībā paliks nemainīgs, bet </w:t>
      </w:r>
      <w:proofErr w:type="spellStart"/>
      <w:r w:rsidRPr="008E751D">
        <w:t>eirozonā</w:t>
      </w:r>
      <w:proofErr w:type="spellEnd"/>
      <w:r w:rsidRPr="008E751D">
        <w:t xml:space="preserve"> ir gaidāms samazinājums par 0,3%. Savukārt 2013. gadā Eiropas Savienībā IKP pieaugs </w:t>
      </w:r>
      <w:r>
        <w:t xml:space="preserve">par 1,3%, bet </w:t>
      </w:r>
      <w:proofErr w:type="spellStart"/>
      <w:r>
        <w:t>eirozonā</w:t>
      </w:r>
      <w:proofErr w:type="spellEnd"/>
      <w:r>
        <w:t xml:space="preserve"> – par 1%</w:t>
      </w:r>
      <w:r w:rsidRPr="008E751D">
        <w:t xml:space="preserve"> pie nosacījuma, ka galvenās šī brīža problēmas - valdība</w:t>
      </w:r>
      <w:r>
        <w:t>s parādu krīze un nestabilitāte</w:t>
      </w:r>
      <w:r w:rsidRPr="008E751D">
        <w:t xml:space="preserve"> banku sistēmā</w:t>
      </w:r>
      <w:r>
        <w:t xml:space="preserve"> - </w:t>
      </w:r>
      <w:r w:rsidRPr="008E751D">
        <w:t>tiks veiksmīgi un ilgtspējīgi atrisinātas.</w:t>
      </w:r>
    </w:p>
    <w:p w:rsidR="00871285" w:rsidRPr="008E751D" w:rsidRDefault="00871285" w:rsidP="00871285">
      <w:r w:rsidRPr="008E751D">
        <w:t>Citās pasa</w:t>
      </w:r>
      <w:r>
        <w:t xml:space="preserve">ules lielākajās </w:t>
      </w:r>
      <w:proofErr w:type="spellStart"/>
      <w:r>
        <w:t>ekonomikās</w:t>
      </w:r>
      <w:proofErr w:type="spellEnd"/>
      <w:r>
        <w:t xml:space="preserve"> ir </w:t>
      </w:r>
      <w:r w:rsidRPr="008E751D">
        <w:t>vērojamas ievērojami labākas atkopšanās pazīmes – ASV ekonomikas perspektīvas 2012. gadā un arī 20</w:t>
      </w:r>
      <w:r>
        <w:t xml:space="preserve">13. gadā ir būtiski uzlabojušās un attiecīgi tiek prognozēts IKP pieaugums par 2% un 2,1 procentu. Tas </w:t>
      </w:r>
      <w:r w:rsidRPr="008E751D">
        <w:t>ir par 0,5 un 0,6 procentpunktiem vairāk</w:t>
      </w:r>
      <w:r>
        <w:t>,</w:t>
      </w:r>
      <w:r w:rsidRPr="008E751D">
        <w:t xml:space="preserve"> nekā </w:t>
      </w:r>
      <w:r>
        <w:t xml:space="preserve">tika </w:t>
      </w:r>
      <w:r w:rsidRPr="008E751D">
        <w:t xml:space="preserve">prognozēts pagājušā gada rudenī, </w:t>
      </w:r>
      <w:r>
        <w:t xml:space="preserve">un prognožu paaugstinājums balstās galvenokārt uz </w:t>
      </w:r>
      <w:r w:rsidRPr="008E751D">
        <w:t xml:space="preserve">spēcīgāku patēriņu, kamēr darba tirgus stāvoklis vēl arvien rada nenoteiktības sajūtu. Ķīnas ekonomika turpina attīstīties ar </w:t>
      </w:r>
      <w:r>
        <w:t>samērā</w:t>
      </w:r>
      <w:r w:rsidRPr="008E751D">
        <w:t xml:space="preserve"> augstiem IKP </w:t>
      </w:r>
      <w:r>
        <w:t>pieauguma tempiem – 2012. gadā</w:t>
      </w:r>
      <w:r w:rsidRPr="008E751D">
        <w:t xml:space="preserve"> prognozēts 8,4%, bet 2013. gadā – 8,2</w:t>
      </w:r>
      <w:r>
        <w:t>% pieaugums</w:t>
      </w:r>
      <w:r w:rsidRPr="008E751D">
        <w:t xml:space="preserve">. Japānā, kuras ekonomiku būtiski iedragāja 2011. gada dabas katastrofas, balstoties uz spēcīgām investīcijām, 2012. gadā un 2013. gadā prognozēta </w:t>
      </w:r>
      <w:r>
        <w:t>izaugsme</w:t>
      </w:r>
      <w:r w:rsidRPr="008E751D">
        <w:t xml:space="preserve"> attiecīgi par 1,9% un 1,7 procentiem.    </w:t>
      </w:r>
    </w:p>
    <w:p w:rsidR="00871285" w:rsidRPr="008E751D" w:rsidRDefault="00871285" w:rsidP="00871285">
      <w:r w:rsidRPr="008E751D">
        <w:t xml:space="preserve">Lai arī Latvijas ekonomika 2011. gadā un arī 2012. gada pirmajā ceturksnī attīstās ļoti spēcīgi, vēl arvien kā viens no galvenajiem tālāko attīstību </w:t>
      </w:r>
      <w:r>
        <w:t xml:space="preserve">noteicošajiem </w:t>
      </w:r>
      <w:r w:rsidRPr="008E751D">
        <w:t xml:space="preserve">faktoriem būs </w:t>
      </w:r>
      <w:r>
        <w:t xml:space="preserve">situācija </w:t>
      </w:r>
      <w:r w:rsidRPr="008E751D">
        <w:t>ārējā vid</w:t>
      </w:r>
      <w:r>
        <w:t>ē</w:t>
      </w:r>
      <w:r w:rsidRPr="008E751D">
        <w:t>. Ilgtermiņa attīstībai ir nepieciešams pastāvīgs finansēšanas avots, kas pirmskrīzes gados, kad Latvijas ekonomika strauji auga, nāca no banku sektora. Šobrīd kreditēšana ir salīdzinoši vāja, notiek aktīva kredītu atmaksa un tas</w:t>
      </w:r>
      <w:r>
        <w:t xml:space="preserve"> savukārt nozīmē </w:t>
      </w:r>
      <w:r w:rsidRPr="008E751D">
        <w:t>izteikt</w:t>
      </w:r>
      <w:r>
        <w:t>u</w:t>
      </w:r>
      <w:r w:rsidRPr="008E751D">
        <w:t xml:space="preserve"> atkarīb</w:t>
      </w:r>
      <w:r>
        <w:t>u</w:t>
      </w:r>
      <w:r w:rsidRPr="008E751D">
        <w:t xml:space="preserve"> no preču un pakalpojumu eksporta snieguma, kas ļau</w:t>
      </w:r>
      <w:r>
        <w:t xml:space="preserve">j </w:t>
      </w:r>
      <w:r w:rsidRPr="008E751D">
        <w:t xml:space="preserve">finansēt iekšējo patēriņu un turpināt uzņemto izaugsmes kursu. </w:t>
      </w:r>
    </w:p>
    <w:p w:rsidR="00871285" w:rsidRPr="008E751D" w:rsidRDefault="00871285" w:rsidP="004F6F6E">
      <w:pPr>
        <w:pStyle w:val="ListParagraph"/>
        <w:numPr>
          <w:ilvl w:val="0"/>
          <w:numId w:val="16"/>
        </w:numPr>
        <w:jc w:val="right"/>
        <w:rPr>
          <w:b/>
          <w:i/>
        </w:rPr>
      </w:pPr>
      <w:r w:rsidRPr="008E751D">
        <w:rPr>
          <w:b/>
          <w:i/>
        </w:rPr>
        <w:lastRenderedPageBreak/>
        <w:t>tabula. E</w:t>
      </w:r>
      <w:r>
        <w:rPr>
          <w:b/>
          <w:i/>
        </w:rPr>
        <w:t xml:space="preserve">iropas </w:t>
      </w:r>
      <w:r w:rsidRPr="008E751D">
        <w:rPr>
          <w:b/>
          <w:i/>
        </w:rPr>
        <w:t>K</w:t>
      </w:r>
      <w:r>
        <w:rPr>
          <w:b/>
          <w:i/>
        </w:rPr>
        <w:t>omisija</w:t>
      </w:r>
      <w:r w:rsidRPr="008E751D">
        <w:rPr>
          <w:b/>
          <w:i/>
        </w:rPr>
        <w:t xml:space="preserve"> 2012. gada pavasara un 2011. gada rudens prognožu salīdzinājums</w:t>
      </w:r>
    </w:p>
    <w:tbl>
      <w:tblPr>
        <w:tblW w:w="8343" w:type="dxa"/>
        <w:tblInd w:w="534" w:type="dxa"/>
        <w:tblLook w:val="04A0" w:firstRow="1" w:lastRow="0" w:firstColumn="1" w:lastColumn="0" w:noHBand="0" w:noVBand="1"/>
      </w:tblPr>
      <w:tblGrid>
        <w:gridCol w:w="1403"/>
        <w:gridCol w:w="1740"/>
        <w:gridCol w:w="1100"/>
        <w:gridCol w:w="1100"/>
        <w:gridCol w:w="1000"/>
        <w:gridCol w:w="1000"/>
        <w:gridCol w:w="1000"/>
      </w:tblGrid>
      <w:tr w:rsidR="00871285" w:rsidRPr="008E751D" w:rsidTr="00A761F0">
        <w:trPr>
          <w:trHeight w:val="600"/>
        </w:trPr>
        <w:tc>
          <w:tcPr>
            <w:tcW w:w="14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p>
        </w:tc>
        <w:tc>
          <w:tcPr>
            <w:tcW w:w="1740" w:type="dxa"/>
            <w:tcBorders>
              <w:top w:val="single" w:sz="4" w:space="0" w:color="auto"/>
              <w:left w:val="nil"/>
              <w:bottom w:val="single" w:sz="4" w:space="0" w:color="auto"/>
              <w:right w:val="single" w:sz="4" w:space="0" w:color="auto"/>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p>
        </w:tc>
        <w:tc>
          <w:tcPr>
            <w:tcW w:w="2200" w:type="dxa"/>
            <w:gridSpan w:val="2"/>
            <w:tcBorders>
              <w:top w:val="single" w:sz="4" w:space="0" w:color="auto"/>
              <w:left w:val="nil"/>
              <w:bottom w:val="single" w:sz="4" w:space="0" w:color="auto"/>
              <w:right w:val="single" w:sz="4" w:space="0" w:color="000000"/>
            </w:tcBorders>
            <w:shd w:val="clear" w:color="000000" w:fill="FFFFFF"/>
            <w:vAlign w:val="center"/>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IKP pieaugums 2011. gada rudens, %</w:t>
            </w:r>
          </w:p>
        </w:tc>
        <w:tc>
          <w:tcPr>
            <w:tcW w:w="3000" w:type="dxa"/>
            <w:gridSpan w:val="3"/>
            <w:tcBorders>
              <w:top w:val="single" w:sz="4" w:space="0" w:color="auto"/>
              <w:left w:val="nil"/>
              <w:bottom w:val="single" w:sz="4" w:space="0" w:color="auto"/>
              <w:right w:val="single" w:sz="4" w:space="0" w:color="000000"/>
            </w:tcBorders>
            <w:shd w:val="clear" w:color="000000" w:fill="FFFFFF"/>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IKP pieaugums 2012. gada pavasaris, %</w:t>
            </w:r>
          </w:p>
        </w:tc>
      </w:tr>
      <w:tr w:rsidR="00871285" w:rsidRPr="008E751D" w:rsidTr="00A761F0">
        <w:trPr>
          <w:trHeight w:val="915"/>
        </w:trPr>
        <w:tc>
          <w:tcPr>
            <w:tcW w:w="1403" w:type="dxa"/>
            <w:tcBorders>
              <w:top w:val="nil"/>
              <w:left w:val="single" w:sz="4" w:space="0" w:color="auto"/>
              <w:bottom w:val="single" w:sz="4" w:space="0" w:color="auto"/>
              <w:right w:val="nil"/>
            </w:tcBorders>
            <w:shd w:val="clear" w:color="000000" w:fill="FFFFFF"/>
            <w:noWrap/>
            <w:vAlign w:val="bottom"/>
            <w:hideMark/>
          </w:tcPr>
          <w:p w:rsidR="00871285" w:rsidRPr="00081449" w:rsidRDefault="00871285" w:rsidP="00A761F0">
            <w:pPr>
              <w:spacing w:after="0"/>
              <w:ind w:left="284" w:firstLine="49"/>
              <w:jc w:val="center"/>
              <w:rPr>
                <w:color w:val="000000"/>
                <w:sz w:val="22"/>
                <w:szCs w:val="22"/>
                <w:lang w:eastAsia="lv-LV"/>
              </w:rPr>
            </w:pPr>
          </w:p>
        </w:tc>
        <w:tc>
          <w:tcPr>
            <w:tcW w:w="1740" w:type="dxa"/>
            <w:tcBorders>
              <w:top w:val="nil"/>
              <w:left w:val="single" w:sz="4" w:space="0" w:color="auto"/>
              <w:bottom w:val="single" w:sz="4" w:space="0" w:color="auto"/>
              <w:right w:val="single" w:sz="4" w:space="0" w:color="auto"/>
            </w:tcBorders>
            <w:shd w:val="clear" w:color="000000" w:fill="FFFFFF"/>
            <w:vAlign w:val="center"/>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Īpatsvars Latvijas eksportā, %</w:t>
            </w:r>
          </w:p>
        </w:tc>
        <w:tc>
          <w:tcPr>
            <w:tcW w:w="1100" w:type="dxa"/>
            <w:tcBorders>
              <w:top w:val="nil"/>
              <w:left w:val="nil"/>
              <w:bottom w:val="single" w:sz="4" w:space="0" w:color="auto"/>
              <w:right w:val="nil"/>
            </w:tcBorders>
            <w:shd w:val="clear" w:color="000000" w:fill="FFFFFF"/>
            <w:noWrap/>
            <w:vAlign w:val="center"/>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2012</w:t>
            </w:r>
          </w:p>
        </w:tc>
        <w:tc>
          <w:tcPr>
            <w:tcW w:w="1100" w:type="dxa"/>
            <w:tcBorders>
              <w:top w:val="nil"/>
              <w:left w:val="nil"/>
              <w:bottom w:val="single" w:sz="4" w:space="0" w:color="auto"/>
              <w:right w:val="single" w:sz="4" w:space="0" w:color="auto"/>
            </w:tcBorders>
            <w:shd w:val="clear" w:color="000000" w:fill="FFFFFF"/>
            <w:noWrap/>
            <w:vAlign w:val="center"/>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2013</w:t>
            </w:r>
          </w:p>
        </w:tc>
        <w:tc>
          <w:tcPr>
            <w:tcW w:w="1000" w:type="dxa"/>
            <w:tcBorders>
              <w:top w:val="nil"/>
              <w:left w:val="nil"/>
              <w:bottom w:val="single" w:sz="4" w:space="0" w:color="auto"/>
              <w:right w:val="nil"/>
            </w:tcBorders>
            <w:shd w:val="clear" w:color="000000" w:fill="FFFFFF"/>
            <w:noWrap/>
            <w:vAlign w:val="center"/>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2011</w:t>
            </w:r>
          </w:p>
        </w:tc>
        <w:tc>
          <w:tcPr>
            <w:tcW w:w="1000" w:type="dxa"/>
            <w:tcBorders>
              <w:top w:val="nil"/>
              <w:left w:val="nil"/>
              <w:bottom w:val="single" w:sz="4" w:space="0" w:color="auto"/>
              <w:right w:val="nil"/>
            </w:tcBorders>
            <w:shd w:val="clear" w:color="000000" w:fill="FFFFFF"/>
            <w:noWrap/>
            <w:vAlign w:val="center"/>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2012</w:t>
            </w:r>
          </w:p>
        </w:tc>
        <w:tc>
          <w:tcPr>
            <w:tcW w:w="1000" w:type="dxa"/>
            <w:tcBorders>
              <w:top w:val="nil"/>
              <w:left w:val="nil"/>
              <w:bottom w:val="single" w:sz="4" w:space="0" w:color="auto"/>
              <w:right w:val="single" w:sz="4" w:space="0" w:color="auto"/>
            </w:tcBorders>
            <w:shd w:val="clear" w:color="000000" w:fill="FFFFFF"/>
            <w:noWrap/>
            <w:vAlign w:val="center"/>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2013</w:t>
            </w:r>
          </w:p>
        </w:tc>
      </w:tr>
      <w:tr w:rsidR="00871285" w:rsidRPr="008E751D" w:rsidTr="00A761F0">
        <w:trPr>
          <w:trHeight w:val="315"/>
        </w:trPr>
        <w:tc>
          <w:tcPr>
            <w:tcW w:w="1403" w:type="dxa"/>
            <w:tcBorders>
              <w:top w:val="nil"/>
              <w:left w:val="single" w:sz="4" w:space="0" w:color="auto"/>
              <w:bottom w:val="single" w:sz="4" w:space="0" w:color="auto"/>
              <w:right w:val="single" w:sz="4" w:space="0" w:color="auto"/>
            </w:tcBorders>
            <w:shd w:val="clear" w:color="000000" w:fill="FFFFFF"/>
            <w:noWrap/>
            <w:vAlign w:val="bottom"/>
            <w:hideMark/>
          </w:tcPr>
          <w:p w:rsidR="00871285" w:rsidRPr="00081449" w:rsidRDefault="00871285" w:rsidP="00A761F0">
            <w:pPr>
              <w:spacing w:after="0"/>
              <w:ind w:left="284" w:hanging="284"/>
              <w:jc w:val="center"/>
              <w:rPr>
                <w:b/>
                <w:bCs/>
                <w:color w:val="000000"/>
                <w:sz w:val="24"/>
                <w:szCs w:val="24"/>
                <w:lang w:eastAsia="lv-LV"/>
              </w:rPr>
            </w:pPr>
            <w:r w:rsidRPr="00081449">
              <w:rPr>
                <w:b/>
                <w:bCs/>
                <w:color w:val="000000"/>
                <w:sz w:val="24"/>
                <w:szCs w:val="24"/>
                <w:lang w:eastAsia="lv-LV"/>
              </w:rPr>
              <w:t>Latvija</w:t>
            </w:r>
          </w:p>
        </w:tc>
        <w:tc>
          <w:tcPr>
            <w:tcW w:w="1740" w:type="dxa"/>
            <w:tcBorders>
              <w:top w:val="nil"/>
              <w:left w:val="nil"/>
              <w:bottom w:val="single" w:sz="4" w:space="0" w:color="auto"/>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w:t>
            </w:r>
          </w:p>
        </w:tc>
        <w:tc>
          <w:tcPr>
            <w:tcW w:w="1100" w:type="dxa"/>
            <w:tcBorders>
              <w:top w:val="nil"/>
              <w:left w:val="single" w:sz="4" w:space="0" w:color="auto"/>
              <w:bottom w:val="single" w:sz="4" w:space="0" w:color="auto"/>
              <w:right w:val="nil"/>
            </w:tcBorders>
            <w:shd w:val="clear" w:color="000000" w:fill="FFFFFF"/>
            <w:noWrap/>
            <w:vAlign w:val="bottom"/>
            <w:hideMark/>
          </w:tcPr>
          <w:p w:rsidR="00871285" w:rsidRPr="00081449" w:rsidRDefault="00871285" w:rsidP="00A761F0">
            <w:pPr>
              <w:spacing w:after="0"/>
              <w:ind w:left="284" w:hanging="284"/>
              <w:jc w:val="center"/>
              <w:rPr>
                <w:b/>
                <w:bCs/>
                <w:color w:val="000000"/>
                <w:sz w:val="22"/>
                <w:szCs w:val="22"/>
                <w:lang w:eastAsia="lv-LV"/>
              </w:rPr>
            </w:pPr>
            <w:r w:rsidRPr="00081449">
              <w:rPr>
                <w:b/>
                <w:bCs/>
                <w:color w:val="000000"/>
                <w:sz w:val="22"/>
                <w:szCs w:val="22"/>
                <w:lang w:eastAsia="lv-LV"/>
              </w:rPr>
              <w:t>2,5</w:t>
            </w:r>
          </w:p>
        </w:tc>
        <w:tc>
          <w:tcPr>
            <w:tcW w:w="1100" w:type="dxa"/>
            <w:tcBorders>
              <w:top w:val="nil"/>
              <w:left w:val="nil"/>
              <w:bottom w:val="single" w:sz="4" w:space="0" w:color="auto"/>
              <w:right w:val="single" w:sz="4" w:space="0" w:color="auto"/>
            </w:tcBorders>
            <w:shd w:val="clear" w:color="000000" w:fill="FFFFFF"/>
            <w:noWrap/>
            <w:vAlign w:val="bottom"/>
            <w:hideMark/>
          </w:tcPr>
          <w:p w:rsidR="00871285" w:rsidRPr="00081449" w:rsidRDefault="00871285" w:rsidP="00A761F0">
            <w:pPr>
              <w:spacing w:after="0"/>
              <w:ind w:left="284" w:hanging="284"/>
              <w:jc w:val="center"/>
              <w:rPr>
                <w:b/>
                <w:bCs/>
                <w:color w:val="000000"/>
                <w:sz w:val="22"/>
                <w:szCs w:val="22"/>
                <w:lang w:eastAsia="lv-LV"/>
              </w:rPr>
            </w:pPr>
            <w:r w:rsidRPr="00081449">
              <w:rPr>
                <w:b/>
                <w:bCs/>
                <w:color w:val="000000"/>
                <w:sz w:val="22"/>
                <w:szCs w:val="22"/>
                <w:lang w:eastAsia="lv-LV"/>
              </w:rPr>
              <w:t>4</w:t>
            </w:r>
          </w:p>
        </w:tc>
        <w:tc>
          <w:tcPr>
            <w:tcW w:w="1000" w:type="dxa"/>
            <w:tcBorders>
              <w:top w:val="nil"/>
              <w:left w:val="nil"/>
              <w:bottom w:val="single" w:sz="4" w:space="0" w:color="auto"/>
              <w:right w:val="nil"/>
            </w:tcBorders>
            <w:shd w:val="clear" w:color="000000" w:fill="FFFFFF"/>
            <w:noWrap/>
            <w:vAlign w:val="bottom"/>
            <w:hideMark/>
          </w:tcPr>
          <w:p w:rsidR="00871285" w:rsidRPr="00081449" w:rsidRDefault="00871285" w:rsidP="00A761F0">
            <w:pPr>
              <w:spacing w:after="0"/>
              <w:ind w:left="284" w:hanging="284"/>
              <w:jc w:val="center"/>
              <w:rPr>
                <w:b/>
                <w:bCs/>
                <w:color w:val="000000"/>
                <w:sz w:val="22"/>
                <w:szCs w:val="22"/>
                <w:lang w:eastAsia="lv-LV"/>
              </w:rPr>
            </w:pPr>
            <w:r w:rsidRPr="00081449">
              <w:rPr>
                <w:b/>
                <w:bCs/>
                <w:color w:val="000000"/>
                <w:sz w:val="22"/>
                <w:szCs w:val="22"/>
                <w:lang w:eastAsia="lv-LV"/>
              </w:rPr>
              <w:t>5,5</w:t>
            </w:r>
          </w:p>
        </w:tc>
        <w:tc>
          <w:tcPr>
            <w:tcW w:w="1000" w:type="dxa"/>
            <w:tcBorders>
              <w:top w:val="nil"/>
              <w:left w:val="nil"/>
              <w:bottom w:val="single" w:sz="4" w:space="0" w:color="auto"/>
              <w:right w:val="nil"/>
            </w:tcBorders>
            <w:shd w:val="clear" w:color="000000" w:fill="FFFFFF"/>
            <w:noWrap/>
            <w:vAlign w:val="bottom"/>
            <w:hideMark/>
          </w:tcPr>
          <w:p w:rsidR="00871285" w:rsidRPr="00081449" w:rsidRDefault="00871285" w:rsidP="00A761F0">
            <w:pPr>
              <w:spacing w:after="0"/>
              <w:ind w:left="284" w:hanging="284"/>
              <w:jc w:val="center"/>
              <w:rPr>
                <w:b/>
                <w:bCs/>
                <w:color w:val="000000"/>
                <w:sz w:val="22"/>
                <w:szCs w:val="22"/>
                <w:lang w:eastAsia="lv-LV"/>
              </w:rPr>
            </w:pPr>
            <w:r w:rsidRPr="00081449">
              <w:rPr>
                <w:b/>
                <w:bCs/>
                <w:color w:val="000000"/>
                <w:sz w:val="22"/>
                <w:szCs w:val="22"/>
                <w:lang w:eastAsia="lv-LV"/>
              </w:rPr>
              <w:t>2,2</w:t>
            </w:r>
          </w:p>
        </w:tc>
        <w:tc>
          <w:tcPr>
            <w:tcW w:w="1000" w:type="dxa"/>
            <w:tcBorders>
              <w:top w:val="nil"/>
              <w:left w:val="nil"/>
              <w:bottom w:val="single" w:sz="4" w:space="0" w:color="auto"/>
              <w:right w:val="single" w:sz="4" w:space="0" w:color="auto"/>
            </w:tcBorders>
            <w:shd w:val="clear" w:color="000000" w:fill="FFFFFF"/>
            <w:noWrap/>
            <w:vAlign w:val="bottom"/>
            <w:hideMark/>
          </w:tcPr>
          <w:p w:rsidR="00871285" w:rsidRPr="00081449" w:rsidRDefault="00871285" w:rsidP="00A761F0">
            <w:pPr>
              <w:spacing w:after="0"/>
              <w:ind w:left="284" w:hanging="284"/>
              <w:jc w:val="center"/>
              <w:rPr>
                <w:b/>
                <w:bCs/>
                <w:color w:val="000000"/>
                <w:sz w:val="22"/>
                <w:szCs w:val="22"/>
                <w:lang w:eastAsia="lv-LV"/>
              </w:rPr>
            </w:pPr>
            <w:r w:rsidRPr="00081449">
              <w:rPr>
                <w:b/>
                <w:bCs/>
                <w:color w:val="000000"/>
                <w:sz w:val="22"/>
                <w:szCs w:val="22"/>
                <w:lang w:eastAsia="lv-LV"/>
              </w:rPr>
              <w:t>3,6</w:t>
            </w:r>
          </w:p>
        </w:tc>
      </w:tr>
      <w:tr w:rsidR="00871285" w:rsidRPr="008E751D" w:rsidTr="00A761F0">
        <w:trPr>
          <w:trHeight w:val="315"/>
        </w:trPr>
        <w:tc>
          <w:tcPr>
            <w:tcW w:w="1403" w:type="dxa"/>
            <w:tcBorders>
              <w:top w:val="nil"/>
              <w:left w:val="single" w:sz="4" w:space="0" w:color="auto"/>
              <w:bottom w:val="single" w:sz="4" w:space="0" w:color="auto"/>
              <w:right w:val="single" w:sz="4" w:space="0" w:color="auto"/>
            </w:tcBorders>
            <w:shd w:val="clear" w:color="000000" w:fill="FFFFFF"/>
            <w:noWrap/>
            <w:vAlign w:val="bottom"/>
            <w:hideMark/>
          </w:tcPr>
          <w:p w:rsidR="00871285" w:rsidRPr="00081449" w:rsidRDefault="00871285" w:rsidP="00A761F0">
            <w:pPr>
              <w:spacing w:after="0"/>
              <w:ind w:left="284" w:hanging="284"/>
              <w:jc w:val="center"/>
              <w:rPr>
                <w:b/>
                <w:bCs/>
                <w:color w:val="000000"/>
                <w:sz w:val="24"/>
                <w:szCs w:val="24"/>
                <w:lang w:eastAsia="lv-LV"/>
              </w:rPr>
            </w:pPr>
            <w:r w:rsidRPr="00081449">
              <w:rPr>
                <w:b/>
                <w:bCs/>
                <w:color w:val="000000"/>
                <w:sz w:val="24"/>
                <w:szCs w:val="24"/>
                <w:lang w:eastAsia="lv-LV"/>
              </w:rPr>
              <w:t>ES27</w:t>
            </w:r>
          </w:p>
        </w:tc>
        <w:tc>
          <w:tcPr>
            <w:tcW w:w="1740" w:type="dxa"/>
            <w:tcBorders>
              <w:top w:val="nil"/>
              <w:left w:val="nil"/>
              <w:bottom w:val="single" w:sz="4" w:space="0" w:color="auto"/>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72,4</w:t>
            </w:r>
          </w:p>
        </w:tc>
        <w:tc>
          <w:tcPr>
            <w:tcW w:w="1100" w:type="dxa"/>
            <w:tcBorders>
              <w:top w:val="nil"/>
              <w:left w:val="single" w:sz="4" w:space="0" w:color="auto"/>
              <w:bottom w:val="single" w:sz="4" w:space="0" w:color="auto"/>
              <w:right w:val="nil"/>
            </w:tcBorders>
            <w:shd w:val="clear" w:color="000000" w:fill="FFFFFF"/>
            <w:noWrap/>
            <w:vAlign w:val="bottom"/>
            <w:hideMark/>
          </w:tcPr>
          <w:p w:rsidR="00871285" w:rsidRPr="00081449" w:rsidRDefault="00871285" w:rsidP="00A761F0">
            <w:pPr>
              <w:spacing w:after="0"/>
              <w:ind w:left="284" w:hanging="284"/>
              <w:jc w:val="center"/>
              <w:rPr>
                <w:b/>
                <w:bCs/>
                <w:color w:val="000000"/>
                <w:sz w:val="22"/>
                <w:szCs w:val="22"/>
                <w:lang w:eastAsia="lv-LV"/>
              </w:rPr>
            </w:pPr>
            <w:r w:rsidRPr="00081449">
              <w:rPr>
                <w:b/>
                <w:bCs/>
                <w:color w:val="000000"/>
                <w:sz w:val="22"/>
                <w:szCs w:val="22"/>
                <w:lang w:eastAsia="lv-LV"/>
              </w:rPr>
              <w:t>0,6</w:t>
            </w:r>
          </w:p>
        </w:tc>
        <w:tc>
          <w:tcPr>
            <w:tcW w:w="1100" w:type="dxa"/>
            <w:tcBorders>
              <w:top w:val="nil"/>
              <w:left w:val="nil"/>
              <w:bottom w:val="single" w:sz="4" w:space="0" w:color="auto"/>
              <w:right w:val="single" w:sz="4" w:space="0" w:color="auto"/>
            </w:tcBorders>
            <w:shd w:val="clear" w:color="000000" w:fill="FFFFFF"/>
            <w:noWrap/>
            <w:vAlign w:val="bottom"/>
            <w:hideMark/>
          </w:tcPr>
          <w:p w:rsidR="00871285" w:rsidRPr="00081449" w:rsidRDefault="00871285" w:rsidP="00A761F0">
            <w:pPr>
              <w:spacing w:after="0"/>
              <w:ind w:left="284" w:hanging="284"/>
              <w:jc w:val="center"/>
              <w:rPr>
                <w:b/>
                <w:bCs/>
                <w:color w:val="000000"/>
                <w:sz w:val="22"/>
                <w:szCs w:val="22"/>
                <w:lang w:eastAsia="lv-LV"/>
              </w:rPr>
            </w:pPr>
            <w:r w:rsidRPr="00081449">
              <w:rPr>
                <w:b/>
                <w:bCs/>
                <w:color w:val="000000"/>
                <w:sz w:val="22"/>
                <w:szCs w:val="22"/>
                <w:lang w:eastAsia="lv-LV"/>
              </w:rPr>
              <w:t>1,5</w:t>
            </w:r>
          </w:p>
        </w:tc>
        <w:tc>
          <w:tcPr>
            <w:tcW w:w="1000" w:type="dxa"/>
            <w:tcBorders>
              <w:top w:val="nil"/>
              <w:left w:val="nil"/>
              <w:bottom w:val="single" w:sz="4" w:space="0" w:color="auto"/>
              <w:right w:val="nil"/>
            </w:tcBorders>
            <w:shd w:val="clear" w:color="000000" w:fill="FFFFFF"/>
            <w:noWrap/>
            <w:vAlign w:val="bottom"/>
            <w:hideMark/>
          </w:tcPr>
          <w:p w:rsidR="00871285" w:rsidRPr="00081449" w:rsidRDefault="00871285" w:rsidP="00A761F0">
            <w:pPr>
              <w:spacing w:after="0"/>
              <w:ind w:left="284" w:hanging="284"/>
              <w:jc w:val="center"/>
              <w:rPr>
                <w:b/>
                <w:bCs/>
                <w:color w:val="000000"/>
                <w:sz w:val="22"/>
                <w:szCs w:val="22"/>
                <w:lang w:eastAsia="lv-LV"/>
              </w:rPr>
            </w:pPr>
            <w:r w:rsidRPr="00081449">
              <w:rPr>
                <w:b/>
                <w:bCs/>
                <w:color w:val="000000"/>
                <w:sz w:val="22"/>
                <w:szCs w:val="22"/>
                <w:lang w:eastAsia="lv-LV"/>
              </w:rPr>
              <w:t>1,5</w:t>
            </w:r>
          </w:p>
        </w:tc>
        <w:tc>
          <w:tcPr>
            <w:tcW w:w="1000" w:type="dxa"/>
            <w:tcBorders>
              <w:top w:val="nil"/>
              <w:left w:val="nil"/>
              <w:bottom w:val="single" w:sz="4" w:space="0" w:color="auto"/>
              <w:right w:val="nil"/>
            </w:tcBorders>
            <w:shd w:val="clear" w:color="000000" w:fill="FFFFFF"/>
            <w:noWrap/>
            <w:vAlign w:val="bottom"/>
            <w:hideMark/>
          </w:tcPr>
          <w:p w:rsidR="00871285" w:rsidRPr="00081449" w:rsidRDefault="00871285" w:rsidP="00A761F0">
            <w:pPr>
              <w:spacing w:after="0"/>
              <w:ind w:left="284" w:hanging="284"/>
              <w:jc w:val="center"/>
              <w:rPr>
                <w:b/>
                <w:bCs/>
                <w:color w:val="000000"/>
                <w:sz w:val="22"/>
                <w:szCs w:val="22"/>
                <w:lang w:eastAsia="lv-LV"/>
              </w:rPr>
            </w:pPr>
            <w:r w:rsidRPr="00081449">
              <w:rPr>
                <w:b/>
                <w:bCs/>
                <w:color w:val="000000"/>
                <w:sz w:val="22"/>
                <w:szCs w:val="22"/>
                <w:lang w:eastAsia="lv-LV"/>
              </w:rPr>
              <w:t>0</w:t>
            </w:r>
          </w:p>
        </w:tc>
        <w:tc>
          <w:tcPr>
            <w:tcW w:w="1000" w:type="dxa"/>
            <w:tcBorders>
              <w:top w:val="nil"/>
              <w:left w:val="nil"/>
              <w:bottom w:val="single" w:sz="4" w:space="0" w:color="auto"/>
              <w:right w:val="single" w:sz="4" w:space="0" w:color="auto"/>
            </w:tcBorders>
            <w:shd w:val="clear" w:color="000000" w:fill="FFFFFF"/>
            <w:noWrap/>
            <w:vAlign w:val="bottom"/>
            <w:hideMark/>
          </w:tcPr>
          <w:p w:rsidR="00871285" w:rsidRPr="00081449" w:rsidRDefault="00871285" w:rsidP="00A761F0">
            <w:pPr>
              <w:spacing w:after="0"/>
              <w:ind w:left="284" w:hanging="284"/>
              <w:jc w:val="center"/>
              <w:rPr>
                <w:b/>
                <w:bCs/>
                <w:color w:val="000000"/>
                <w:sz w:val="22"/>
                <w:szCs w:val="22"/>
                <w:lang w:eastAsia="lv-LV"/>
              </w:rPr>
            </w:pPr>
            <w:r w:rsidRPr="00081449">
              <w:rPr>
                <w:b/>
                <w:bCs/>
                <w:color w:val="000000"/>
                <w:sz w:val="22"/>
                <w:szCs w:val="22"/>
                <w:lang w:eastAsia="lv-LV"/>
              </w:rPr>
              <w:t>1,3</w:t>
            </w:r>
          </w:p>
        </w:tc>
      </w:tr>
      <w:tr w:rsidR="00871285" w:rsidRPr="008E751D" w:rsidTr="00A761F0">
        <w:trPr>
          <w:trHeight w:val="315"/>
        </w:trPr>
        <w:tc>
          <w:tcPr>
            <w:tcW w:w="1403" w:type="dxa"/>
            <w:tcBorders>
              <w:top w:val="nil"/>
              <w:left w:val="single" w:sz="4" w:space="0" w:color="auto"/>
              <w:bottom w:val="single" w:sz="4" w:space="0" w:color="auto"/>
              <w:right w:val="single" w:sz="4" w:space="0" w:color="auto"/>
            </w:tcBorders>
            <w:shd w:val="clear" w:color="000000" w:fill="FFFFFF"/>
            <w:noWrap/>
            <w:vAlign w:val="bottom"/>
            <w:hideMark/>
          </w:tcPr>
          <w:p w:rsidR="00871285" w:rsidRPr="00081449" w:rsidRDefault="00871285" w:rsidP="00A761F0">
            <w:pPr>
              <w:spacing w:after="0"/>
              <w:ind w:left="284" w:hanging="284"/>
              <w:jc w:val="center"/>
              <w:rPr>
                <w:b/>
                <w:bCs/>
                <w:color w:val="000000"/>
                <w:sz w:val="24"/>
                <w:szCs w:val="24"/>
                <w:lang w:eastAsia="lv-LV"/>
              </w:rPr>
            </w:pPr>
            <w:r w:rsidRPr="00081449">
              <w:rPr>
                <w:b/>
                <w:bCs/>
                <w:color w:val="000000"/>
                <w:sz w:val="24"/>
                <w:szCs w:val="24"/>
                <w:lang w:eastAsia="lv-LV"/>
              </w:rPr>
              <w:t>ES17</w:t>
            </w:r>
          </w:p>
        </w:tc>
        <w:tc>
          <w:tcPr>
            <w:tcW w:w="1740" w:type="dxa"/>
            <w:tcBorders>
              <w:top w:val="nil"/>
              <w:left w:val="nil"/>
              <w:bottom w:val="single" w:sz="4" w:space="0" w:color="auto"/>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w:t>
            </w:r>
          </w:p>
        </w:tc>
        <w:tc>
          <w:tcPr>
            <w:tcW w:w="1100" w:type="dxa"/>
            <w:tcBorders>
              <w:top w:val="nil"/>
              <w:left w:val="single" w:sz="4" w:space="0" w:color="auto"/>
              <w:bottom w:val="single" w:sz="4" w:space="0" w:color="auto"/>
              <w:right w:val="nil"/>
            </w:tcBorders>
            <w:shd w:val="clear" w:color="000000" w:fill="FFFFFF"/>
            <w:noWrap/>
            <w:vAlign w:val="bottom"/>
            <w:hideMark/>
          </w:tcPr>
          <w:p w:rsidR="00871285" w:rsidRPr="00081449" w:rsidRDefault="00871285" w:rsidP="00A761F0">
            <w:pPr>
              <w:spacing w:after="0"/>
              <w:ind w:left="284" w:hanging="284"/>
              <w:jc w:val="center"/>
              <w:rPr>
                <w:b/>
                <w:bCs/>
                <w:color w:val="000000"/>
                <w:sz w:val="22"/>
                <w:szCs w:val="22"/>
                <w:lang w:eastAsia="lv-LV"/>
              </w:rPr>
            </w:pPr>
            <w:r w:rsidRPr="00081449">
              <w:rPr>
                <w:b/>
                <w:bCs/>
                <w:color w:val="000000"/>
                <w:sz w:val="22"/>
                <w:szCs w:val="22"/>
                <w:lang w:eastAsia="lv-LV"/>
              </w:rPr>
              <w:t>0,5</w:t>
            </w:r>
          </w:p>
        </w:tc>
        <w:tc>
          <w:tcPr>
            <w:tcW w:w="1100" w:type="dxa"/>
            <w:tcBorders>
              <w:top w:val="nil"/>
              <w:left w:val="nil"/>
              <w:bottom w:val="single" w:sz="4" w:space="0" w:color="auto"/>
              <w:right w:val="single" w:sz="4" w:space="0" w:color="auto"/>
            </w:tcBorders>
            <w:shd w:val="clear" w:color="000000" w:fill="FFFFFF"/>
            <w:noWrap/>
            <w:vAlign w:val="bottom"/>
            <w:hideMark/>
          </w:tcPr>
          <w:p w:rsidR="00871285" w:rsidRPr="00081449" w:rsidRDefault="00871285" w:rsidP="00A761F0">
            <w:pPr>
              <w:spacing w:after="0"/>
              <w:ind w:left="284" w:hanging="284"/>
              <w:jc w:val="center"/>
              <w:rPr>
                <w:b/>
                <w:bCs/>
                <w:color w:val="000000"/>
                <w:sz w:val="22"/>
                <w:szCs w:val="22"/>
                <w:lang w:eastAsia="lv-LV"/>
              </w:rPr>
            </w:pPr>
            <w:r w:rsidRPr="00081449">
              <w:rPr>
                <w:b/>
                <w:bCs/>
                <w:color w:val="000000"/>
                <w:sz w:val="22"/>
                <w:szCs w:val="22"/>
                <w:lang w:eastAsia="lv-LV"/>
              </w:rPr>
              <w:t>1,3</w:t>
            </w:r>
          </w:p>
        </w:tc>
        <w:tc>
          <w:tcPr>
            <w:tcW w:w="1000" w:type="dxa"/>
            <w:tcBorders>
              <w:top w:val="nil"/>
              <w:left w:val="nil"/>
              <w:bottom w:val="single" w:sz="4" w:space="0" w:color="auto"/>
              <w:right w:val="nil"/>
            </w:tcBorders>
            <w:shd w:val="clear" w:color="000000" w:fill="FFFFFF"/>
            <w:noWrap/>
            <w:vAlign w:val="bottom"/>
            <w:hideMark/>
          </w:tcPr>
          <w:p w:rsidR="00871285" w:rsidRPr="00081449" w:rsidRDefault="00871285" w:rsidP="00A761F0">
            <w:pPr>
              <w:spacing w:after="0"/>
              <w:ind w:left="284" w:hanging="284"/>
              <w:jc w:val="center"/>
              <w:rPr>
                <w:b/>
                <w:bCs/>
                <w:color w:val="000000"/>
                <w:sz w:val="22"/>
                <w:szCs w:val="22"/>
                <w:lang w:eastAsia="lv-LV"/>
              </w:rPr>
            </w:pPr>
            <w:r w:rsidRPr="00081449">
              <w:rPr>
                <w:b/>
                <w:bCs/>
                <w:color w:val="000000"/>
                <w:sz w:val="22"/>
                <w:szCs w:val="22"/>
                <w:lang w:eastAsia="lv-LV"/>
              </w:rPr>
              <w:t>1,5</w:t>
            </w:r>
          </w:p>
        </w:tc>
        <w:tc>
          <w:tcPr>
            <w:tcW w:w="1000" w:type="dxa"/>
            <w:tcBorders>
              <w:top w:val="nil"/>
              <w:left w:val="nil"/>
              <w:bottom w:val="single" w:sz="4" w:space="0" w:color="auto"/>
              <w:right w:val="nil"/>
            </w:tcBorders>
            <w:shd w:val="clear" w:color="000000" w:fill="FFFFFF"/>
            <w:noWrap/>
            <w:vAlign w:val="bottom"/>
            <w:hideMark/>
          </w:tcPr>
          <w:p w:rsidR="00871285" w:rsidRPr="00081449" w:rsidRDefault="00871285" w:rsidP="00A761F0">
            <w:pPr>
              <w:spacing w:after="0"/>
              <w:ind w:left="284" w:hanging="284"/>
              <w:jc w:val="center"/>
              <w:rPr>
                <w:b/>
                <w:bCs/>
                <w:color w:val="000000"/>
                <w:sz w:val="22"/>
                <w:szCs w:val="22"/>
                <w:lang w:eastAsia="lv-LV"/>
              </w:rPr>
            </w:pPr>
            <w:r w:rsidRPr="00081449">
              <w:rPr>
                <w:b/>
                <w:bCs/>
                <w:color w:val="000000"/>
                <w:sz w:val="22"/>
                <w:szCs w:val="22"/>
                <w:lang w:eastAsia="lv-LV"/>
              </w:rPr>
              <w:t>-0,3</w:t>
            </w:r>
          </w:p>
        </w:tc>
        <w:tc>
          <w:tcPr>
            <w:tcW w:w="1000" w:type="dxa"/>
            <w:tcBorders>
              <w:top w:val="nil"/>
              <w:left w:val="nil"/>
              <w:bottom w:val="single" w:sz="4" w:space="0" w:color="auto"/>
              <w:right w:val="single" w:sz="4" w:space="0" w:color="auto"/>
            </w:tcBorders>
            <w:shd w:val="clear" w:color="000000" w:fill="FFFFFF"/>
            <w:noWrap/>
            <w:vAlign w:val="bottom"/>
            <w:hideMark/>
          </w:tcPr>
          <w:p w:rsidR="00871285" w:rsidRPr="00081449" w:rsidRDefault="00871285" w:rsidP="00A761F0">
            <w:pPr>
              <w:spacing w:after="0"/>
              <w:ind w:left="284" w:hanging="284"/>
              <w:jc w:val="center"/>
              <w:rPr>
                <w:b/>
                <w:bCs/>
                <w:color w:val="000000"/>
                <w:sz w:val="22"/>
                <w:szCs w:val="22"/>
                <w:lang w:eastAsia="lv-LV"/>
              </w:rPr>
            </w:pPr>
            <w:r w:rsidRPr="00081449">
              <w:rPr>
                <w:b/>
                <w:bCs/>
                <w:color w:val="000000"/>
                <w:sz w:val="22"/>
                <w:szCs w:val="22"/>
                <w:lang w:eastAsia="lv-LV"/>
              </w:rPr>
              <w:t>1</w:t>
            </w:r>
            <w:r>
              <w:rPr>
                <w:b/>
                <w:bCs/>
                <w:color w:val="000000"/>
                <w:sz w:val="22"/>
                <w:szCs w:val="22"/>
                <w:lang w:eastAsia="lv-LV"/>
              </w:rPr>
              <w:t>,0</w:t>
            </w:r>
          </w:p>
        </w:tc>
      </w:tr>
      <w:tr w:rsidR="00871285" w:rsidRPr="008E751D" w:rsidTr="00A761F0">
        <w:trPr>
          <w:trHeight w:val="315"/>
        </w:trPr>
        <w:tc>
          <w:tcPr>
            <w:tcW w:w="1403" w:type="dxa"/>
            <w:tcBorders>
              <w:top w:val="nil"/>
              <w:left w:val="single" w:sz="4" w:space="0" w:color="auto"/>
              <w:bottom w:val="nil"/>
              <w:right w:val="single" w:sz="4" w:space="0" w:color="auto"/>
            </w:tcBorders>
            <w:shd w:val="clear" w:color="000000" w:fill="FFFFFF"/>
            <w:noWrap/>
            <w:vAlign w:val="bottom"/>
            <w:hideMark/>
          </w:tcPr>
          <w:p w:rsidR="00871285" w:rsidRPr="00081449" w:rsidRDefault="00871285" w:rsidP="00A761F0">
            <w:pPr>
              <w:spacing w:after="0"/>
              <w:ind w:left="284" w:hanging="284"/>
              <w:jc w:val="center"/>
              <w:rPr>
                <w:color w:val="000000"/>
                <w:sz w:val="24"/>
                <w:szCs w:val="24"/>
                <w:lang w:eastAsia="lv-LV"/>
              </w:rPr>
            </w:pPr>
            <w:r w:rsidRPr="00081449">
              <w:rPr>
                <w:color w:val="000000"/>
                <w:sz w:val="24"/>
                <w:szCs w:val="24"/>
                <w:lang w:eastAsia="lv-LV"/>
              </w:rPr>
              <w:t>Lietuva</w:t>
            </w:r>
          </w:p>
        </w:tc>
        <w:tc>
          <w:tcPr>
            <w:tcW w:w="1740" w:type="dxa"/>
            <w:tcBorders>
              <w:top w:val="nil"/>
              <w:left w:val="nil"/>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18,1</w:t>
            </w:r>
          </w:p>
        </w:tc>
        <w:tc>
          <w:tcPr>
            <w:tcW w:w="1100" w:type="dxa"/>
            <w:tcBorders>
              <w:top w:val="nil"/>
              <w:left w:val="single" w:sz="4" w:space="0" w:color="auto"/>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3,4</w:t>
            </w:r>
          </w:p>
        </w:tc>
        <w:tc>
          <w:tcPr>
            <w:tcW w:w="1100" w:type="dxa"/>
            <w:tcBorders>
              <w:top w:val="nil"/>
              <w:left w:val="nil"/>
              <w:bottom w:val="nil"/>
              <w:right w:val="single" w:sz="4" w:space="0" w:color="auto"/>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3,8</w:t>
            </w:r>
          </w:p>
        </w:tc>
        <w:tc>
          <w:tcPr>
            <w:tcW w:w="1000" w:type="dxa"/>
            <w:tcBorders>
              <w:top w:val="nil"/>
              <w:left w:val="nil"/>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5,9</w:t>
            </w:r>
          </w:p>
        </w:tc>
        <w:tc>
          <w:tcPr>
            <w:tcW w:w="1000" w:type="dxa"/>
            <w:tcBorders>
              <w:top w:val="nil"/>
              <w:left w:val="nil"/>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2,4</w:t>
            </w:r>
          </w:p>
        </w:tc>
        <w:tc>
          <w:tcPr>
            <w:tcW w:w="1000" w:type="dxa"/>
            <w:tcBorders>
              <w:top w:val="nil"/>
              <w:left w:val="nil"/>
              <w:bottom w:val="nil"/>
              <w:right w:val="single" w:sz="4" w:space="0" w:color="auto"/>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3,5</w:t>
            </w:r>
          </w:p>
        </w:tc>
      </w:tr>
      <w:tr w:rsidR="00871285" w:rsidRPr="008E751D" w:rsidTr="00A761F0">
        <w:trPr>
          <w:trHeight w:val="315"/>
        </w:trPr>
        <w:tc>
          <w:tcPr>
            <w:tcW w:w="1403" w:type="dxa"/>
            <w:tcBorders>
              <w:top w:val="nil"/>
              <w:left w:val="single" w:sz="4" w:space="0" w:color="auto"/>
              <w:bottom w:val="nil"/>
              <w:right w:val="single" w:sz="4" w:space="0" w:color="auto"/>
            </w:tcBorders>
            <w:shd w:val="clear" w:color="000000" w:fill="FFFFFF"/>
            <w:noWrap/>
            <w:vAlign w:val="bottom"/>
            <w:hideMark/>
          </w:tcPr>
          <w:p w:rsidR="00871285" w:rsidRPr="00081449" w:rsidRDefault="00871285" w:rsidP="00A761F0">
            <w:pPr>
              <w:spacing w:after="0"/>
              <w:ind w:left="284" w:hanging="284"/>
              <w:jc w:val="center"/>
              <w:rPr>
                <w:color w:val="000000"/>
                <w:sz w:val="24"/>
                <w:szCs w:val="24"/>
                <w:lang w:eastAsia="lv-LV"/>
              </w:rPr>
            </w:pPr>
            <w:r w:rsidRPr="00081449">
              <w:rPr>
                <w:color w:val="000000"/>
                <w:sz w:val="24"/>
                <w:szCs w:val="24"/>
                <w:lang w:eastAsia="lv-LV"/>
              </w:rPr>
              <w:t>Igaunija</w:t>
            </w:r>
          </w:p>
        </w:tc>
        <w:tc>
          <w:tcPr>
            <w:tcW w:w="1740" w:type="dxa"/>
            <w:tcBorders>
              <w:top w:val="nil"/>
              <w:left w:val="nil"/>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13,6</w:t>
            </w:r>
          </w:p>
        </w:tc>
        <w:tc>
          <w:tcPr>
            <w:tcW w:w="1100" w:type="dxa"/>
            <w:tcBorders>
              <w:top w:val="nil"/>
              <w:left w:val="single" w:sz="4" w:space="0" w:color="auto"/>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3,2</w:t>
            </w:r>
          </w:p>
        </w:tc>
        <w:tc>
          <w:tcPr>
            <w:tcW w:w="1100" w:type="dxa"/>
            <w:tcBorders>
              <w:top w:val="nil"/>
              <w:left w:val="nil"/>
              <w:bottom w:val="nil"/>
              <w:right w:val="single" w:sz="4" w:space="0" w:color="auto"/>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4</w:t>
            </w:r>
          </w:p>
        </w:tc>
        <w:tc>
          <w:tcPr>
            <w:tcW w:w="1000" w:type="dxa"/>
            <w:tcBorders>
              <w:top w:val="nil"/>
              <w:left w:val="nil"/>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7,6</w:t>
            </w:r>
          </w:p>
        </w:tc>
        <w:tc>
          <w:tcPr>
            <w:tcW w:w="1000" w:type="dxa"/>
            <w:tcBorders>
              <w:top w:val="nil"/>
              <w:left w:val="nil"/>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1,6</w:t>
            </w:r>
          </w:p>
        </w:tc>
        <w:tc>
          <w:tcPr>
            <w:tcW w:w="1000" w:type="dxa"/>
            <w:tcBorders>
              <w:top w:val="nil"/>
              <w:left w:val="nil"/>
              <w:bottom w:val="nil"/>
              <w:right w:val="single" w:sz="4" w:space="0" w:color="auto"/>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3,8</w:t>
            </w:r>
          </w:p>
        </w:tc>
      </w:tr>
      <w:tr w:rsidR="00871285" w:rsidRPr="008E751D" w:rsidTr="00A761F0">
        <w:trPr>
          <w:trHeight w:val="315"/>
        </w:trPr>
        <w:tc>
          <w:tcPr>
            <w:tcW w:w="1403" w:type="dxa"/>
            <w:tcBorders>
              <w:top w:val="nil"/>
              <w:left w:val="single" w:sz="4" w:space="0" w:color="auto"/>
              <w:bottom w:val="nil"/>
              <w:right w:val="single" w:sz="4" w:space="0" w:color="auto"/>
            </w:tcBorders>
            <w:shd w:val="clear" w:color="000000" w:fill="FFFFFF"/>
            <w:noWrap/>
            <w:vAlign w:val="bottom"/>
            <w:hideMark/>
          </w:tcPr>
          <w:p w:rsidR="00871285" w:rsidRPr="00081449" w:rsidRDefault="00871285" w:rsidP="00A761F0">
            <w:pPr>
              <w:spacing w:after="0"/>
              <w:ind w:left="284" w:hanging="284"/>
              <w:jc w:val="center"/>
              <w:rPr>
                <w:color w:val="000000"/>
                <w:sz w:val="24"/>
                <w:szCs w:val="24"/>
                <w:lang w:eastAsia="lv-LV"/>
              </w:rPr>
            </w:pPr>
            <w:r w:rsidRPr="00081449">
              <w:rPr>
                <w:color w:val="000000"/>
                <w:sz w:val="24"/>
                <w:szCs w:val="24"/>
                <w:lang w:eastAsia="lv-LV"/>
              </w:rPr>
              <w:t>Krievija</w:t>
            </w:r>
          </w:p>
        </w:tc>
        <w:tc>
          <w:tcPr>
            <w:tcW w:w="1740" w:type="dxa"/>
            <w:tcBorders>
              <w:top w:val="nil"/>
              <w:left w:val="nil"/>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10,6</w:t>
            </w:r>
          </w:p>
        </w:tc>
        <w:tc>
          <w:tcPr>
            <w:tcW w:w="1100" w:type="dxa"/>
            <w:tcBorders>
              <w:top w:val="nil"/>
              <w:left w:val="single" w:sz="4" w:space="0" w:color="auto"/>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w:t>
            </w:r>
          </w:p>
        </w:tc>
        <w:tc>
          <w:tcPr>
            <w:tcW w:w="1100" w:type="dxa"/>
            <w:tcBorders>
              <w:top w:val="nil"/>
              <w:left w:val="nil"/>
              <w:bottom w:val="nil"/>
              <w:right w:val="single" w:sz="4" w:space="0" w:color="auto"/>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w:t>
            </w:r>
          </w:p>
        </w:tc>
        <w:tc>
          <w:tcPr>
            <w:tcW w:w="1000" w:type="dxa"/>
            <w:tcBorders>
              <w:top w:val="nil"/>
              <w:left w:val="nil"/>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4,3</w:t>
            </w:r>
          </w:p>
        </w:tc>
        <w:tc>
          <w:tcPr>
            <w:tcW w:w="1000" w:type="dxa"/>
            <w:tcBorders>
              <w:top w:val="nil"/>
              <w:left w:val="nil"/>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3,6</w:t>
            </w:r>
          </w:p>
        </w:tc>
        <w:tc>
          <w:tcPr>
            <w:tcW w:w="1000" w:type="dxa"/>
            <w:tcBorders>
              <w:top w:val="nil"/>
              <w:left w:val="nil"/>
              <w:bottom w:val="nil"/>
              <w:right w:val="single" w:sz="4" w:space="0" w:color="auto"/>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3,8</w:t>
            </w:r>
          </w:p>
        </w:tc>
      </w:tr>
      <w:tr w:rsidR="00871285" w:rsidRPr="008E751D" w:rsidTr="00A761F0">
        <w:trPr>
          <w:trHeight w:val="315"/>
        </w:trPr>
        <w:tc>
          <w:tcPr>
            <w:tcW w:w="1403" w:type="dxa"/>
            <w:tcBorders>
              <w:top w:val="nil"/>
              <w:left w:val="single" w:sz="4" w:space="0" w:color="auto"/>
              <w:bottom w:val="nil"/>
              <w:right w:val="single" w:sz="4" w:space="0" w:color="auto"/>
            </w:tcBorders>
            <w:shd w:val="clear" w:color="000000" w:fill="FFFFFF"/>
            <w:noWrap/>
            <w:vAlign w:val="bottom"/>
            <w:hideMark/>
          </w:tcPr>
          <w:p w:rsidR="00871285" w:rsidRPr="00081449" w:rsidRDefault="00871285" w:rsidP="00A761F0">
            <w:pPr>
              <w:spacing w:after="0"/>
              <w:ind w:left="284" w:hanging="284"/>
              <w:jc w:val="center"/>
              <w:rPr>
                <w:color w:val="000000"/>
                <w:sz w:val="24"/>
                <w:szCs w:val="24"/>
                <w:lang w:eastAsia="lv-LV"/>
              </w:rPr>
            </w:pPr>
            <w:r w:rsidRPr="00081449">
              <w:rPr>
                <w:color w:val="000000"/>
                <w:sz w:val="24"/>
                <w:szCs w:val="24"/>
                <w:lang w:eastAsia="lv-LV"/>
              </w:rPr>
              <w:t>Vācija</w:t>
            </w:r>
          </w:p>
        </w:tc>
        <w:tc>
          <w:tcPr>
            <w:tcW w:w="1740" w:type="dxa"/>
            <w:tcBorders>
              <w:top w:val="nil"/>
              <w:left w:val="nil"/>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8,3</w:t>
            </w:r>
          </w:p>
        </w:tc>
        <w:tc>
          <w:tcPr>
            <w:tcW w:w="1100" w:type="dxa"/>
            <w:tcBorders>
              <w:top w:val="nil"/>
              <w:left w:val="single" w:sz="4" w:space="0" w:color="auto"/>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0,8</w:t>
            </w:r>
          </w:p>
        </w:tc>
        <w:tc>
          <w:tcPr>
            <w:tcW w:w="1100" w:type="dxa"/>
            <w:tcBorders>
              <w:top w:val="nil"/>
              <w:left w:val="nil"/>
              <w:bottom w:val="nil"/>
              <w:right w:val="single" w:sz="4" w:space="0" w:color="auto"/>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1,5</w:t>
            </w:r>
          </w:p>
        </w:tc>
        <w:tc>
          <w:tcPr>
            <w:tcW w:w="1000" w:type="dxa"/>
            <w:tcBorders>
              <w:top w:val="nil"/>
              <w:left w:val="nil"/>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3</w:t>
            </w:r>
            <w:r>
              <w:rPr>
                <w:color w:val="000000"/>
                <w:sz w:val="22"/>
                <w:szCs w:val="22"/>
                <w:lang w:eastAsia="lv-LV"/>
              </w:rPr>
              <w:t>,0</w:t>
            </w:r>
          </w:p>
        </w:tc>
        <w:tc>
          <w:tcPr>
            <w:tcW w:w="1000" w:type="dxa"/>
            <w:tcBorders>
              <w:top w:val="nil"/>
              <w:left w:val="nil"/>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0,7</w:t>
            </w:r>
          </w:p>
        </w:tc>
        <w:tc>
          <w:tcPr>
            <w:tcW w:w="1000" w:type="dxa"/>
            <w:tcBorders>
              <w:top w:val="nil"/>
              <w:left w:val="nil"/>
              <w:bottom w:val="nil"/>
              <w:right w:val="single" w:sz="4" w:space="0" w:color="auto"/>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1,7</w:t>
            </w:r>
          </w:p>
        </w:tc>
      </w:tr>
      <w:tr w:rsidR="00871285" w:rsidRPr="008E751D" w:rsidTr="00A761F0">
        <w:trPr>
          <w:trHeight w:val="315"/>
        </w:trPr>
        <w:tc>
          <w:tcPr>
            <w:tcW w:w="1403" w:type="dxa"/>
            <w:tcBorders>
              <w:top w:val="nil"/>
              <w:left w:val="single" w:sz="4" w:space="0" w:color="auto"/>
              <w:bottom w:val="nil"/>
              <w:right w:val="single" w:sz="4" w:space="0" w:color="auto"/>
            </w:tcBorders>
            <w:shd w:val="clear" w:color="000000" w:fill="FFFFFF"/>
            <w:noWrap/>
            <w:vAlign w:val="bottom"/>
            <w:hideMark/>
          </w:tcPr>
          <w:p w:rsidR="00871285" w:rsidRPr="00081449" w:rsidRDefault="00871285" w:rsidP="00A761F0">
            <w:pPr>
              <w:spacing w:after="0"/>
              <w:ind w:left="284" w:hanging="284"/>
              <w:jc w:val="center"/>
              <w:rPr>
                <w:color w:val="000000"/>
                <w:sz w:val="24"/>
                <w:szCs w:val="24"/>
                <w:lang w:eastAsia="lv-LV"/>
              </w:rPr>
            </w:pPr>
            <w:r w:rsidRPr="00081449">
              <w:rPr>
                <w:color w:val="000000"/>
                <w:sz w:val="24"/>
                <w:szCs w:val="24"/>
                <w:lang w:eastAsia="lv-LV"/>
              </w:rPr>
              <w:t>Zviedrija</w:t>
            </w:r>
          </w:p>
        </w:tc>
        <w:tc>
          <w:tcPr>
            <w:tcW w:w="1740" w:type="dxa"/>
            <w:tcBorders>
              <w:top w:val="nil"/>
              <w:left w:val="nil"/>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6,3</w:t>
            </w:r>
          </w:p>
        </w:tc>
        <w:tc>
          <w:tcPr>
            <w:tcW w:w="1100" w:type="dxa"/>
            <w:tcBorders>
              <w:top w:val="nil"/>
              <w:left w:val="single" w:sz="4" w:space="0" w:color="auto"/>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1,4</w:t>
            </w:r>
          </w:p>
        </w:tc>
        <w:tc>
          <w:tcPr>
            <w:tcW w:w="1100" w:type="dxa"/>
            <w:tcBorders>
              <w:top w:val="nil"/>
              <w:left w:val="nil"/>
              <w:bottom w:val="nil"/>
              <w:right w:val="single" w:sz="4" w:space="0" w:color="auto"/>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2,1</w:t>
            </w:r>
          </w:p>
        </w:tc>
        <w:tc>
          <w:tcPr>
            <w:tcW w:w="1000" w:type="dxa"/>
            <w:tcBorders>
              <w:top w:val="nil"/>
              <w:left w:val="nil"/>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3,9</w:t>
            </w:r>
          </w:p>
        </w:tc>
        <w:tc>
          <w:tcPr>
            <w:tcW w:w="1000" w:type="dxa"/>
            <w:tcBorders>
              <w:top w:val="nil"/>
              <w:left w:val="nil"/>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0,3</w:t>
            </w:r>
          </w:p>
        </w:tc>
        <w:tc>
          <w:tcPr>
            <w:tcW w:w="1000" w:type="dxa"/>
            <w:tcBorders>
              <w:top w:val="nil"/>
              <w:left w:val="nil"/>
              <w:bottom w:val="nil"/>
              <w:right w:val="single" w:sz="4" w:space="0" w:color="auto"/>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2,1</w:t>
            </w:r>
          </w:p>
        </w:tc>
      </w:tr>
      <w:tr w:rsidR="00871285" w:rsidRPr="008E751D" w:rsidTr="00A761F0">
        <w:trPr>
          <w:trHeight w:val="315"/>
        </w:trPr>
        <w:tc>
          <w:tcPr>
            <w:tcW w:w="1403" w:type="dxa"/>
            <w:tcBorders>
              <w:top w:val="nil"/>
              <w:left w:val="single" w:sz="4" w:space="0" w:color="auto"/>
              <w:bottom w:val="nil"/>
              <w:right w:val="single" w:sz="4" w:space="0" w:color="auto"/>
            </w:tcBorders>
            <w:shd w:val="clear" w:color="000000" w:fill="FFFFFF"/>
            <w:noWrap/>
            <w:vAlign w:val="bottom"/>
            <w:hideMark/>
          </w:tcPr>
          <w:p w:rsidR="00871285" w:rsidRPr="00081449" w:rsidRDefault="00871285" w:rsidP="00A761F0">
            <w:pPr>
              <w:spacing w:after="0"/>
              <w:ind w:left="284" w:hanging="284"/>
              <w:jc w:val="center"/>
              <w:rPr>
                <w:color w:val="000000"/>
                <w:sz w:val="24"/>
                <w:szCs w:val="24"/>
                <w:lang w:eastAsia="lv-LV"/>
              </w:rPr>
            </w:pPr>
            <w:r w:rsidRPr="00081449">
              <w:rPr>
                <w:color w:val="000000"/>
                <w:sz w:val="24"/>
                <w:szCs w:val="24"/>
                <w:lang w:eastAsia="lv-LV"/>
              </w:rPr>
              <w:t>Polija</w:t>
            </w:r>
          </w:p>
        </w:tc>
        <w:tc>
          <w:tcPr>
            <w:tcW w:w="1740" w:type="dxa"/>
            <w:tcBorders>
              <w:top w:val="nil"/>
              <w:left w:val="nil"/>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5,9</w:t>
            </w:r>
          </w:p>
        </w:tc>
        <w:tc>
          <w:tcPr>
            <w:tcW w:w="1100" w:type="dxa"/>
            <w:tcBorders>
              <w:top w:val="nil"/>
              <w:left w:val="single" w:sz="4" w:space="0" w:color="auto"/>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2,5</w:t>
            </w:r>
          </w:p>
        </w:tc>
        <w:tc>
          <w:tcPr>
            <w:tcW w:w="1100" w:type="dxa"/>
            <w:tcBorders>
              <w:top w:val="nil"/>
              <w:left w:val="nil"/>
              <w:bottom w:val="nil"/>
              <w:right w:val="single" w:sz="4" w:space="0" w:color="auto"/>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2,8</w:t>
            </w:r>
          </w:p>
        </w:tc>
        <w:tc>
          <w:tcPr>
            <w:tcW w:w="1000" w:type="dxa"/>
            <w:tcBorders>
              <w:top w:val="nil"/>
              <w:left w:val="nil"/>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4,3</w:t>
            </w:r>
          </w:p>
        </w:tc>
        <w:tc>
          <w:tcPr>
            <w:tcW w:w="1000" w:type="dxa"/>
            <w:tcBorders>
              <w:top w:val="nil"/>
              <w:left w:val="nil"/>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2,7</w:t>
            </w:r>
          </w:p>
        </w:tc>
        <w:tc>
          <w:tcPr>
            <w:tcW w:w="1000" w:type="dxa"/>
            <w:tcBorders>
              <w:top w:val="nil"/>
              <w:left w:val="nil"/>
              <w:bottom w:val="nil"/>
              <w:right w:val="single" w:sz="4" w:space="0" w:color="auto"/>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2,6</w:t>
            </w:r>
          </w:p>
        </w:tc>
      </w:tr>
      <w:tr w:rsidR="00871285" w:rsidRPr="008E751D" w:rsidTr="00A761F0">
        <w:trPr>
          <w:trHeight w:val="315"/>
        </w:trPr>
        <w:tc>
          <w:tcPr>
            <w:tcW w:w="1403" w:type="dxa"/>
            <w:tcBorders>
              <w:top w:val="nil"/>
              <w:left w:val="single" w:sz="4" w:space="0" w:color="auto"/>
              <w:bottom w:val="nil"/>
              <w:right w:val="single" w:sz="4" w:space="0" w:color="auto"/>
            </w:tcBorders>
            <w:shd w:val="clear" w:color="000000" w:fill="FFFFFF"/>
            <w:noWrap/>
            <w:vAlign w:val="bottom"/>
            <w:hideMark/>
          </w:tcPr>
          <w:p w:rsidR="00871285" w:rsidRPr="00081449" w:rsidRDefault="00871285" w:rsidP="00A761F0">
            <w:pPr>
              <w:spacing w:after="0"/>
              <w:ind w:left="284" w:hanging="284"/>
              <w:jc w:val="center"/>
              <w:rPr>
                <w:color w:val="000000"/>
                <w:sz w:val="24"/>
                <w:szCs w:val="24"/>
                <w:lang w:eastAsia="lv-LV"/>
              </w:rPr>
            </w:pPr>
            <w:r w:rsidRPr="00081449">
              <w:rPr>
                <w:color w:val="000000"/>
                <w:sz w:val="24"/>
                <w:szCs w:val="24"/>
                <w:lang w:eastAsia="lv-LV"/>
              </w:rPr>
              <w:t>Dānija</w:t>
            </w:r>
          </w:p>
        </w:tc>
        <w:tc>
          <w:tcPr>
            <w:tcW w:w="1740" w:type="dxa"/>
            <w:tcBorders>
              <w:top w:val="nil"/>
              <w:left w:val="nil"/>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3,4</w:t>
            </w:r>
          </w:p>
        </w:tc>
        <w:tc>
          <w:tcPr>
            <w:tcW w:w="1100" w:type="dxa"/>
            <w:tcBorders>
              <w:top w:val="nil"/>
              <w:left w:val="single" w:sz="4" w:space="0" w:color="auto"/>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1,4</w:t>
            </w:r>
          </w:p>
        </w:tc>
        <w:tc>
          <w:tcPr>
            <w:tcW w:w="1100" w:type="dxa"/>
            <w:tcBorders>
              <w:top w:val="nil"/>
              <w:left w:val="nil"/>
              <w:bottom w:val="nil"/>
              <w:right w:val="single" w:sz="4" w:space="0" w:color="auto"/>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1,7</w:t>
            </w:r>
          </w:p>
        </w:tc>
        <w:tc>
          <w:tcPr>
            <w:tcW w:w="1000" w:type="dxa"/>
            <w:tcBorders>
              <w:top w:val="nil"/>
              <w:left w:val="nil"/>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1</w:t>
            </w:r>
            <w:r>
              <w:rPr>
                <w:color w:val="000000"/>
                <w:sz w:val="22"/>
                <w:szCs w:val="22"/>
                <w:lang w:eastAsia="lv-LV"/>
              </w:rPr>
              <w:t>,0</w:t>
            </w:r>
          </w:p>
        </w:tc>
        <w:tc>
          <w:tcPr>
            <w:tcW w:w="1000" w:type="dxa"/>
            <w:tcBorders>
              <w:top w:val="nil"/>
              <w:left w:val="nil"/>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1,1</w:t>
            </w:r>
          </w:p>
        </w:tc>
        <w:tc>
          <w:tcPr>
            <w:tcW w:w="1000" w:type="dxa"/>
            <w:tcBorders>
              <w:top w:val="nil"/>
              <w:left w:val="nil"/>
              <w:bottom w:val="nil"/>
              <w:right w:val="single" w:sz="4" w:space="0" w:color="auto"/>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1,4</w:t>
            </w:r>
          </w:p>
        </w:tc>
      </w:tr>
      <w:tr w:rsidR="00871285" w:rsidRPr="008E751D" w:rsidTr="00A761F0">
        <w:trPr>
          <w:trHeight w:val="315"/>
        </w:trPr>
        <w:tc>
          <w:tcPr>
            <w:tcW w:w="1403" w:type="dxa"/>
            <w:tcBorders>
              <w:top w:val="nil"/>
              <w:left w:val="single" w:sz="4" w:space="0" w:color="auto"/>
              <w:bottom w:val="nil"/>
              <w:right w:val="single" w:sz="4" w:space="0" w:color="auto"/>
            </w:tcBorders>
            <w:shd w:val="clear" w:color="000000" w:fill="FFFFFF"/>
            <w:noWrap/>
            <w:vAlign w:val="bottom"/>
            <w:hideMark/>
          </w:tcPr>
          <w:p w:rsidR="00871285" w:rsidRPr="00081449" w:rsidRDefault="00871285" w:rsidP="00A761F0">
            <w:pPr>
              <w:spacing w:after="0"/>
              <w:ind w:left="284" w:hanging="284"/>
              <w:jc w:val="center"/>
              <w:rPr>
                <w:color w:val="000000"/>
                <w:sz w:val="24"/>
                <w:szCs w:val="24"/>
                <w:lang w:eastAsia="lv-LV"/>
              </w:rPr>
            </w:pPr>
            <w:r w:rsidRPr="00081449">
              <w:rPr>
                <w:color w:val="000000"/>
                <w:sz w:val="24"/>
                <w:szCs w:val="24"/>
                <w:lang w:eastAsia="lv-LV"/>
              </w:rPr>
              <w:t>Somija</w:t>
            </w:r>
          </w:p>
        </w:tc>
        <w:tc>
          <w:tcPr>
            <w:tcW w:w="1740" w:type="dxa"/>
            <w:tcBorders>
              <w:top w:val="nil"/>
              <w:left w:val="nil"/>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3,1</w:t>
            </w:r>
          </w:p>
        </w:tc>
        <w:tc>
          <w:tcPr>
            <w:tcW w:w="1100" w:type="dxa"/>
            <w:tcBorders>
              <w:top w:val="nil"/>
              <w:left w:val="single" w:sz="4" w:space="0" w:color="auto"/>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1,4</w:t>
            </w:r>
          </w:p>
        </w:tc>
        <w:tc>
          <w:tcPr>
            <w:tcW w:w="1100" w:type="dxa"/>
            <w:tcBorders>
              <w:top w:val="nil"/>
              <w:left w:val="nil"/>
              <w:bottom w:val="nil"/>
              <w:right w:val="single" w:sz="4" w:space="0" w:color="auto"/>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1,7</w:t>
            </w:r>
          </w:p>
        </w:tc>
        <w:tc>
          <w:tcPr>
            <w:tcW w:w="1000" w:type="dxa"/>
            <w:tcBorders>
              <w:top w:val="nil"/>
              <w:left w:val="nil"/>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2,9</w:t>
            </w:r>
          </w:p>
        </w:tc>
        <w:tc>
          <w:tcPr>
            <w:tcW w:w="1000" w:type="dxa"/>
            <w:tcBorders>
              <w:top w:val="nil"/>
              <w:left w:val="nil"/>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0,8</w:t>
            </w:r>
          </w:p>
        </w:tc>
        <w:tc>
          <w:tcPr>
            <w:tcW w:w="1000" w:type="dxa"/>
            <w:tcBorders>
              <w:top w:val="nil"/>
              <w:left w:val="nil"/>
              <w:bottom w:val="nil"/>
              <w:right w:val="single" w:sz="4" w:space="0" w:color="auto"/>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1,6</w:t>
            </w:r>
          </w:p>
        </w:tc>
      </w:tr>
      <w:tr w:rsidR="00871285" w:rsidRPr="008E751D" w:rsidTr="00A761F0">
        <w:trPr>
          <w:trHeight w:val="315"/>
        </w:trPr>
        <w:tc>
          <w:tcPr>
            <w:tcW w:w="1403" w:type="dxa"/>
            <w:tcBorders>
              <w:top w:val="nil"/>
              <w:left w:val="single" w:sz="4" w:space="0" w:color="auto"/>
              <w:bottom w:val="nil"/>
              <w:right w:val="single" w:sz="4" w:space="0" w:color="auto"/>
            </w:tcBorders>
            <w:shd w:val="clear" w:color="000000" w:fill="FFFFFF"/>
            <w:noWrap/>
            <w:vAlign w:val="bottom"/>
            <w:hideMark/>
          </w:tcPr>
          <w:p w:rsidR="00871285" w:rsidRPr="00081449" w:rsidRDefault="00871285" w:rsidP="00A761F0">
            <w:pPr>
              <w:spacing w:after="0"/>
              <w:ind w:left="284" w:hanging="284"/>
              <w:jc w:val="center"/>
              <w:rPr>
                <w:color w:val="000000"/>
                <w:sz w:val="24"/>
                <w:szCs w:val="24"/>
                <w:lang w:eastAsia="lv-LV"/>
              </w:rPr>
            </w:pPr>
            <w:r w:rsidRPr="00081449">
              <w:rPr>
                <w:color w:val="000000"/>
                <w:sz w:val="24"/>
                <w:szCs w:val="24"/>
                <w:lang w:eastAsia="lv-LV"/>
              </w:rPr>
              <w:t>Lielbritānija</w:t>
            </w:r>
          </w:p>
        </w:tc>
        <w:tc>
          <w:tcPr>
            <w:tcW w:w="1740" w:type="dxa"/>
            <w:tcBorders>
              <w:top w:val="nil"/>
              <w:left w:val="nil"/>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3,1</w:t>
            </w:r>
          </w:p>
        </w:tc>
        <w:tc>
          <w:tcPr>
            <w:tcW w:w="1100" w:type="dxa"/>
            <w:tcBorders>
              <w:top w:val="nil"/>
              <w:left w:val="single" w:sz="4" w:space="0" w:color="auto"/>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0,6</w:t>
            </w:r>
          </w:p>
        </w:tc>
        <w:tc>
          <w:tcPr>
            <w:tcW w:w="1100" w:type="dxa"/>
            <w:tcBorders>
              <w:top w:val="nil"/>
              <w:left w:val="nil"/>
              <w:bottom w:val="nil"/>
              <w:right w:val="single" w:sz="4" w:space="0" w:color="auto"/>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1,5</w:t>
            </w:r>
          </w:p>
        </w:tc>
        <w:tc>
          <w:tcPr>
            <w:tcW w:w="1000" w:type="dxa"/>
            <w:tcBorders>
              <w:top w:val="nil"/>
              <w:left w:val="nil"/>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0,7</w:t>
            </w:r>
          </w:p>
        </w:tc>
        <w:tc>
          <w:tcPr>
            <w:tcW w:w="1000" w:type="dxa"/>
            <w:tcBorders>
              <w:top w:val="nil"/>
              <w:left w:val="nil"/>
              <w:bottom w:val="nil"/>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0,5</w:t>
            </w:r>
          </w:p>
        </w:tc>
        <w:tc>
          <w:tcPr>
            <w:tcW w:w="1000" w:type="dxa"/>
            <w:tcBorders>
              <w:top w:val="nil"/>
              <w:left w:val="nil"/>
              <w:bottom w:val="nil"/>
              <w:right w:val="single" w:sz="4" w:space="0" w:color="auto"/>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1,7</w:t>
            </w:r>
          </w:p>
        </w:tc>
      </w:tr>
      <w:tr w:rsidR="00871285" w:rsidRPr="008E751D" w:rsidTr="00A761F0">
        <w:trPr>
          <w:trHeight w:val="315"/>
        </w:trPr>
        <w:tc>
          <w:tcPr>
            <w:tcW w:w="1403" w:type="dxa"/>
            <w:tcBorders>
              <w:top w:val="nil"/>
              <w:left w:val="single" w:sz="4" w:space="0" w:color="auto"/>
              <w:bottom w:val="single" w:sz="4" w:space="0" w:color="auto"/>
              <w:right w:val="single" w:sz="4" w:space="0" w:color="auto"/>
            </w:tcBorders>
            <w:shd w:val="clear" w:color="000000" w:fill="FFFFFF"/>
            <w:noWrap/>
            <w:vAlign w:val="bottom"/>
            <w:hideMark/>
          </w:tcPr>
          <w:p w:rsidR="00871285" w:rsidRPr="00081449" w:rsidRDefault="00871285" w:rsidP="00A761F0">
            <w:pPr>
              <w:spacing w:after="0"/>
              <w:ind w:left="284" w:hanging="284"/>
              <w:jc w:val="center"/>
              <w:rPr>
                <w:color w:val="000000"/>
                <w:sz w:val="24"/>
                <w:szCs w:val="24"/>
                <w:lang w:eastAsia="lv-LV"/>
              </w:rPr>
            </w:pPr>
            <w:r w:rsidRPr="00081449">
              <w:rPr>
                <w:color w:val="000000"/>
                <w:sz w:val="24"/>
                <w:szCs w:val="24"/>
                <w:lang w:eastAsia="lv-LV"/>
              </w:rPr>
              <w:t>Norvēģija</w:t>
            </w:r>
          </w:p>
        </w:tc>
        <w:tc>
          <w:tcPr>
            <w:tcW w:w="1740" w:type="dxa"/>
            <w:tcBorders>
              <w:top w:val="nil"/>
              <w:left w:val="nil"/>
              <w:bottom w:val="single" w:sz="4" w:space="0" w:color="auto"/>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2,4</w:t>
            </w:r>
          </w:p>
        </w:tc>
        <w:tc>
          <w:tcPr>
            <w:tcW w:w="1100" w:type="dxa"/>
            <w:tcBorders>
              <w:top w:val="nil"/>
              <w:left w:val="single" w:sz="4" w:space="0" w:color="auto"/>
              <w:bottom w:val="single" w:sz="4" w:space="0" w:color="auto"/>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w:t>
            </w:r>
          </w:p>
        </w:tc>
        <w:tc>
          <w:tcPr>
            <w:tcW w:w="1100" w:type="dxa"/>
            <w:tcBorders>
              <w:top w:val="nil"/>
              <w:left w:val="nil"/>
              <w:bottom w:val="single" w:sz="4" w:space="0" w:color="auto"/>
              <w:right w:val="single" w:sz="4" w:space="0" w:color="auto"/>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w:t>
            </w:r>
          </w:p>
        </w:tc>
        <w:tc>
          <w:tcPr>
            <w:tcW w:w="1000" w:type="dxa"/>
            <w:tcBorders>
              <w:top w:val="nil"/>
              <w:left w:val="nil"/>
              <w:bottom w:val="single" w:sz="4" w:space="0" w:color="auto"/>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1,6</w:t>
            </w:r>
          </w:p>
        </w:tc>
        <w:tc>
          <w:tcPr>
            <w:tcW w:w="1000" w:type="dxa"/>
            <w:tcBorders>
              <w:top w:val="nil"/>
              <w:left w:val="nil"/>
              <w:bottom w:val="single" w:sz="4" w:space="0" w:color="auto"/>
              <w:right w:val="nil"/>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1,7</w:t>
            </w:r>
          </w:p>
        </w:tc>
        <w:tc>
          <w:tcPr>
            <w:tcW w:w="1000" w:type="dxa"/>
            <w:tcBorders>
              <w:top w:val="nil"/>
              <w:left w:val="nil"/>
              <w:bottom w:val="single" w:sz="4" w:space="0" w:color="auto"/>
              <w:right w:val="single" w:sz="4" w:space="0" w:color="auto"/>
            </w:tcBorders>
            <w:shd w:val="clear" w:color="000000" w:fill="FFFFFF"/>
            <w:noWrap/>
            <w:vAlign w:val="bottom"/>
            <w:hideMark/>
          </w:tcPr>
          <w:p w:rsidR="00871285" w:rsidRPr="00081449" w:rsidRDefault="00871285" w:rsidP="00A761F0">
            <w:pPr>
              <w:spacing w:after="0"/>
              <w:ind w:left="284" w:hanging="284"/>
              <w:jc w:val="center"/>
              <w:rPr>
                <w:color w:val="000000"/>
                <w:sz w:val="22"/>
                <w:szCs w:val="22"/>
                <w:lang w:eastAsia="lv-LV"/>
              </w:rPr>
            </w:pPr>
            <w:r w:rsidRPr="00081449">
              <w:rPr>
                <w:color w:val="000000"/>
                <w:sz w:val="22"/>
                <w:szCs w:val="22"/>
                <w:lang w:eastAsia="lv-LV"/>
              </w:rPr>
              <w:t>…</w:t>
            </w:r>
          </w:p>
        </w:tc>
      </w:tr>
    </w:tbl>
    <w:p w:rsidR="00871285" w:rsidRPr="00081449" w:rsidRDefault="00871285" w:rsidP="00871285">
      <w:pPr>
        <w:pStyle w:val="T"/>
        <w:spacing w:before="120"/>
        <w:ind w:left="284" w:hanging="284"/>
        <w:jc w:val="left"/>
        <w:rPr>
          <w:b w:val="0"/>
          <w:sz w:val="20"/>
        </w:rPr>
      </w:pPr>
      <w:r>
        <w:rPr>
          <w:b w:val="0"/>
          <w:sz w:val="20"/>
        </w:rPr>
        <w:t xml:space="preserve">        </w:t>
      </w:r>
      <w:r w:rsidRPr="00081449">
        <w:rPr>
          <w:b w:val="0"/>
          <w:sz w:val="20"/>
        </w:rPr>
        <w:t>…</w:t>
      </w:r>
      <w:r>
        <w:rPr>
          <w:b w:val="0"/>
          <w:sz w:val="20"/>
        </w:rPr>
        <w:t xml:space="preserve"> - </w:t>
      </w:r>
      <w:r w:rsidRPr="00081449">
        <w:rPr>
          <w:b w:val="0"/>
          <w:sz w:val="20"/>
        </w:rPr>
        <w:t xml:space="preserve"> dati nav pieejami</w:t>
      </w:r>
    </w:p>
    <w:p w:rsidR="00871285" w:rsidRPr="008E751D" w:rsidRDefault="00871285" w:rsidP="00871285">
      <w:r w:rsidRPr="008E751D">
        <w:t>Mūsu galveno tirdzniecības partneru att</w:t>
      </w:r>
      <w:r>
        <w:t>īstības perspektīvas kopumā nav ievērojami</w:t>
      </w:r>
      <w:r w:rsidRPr="008E751D">
        <w:t xml:space="preserve"> pasliktinājušās. Lai arī </w:t>
      </w:r>
      <w:r>
        <w:t xml:space="preserve">lielākais </w:t>
      </w:r>
      <w:r w:rsidRPr="008E751D">
        <w:t>Latvijas eksport</w:t>
      </w:r>
      <w:r>
        <w:t>a</w:t>
      </w:r>
      <w:r w:rsidRPr="008E751D">
        <w:t xml:space="preserve"> </w:t>
      </w:r>
      <w:r>
        <w:t xml:space="preserve">tirgus ir </w:t>
      </w:r>
      <w:r w:rsidRPr="008E751D">
        <w:t>Eiropas Savienīb</w:t>
      </w:r>
      <w:r>
        <w:t>a</w:t>
      </w:r>
      <w:r w:rsidRPr="008E751D">
        <w:t xml:space="preserve">, starp mūsu partnervalstīm nav izteiktu </w:t>
      </w:r>
      <w:proofErr w:type="spellStart"/>
      <w:r w:rsidRPr="008E751D">
        <w:t>recesijas</w:t>
      </w:r>
      <w:proofErr w:type="spellEnd"/>
      <w:r w:rsidRPr="008E751D">
        <w:t xml:space="preserve"> valstu, un tas nodrošina salīdzinoši stabilu eksporta pieaugumu.</w:t>
      </w:r>
    </w:p>
    <w:p w:rsidR="00871285" w:rsidRPr="008E751D" w:rsidRDefault="00871285" w:rsidP="00871285">
      <w:r w:rsidRPr="008E751D">
        <w:t>Lietuvā un Igaunijā situācija ir līdzīga kā Latvijā, 2012. gada pirmā ceturkšņa IKP ātrais novērtējums ir labāks nekā gaidīts, kas visdrīzāk dos iemeslu pārskatīt izaugsmes prognozes gadam kopumā</w:t>
      </w:r>
      <w:r>
        <w:t>. To</w:t>
      </w:r>
      <w:r w:rsidRPr="008E751D">
        <w:t xml:space="preserve">mēr apzinoties, ka Baltijas reģions ir lielā mērā atkarīgs no lielo partnervalstu pieprasījuma, ir </w:t>
      </w:r>
      <w:r>
        <w:t>jāsaglabā piesardzība</w:t>
      </w:r>
      <w:r w:rsidRPr="008E751D">
        <w:t>. Vācija un Zviedrija kā stabilākās Eiropas Savienības valstis nerada bažas par negaidītiem notikumiem, kas var būtiski pa</w:t>
      </w:r>
      <w:r>
        <w:t xml:space="preserve">sliktināt to izaugsmi. Krievijas izaugsmi veicina </w:t>
      </w:r>
      <w:r w:rsidRPr="008E751D">
        <w:t>augst</w:t>
      </w:r>
      <w:r>
        <w:t>ās</w:t>
      </w:r>
      <w:r w:rsidRPr="008E751D">
        <w:t xml:space="preserve"> naftas produktu cen</w:t>
      </w:r>
      <w:r>
        <w:t>as</w:t>
      </w:r>
      <w:r w:rsidRPr="008E751D">
        <w:t xml:space="preserve">, </w:t>
      </w:r>
      <w:r>
        <w:t>nodrošinot</w:t>
      </w:r>
      <w:r w:rsidRPr="008E751D">
        <w:t xml:space="preserve"> tai papildus līdzekļus attīstībai, līdzīga situācija </w:t>
      </w:r>
      <w:r>
        <w:t xml:space="preserve">ir </w:t>
      </w:r>
      <w:r w:rsidRPr="008E751D">
        <w:t xml:space="preserve">arī Norvēģijā, kas </w:t>
      </w:r>
      <w:r>
        <w:t xml:space="preserve">pozitīvi ietekmēs arī </w:t>
      </w:r>
      <w:r w:rsidRPr="008E751D">
        <w:t xml:space="preserve">attīstību Ziemeļvalstu reģionā kopumā. Tas var stiprināt pieprasījumu pēc Latvijas eksporta, kompensējot iespējamo pieprasījuma kritumu Eiropas dienvidu reģionā. Riski, kas ir saistīti ar ārējās vides </w:t>
      </w:r>
      <w:r>
        <w:t>ne</w:t>
      </w:r>
      <w:r w:rsidRPr="008E751D">
        <w:t>stabilitāti</w:t>
      </w:r>
      <w:r>
        <w:t>,</w:t>
      </w:r>
      <w:r w:rsidRPr="008E751D">
        <w:t xml:space="preserve"> nekur nav pazuduši, jo, piemēram, konsolidācijas pasākumi Eiropas a</w:t>
      </w:r>
      <w:r>
        <w:t xml:space="preserve">ttīstītajās valstīs vēl ir </w:t>
      </w:r>
      <w:r w:rsidRPr="008E751D">
        <w:t xml:space="preserve">tikai sākumstadijā un spriest par to potenciālo ietekmi šobrīd ir ļoti grūti. </w:t>
      </w:r>
    </w:p>
    <w:p w:rsidR="00871285" w:rsidRPr="008E751D" w:rsidRDefault="00871285" w:rsidP="00871285">
      <w:r w:rsidRPr="008E751D">
        <w:t xml:space="preserve">2011. gada beigās Eiropas Centrālā banka </w:t>
      </w:r>
      <w:r>
        <w:t>sniedza</w:t>
      </w:r>
      <w:r w:rsidRPr="008E751D">
        <w:t xml:space="preserve"> vērienīgu atbalstu banku likviditātei ilgtermiņa (3 gadu) refinansēšanas operācijas formā. Šāds atbalsts būtiski uzlaboja stāvokli finanšu tirgos un, ņemot vērā lielo naudas </w:t>
      </w:r>
      <w:r w:rsidRPr="008E751D">
        <w:lastRenderedPageBreak/>
        <w:t xml:space="preserve">apjomu, kas pārsniedza 1 triljonu EUR, ļāva bankām ieguldīt līdzekļus valdību vērtspapīros, tādējādi samazinot to likmes. Tomēr galvenais refinansēšanas operācijas mērķis bija stiprināt reālo ekonomiku, iedrošinot bankas finansēt mazos un vidējos uzņēmumus, tādējādi veicinot ekonomikas izaugsmi un mazinot kāpjošo bezdarbu Eiropas dienvidu reģionā. Tā kā efekts uz reālo ekonomiku nav sasniedzis gaidīto rezultātu, dienvidu reģionu finanšu rādītāji jau ceturkšņa </w:t>
      </w:r>
      <w:r>
        <w:t>beigās</w:t>
      </w:r>
      <w:r w:rsidRPr="008E751D">
        <w:t xml:space="preserve"> ir sākuši pasliktināties.   </w:t>
      </w:r>
    </w:p>
    <w:p w:rsidR="00871285" w:rsidRDefault="00871285" w:rsidP="00871285">
      <w:r w:rsidRPr="008E751D">
        <w:t>Gan pārtikas, gan arī naftas cenas pirmā ceturkšņa beigās ir stabilizējušās, tiesa</w:t>
      </w:r>
      <w:r>
        <w:t xml:space="preserve"> gan</w:t>
      </w:r>
      <w:r w:rsidRPr="008E751D">
        <w:t xml:space="preserve">, </w:t>
      </w:r>
      <w:r>
        <w:t>visai</w:t>
      </w:r>
      <w:r w:rsidRPr="008E751D">
        <w:t xml:space="preserve"> augstā līmenī. Šī brīža situācija neliecina par spēcīgiem riskiem, ka cenas turpinās augt - ģeopolitiskā situācija Tuvajos Austrumos, kas bija viens no galvenajiem naftas cenu kāpuma iemesliem, vēl arvien ir saspringta, tomēr signālu par situācijas pasliktināšanos nav</w:t>
      </w:r>
      <w:r>
        <w:t>.</w:t>
      </w:r>
    </w:p>
    <w:p w:rsidR="00871285" w:rsidRPr="008E751D" w:rsidRDefault="00871285" w:rsidP="00871285"/>
    <w:p w:rsidR="00871285" w:rsidRPr="008E751D" w:rsidRDefault="00871285" w:rsidP="00871285">
      <w:pPr>
        <w:pStyle w:val="H2"/>
      </w:pPr>
      <w:bookmarkStart w:id="19" w:name="_Toc325101913"/>
      <w:bookmarkStart w:id="20" w:name="_Toc104093072"/>
      <w:bookmarkStart w:id="21" w:name="_Toc167254134"/>
      <w:bookmarkStart w:id="22" w:name="_Toc262026544"/>
      <w:bookmarkEnd w:id="17"/>
      <w:bookmarkEnd w:id="18"/>
      <w:r w:rsidRPr="008E751D">
        <w:t>1.2. Iekšzemes kopprodukts, ekonomiskā aktivitāte</w:t>
      </w:r>
      <w:bookmarkEnd w:id="19"/>
    </w:p>
    <w:p w:rsidR="00871285" w:rsidRPr="008E751D" w:rsidRDefault="00871285" w:rsidP="00871285">
      <w:pPr>
        <w:ind w:right="42"/>
      </w:pPr>
      <w:r w:rsidRPr="008E751D">
        <w:t xml:space="preserve">Ņemot vērā nozīmīgas pārmaiņas Latvijas tautsaimniecībā un pakāpenisku globālās ekonomikas atlabšanu no straujās lejupslīdes, Latvijas ekonomika jau sākot no 2010. gada vidus ir atgriezusies pie izaugsmes un kopš 2011. gada otrā ceturkšņa IKP pieaugums </w:t>
      </w:r>
      <w:r>
        <w:t>gada griezumā</w:t>
      </w:r>
      <w:r w:rsidRPr="008E751D">
        <w:t xml:space="preserve"> pārsniedz 5</w:t>
      </w:r>
      <w:r w:rsidR="000E7B3F" w:rsidRPr="000E7B3F">
        <w:t xml:space="preserve"> </w:t>
      </w:r>
      <w:r w:rsidR="000055E4" w:rsidRPr="000055E4">
        <w:t>procentus</w:t>
      </w:r>
      <w:r w:rsidRPr="008E751D">
        <w:t xml:space="preserve">. Salīdzinājumā ar pērnā gada pēdējo ceturksni izaugsmes temps 2012. gada pirmajā ceturksnī ir pat palielinājies, </w:t>
      </w:r>
      <w:r>
        <w:t>un</w:t>
      </w:r>
      <w:r w:rsidRPr="00E524C6">
        <w:t xml:space="preserve">, atbilstoši </w:t>
      </w:r>
      <w:proofErr w:type="spellStart"/>
      <w:r w:rsidRPr="00E524C6">
        <w:t>E</w:t>
      </w:r>
      <w:r>
        <w:t>u</w:t>
      </w:r>
      <w:r w:rsidRPr="00E524C6">
        <w:t>rostat</w:t>
      </w:r>
      <w:proofErr w:type="spellEnd"/>
      <w:r w:rsidRPr="00E524C6">
        <w:t xml:space="preserve"> publicētajiem datiem,</w:t>
      </w:r>
      <w:r>
        <w:t xml:space="preserve"> atkal bija </w:t>
      </w:r>
      <w:r w:rsidRPr="008E751D">
        <w:t>visstraujākais Eiropas Savienībā. Saskaņā ar Centrālās Statistikas pārvaldes publicēto ātro novērtējumu</w:t>
      </w:r>
      <w:r>
        <w:t>,</w:t>
      </w:r>
      <w:r w:rsidRPr="008E751D">
        <w:t xml:space="preserve"> 2012. gada pirmajā ceturksnī salīdzinājumā ar pagājušā gada attiecīgo ceturksni IKP ir palielinājies par 6,8%, savukārt salīdzinājumā ar iepriekšējo ceturksni tas </w:t>
      </w:r>
      <w:r>
        <w:t>pieaudzis</w:t>
      </w:r>
      <w:r w:rsidRPr="008E751D">
        <w:t xml:space="preserve"> par 1</w:t>
      </w:r>
      <w:r w:rsidR="000E7B3F" w:rsidRPr="000E7B3F">
        <w:t xml:space="preserve"> </w:t>
      </w:r>
      <w:r w:rsidR="000E7B3F">
        <w:t>procentu</w:t>
      </w:r>
      <w:r w:rsidRPr="008E751D">
        <w:t>.</w:t>
      </w:r>
    </w:p>
    <w:p w:rsidR="00871285" w:rsidRPr="008E751D" w:rsidRDefault="00871285" w:rsidP="00871285">
      <w:pPr>
        <w:ind w:firstLine="0"/>
        <w:jc w:val="center"/>
        <w:rPr>
          <w:i/>
          <w:color w:val="FF0000"/>
        </w:rPr>
      </w:pPr>
      <w:r w:rsidRPr="006E43CF">
        <w:rPr>
          <w:noProof/>
          <w:lang w:eastAsia="lv-LV"/>
        </w:rPr>
        <w:drawing>
          <wp:inline distT="0" distB="0" distL="0" distR="0" wp14:anchorId="6E253AF2" wp14:editId="25535AD7">
            <wp:extent cx="5760085" cy="3192322"/>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3192322"/>
                    </a:xfrm>
                    <a:prstGeom prst="rect">
                      <a:avLst/>
                    </a:prstGeom>
                    <a:noFill/>
                    <a:ln>
                      <a:noFill/>
                    </a:ln>
                  </pic:spPr>
                </pic:pic>
              </a:graphicData>
            </a:graphic>
          </wp:inline>
        </w:drawing>
      </w:r>
    </w:p>
    <w:p w:rsidR="00871285" w:rsidRPr="00F53D19" w:rsidRDefault="00871285" w:rsidP="00F53D19">
      <w:pPr>
        <w:jc w:val="center"/>
        <w:rPr>
          <w:b/>
          <w:i/>
          <w:lang w:eastAsia="lv-LV"/>
        </w:rPr>
      </w:pPr>
      <w:r w:rsidRPr="00F53D19">
        <w:rPr>
          <w:b/>
          <w:i/>
        </w:rPr>
        <w:t xml:space="preserve">1. </w:t>
      </w:r>
      <w:proofErr w:type="spellStart"/>
      <w:r w:rsidRPr="00F53D19">
        <w:rPr>
          <w:b/>
          <w:i/>
        </w:rPr>
        <w:t>att</w:t>
      </w:r>
      <w:proofErr w:type="spellEnd"/>
      <w:r w:rsidRPr="00F53D19">
        <w:rPr>
          <w:b/>
          <w:i/>
        </w:rPr>
        <w:t xml:space="preserve">. </w:t>
      </w:r>
      <w:r w:rsidRPr="00F53D19">
        <w:rPr>
          <w:b/>
          <w:i/>
          <w:lang w:eastAsia="lv-LV"/>
        </w:rPr>
        <w:t>Latvijas IKP pieaugums pa ceturkšņiem</w:t>
      </w:r>
    </w:p>
    <w:p w:rsidR="00871285" w:rsidRPr="008E751D" w:rsidRDefault="00871285" w:rsidP="00871285">
      <w:pPr>
        <w:ind w:right="42"/>
      </w:pPr>
      <w:r w:rsidRPr="008E751D">
        <w:lastRenderedPageBreak/>
        <w:t xml:space="preserve">Lai gan </w:t>
      </w:r>
      <w:proofErr w:type="spellStart"/>
      <w:r w:rsidRPr="008E751D">
        <w:t>eirozonā</w:t>
      </w:r>
      <w:proofErr w:type="spellEnd"/>
      <w:r w:rsidRPr="008E751D">
        <w:t xml:space="preserve"> problēmas turpinās, pirmais ceturksnis bijis veiksmīgs gan rūpniecībai, gan transporta nozarei. Tas skaidrojams gan ar uzlabojumiem </w:t>
      </w:r>
      <w:r>
        <w:t>valsts</w:t>
      </w:r>
      <w:r w:rsidRPr="008E751D">
        <w:t xml:space="preserve"> konkurētspējā, gan ar to, ka Latvijas eksporta partnervalstis problēmas </w:t>
      </w:r>
      <w:proofErr w:type="spellStart"/>
      <w:r w:rsidRPr="008E751D">
        <w:t>eirozonā</w:t>
      </w:r>
      <w:proofErr w:type="spellEnd"/>
      <w:r w:rsidRPr="008E751D">
        <w:t xml:space="preserve"> ir skārušas mazāk nekā </w:t>
      </w:r>
      <w:proofErr w:type="spellStart"/>
      <w:r w:rsidRPr="008E751D">
        <w:t>Dienvideiropas</w:t>
      </w:r>
      <w:proofErr w:type="spellEnd"/>
      <w:r w:rsidRPr="008E751D">
        <w:t xml:space="preserve"> valstis. </w:t>
      </w:r>
      <w:r>
        <w:t>Tomēr jāatzīmē, ka</w:t>
      </w:r>
      <w:r w:rsidRPr="008E751D">
        <w:t xml:space="preserve"> ekonomikas </w:t>
      </w:r>
      <w:r>
        <w:t>izaugsmes</w:t>
      </w:r>
      <w:r w:rsidRPr="008E751D">
        <w:t xml:space="preserve"> tempi mūsu tirdzniecības partnervalstīs bremzējas un ārējā vide saglabājas Latvijai </w:t>
      </w:r>
      <w:r>
        <w:t>nenoteikta, par ko liecina</w:t>
      </w:r>
      <w:r w:rsidRPr="008E751D">
        <w:t xml:space="preserve"> jaunākie dati par rūpniecību un IKP</w:t>
      </w:r>
      <w:r>
        <w:t xml:space="preserve"> pieaugumu</w:t>
      </w:r>
      <w:r w:rsidRPr="008E751D">
        <w:t xml:space="preserve"> </w:t>
      </w:r>
      <w:r>
        <w:t>Eiropas Savienībā</w:t>
      </w:r>
      <w:r w:rsidRPr="008E751D">
        <w:t>.</w:t>
      </w:r>
    </w:p>
    <w:p w:rsidR="00871285" w:rsidRPr="008E751D" w:rsidRDefault="00871285" w:rsidP="00871285">
      <w:pPr>
        <w:ind w:right="42"/>
      </w:pPr>
      <w:r w:rsidRPr="00CC04D7">
        <w:t xml:space="preserve">Tirdzniecības pieaugums šā gada pirmajā ceturksnī salīdzinājumā ar iepriekšējā gada atbilstošo ceturksni par 10% un produktu nodokļu ieņēmumu palielinājums par 16,0% liecina par iekšējā pieprasījuma atkopšanos, kas ir būtisks faktors Latvijas ekonomikas līdzšinējai noturībai pret </w:t>
      </w:r>
      <w:proofErr w:type="spellStart"/>
      <w:r w:rsidRPr="00CC04D7">
        <w:t>eirozonas</w:t>
      </w:r>
      <w:proofErr w:type="spellEnd"/>
      <w:r w:rsidRPr="00CC04D7">
        <w:t xml:space="preserve"> problēmām un nedaudz mazina ārējo faktoru nozīmi Latvijas ekonomikas attīstībā. Jāatzīmē, ka divciparu pieaugums sagaidāms arī būvniecības nozarē un investīcijās.</w:t>
      </w:r>
      <w:r w:rsidRPr="008E751D">
        <w:t xml:space="preserve"> </w:t>
      </w:r>
    </w:p>
    <w:p w:rsidR="00871285" w:rsidRPr="008E751D" w:rsidRDefault="00871285" w:rsidP="00387666">
      <w:pPr>
        <w:ind w:right="42"/>
      </w:pPr>
      <w:r w:rsidRPr="008E751D">
        <w:t>Tomēr iekšējais patēriņ</w:t>
      </w:r>
      <w:r>
        <w:t>š</w:t>
      </w:r>
      <w:r w:rsidRPr="008E751D">
        <w:t xml:space="preserve"> kopumā saglabājas vājš, un mājsaimniecību parādu slogs joprojām ir liels, kas ierobežo iekšējā patēriņa iespējas nodrošināt pieaugumu, ja eksporta pieauguma tempi būtiski sama</w:t>
      </w:r>
      <w:r w:rsidR="00387666">
        <w:t>zinātos. Diemžēl ātri risinājumi</w:t>
      </w:r>
      <w:r w:rsidRPr="008E751D">
        <w:t xml:space="preserve"> </w:t>
      </w:r>
      <w:proofErr w:type="spellStart"/>
      <w:r w:rsidRPr="008E751D">
        <w:t>eirozonas</w:t>
      </w:r>
      <w:proofErr w:type="spellEnd"/>
      <w:r w:rsidRPr="008E751D">
        <w:t xml:space="preserve"> problēmām šobrīd nav redzami, kā arī nav pamata domāt, ka, turpinoties </w:t>
      </w:r>
      <w:proofErr w:type="spellStart"/>
      <w:r w:rsidRPr="008E751D">
        <w:t>recesijai</w:t>
      </w:r>
      <w:proofErr w:type="spellEnd"/>
      <w:r w:rsidRPr="008E751D">
        <w:t xml:space="preserve"> </w:t>
      </w:r>
      <w:proofErr w:type="spellStart"/>
      <w:r w:rsidRPr="008E751D">
        <w:t>eirozonā</w:t>
      </w:r>
      <w:proofErr w:type="spellEnd"/>
      <w:r w:rsidRPr="008E751D">
        <w:t xml:space="preserve">, Latvija spēs pilnībā izvairīties no rūpniecības un eksporta izaugsmes tempu palēnināšanās. Tādēļ pirmā ceturkšņa labā izaugsme vērtējama piesardzīgi un nepieciešams saglabāt konservatīvu redzējumu par ekonomikas turpmāko attīstību, jo situācija </w:t>
      </w:r>
      <w:proofErr w:type="spellStart"/>
      <w:r w:rsidRPr="008E751D">
        <w:t>eirozonā</w:t>
      </w:r>
      <w:proofErr w:type="spellEnd"/>
      <w:r w:rsidRPr="008E751D">
        <w:t xml:space="preserve"> saglabājas </w:t>
      </w:r>
      <w:r>
        <w:t>nenoteikta</w:t>
      </w:r>
      <w:r w:rsidRPr="008E751D">
        <w:t>.</w:t>
      </w:r>
    </w:p>
    <w:p w:rsidR="00871285" w:rsidRPr="008E751D" w:rsidRDefault="00871285" w:rsidP="00871285"/>
    <w:p w:rsidR="00871285" w:rsidRPr="008E751D" w:rsidRDefault="00871285" w:rsidP="00871285">
      <w:pPr>
        <w:pStyle w:val="H2"/>
      </w:pPr>
      <w:bookmarkStart w:id="23" w:name="_Toc325101914"/>
      <w:r w:rsidRPr="008E751D">
        <w:t>1.3. Tautsaimniecības nozaru attīstība</w:t>
      </w:r>
      <w:bookmarkEnd w:id="23"/>
    </w:p>
    <w:p w:rsidR="00871285" w:rsidRPr="00263C22" w:rsidRDefault="00871285" w:rsidP="00263C22">
      <w:pPr>
        <w:jc w:val="center"/>
        <w:rPr>
          <w:b/>
        </w:rPr>
      </w:pPr>
      <w:bookmarkStart w:id="24" w:name="_Toc262026542"/>
      <w:r w:rsidRPr="00263C22">
        <w:rPr>
          <w:b/>
        </w:rPr>
        <w:t>Rūpniecība</w:t>
      </w:r>
      <w:bookmarkEnd w:id="24"/>
    </w:p>
    <w:p w:rsidR="00871285" w:rsidRPr="008E751D" w:rsidRDefault="00871285" w:rsidP="00871285">
      <w:r w:rsidRPr="008E751D">
        <w:t>Kopumā pirmajā ceturksnī Latvijas rūpniecības g</w:t>
      </w:r>
      <w:r>
        <w:t>ada izaugsme sasniegusi 8,3% un</w:t>
      </w:r>
      <w:r w:rsidRPr="008E751D">
        <w:t xml:space="preserve"> </w:t>
      </w:r>
      <w:r>
        <w:t>tāpat</w:t>
      </w:r>
      <w:r w:rsidRPr="008E751D">
        <w:t xml:space="preserve"> kā IKP arī uzrādījusi straujāko kāpumu starp visām Eiropas Savienības valstīm. Rūpniecības pieaugums saglabājies arī salīdzinājumā ar iepriekšējo ceturksni, veidojot 1,7</w:t>
      </w:r>
      <w:r w:rsidR="00DE0B9F" w:rsidRPr="00DE0B9F">
        <w:t xml:space="preserve"> </w:t>
      </w:r>
      <w:r w:rsidR="00DE0B9F">
        <w:t>procentus</w:t>
      </w:r>
      <w:r w:rsidRPr="008E751D">
        <w:t>. Tāpat kā mēneša rādītājus, arī ceturkšņa datus visvairāk ietekmējusi izaug</w:t>
      </w:r>
      <w:r w:rsidR="00387666">
        <w:t>sme apstrādes rūpniecībā, pirmkārt,</w:t>
      </w:r>
      <w:r w:rsidRPr="008E751D">
        <w:t xml:space="preserve"> metālu un metālu izstrādājumu ražošanā, kā arī koksnes un koka izstrādājumu ražošanā. Ļoti augsti izaugsmes tempi pirmajā ceturksnī fiksēti ķīmijas rūpniecībā, kā arī elektrisko iekārtu un citu transportlīdzekļu ražošanā.</w:t>
      </w:r>
    </w:p>
    <w:p w:rsidR="00871285" w:rsidRPr="008E751D" w:rsidRDefault="00871285" w:rsidP="00871285">
      <w:pPr>
        <w:ind w:firstLine="0"/>
        <w:jc w:val="center"/>
        <w:rPr>
          <w:b/>
        </w:rPr>
      </w:pPr>
      <w:r w:rsidRPr="008E751D">
        <w:rPr>
          <w:noProof/>
          <w:lang w:eastAsia="lv-LV"/>
        </w:rPr>
        <w:lastRenderedPageBreak/>
        <w:drawing>
          <wp:inline distT="0" distB="0" distL="0" distR="0" wp14:anchorId="09D0A66D" wp14:editId="248D5F8B">
            <wp:extent cx="5760085" cy="29791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2979183"/>
                    </a:xfrm>
                    <a:prstGeom prst="rect">
                      <a:avLst/>
                    </a:prstGeom>
                    <a:noFill/>
                    <a:ln>
                      <a:noFill/>
                    </a:ln>
                  </pic:spPr>
                </pic:pic>
              </a:graphicData>
            </a:graphic>
          </wp:inline>
        </w:drawing>
      </w:r>
    </w:p>
    <w:p w:rsidR="00871285" w:rsidRPr="008E751D" w:rsidRDefault="00871285" w:rsidP="00871285">
      <w:pPr>
        <w:ind w:firstLine="0"/>
        <w:jc w:val="center"/>
        <w:rPr>
          <w:b/>
          <w:i/>
        </w:rPr>
      </w:pPr>
      <w:r>
        <w:rPr>
          <w:b/>
          <w:i/>
        </w:rPr>
        <w:t>2</w:t>
      </w:r>
      <w:r w:rsidRPr="008E751D">
        <w:rPr>
          <w:b/>
          <w:i/>
        </w:rPr>
        <w:t>. att</w:t>
      </w:r>
      <w:r w:rsidRPr="008E751D">
        <w:t xml:space="preserve">. </w:t>
      </w:r>
      <w:r w:rsidRPr="008E751D">
        <w:rPr>
          <w:b/>
          <w:i/>
        </w:rPr>
        <w:t>Rūpniecības produkcijas apjoma indekss un tā gada pieauguma tempi pret iepriekšējā gada attiecīgo mēnesi (sezonāli izlīdzināti dati, %)</w:t>
      </w:r>
    </w:p>
    <w:p w:rsidR="00871285" w:rsidRPr="008E751D" w:rsidRDefault="00871285" w:rsidP="00871285">
      <w:r w:rsidRPr="008E751D">
        <w:t xml:space="preserve">Līdz ar 2012. gada martā fiksēto rūpniecības izlaides pieaugumu, izlaides apjoms vairs tikai par 2% atpaliek no pirmskrīzes augstākā punkta 2008. gada februārī. Tomēr jāatzīmē, ka kopš pērnā gada jūnija rūpniecības izlaides līmenis kopumā saglabājas stabils un būtiski nav palielinājies, tādējādi gada pieauguma tempi lielākoties balstās uz bāzes efektu. </w:t>
      </w:r>
    </w:p>
    <w:p w:rsidR="00871285" w:rsidRPr="008E751D" w:rsidRDefault="00871285" w:rsidP="00871285">
      <w:r w:rsidRPr="008E751D">
        <w:t>Lielākais devums rūpniecības pieaugumā bijis no apstrādes rūpniecības, kas šā gada pirmajā ceturksnī salīdzinājumā ar iepriekšējā gada atbilstošo ceturksni palielinājusies par 14,8%. Papildus tam par 21% palielinājusies ieguves rūpniecības izlaide, savukārt elektroenerģijas un gāzes apgādes nozarē izlaide samazinājusies par 5,8 procentiem.</w:t>
      </w:r>
    </w:p>
    <w:p w:rsidR="00871285" w:rsidRDefault="00871285" w:rsidP="00871285">
      <w:r w:rsidRPr="008E751D">
        <w:t>Lielāko ieguldījumu apstrādes rūpniecības pieaugumā 2012. gada pirmajā ceturksnī salīdzinājumā 2011. gada attiecīgo ceturksni devušas metālu ražošana, kā arī kokapstrāde un mēbeļu ražošana, kuru izlaide šajā periodā palielinājusies par attiecīgi 32,2% un 8</w:t>
      </w:r>
      <w:r w:rsidR="00DE0B9F">
        <w:t>,0 </w:t>
      </w:r>
      <w:r w:rsidRPr="008E751D">
        <w:t xml:space="preserve"> procentiem. Papildus šīm nozarēm vērā ņemami pieaugumi fiksēti arī mašīnbūvē par 28,1% un ķīmijas un farmācijas nozarē –</w:t>
      </w:r>
      <w:r>
        <w:t xml:space="preserve"> par</w:t>
      </w:r>
      <w:r w:rsidRPr="008E751D">
        <w:t xml:space="preserve"> 20,7 procentiem. Līdzīgi kā iepriekšējos gados stagnācija turpinās pārtikas un dzērienu ražošanas nozarē, kuras izlaides apjoms šā gada pirmajā ceturksnī salīdzinājumā ar iepriekšējā gada attiecīgo gadu samazinājās par 0,4</w:t>
      </w:r>
      <w:r w:rsidR="00DE0B9F" w:rsidRPr="00DE0B9F">
        <w:t xml:space="preserve"> </w:t>
      </w:r>
      <w:r w:rsidR="00DE0B9F">
        <w:t>procentiem</w:t>
      </w:r>
      <w:r w:rsidRPr="008E751D">
        <w:t xml:space="preserve">. Izlaides </w:t>
      </w:r>
      <w:r w:rsidRPr="00CC04D7">
        <w:t>tempi kļuvuši negatīvi arī vieglajā rūpniecībā, ko noteica apģērbu izlaides samazinājums salīdzinājumā ar iepriekšējā gada atbilstošo periodu par 9,6 procentiem.</w:t>
      </w:r>
      <w:r w:rsidRPr="008E751D">
        <w:t xml:space="preserve"> No pārējām nozarēm lielākais pieaugums vērojams iekārtu un ierīču remontā </w:t>
      </w:r>
      <w:r>
        <w:t xml:space="preserve">- </w:t>
      </w:r>
      <w:r w:rsidRPr="008E751D">
        <w:t xml:space="preserve">par 114,5 procentiem. </w:t>
      </w:r>
    </w:p>
    <w:p w:rsidR="004B7E4C" w:rsidRDefault="004B7E4C" w:rsidP="004B7E4C">
      <w:pPr>
        <w:ind w:firstLine="0"/>
        <w:jc w:val="center"/>
      </w:pPr>
      <w:r w:rsidRPr="00E524C6">
        <w:rPr>
          <w:noProof/>
          <w:lang w:eastAsia="lv-LV"/>
        </w:rPr>
        <w:lastRenderedPageBreak/>
        <w:drawing>
          <wp:inline distT="0" distB="0" distL="0" distR="0" wp14:anchorId="5E9716F5" wp14:editId="6558AF6F">
            <wp:extent cx="5760085" cy="22580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2258060"/>
                    </a:xfrm>
                    <a:prstGeom prst="rect">
                      <a:avLst/>
                    </a:prstGeom>
                    <a:noFill/>
                    <a:ln>
                      <a:noFill/>
                    </a:ln>
                  </pic:spPr>
                </pic:pic>
              </a:graphicData>
            </a:graphic>
          </wp:inline>
        </w:drawing>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819"/>
      </w:tblGrid>
      <w:tr w:rsidR="004B7E4C" w:rsidTr="004B7E4C">
        <w:tc>
          <w:tcPr>
            <w:tcW w:w="4503" w:type="dxa"/>
          </w:tcPr>
          <w:p w:rsidR="004B7E4C" w:rsidRDefault="004B7E4C" w:rsidP="004B7E4C">
            <w:pPr>
              <w:ind w:firstLine="0"/>
              <w:jc w:val="center"/>
              <w:rPr>
                <w:b/>
                <w:i/>
              </w:rPr>
            </w:pPr>
            <w:r>
              <w:rPr>
                <w:b/>
                <w:i/>
              </w:rPr>
              <w:t>3</w:t>
            </w:r>
            <w:r w:rsidRPr="008E751D">
              <w:rPr>
                <w:b/>
                <w:i/>
              </w:rPr>
              <w:t>.att. Apstrādes rūpniecības nozaru pievienotās vērtības struktūra (2012</w:t>
            </w:r>
            <w:r>
              <w:rPr>
                <w:b/>
                <w:i/>
              </w:rPr>
              <w:t>. gad</w:t>
            </w:r>
            <w:r w:rsidRPr="008E751D">
              <w:rPr>
                <w:b/>
                <w:i/>
              </w:rPr>
              <w:t>a I ceturksnis)</w:t>
            </w:r>
          </w:p>
          <w:p w:rsidR="004B7E4C" w:rsidRDefault="004B7E4C" w:rsidP="004B7E4C">
            <w:pPr>
              <w:ind w:firstLine="0"/>
              <w:jc w:val="center"/>
              <w:rPr>
                <w:b/>
                <w:i/>
              </w:rPr>
            </w:pPr>
          </w:p>
        </w:tc>
        <w:tc>
          <w:tcPr>
            <w:tcW w:w="4819" w:type="dxa"/>
          </w:tcPr>
          <w:p w:rsidR="004B7E4C" w:rsidRDefault="004B7E4C" w:rsidP="004B7E4C">
            <w:pPr>
              <w:ind w:firstLine="0"/>
              <w:jc w:val="center"/>
              <w:rPr>
                <w:b/>
                <w:i/>
              </w:rPr>
            </w:pPr>
            <w:r>
              <w:rPr>
                <w:b/>
                <w:i/>
              </w:rPr>
              <w:t>4</w:t>
            </w:r>
            <w:r w:rsidRPr="008E751D">
              <w:rPr>
                <w:b/>
                <w:i/>
              </w:rPr>
              <w:t xml:space="preserve">. </w:t>
            </w:r>
            <w:proofErr w:type="spellStart"/>
            <w:r w:rsidRPr="008E751D">
              <w:rPr>
                <w:b/>
                <w:i/>
              </w:rPr>
              <w:t>att</w:t>
            </w:r>
            <w:proofErr w:type="spellEnd"/>
            <w:r w:rsidRPr="008E751D">
              <w:rPr>
                <w:b/>
                <w:i/>
              </w:rPr>
              <w:t>. Apstrādes rūpniecības nozaru izlaides apjoma izmaiņas 2012.g. pirmajā ceturksnī, salīdzinot ar attiecīgo laika periodu 201</w:t>
            </w:r>
            <w:r>
              <w:rPr>
                <w:b/>
                <w:i/>
              </w:rPr>
              <w:t>1</w:t>
            </w:r>
            <w:r w:rsidRPr="008E751D">
              <w:rPr>
                <w:b/>
                <w:i/>
              </w:rPr>
              <w:t>.g., %</w:t>
            </w:r>
          </w:p>
        </w:tc>
      </w:tr>
    </w:tbl>
    <w:p w:rsidR="00871285" w:rsidRPr="008E751D" w:rsidRDefault="00871285" w:rsidP="004B7E4C">
      <w:pPr>
        <w:ind w:firstLine="720"/>
        <w:rPr>
          <w:color w:val="FF0000"/>
          <w:szCs w:val="24"/>
        </w:rPr>
      </w:pPr>
      <w:r w:rsidRPr="008E751D">
        <w:rPr>
          <w:szCs w:val="24"/>
        </w:rPr>
        <w:t xml:space="preserve">Ražotāju cenas 2012. gada pirmajā ceturksnī salīdzinājumā ar 2011. gada </w:t>
      </w:r>
      <w:r w:rsidRPr="00727B3F">
        <w:rPr>
          <w:szCs w:val="24"/>
        </w:rPr>
        <w:t>attiecīgo periodu augušas par 6,4</w:t>
      </w:r>
      <w:r w:rsidR="005C30F5" w:rsidRPr="005C30F5">
        <w:rPr>
          <w:szCs w:val="24"/>
        </w:rPr>
        <w:t xml:space="preserve"> </w:t>
      </w:r>
      <w:r w:rsidR="005C30F5">
        <w:rPr>
          <w:szCs w:val="24"/>
        </w:rPr>
        <w:t>procentiem</w:t>
      </w:r>
      <w:r w:rsidRPr="00727B3F">
        <w:rPr>
          <w:szCs w:val="24"/>
        </w:rPr>
        <w:t>. Jāatzīmē, ka ražotāju cenu pieauguma temps</w:t>
      </w:r>
      <w:r w:rsidRPr="008E751D">
        <w:rPr>
          <w:szCs w:val="24"/>
        </w:rPr>
        <w:t xml:space="preserve"> turpina samazināties, kā arī vērojamas būtiskas</w:t>
      </w:r>
      <w:r>
        <w:rPr>
          <w:szCs w:val="24"/>
        </w:rPr>
        <w:t xml:space="preserve"> atšķirības cenu dinamikā starp</w:t>
      </w:r>
      <w:r w:rsidRPr="008E751D">
        <w:rPr>
          <w:szCs w:val="24"/>
        </w:rPr>
        <w:t xml:space="preserve"> ražotāju cenām eksportam un vietējam tirgum. Eksporta cenu dinamika atspoguļo pasaules izejvielu cenu izmaiņas, kuras, neskaitot pēdējo mēnešu naftas cenu svārstības, pēc palielinājuma 2010. un 2011. gadā ir stabilizējušās un vairs nepieaug. Savukārt vietējo cenu pieaugums skaidrojams ar pērn notikušajiem  elektroenerģijas un gāzes cenu palielinājumiem, ko tiešā veidā patērē iekšējais tirgus. Turpmākajos mēnešos ražotāju cenu gada pieauguma tempi vietējā tirgū realizētai produkcijai turpinās samazināties. </w:t>
      </w:r>
    </w:p>
    <w:p w:rsidR="00871285" w:rsidRPr="008E751D" w:rsidRDefault="00871285" w:rsidP="00871285">
      <w:pPr>
        <w:ind w:firstLine="0"/>
        <w:rPr>
          <w:b/>
          <w:szCs w:val="24"/>
        </w:rPr>
      </w:pPr>
      <w:r w:rsidRPr="008E751D">
        <w:rPr>
          <w:noProof/>
          <w:lang w:eastAsia="lv-LV"/>
        </w:rPr>
        <w:drawing>
          <wp:inline distT="0" distB="0" distL="0" distR="0" wp14:anchorId="164F2DE3" wp14:editId="76A01AE7">
            <wp:extent cx="5565775" cy="31407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5775" cy="3140710"/>
                    </a:xfrm>
                    <a:prstGeom prst="rect">
                      <a:avLst/>
                    </a:prstGeom>
                    <a:noFill/>
                    <a:ln>
                      <a:noFill/>
                    </a:ln>
                  </pic:spPr>
                </pic:pic>
              </a:graphicData>
            </a:graphic>
          </wp:inline>
        </w:drawing>
      </w:r>
    </w:p>
    <w:p w:rsidR="00871285" w:rsidRPr="008E751D" w:rsidRDefault="00871285" w:rsidP="00871285">
      <w:pPr>
        <w:ind w:firstLine="0"/>
        <w:jc w:val="center"/>
        <w:rPr>
          <w:b/>
          <w:i/>
        </w:rPr>
      </w:pPr>
      <w:r>
        <w:rPr>
          <w:b/>
          <w:i/>
        </w:rPr>
        <w:t>5</w:t>
      </w:r>
      <w:r w:rsidRPr="008E751D">
        <w:rPr>
          <w:b/>
          <w:i/>
        </w:rPr>
        <w:t>. att</w:t>
      </w:r>
      <w:r w:rsidRPr="008E751D">
        <w:t xml:space="preserve">. </w:t>
      </w:r>
      <w:r w:rsidRPr="008E751D">
        <w:rPr>
          <w:b/>
          <w:i/>
        </w:rPr>
        <w:t>Ražotāju cenu izmaiņas, % salīdzinājumā ar iepriekšējā gada atbilstošo periodu</w:t>
      </w:r>
    </w:p>
    <w:p w:rsidR="00871285" w:rsidRPr="008E751D" w:rsidRDefault="00871285" w:rsidP="00871285">
      <w:pPr>
        <w:ind w:firstLine="720"/>
      </w:pPr>
      <w:r w:rsidRPr="008E751D">
        <w:lastRenderedPageBreak/>
        <w:t>Uzņēmēju vērtējumā būtiskākais Latvijas ražošanu ierobežojošais faktors</w:t>
      </w:r>
      <w:r w:rsidRPr="008E751D">
        <w:rPr>
          <w:rStyle w:val="FootnoteReference"/>
        </w:rPr>
        <w:footnoteReference w:id="1"/>
      </w:r>
      <w:r w:rsidRPr="008E751D">
        <w:t xml:space="preserve"> 2012</w:t>
      </w:r>
      <w:r>
        <w:t>. gad</w:t>
      </w:r>
      <w:r w:rsidRPr="008E751D">
        <w:t>ā sākumā līdzīgi kā 2011. gadā kopumā ir bijis pieprasījuma trūkums. Ja 2011. gada nogalē pieprasījumu kā kavējošo faktoru minēja 37,7% uzņēmēju, tad 2012. gada otrā ceturkšņa sākumā pieprasījuma trūkumu kā kavējošo faktoru minējuši jau 41,2% no uzņēmējiem, kas ir augstākais rādītājs kopš 2010. gada pirmā ceturkšņa. Pārējie ražošanu ietekmējošie faktori ir daudz mazāk izplatīti. Jāatzīmē, ka 2012. gada pirmajā pusē ražotājiem būtiski mazinājušās problēmas piesaistīt finansējumu un 2012. gada otrajā ceturk</w:t>
      </w:r>
      <w:r>
        <w:t>šņa sākumā</w:t>
      </w:r>
      <w:r w:rsidRPr="008E751D">
        <w:t xml:space="preserve"> tikai 1,5% ražotāju finansējumu norāda kā traucējošo faktoru</w:t>
      </w:r>
      <w:r>
        <w:t>,</w:t>
      </w:r>
      <w:r w:rsidRPr="008E751D">
        <w:t xml:space="preserve"> salīdzinājumā ar 15,5% pērnā gada attiecīgajā periodā.</w:t>
      </w:r>
      <w:r>
        <w:t xml:space="preserve"> Tas varētu būt daļēji saistīts ar kredītu pieejamības palielināšanos, par ko liecina no jauna izsniegto kredītu apjoms uzņēmējiem, kas salīdzinājumā ar 2011. gada pirmo ceturksni palielinājies </w:t>
      </w:r>
      <w:r w:rsidRPr="00CC04D7">
        <w:t>par 104%</w:t>
      </w:r>
      <w:r>
        <w:t xml:space="preserve"> un šā gada pirmajā ceturksnī sasniedza 177 </w:t>
      </w:r>
      <w:proofErr w:type="spellStart"/>
      <w:r>
        <w:t>milj</w:t>
      </w:r>
      <w:proofErr w:type="spellEnd"/>
      <w:r>
        <w:t xml:space="preserve">. </w:t>
      </w:r>
      <w:r w:rsidR="005C30F5">
        <w:t>latu.</w:t>
      </w:r>
      <w:r>
        <w:t>.</w:t>
      </w:r>
    </w:p>
    <w:p w:rsidR="00871285" w:rsidRPr="008E751D" w:rsidRDefault="00871285" w:rsidP="00871285">
      <w:pPr>
        <w:ind w:firstLine="720"/>
      </w:pPr>
      <w:r w:rsidRPr="008E751D">
        <w:t>Ražošanas turpmāku strauju pieaugumu kavē arī jaudu trūkums. 2012</w:t>
      </w:r>
      <w:r>
        <w:t>. gad</w:t>
      </w:r>
      <w:r w:rsidRPr="008E751D">
        <w:t>a otrajā ceturksnī jaudu noslodze apstrādes rūpniecībā augusi par 4,4%, salīdzinot ar 2011</w:t>
      </w:r>
      <w:r>
        <w:t>. gad</w:t>
      </w:r>
      <w:r w:rsidRPr="008E751D">
        <w:t xml:space="preserve">a attiecīgo periodu, </w:t>
      </w:r>
      <w:r>
        <w:t>un sasniegusi</w:t>
      </w:r>
      <w:r w:rsidRPr="008E751D">
        <w:t xml:space="preserve"> 71,4</w:t>
      </w:r>
      <w:r w:rsidR="000E7B3F" w:rsidRPr="000E7B3F">
        <w:t xml:space="preserve"> </w:t>
      </w:r>
      <w:r w:rsidR="000055E4" w:rsidRPr="000055E4">
        <w:t>procentu</w:t>
      </w:r>
      <w:r w:rsidR="000055E4">
        <w:t>s</w:t>
      </w:r>
      <w:r w:rsidRPr="008E751D">
        <w:t>. Šis ir augstākais jaudu noslodzes rādītājs kopš 2007. gada pēdējā ceturkšņa. Latvija</w:t>
      </w:r>
      <w:r>
        <w:t>s apstrādes rūpniecības lielāk</w:t>
      </w:r>
      <w:r w:rsidRPr="008E751D">
        <w:t>ās nozares - kokapstrādes ražotāji 2012</w:t>
      </w:r>
      <w:r>
        <w:t>. gad</w:t>
      </w:r>
      <w:r w:rsidRPr="008E751D">
        <w:t>a 2.ceturksnī strādāja ar vēsturiski augstāko jaudu noslodzes līmeni. Tas norāda uz ierobežotām iespējām vēl turpmāk palielināt izlaid</w:t>
      </w:r>
      <w:r>
        <w:t>i</w:t>
      </w:r>
      <w:r w:rsidRPr="00B34ECC">
        <w:t xml:space="preserve"> </w:t>
      </w:r>
      <w:r>
        <w:t>bez papildus investīciju piesaistes.</w:t>
      </w:r>
    </w:p>
    <w:p w:rsidR="00871285" w:rsidRPr="008E751D" w:rsidRDefault="00871285" w:rsidP="00871285">
      <w:pPr>
        <w:ind w:firstLine="0"/>
        <w:jc w:val="center"/>
      </w:pPr>
      <w:r w:rsidRPr="008E751D">
        <w:rPr>
          <w:noProof/>
          <w:lang w:eastAsia="lv-LV"/>
        </w:rPr>
        <w:drawing>
          <wp:inline distT="0" distB="0" distL="0" distR="0" wp14:anchorId="77350E05" wp14:editId="4967CAA1">
            <wp:extent cx="5760085" cy="3022754"/>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3022754"/>
                    </a:xfrm>
                    <a:prstGeom prst="rect">
                      <a:avLst/>
                    </a:prstGeom>
                    <a:noFill/>
                    <a:ln>
                      <a:noFill/>
                    </a:ln>
                  </pic:spPr>
                </pic:pic>
              </a:graphicData>
            </a:graphic>
          </wp:inline>
        </w:drawing>
      </w:r>
    </w:p>
    <w:p w:rsidR="00871285" w:rsidRPr="008E751D" w:rsidRDefault="00871285" w:rsidP="00871285">
      <w:pPr>
        <w:ind w:firstLine="0"/>
        <w:jc w:val="center"/>
        <w:rPr>
          <w:b/>
          <w:i/>
        </w:rPr>
      </w:pPr>
      <w:r>
        <w:rPr>
          <w:b/>
          <w:i/>
        </w:rPr>
        <w:t>6</w:t>
      </w:r>
      <w:r w:rsidRPr="008E751D">
        <w:rPr>
          <w:b/>
          <w:i/>
        </w:rPr>
        <w:t>. att</w:t>
      </w:r>
      <w:r w:rsidRPr="008E751D">
        <w:t xml:space="preserve">. </w:t>
      </w:r>
      <w:r w:rsidRPr="008E751D">
        <w:rPr>
          <w:b/>
          <w:i/>
        </w:rPr>
        <w:t>Jaudu izmantošana apstrādes rūpniecības nozarēs, %</w:t>
      </w:r>
      <w:r w:rsidRPr="008E751D">
        <w:rPr>
          <w:rStyle w:val="FootnoteReference"/>
        </w:rPr>
        <w:footnoteReference w:id="2"/>
      </w:r>
    </w:p>
    <w:p w:rsidR="00871285" w:rsidRPr="008E751D" w:rsidRDefault="00871285" w:rsidP="00871285">
      <w:pPr>
        <w:ind w:firstLine="720"/>
      </w:pPr>
      <w:r w:rsidRPr="00CC04D7">
        <w:t>Tuvu iepriekš novērotajam maksimumam jaudas izmantoja arī apģērbu ražošanas nozare.</w:t>
      </w:r>
      <w:r w:rsidRPr="008E751D">
        <w:t xml:space="preserve"> Toties problēmu ar jaudu nepietiekamību nav ķīmi</w:t>
      </w:r>
      <w:r>
        <w:t>sko vielu</w:t>
      </w:r>
      <w:r w:rsidRPr="008E751D">
        <w:t xml:space="preserve"> </w:t>
      </w:r>
      <w:r w:rsidRPr="008E751D">
        <w:lastRenderedPageBreak/>
        <w:t xml:space="preserve">un </w:t>
      </w:r>
      <w:r>
        <w:t>ķīmisko produktu</w:t>
      </w:r>
      <w:r w:rsidRPr="008E751D">
        <w:t xml:space="preserve"> ražošanā, kā arī nozarēm, kuru izlaide vēl būtiski atpaliek no pirmskrīzes līmeņa – kā nemetālu, dzērienu, mēbeļu ražotājiem.</w:t>
      </w:r>
    </w:p>
    <w:p w:rsidR="00871285" w:rsidRPr="008E751D" w:rsidRDefault="00871285" w:rsidP="00871285">
      <w:r w:rsidRPr="008E751D">
        <w:t>Latvijas ekonomikas atlabšana arvien balstās uz rūpniecības un eksporta pieaugumu. Šī gada pirmajā ceturksnī gandrīz 65% no apstrādes rūpniecības apgrozījuma tika eksportēta, savukārt atsevišķās apakšnozarēs eksporta īpatsvars pārsniedz 90% no izlaides, tādēļ ārējā vide un rūpniecības attīstība reģionā ir svarīgi indikatori, vērtējot rūpniecības un visas ekonomikas attīstības perspektīvas Latvijā. Svarīgi uzsvērt, ka</w:t>
      </w:r>
      <w:r>
        <w:t xml:space="preserve"> k</w:t>
      </w:r>
      <w:r w:rsidRPr="008E751D">
        <w:t xml:space="preserve">opš pērnā gada nogales apstrādes rūpniecības pieauguma tempi Eiropas Savienībā mazinājušies un šī gada </w:t>
      </w:r>
      <w:r>
        <w:t>pirmajā ceturksnī</w:t>
      </w:r>
      <w:r w:rsidRPr="008E751D">
        <w:t xml:space="preserve"> rūpniecības pieauguma tempi Eiropas Savienībā jau ir kļuvuši negatīvi. </w:t>
      </w:r>
      <w:r>
        <w:t xml:space="preserve">Tomēr </w:t>
      </w:r>
      <w:r w:rsidRPr="008E751D">
        <w:t xml:space="preserve">Latvijai svarīgākajos tirgos – </w:t>
      </w:r>
      <w:r>
        <w:t>Lietuvā</w:t>
      </w:r>
      <w:r w:rsidRPr="008E751D">
        <w:t>, Vācijā, Polijā tie joprojām ir pozitīvi, lai gan pieaugum</w:t>
      </w:r>
      <w:r>
        <w:t>a</w:t>
      </w:r>
      <w:r w:rsidRPr="008E751D">
        <w:t xml:space="preserve"> temp</w:t>
      </w:r>
      <w:r>
        <w:t>i</w:t>
      </w:r>
      <w:r w:rsidRPr="008E751D">
        <w:t xml:space="preserve"> ir būtiski zemāk</w:t>
      </w:r>
      <w:r>
        <w:t>i</w:t>
      </w:r>
      <w:r w:rsidRPr="008E751D">
        <w:t xml:space="preserve"> nekā Latvijā. Savukārt </w:t>
      </w:r>
      <w:r>
        <w:t>Igaunijā</w:t>
      </w:r>
      <w:r w:rsidRPr="008E751D">
        <w:t xml:space="preserve"> un Zviedrijā gada pieauguma tempi jau kļuvuši negatīvi.</w:t>
      </w:r>
    </w:p>
    <w:p w:rsidR="00871285" w:rsidRPr="008E751D" w:rsidRDefault="00871285" w:rsidP="00871285">
      <w:pPr>
        <w:ind w:firstLine="0"/>
      </w:pPr>
      <w:r w:rsidRPr="00383489">
        <w:rPr>
          <w:noProof/>
          <w:lang w:eastAsia="lv-LV"/>
        </w:rPr>
        <w:drawing>
          <wp:inline distT="0" distB="0" distL="0" distR="0" wp14:anchorId="2DD56339" wp14:editId="6E4C4849">
            <wp:extent cx="5760085" cy="3255647"/>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3255647"/>
                    </a:xfrm>
                    <a:prstGeom prst="rect">
                      <a:avLst/>
                    </a:prstGeom>
                    <a:noFill/>
                    <a:ln>
                      <a:noFill/>
                    </a:ln>
                  </pic:spPr>
                </pic:pic>
              </a:graphicData>
            </a:graphic>
          </wp:inline>
        </w:drawing>
      </w:r>
    </w:p>
    <w:p w:rsidR="00871285" w:rsidRPr="008E751D" w:rsidRDefault="00871285" w:rsidP="00871285">
      <w:pPr>
        <w:ind w:firstLine="0"/>
        <w:jc w:val="center"/>
        <w:rPr>
          <w:b/>
          <w:i/>
          <w:sz w:val="24"/>
        </w:rPr>
      </w:pPr>
      <w:r>
        <w:rPr>
          <w:b/>
          <w:i/>
        </w:rPr>
        <w:t>7</w:t>
      </w:r>
      <w:r w:rsidRPr="008E751D">
        <w:rPr>
          <w:b/>
          <w:i/>
        </w:rPr>
        <w:t>. att</w:t>
      </w:r>
      <w:r w:rsidRPr="008E751D">
        <w:t xml:space="preserve">. </w:t>
      </w:r>
      <w:r w:rsidRPr="008E751D">
        <w:rPr>
          <w:b/>
          <w:i/>
        </w:rPr>
        <w:t>Rūpniecības produkcijas apjoma pieaugums ES valstīs 2012</w:t>
      </w:r>
      <w:r>
        <w:rPr>
          <w:b/>
          <w:i/>
        </w:rPr>
        <w:t>. gad</w:t>
      </w:r>
      <w:r w:rsidRPr="008E751D">
        <w:rPr>
          <w:b/>
          <w:i/>
        </w:rPr>
        <w:t xml:space="preserve">a </w:t>
      </w:r>
      <w:r>
        <w:rPr>
          <w:b/>
          <w:i/>
        </w:rPr>
        <w:t>1. ceturksnī</w:t>
      </w:r>
      <w:r w:rsidRPr="008E751D">
        <w:rPr>
          <w:b/>
          <w:i/>
        </w:rPr>
        <w:t>, salīdzinot ar 2011</w:t>
      </w:r>
      <w:r>
        <w:rPr>
          <w:b/>
          <w:i/>
        </w:rPr>
        <w:t>. gad</w:t>
      </w:r>
      <w:r w:rsidRPr="008E751D">
        <w:rPr>
          <w:b/>
          <w:i/>
        </w:rPr>
        <w:t>a attiecīgo periodu</w:t>
      </w:r>
      <w:r w:rsidRPr="008E751D">
        <w:rPr>
          <w:b/>
          <w:i/>
          <w:sz w:val="24"/>
        </w:rPr>
        <w:t xml:space="preserve"> (sezonāli izlīdzināti dati, %)</w:t>
      </w:r>
    </w:p>
    <w:p w:rsidR="00871285" w:rsidRPr="008E751D" w:rsidRDefault="00871285" w:rsidP="00871285">
      <w:r w:rsidRPr="008E751D">
        <w:t xml:space="preserve">Līdzšinējie ārējās vides riski Latvijas rūpniecībai nav būtiski mazinājušies un nozari joprojām apdraud pieprasījuma samazinājums būtiskajos eksporta tirgos </w:t>
      </w:r>
      <w:proofErr w:type="spellStart"/>
      <w:r w:rsidRPr="008E751D">
        <w:t>eirozonas</w:t>
      </w:r>
      <w:proofErr w:type="spellEnd"/>
      <w:r w:rsidRPr="008E751D">
        <w:t xml:space="preserve"> finanšu krīzes un ekonomiskās stagnācijas ietekmē. Aprīlī pasliktinājies gan Latvijas, gan visas Eiropas Savienības uzņēmēju vērtējums par nozares tuvākajām perspektīvām, kas jau tuvākajos mēnešos var atspoguļoties rūpniecības izlaides datos. Latvijā rūpniecības konfidences rādītājs noslīdējis līdz zemākajam līmenim kopš pagājušā gada augusta, un pasliktinājums vērojams praktiski visos rādītājos – gan attiecībā uz pašreizējiem ražošanas apjomiem, gan ražošanas apjomiem tuvākajos mēnešos, gan pasūtījumu līmeni. Līdz ar to nākamajos mēnešos rūpniecības izaugsme varētu palēnināties, ko </w:t>
      </w:r>
      <w:r w:rsidRPr="008E751D">
        <w:lastRenderedPageBreak/>
        <w:t>ietekmēs arī pagājušā gada attiecīgajos mēnešos sasniegtie augstie izlaides rādītāji.</w:t>
      </w:r>
    </w:p>
    <w:p w:rsidR="00871285" w:rsidRPr="00263C22" w:rsidRDefault="00871285" w:rsidP="00263C22">
      <w:pPr>
        <w:jc w:val="center"/>
        <w:rPr>
          <w:b/>
        </w:rPr>
      </w:pPr>
      <w:r w:rsidRPr="00263C22">
        <w:rPr>
          <w:b/>
        </w:rPr>
        <w:t>Mazumtirdzniecība</w:t>
      </w:r>
    </w:p>
    <w:p w:rsidR="00871285" w:rsidRPr="008E751D" w:rsidRDefault="00871285" w:rsidP="00871285">
      <w:r>
        <w:t>M</w:t>
      </w:r>
      <w:r w:rsidRPr="008E751D">
        <w:t xml:space="preserve">azumtirdzniecības nozares </w:t>
      </w:r>
      <w:r>
        <w:t>g</w:t>
      </w:r>
      <w:r w:rsidRPr="008E751D">
        <w:t>ada pieauguma tempi visu 2012. gada pirmo ceturksni priecē ar divciparu sniegumu - martā, salīdzinot ar iepriekšējā gada atbilstošo periodu, apgrozījums pieauga par 10</w:t>
      </w:r>
      <w:r w:rsidR="000E7B3F" w:rsidRPr="000E7B3F">
        <w:t xml:space="preserve"> </w:t>
      </w:r>
      <w:r w:rsidR="000E7B3F">
        <w:t>procentiem</w:t>
      </w:r>
      <w:r w:rsidRPr="008E751D">
        <w:t xml:space="preserve">. </w:t>
      </w:r>
      <w:r>
        <w:t>Pirmajā ceturksnī, salīdzinot ar</w:t>
      </w:r>
      <w:r w:rsidRPr="008E751D">
        <w:t xml:space="preserve"> iepriekšējā gada atbilstošo ceturksni</w:t>
      </w:r>
      <w:r>
        <w:t>,</w:t>
      </w:r>
      <w:r w:rsidRPr="008E751D">
        <w:t xml:space="preserve"> mazumtirdzniecības apgrozījums ir pieaudzis par 11,7%, kas neapšaubāmi liecina par labāku situāciju privātajā patēriņā nekā pērn – ir uzlabojušies gan bezdarba rādītāji, gan arī ekonomi</w:t>
      </w:r>
      <w:r>
        <w:t>s</w:t>
      </w:r>
      <w:r w:rsidRPr="008E751D">
        <w:t>k</w:t>
      </w:r>
      <w:r>
        <w:t>ā</w:t>
      </w:r>
      <w:r w:rsidRPr="008E751D">
        <w:t xml:space="preserve"> aktivitāte kopumā.</w:t>
      </w:r>
    </w:p>
    <w:p w:rsidR="00871285" w:rsidRPr="008E751D" w:rsidRDefault="00871285" w:rsidP="00871285">
      <w:r w:rsidRPr="008E751D">
        <w:rPr>
          <w:noProof/>
          <w:lang w:eastAsia="lv-LV"/>
        </w:rPr>
        <w:drawing>
          <wp:inline distT="0" distB="0" distL="0" distR="0" wp14:anchorId="7F7E1CC4" wp14:editId="24227BF9">
            <wp:extent cx="5274310" cy="3216234"/>
            <wp:effectExtent l="0" t="0" r="254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3216234"/>
                    </a:xfrm>
                    <a:prstGeom prst="rect">
                      <a:avLst/>
                    </a:prstGeom>
                    <a:noFill/>
                    <a:ln>
                      <a:noFill/>
                    </a:ln>
                  </pic:spPr>
                </pic:pic>
              </a:graphicData>
            </a:graphic>
          </wp:inline>
        </w:drawing>
      </w:r>
    </w:p>
    <w:p w:rsidR="00871285" w:rsidRPr="008E751D" w:rsidRDefault="00871285" w:rsidP="00871285">
      <w:pPr>
        <w:pStyle w:val="Z"/>
      </w:pPr>
      <w:r>
        <w:t xml:space="preserve">8. </w:t>
      </w:r>
      <w:proofErr w:type="spellStart"/>
      <w:r>
        <w:t>att</w:t>
      </w:r>
      <w:proofErr w:type="spellEnd"/>
      <w:r>
        <w:t xml:space="preserve">. </w:t>
      </w:r>
      <w:r w:rsidRPr="008E751D">
        <w:t>Mazumtirdzniecības apgrozījuma pieaugums un preču grupu devums izaugsmē</w:t>
      </w:r>
      <w:r>
        <w:t>, %</w:t>
      </w:r>
    </w:p>
    <w:p w:rsidR="00871285" w:rsidRPr="008E751D" w:rsidRDefault="00871285" w:rsidP="00871285">
      <w:r w:rsidRPr="008E751D">
        <w:t>Īpaši spēcīgi pieauguma tempi ir vērojami nepārtikas preču tirdzniecībā – 2012. gada martā, salīdzinot ar iepriekšējā gada attiecīgo mēnesi, apgrozījums ir pieaudzis par 16,2</w:t>
      </w:r>
      <w:r w:rsidR="000E7B3F" w:rsidRPr="000E7B3F">
        <w:t xml:space="preserve"> </w:t>
      </w:r>
      <w:r w:rsidR="000E7B3F">
        <w:t>procentiem</w:t>
      </w:r>
      <w:r w:rsidRPr="008E751D">
        <w:t xml:space="preserve">. Šādu pieauguma tempu ir ļāvis sasniegt reālā darba algu fonda pieaugums, tomēr jāatzīmē, ka ietekme ir arī vienreizējiem faktoriem – 2011. gada izskaņā būtiski pieauga skaidras naudas apjoms, kas cirkulē Latvijas ekonomikā. To izraisīja īslaicīga panika banku sektorā – klientiem izņemot savus uzkrājumus no banku kontiem.  </w:t>
      </w:r>
    </w:p>
    <w:p w:rsidR="00871285" w:rsidRPr="008E751D" w:rsidRDefault="00871285" w:rsidP="00871285">
      <w:r w:rsidRPr="008E751D">
        <w:t xml:space="preserve">Redzējums par nākotnes tendencēm nozarē tomēr vēl arvien </w:t>
      </w:r>
      <w:r>
        <w:t xml:space="preserve">ir </w:t>
      </w:r>
      <w:r w:rsidRPr="008E751D">
        <w:t xml:space="preserve">piesardzīgs – gaidāms, ka </w:t>
      </w:r>
      <w:r>
        <w:t>gada vidū</w:t>
      </w:r>
      <w:r w:rsidRPr="008E751D">
        <w:t>, izzūdot bāzes efektam, gada pieauguma tempi būs mazāk iespaidīgi. Iespējams arī negatīvs efekts no degvielas cenu kāpuma, ietekmējot gan paša</w:t>
      </w:r>
      <w:r>
        <w:t>s</w:t>
      </w:r>
      <w:r w:rsidRPr="008E751D">
        <w:t xml:space="preserve"> degviela</w:t>
      </w:r>
      <w:r>
        <w:t>s</w:t>
      </w:r>
      <w:r w:rsidRPr="008E751D">
        <w:t>, gan arī nepārtikas pre</w:t>
      </w:r>
      <w:r>
        <w:t>ču pārdošanas apjomus</w:t>
      </w:r>
      <w:r w:rsidRPr="008E751D">
        <w:t xml:space="preserve">. Jāatzīmē, ka arī Eiropas Savienībā vēl ir daudzas neatrisinātas problēmas, kas pagaidām sāk atspoguļoties tikai ekonomiskās aktivitātes un atsevišķu nozaru </w:t>
      </w:r>
      <w:r w:rsidRPr="008E751D">
        <w:lastRenderedPageBreak/>
        <w:t xml:space="preserve">datos un, ņemot vērā integrēto tirgu, tas agri vai vēlu lielākā </w:t>
      </w:r>
      <w:r>
        <w:t>vai mazākā</w:t>
      </w:r>
      <w:r w:rsidRPr="008E751D">
        <w:t xml:space="preserve"> mērā atsauksies arī</w:t>
      </w:r>
      <w:r>
        <w:t xml:space="preserve"> </w:t>
      </w:r>
      <w:r w:rsidRPr="008E751D">
        <w:t>Latvijā.</w:t>
      </w:r>
    </w:p>
    <w:p w:rsidR="00871285" w:rsidRPr="00263C22" w:rsidRDefault="00871285" w:rsidP="00263C22">
      <w:pPr>
        <w:jc w:val="center"/>
        <w:rPr>
          <w:b/>
        </w:rPr>
      </w:pPr>
      <w:r w:rsidRPr="00263C22">
        <w:rPr>
          <w:b/>
        </w:rPr>
        <w:t>Transports</w:t>
      </w:r>
      <w:bookmarkEnd w:id="20"/>
      <w:bookmarkEnd w:id="21"/>
      <w:bookmarkEnd w:id="22"/>
    </w:p>
    <w:p w:rsidR="00871285" w:rsidRPr="00E66A59" w:rsidRDefault="00871285" w:rsidP="00871285">
      <w:bookmarkStart w:id="25" w:name="_Toc262026545"/>
      <w:r w:rsidRPr="00181850">
        <w:t xml:space="preserve">Transporta nozares </w:t>
      </w:r>
      <w:r>
        <w:t>izaugsmi</w:t>
      </w:r>
      <w:r w:rsidRPr="00181850">
        <w:t xml:space="preserve"> Latvijā 201</w:t>
      </w:r>
      <w:r>
        <w:t>1</w:t>
      </w:r>
      <w:r w:rsidRPr="00181850">
        <w:t>. gadā un 201</w:t>
      </w:r>
      <w:r>
        <w:t>2. gada pirmajā ceturksnī veicināja spēcīgā ekonomiskā izaugsme tuvākajās kaimiņvalstīs un augošais</w:t>
      </w:r>
      <w:r w:rsidRPr="00E66A59">
        <w:t xml:space="preserve"> pieprasījum</w:t>
      </w:r>
      <w:r>
        <w:t>s</w:t>
      </w:r>
      <w:r w:rsidRPr="00E66A59">
        <w:t xml:space="preserve"> pēc Latvijas tranzīta koridorā transportējamajām Krievijas eksporta precēm</w:t>
      </w:r>
      <w:r>
        <w:t>, ostu infrastruktūras attīstība, augošais tūristu skaits</w:t>
      </w:r>
      <w:r w:rsidRPr="00E66A59">
        <w:t>, kā arī iekšzemes pieprasījuma pakāpeniskā atjaunošanās, palielinot vietējo kravu pārvadājumu apjo</w:t>
      </w:r>
      <w:r>
        <w:t>mus.</w:t>
      </w:r>
    </w:p>
    <w:p w:rsidR="00871285" w:rsidRDefault="00871285" w:rsidP="00871285">
      <w:r w:rsidRPr="00E66A59">
        <w:t>201</w:t>
      </w:r>
      <w:r>
        <w:t>1</w:t>
      </w:r>
      <w:r w:rsidRPr="00E66A59">
        <w:t xml:space="preserve">. gadā kopā transporta un uzglabāšanas nozarē tika sasniegts </w:t>
      </w:r>
      <w:r>
        <w:t>8,0</w:t>
      </w:r>
      <w:r w:rsidRPr="00E66A59">
        <w:t>% p</w:t>
      </w:r>
      <w:r>
        <w:t>ieaugums un strauja attīstība turpinājās arī 2012. gada pirmajā ceturksnī.</w:t>
      </w:r>
    </w:p>
    <w:p w:rsidR="00871285" w:rsidRDefault="00871285" w:rsidP="00871285">
      <w:r>
        <w:t>Kravu apgrozījums Latvijas ostās 2012. gada pirmajā ceturksnī, salīdzinot ar 2011. gada pirmo ceturksni, palielinājās par 22,6% un sasniedza 22,0 miljonus tonnu. Tajā skaitā Rīgas ostā kravu apgrozījums auga par 23,6% līdz 9,5 miljoniem tonnu, Ventspils ostas kravu apgrozījums palielinājās par 19,1% līdz 8,5 miljoniem tonnu un Liepājas ostas kravu apgrozījums – par 42,9% līdz 1,7 miljoniem tonnu. Straujo kravu apgrozījuma pieaugumu noteica</w:t>
      </w:r>
      <w:r w:rsidR="00387666">
        <w:t>,</w:t>
      </w:r>
      <w:r>
        <w:t xml:space="preserve"> galvenokārt</w:t>
      </w:r>
      <w:r w:rsidR="00387666">
        <w:t>,</w:t>
      </w:r>
      <w:r>
        <w:t xml:space="preserve"> ogļu un naftas produktu apjomu pieaugums attiecīgi par 50,2% līdz 6,3 miljoniem tonnu un 20,8% līdz 7,2 miljoniem tonnu.</w:t>
      </w:r>
    </w:p>
    <w:p w:rsidR="00871285" w:rsidRDefault="00871285" w:rsidP="00871285">
      <w:r>
        <w:t xml:space="preserve">Pateicoties pirmajā ceturksnī sasniegtajam kāpumam, Latvijas ostas Rīga un Ventspils sasniegušas lielāko kravu apgrozījumu Baltijas valstīs un Baltijas jūras </w:t>
      </w:r>
      <w:proofErr w:type="spellStart"/>
      <w:r>
        <w:t>austrumkrastā</w:t>
      </w:r>
      <w:proofErr w:type="spellEnd"/>
      <w:r>
        <w:t xml:space="preserve"> atpaliek tikai no </w:t>
      </w:r>
      <w:proofErr w:type="spellStart"/>
      <w:r>
        <w:t>Primorskas</w:t>
      </w:r>
      <w:proofErr w:type="spellEnd"/>
      <w:r>
        <w:t xml:space="preserve"> un Sanktpēterburgas ostām.</w:t>
      </w:r>
    </w:p>
    <w:p w:rsidR="00871285" w:rsidRPr="00380B9F" w:rsidRDefault="00871285" w:rsidP="004F6F6E">
      <w:pPr>
        <w:jc w:val="right"/>
        <w:rPr>
          <w:b/>
          <w:i/>
        </w:rPr>
      </w:pPr>
      <w:r w:rsidRPr="00380B9F">
        <w:rPr>
          <w:b/>
          <w:i/>
        </w:rPr>
        <w:t xml:space="preserve">2. tabula. Kravu apgrozījums Baltijas jūras </w:t>
      </w:r>
      <w:proofErr w:type="spellStart"/>
      <w:r w:rsidRPr="00380B9F">
        <w:rPr>
          <w:b/>
          <w:i/>
        </w:rPr>
        <w:t>austrumkrasta</w:t>
      </w:r>
      <w:proofErr w:type="spellEnd"/>
      <w:r w:rsidRPr="00380B9F">
        <w:rPr>
          <w:b/>
          <w:i/>
        </w:rPr>
        <w:t xml:space="preserve"> ostās, </w:t>
      </w:r>
      <w:proofErr w:type="spellStart"/>
      <w:r w:rsidRPr="00380B9F">
        <w:rPr>
          <w:b/>
          <w:i/>
        </w:rPr>
        <w:t>tūkst</w:t>
      </w:r>
      <w:proofErr w:type="spellEnd"/>
      <w:r w:rsidRPr="00380B9F">
        <w:rPr>
          <w:b/>
          <w:i/>
        </w:rPr>
        <w:t>. t</w:t>
      </w:r>
      <w:r w:rsidRPr="00380B9F">
        <w:rPr>
          <w:b/>
          <w:i/>
          <w:vertAlign w:val="superscript"/>
        </w:rPr>
        <w:footnoteReference w:id="3"/>
      </w:r>
    </w:p>
    <w:tbl>
      <w:tblPr>
        <w:tblW w:w="9072" w:type="dxa"/>
        <w:tblInd w:w="108" w:type="dxa"/>
        <w:tblCellMar>
          <w:left w:w="0" w:type="dxa"/>
          <w:right w:w="0" w:type="dxa"/>
        </w:tblCellMar>
        <w:tblLook w:val="04A0" w:firstRow="1" w:lastRow="0" w:firstColumn="1" w:lastColumn="0" w:noHBand="0" w:noVBand="1"/>
      </w:tblPr>
      <w:tblGrid>
        <w:gridCol w:w="2127"/>
        <w:gridCol w:w="2268"/>
        <w:gridCol w:w="2268"/>
        <w:gridCol w:w="2409"/>
      </w:tblGrid>
      <w:tr w:rsidR="00871285" w:rsidRPr="00E66A59" w:rsidTr="00A761F0">
        <w:trPr>
          <w:cantSplit/>
          <w:trHeight w:val="271"/>
        </w:trPr>
        <w:tc>
          <w:tcPr>
            <w:tcW w:w="2127" w:type="dxa"/>
            <w:tcBorders>
              <w:bottom w:val="single" w:sz="4" w:space="0" w:color="auto"/>
              <w:right w:val="single" w:sz="4" w:space="0" w:color="auto"/>
            </w:tcBorders>
            <w:shd w:val="clear" w:color="auto" w:fill="auto"/>
            <w:tcMar>
              <w:top w:w="0" w:type="dxa"/>
              <w:left w:w="108" w:type="dxa"/>
              <w:bottom w:w="0" w:type="dxa"/>
              <w:right w:w="108" w:type="dxa"/>
            </w:tcMar>
            <w:hideMark/>
          </w:tcPr>
          <w:p w:rsidR="00871285" w:rsidRPr="00E66A59" w:rsidRDefault="00871285" w:rsidP="00A761F0">
            <w:pPr>
              <w:pStyle w:val="tabtekst"/>
              <w:jc w:val="center"/>
              <w:rPr>
                <w:b/>
                <w:bCs/>
                <w:sz w:val="24"/>
              </w:rPr>
            </w:pPr>
            <w:r w:rsidRPr="00E66A59">
              <w:rPr>
                <w:b/>
                <w:bCs/>
                <w:sz w:val="24"/>
              </w:rPr>
              <w:t>Osta</w:t>
            </w:r>
          </w:p>
        </w:tc>
        <w:tc>
          <w:tcPr>
            <w:tcW w:w="2268" w:type="dxa"/>
            <w:tcBorders>
              <w:left w:val="single" w:sz="4" w:space="0" w:color="auto"/>
              <w:bottom w:val="single" w:sz="4" w:space="0" w:color="auto"/>
            </w:tcBorders>
            <w:shd w:val="clear" w:color="auto" w:fill="auto"/>
            <w:tcMar>
              <w:top w:w="0" w:type="dxa"/>
              <w:left w:w="108" w:type="dxa"/>
              <w:bottom w:w="0" w:type="dxa"/>
              <w:right w:w="108" w:type="dxa"/>
            </w:tcMar>
          </w:tcPr>
          <w:p w:rsidR="00871285" w:rsidRPr="00E66A59" w:rsidRDefault="00871285" w:rsidP="00A761F0">
            <w:pPr>
              <w:pStyle w:val="tabtekst"/>
              <w:jc w:val="center"/>
              <w:rPr>
                <w:b/>
                <w:bCs/>
                <w:sz w:val="24"/>
              </w:rPr>
            </w:pPr>
            <w:r w:rsidRPr="00E66A59">
              <w:rPr>
                <w:b/>
                <w:bCs/>
                <w:sz w:val="24"/>
              </w:rPr>
              <w:t>201</w:t>
            </w:r>
            <w:r>
              <w:rPr>
                <w:b/>
                <w:bCs/>
                <w:sz w:val="24"/>
              </w:rPr>
              <w:t>1</w:t>
            </w:r>
            <w:r w:rsidRPr="00E66A59">
              <w:rPr>
                <w:b/>
                <w:bCs/>
                <w:sz w:val="24"/>
              </w:rPr>
              <w:t xml:space="preserve">.gada </w:t>
            </w:r>
          </w:p>
          <w:p w:rsidR="00871285" w:rsidRPr="00E66A59" w:rsidRDefault="00871285" w:rsidP="00A761F0">
            <w:pPr>
              <w:pStyle w:val="tabtekst"/>
              <w:jc w:val="center"/>
              <w:rPr>
                <w:b/>
                <w:bCs/>
                <w:sz w:val="24"/>
              </w:rPr>
            </w:pPr>
            <w:r>
              <w:rPr>
                <w:b/>
                <w:bCs/>
                <w:sz w:val="24"/>
              </w:rPr>
              <w:t>3</w:t>
            </w:r>
            <w:r w:rsidRPr="00E66A59">
              <w:rPr>
                <w:b/>
                <w:bCs/>
                <w:sz w:val="24"/>
              </w:rPr>
              <w:t xml:space="preserve"> mēneši</w:t>
            </w:r>
          </w:p>
        </w:tc>
        <w:tc>
          <w:tcPr>
            <w:tcW w:w="2268" w:type="dxa"/>
            <w:tcBorders>
              <w:bottom w:val="single" w:sz="4" w:space="0" w:color="auto"/>
            </w:tcBorders>
            <w:shd w:val="clear" w:color="auto" w:fill="auto"/>
            <w:vAlign w:val="center"/>
          </w:tcPr>
          <w:p w:rsidR="00871285" w:rsidRPr="00E66A59" w:rsidRDefault="00871285" w:rsidP="00A761F0">
            <w:pPr>
              <w:pStyle w:val="tabtekst"/>
              <w:jc w:val="center"/>
              <w:rPr>
                <w:b/>
                <w:bCs/>
                <w:sz w:val="24"/>
              </w:rPr>
            </w:pPr>
            <w:r w:rsidRPr="00E66A59">
              <w:rPr>
                <w:b/>
                <w:bCs/>
                <w:sz w:val="24"/>
              </w:rPr>
              <w:t>201</w:t>
            </w:r>
            <w:r>
              <w:rPr>
                <w:b/>
                <w:bCs/>
                <w:sz w:val="24"/>
              </w:rPr>
              <w:t>2</w:t>
            </w:r>
            <w:r w:rsidRPr="00E66A59">
              <w:rPr>
                <w:b/>
                <w:bCs/>
                <w:sz w:val="24"/>
              </w:rPr>
              <w:t xml:space="preserve">. gada </w:t>
            </w:r>
          </w:p>
          <w:p w:rsidR="00871285" w:rsidRPr="00E66A59" w:rsidRDefault="00871285" w:rsidP="00A761F0">
            <w:pPr>
              <w:pStyle w:val="tabtekst"/>
              <w:jc w:val="center"/>
              <w:rPr>
                <w:b/>
                <w:bCs/>
                <w:sz w:val="24"/>
              </w:rPr>
            </w:pPr>
            <w:r>
              <w:rPr>
                <w:b/>
                <w:bCs/>
                <w:sz w:val="24"/>
              </w:rPr>
              <w:t>3</w:t>
            </w:r>
            <w:r w:rsidRPr="00E66A59">
              <w:rPr>
                <w:b/>
                <w:bCs/>
                <w:sz w:val="24"/>
              </w:rPr>
              <w:t xml:space="preserve"> mēneši</w:t>
            </w:r>
          </w:p>
        </w:tc>
        <w:tc>
          <w:tcPr>
            <w:tcW w:w="2409" w:type="dxa"/>
            <w:tcBorders>
              <w:bottom w:val="single" w:sz="4" w:space="0" w:color="auto"/>
            </w:tcBorders>
            <w:shd w:val="clear" w:color="auto" w:fill="auto"/>
            <w:tcMar>
              <w:top w:w="0" w:type="dxa"/>
              <w:left w:w="108" w:type="dxa"/>
              <w:bottom w:w="0" w:type="dxa"/>
              <w:right w:w="108" w:type="dxa"/>
            </w:tcMar>
            <w:vAlign w:val="center"/>
            <w:hideMark/>
          </w:tcPr>
          <w:p w:rsidR="00871285" w:rsidRPr="00E66A59" w:rsidRDefault="00871285" w:rsidP="00A761F0">
            <w:pPr>
              <w:pStyle w:val="tabtekst"/>
              <w:jc w:val="center"/>
              <w:rPr>
                <w:b/>
                <w:bCs/>
                <w:sz w:val="24"/>
              </w:rPr>
            </w:pPr>
            <w:r w:rsidRPr="00E66A59">
              <w:rPr>
                <w:b/>
                <w:bCs/>
                <w:sz w:val="24"/>
              </w:rPr>
              <w:t>Izmaiņas, %</w:t>
            </w:r>
          </w:p>
        </w:tc>
      </w:tr>
      <w:tr w:rsidR="00871285" w:rsidRPr="00E66A59" w:rsidTr="00A761F0">
        <w:tc>
          <w:tcPr>
            <w:tcW w:w="2127" w:type="dxa"/>
            <w:tcBorders>
              <w:top w:val="single" w:sz="4" w:space="0" w:color="auto"/>
              <w:right w:val="single" w:sz="4" w:space="0" w:color="auto"/>
            </w:tcBorders>
            <w:shd w:val="clear" w:color="auto" w:fill="auto"/>
            <w:tcMar>
              <w:top w:w="0" w:type="dxa"/>
              <w:left w:w="108" w:type="dxa"/>
              <w:bottom w:w="0" w:type="dxa"/>
              <w:right w:w="108" w:type="dxa"/>
            </w:tcMar>
            <w:hideMark/>
          </w:tcPr>
          <w:p w:rsidR="00871285" w:rsidRPr="00E66A59" w:rsidRDefault="00871285" w:rsidP="00A761F0">
            <w:pPr>
              <w:pStyle w:val="tabtekst"/>
              <w:rPr>
                <w:bCs/>
                <w:sz w:val="24"/>
              </w:rPr>
            </w:pPr>
            <w:proofErr w:type="spellStart"/>
            <w:r w:rsidRPr="00E66A59">
              <w:rPr>
                <w:bCs/>
                <w:sz w:val="24"/>
              </w:rPr>
              <w:t>Primorska</w:t>
            </w:r>
            <w:proofErr w:type="spellEnd"/>
          </w:p>
        </w:tc>
        <w:tc>
          <w:tcPr>
            <w:tcW w:w="2268" w:type="dxa"/>
            <w:tcBorders>
              <w:top w:val="single" w:sz="4" w:space="0" w:color="auto"/>
              <w:left w:val="single" w:sz="4" w:space="0" w:color="auto"/>
            </w:tcBorders>
            <w:shd w:val="clear" w:color="auto" w:fill="auto"/>
            <w:tcMar>
              <w:top w:w="0" w:type="dxa"/>
              <w:left w:w="108" w:type="dxa"/>
              <w:bottom w:w="0" w:type="dxa"/>
              <w:right w:w="108" w:type="dxa"/>
            </w:tcMar>
            <w:hideMark/>
          </w:tcPr>
          <w:p w:rsidR="00871285" w:rsidRPr="00863BB1" w:rsidRDefault="00871285" w:rsidP="00A761F0">
            <w:pPr>
              <w:spacing w:after="0"/>
              <w:ind w:firstLine="0"/>
              <w:jc w:val="center"/>
              <w:rPr>
                <w:bCs/>
                <w:color w:val="000000"/>
                <w:sz w:val="24"/>
              </w:rPr>
            </w:pPr>
            <w:r w:rsidRPr="00863BB1">
              <w:rPr>
                <w:bCs/>
                <w:color w:val="000000"/>
                <w:sz w:val="24"/>
              </w:rPr>
              <w:t>17 684,9</w:t>
            </w:r>
          </w:p>
        </w:tc>
        <w:tc>
          <w:tcPr>
            <w:tcW w:w="2268" w:type="dxa"/>
            <w:tcBorders>
              <w:top w:val="single" w:sz="4" w:space="0" w:color="auto"/>
            </w:tcBorders>
            <w:shd w:val="clear" w:color="auto" w:fill="auto"/>
            <w:tcMar>
              <w:top w:w="0" w:type="dxa"/>
              <w:left w:w="108" w:type="dxa"/>
              <w:bottom w:w="0" w:type="dxa"/>
              <w:right w:w="108" w:type="dxa"/>
            </w:tcMar>
            <w:hideMark/>
          </w:tcPr>
          <w:p w:rsidR="00871285" w:rsidRPr="00863BB1" w:rsidRDefault="00871285" w:rsidP="00A761F0">
            <w:pPr>
              <w:spacing w:after="0"/>
              <w:ind w:firstLine="0"/>
              <w:jc w:val="center"/>
              <w:rPr>
                <w:bCs/>
                <w:color w:val="000000"/>
                <w:sz w:val="24"/>
              </w:rPr>
            </w:pPr>
            <w:r w:rsidRPr="00863BB1">
              <w:rPr>
                <w:bCs/>
                <w:color w:val="000000"/>
                <w:sz w:val="24"/>
              </w:rPr>
              <w:t>19 705,8</w:t>
            </w:r>
          </w:p>
        </w:tc>
        <w:tc>
          <w:tcPr>
            <w:tcW w:w="2409" w:type="dxa"/>
            <w:tcBorders>
              <w:top w:val="single" w:sz="4" w:space="0" w:color="auto"/>
            </w:tcBorders>
            <w:shd w:val="clear" w:color="auto" w:fill="auto"/>
            <w:tcMar>
              <w:top w:w="0" w:type="dxa"/>
              <w:left w:w="108" w:type="dxa"/>
              <w:bottom w:w="0" w:type="dxa"/>
              <w:right w:w="108" w:type="dxa"/>
            </w:tcMar>
            <w:hideMark/>
          </w:tcPr>
          <w:p w:rsidR="00871285" w:rsidRPr="00863BB1" w:rsidRDefault="00871285" w:rsidP="00A761F0">
            <w:pPr>
              <w:spacing w:after="0"/>
              <w:ind w:firstLine="0"/>
              <w:jc w:val="center"/>
              <w:rPr>
                <w:bCs/>
                <w:color w:val="000000"/>
                <w:sz w:val="24"/>
              </w:rPr>
            </w:pPr>
            <w:r w:rsidRPr="00863BB1">
              <w:rPr>
                <w:bCs/>
                <w:color w:val="000000"/>
                <w:sz w:val="24"/>
              </w:rPr>
              <w:t>+11,4</w:t>
            </w:r>
          </w:p>
        </w:tc>
      </w:tr>
      <w:tr w:rsidR="00871285" w:rsidRPr="00E66A59" w:rsidTr="00A761F0">
        <w:tc>
          <w:tcPr>
            <w:tcW w:w="2127" w:type="dxa"/>
            <w:tcBorders>
              <w:right w:val="single" w:sz="4" w:space="0" w:color="auto"/>
            </w:tcBorders>
            <w:shd w:val="clear" w:color="auto" w:fill="auto"/>
            <w:tcMar>
              <w:top w:w="0" w:type="dxa"/>
              <w:left w:w="108" w:type="dxa"/>
              <w:bottom w:w="0" w:type="dxa"/>
              <w:right w:w="108" w:type="dxa"/>
            </w:tcMar>
            <w:hideMark/>
          </w:tcPr>
          <w:p w:rsidR="00871285" w:rsidRPr="00E66A59" w:rsidRDefault="00871285" w:rsidP="00A761F0">
            <w:pPr>
              <w:pStyle w:val="tabtekst"/>
              <w:rPr>
                <w:bCs/>
                <w:sz w:val="24"/>
              </w:rPr>
            </w:pPr>
            <w:r w:rsidRPr="00E66A59">
              <w:rPr>
                <w:bCs/>
                <w:sz w:val="24"/>
              </w:rPr>
              <w:t>Sanktpēterburga</w:t>
            </w:r>
          </w:p>
        </w:tc>
        <w:tc>
          <w:tcPr>
            <w:tcW w:w="2268" w:type="dxa"/>
            <w:tcBorders>
              <w:left w:val="single" w:sz="4" w:space="0" w:color="auto"/>
            </w:tcBorders>
            <w:shd w:val="clear" w:color="auto" w:fill="auto"/>
            <w:tcMar>
              <w:top w:w="0" w:type="dxa"/>
              <w:left w:w="108" w:type="dxa"/>
              <w:bottom w:w="0" w:type="dxa"/>
              <w:right w:w="108" w:type="dxa"/>
            </w:tcMar>
            <w:hideMark/>
          </w:tcPr>
          <w:p w:rsidR="00871285" w:rsidRPr="00814EFC" w:rsidRDefault="00871285" w:rsidP="00A761F0">
            <w:pPr>
              <w:spacing w:after="0"/>
              <w:ind w:firstLine="0"/>
              <w:jc w:val="center"/>
              <w:rPr>
                <w:bCs/>
                <w:color w:val="000000"/>
                <w:sz w:val="24"/>
              </w:rPr>
            </w:pPr>
            <w:r w:rsidRPr="00814EFC">
              <w:rPr>
                <w:bCs/>
                <w:color w:val="000000"/>
                <w:sz w:val="24"/>
              </w:rPr>
              <w:t>11 852,0</w:t>
            </w:r>
          </w:p>
        </w:tc>
        <w:tc>
          <w:tcPr>
            <w:tcW w:w="2268" w:type="dxa"/>
            <w:shd w:val="clear" w:color="auto" w:fill="auto"/>
            <w:tcMar>
              <w:top w:w="0" w:type="dxa"/>
              <w:left w:w="108" w:type="dxa"/>
              <w:bottom w:w="0" w:type="dxa"/>
              <w:right w:w="108" w:type="dxa"/>
            </w:tcMar>
            <w:hideMark/>
          </w:tcPr>
          <w:p w:rsidR="00871285" w:rsidRPr="00814EFC" w:rsidRDefault="00871285" w:rsidP="00A761F0">
            <w:pPr>
              <w:spacing w:after="0"/>
              <w:ind w:firstLine="0"/>
              <w:jc w:val="center"/>
              <w:rPr>
                <w:bCs/>
                <w:color w:val="000000"/>
                <w:sz w:val="24"/>
              </w:rPr>
            </w:pPr>
            <w:r w:rsidRPr="00814EFC">
              <w:rPr>
                <w:bCs/>
                <w:color w:val="000000"/>
                <w:sz w:val="24"/>
              </w:rPr>
              <w:t>13 107,5</w:t>
            </w:r>
          </w:p>
        </w:tc>
        <w:tc>
          <w:tcPr>
            <w:tcW w:w="2409" w:type="dxa"/>
            <w:shd w:val="clear" w:color="auto" w:fill="auto"/>
            <w:tcMar>
              <w:top w:w="0" w:type="dxa"/>
              <w:left w:w="108" w:type="dxa"/>
              <w:bottom w:w="0" w:type="dxa"/>
              <w:right w:w="108" w:type="dxa"/>
            </w:tcMar>
            <w:hideMark/>
          </w:tcPr>
          <w:p w:rsidR="00871285" w:rsidRPr="00814EFC" w:rsidRDefault="00871285" w:rsidP="00A761F0">
            <w:pPr>
              <w:spacing w:after="0"/>
              <w:ind w:firstLine="0"/>
              <w:jc w:val="center"/>
              <w:rPr>
                <w:bCs/>
                <w:color w:val="000000"/>
                <w:sz w:val="24"/>
              </w:rPr>
            </w:pPr>
            <w:r w:rsidRPr="00814EFC">
              <w:rPr>
                <w:bCs/>
                <w:color w:val="000000"/>
                <w:sz w:val="24"/>
              </w:rPr>
              <w:t>+10,6</w:t>
            </w:r>
          </w:p>
        </w:tc>
      </w:tr>
      <w:tr w:rsidR="00871285" w:rsidRPr="00E66A59" w:rsidTr="00A761F0">
        <w:tc>
          <w:tcPr>
            <w:tcW w:w="2127" w:type="dxa"/>
            <w:tcBorders>
              <w:right w:val="single" w:sz="4" w:space="0" w:color="auto"/>
            </w:tcBorders>
            <w:shd w:val="clear" w:color="auto" w:fill="auto"/>
            <w:tcMar>
              <w:top w:w="0" w:type="dxa"/>
              <w:left w:w="108" w:type="dxa"/>
              <w:bottom w:w="0" w:type="dxa"/>
              <w:right w:w="108" w:type="dxa"/>
            </w:tcMar>
            <w:hideMark/>
          </w:tcPr>
          <w:p w:rsidR="00871285" w:rsidRPr="00814EFC" w:rsidRDefault="00871285" w:rsidP="00A761F0">
            <w:pPr>
              <w:pStyle w:val="tabtekst"/>
              <w:rPr>
                <w:b/>
                <w:bCs/>
                <w:sz w:val="24"/>
              </w:rPr>
            </w:pPr>
            <w:r w:rsidRPr="00814EFC">
              <w:rPr>
                <w:b/>
                <w:bCs/>
                <w:sz w:val="24"/>
              </w:rPr>
              <w:t>Rīga</w:t>
            </w:r>
          </w:p>
        </w:tc>
        <w:tc>
          <w:tcPr>
            <w:tcW w:w="2268" w:type="dxa"/>
            <w:tcBorders>
              <w:left w:val="single" w:sz="4" w:space="0" w:color="auto"/>
            </w:tcBorders>
            <w:shd w:val="clear" w:color="auto" w:fill="auto"/>
            <w:tcMar>
              <w:top w:w="0" w:type="dxa"/>
              <w:left w:w="108" w:type="dxa"/>
              <w:bottom w:w="0" w:type="dxa"/>
              <w:right w:w="108" w:type="dxa"/>
            </w:tcMar>
            <w:hideMark/>
          </w:tcPr>
          <w:p w:rsidR="00871285" w:rsidRPr="00814EFC" w:rsidRDefault="00871285" w:rsidP="00A761F0">
            <w:pPr>
              <w:spacing w:after="0"/>
              <w:ind w:firstLine="0"/>
              <w:jc w:val="center"/>
              <w:rPr>
                <w:b/>
                <w:bCs/>
                <w:color w:val="000000"/>
                <w:sz w:val="24"/>
              </w:rPr>
            </w:pPr>
            <w:r w:rsidRPr="00814EFC">
              <w:rPr>
                <w:b/>
                <w:bCs/>
                <w:color w:val="000000"/>
                <w:sz w:val="24"/>
              </w:rPr>
              <w:t>7 678,6</w:t>
            </w:r>
          </w:p>
        </w:tc>
        <w:tc>
          <w:tcPr>
            <w:tcW w:w="2268" w:type="dxa"/>
            <w:shd w:val="clear" w:color="auto" w:fill="auto"/>
            <w:tcMar>
              <w:top w:w="0" w:type="dxa"/>
              <w:left w:w="108" w:type="dxa"/>
              <w:bottom w:w="0" w:type="dxa"/>
              <w:right w:w="108" w:type="dxa"/>
            </w:tcMar>
            <w:hideMark/>
          </w:tcPr>
          <w:p w:rsidR="00871285" w:rsidRPr="00814EFC" w:rsidRDefault="00871285" w:rsidP="00A761F0">
            <w:pPr>
              <w:spacing w:after="0"/>
              <w:ind w:firstLine="0"/>
              <w:jc w:val="center"/>
              <w:rPr>
                <w:b/>
                <w:bCs/>
                <w:color w:val="000000"/>
                <w:sz w:val="24"/>
              </w:rPr>
            </w:pPr>
            <w:r w:rsidRPr="00814EFC">
              <w:rPr>
                <w:b/>
                <w:bCs/>
                <w:color w:val="000000"/>
                <w:sz w:val="24"/>
              </w:rPr>
              <w:t>9 487,0</w:t>
            </w:r>
          </w:p>
        </w:tc>
        <w:tc>
          <w:tcPr>
            <w:tcW w:w="2409" w:type="dxa"/>
            <w:shd w:val="clear" w:color="auto" w:fill="auto"/>
            <w:tcMar>
              <w:top w:w="0" w:type="dxa"/>
              <w:left w:w="108" w:type="dxa"/>
              <w:bottom w:w="0" w:type="dxa"/>
              <w:right w:w="108" w:type="dxa"/>
            </w:tcMar>
            <w:hideMark/>
          </w:tcPr>
          <w:p w:rsidR="00871285" w:rsidRPr="00814EFC" w:rsidRDefault="00871285" w:rsidP="00A761F0">
            <w:pPr>
              <w:spacing w:after="0"/>
              <w:ind w:firstLine="0"/>
              <w:jc w:val="center"/>
              <w:rPr>
                <w:b/>
                <w:bCs/>
                <w:color w:val="000000"/>
                <w:sz w:val="24"/>
              </w:rPr>
            </w:pPr>
            <w:r w:rsidRPr="00814EFC">
              <w:rPr>
                <w:b/>
                <w:bCs/>
                <w:color w:val="000000"/>
                <w:sz w:val="24"/>
              </w:rPr>
              <w:t>+23,6</w:t>
            </w:r>
          </w:p>
        </w:tc>
      </w:tr>
      <w:tr w:rsidR="00871285" w:rsidRPr="00E66A59" w:rsidTr="00A761F0">
        <w:tc>
          <w:tcPr>
            <w:tcW w:w="2127" w:type="dxa"/>
            <w:tcBorders>
              <w:right w:val="single" w:sz="4" w:space="0" w:color="auto"/>
            </w:tcBorders>
            <w:shd w:val="clear" w:color="auto" w:fill="auto"/>
            <w:tcMar>
              <w:top w:w="0" w:type="dxa"/>
              <w:left w:w="108" w:type="dxa"/>
              <w:bottom w:w="0" w:type="dxa"/>
              <w:right w:w="108" w:type="dxa"/>
            </w:tcMar>
          </w:tcPr>
          <w:p w:rsidR="00871285" w:rsidRPr="00814EFC" w:rsidRDefault="00871285" w:rsidP="00A761F0">
            <w:pPr>
              <w:pStyle w:val="tabtekst"/>
              <w:rPr>
                <w:b/>
                <w:bCs/>
                <w:sz w:val="24"/>
              </w:rPr>
            </w:pPr>
            <w:r w:rsidRPr="00814EFC">
              <w:rPr>
                <w:b/>
                <w:bCs/>
                <w:sz w:val="24"/>
              </w:rPr>
              <w:t>Ventspils</w:t>
            </w:r>
          </w:p>
        </w:tc>
        <w:tc>
          <w:tcPr>
            <w:tcW w:w="2268" w:type="dxa"/>
            <w:tcBorders>
              <w:left w:val="single" w:sz="4" w:space="0" w:color="auto"/>
            </w:tcBorders>
            <w:shd w:val="clear" w:color="auto" w:fill="auto"/>
            <w:tcMar>
              <w:top w:w="0" w:type="dxa"/>
              <w:left w:w="108" w:type="dxa"/>
              <w:bottom w:w="0" w:type="dxa"/>
              <w:right w:w="108" w:type="dxa"/>
            </w:tcMar>
          </w:tcPr>
          <w:p w:rsidR="00871285" w:rsidRPr="00814EFC" w:rsidRDefault="00871285" w:rsidP="00A761F0">
            <w:pPr>
              <w:spacing w:after="0"/>
              <w:ind w:firstLine="0"/>
              <w:jc w:val="center"/>
              <w:rPr>
                <w:b/>
                <w:bCs/>
                <w:color w:val="000000"/>
                <w:sz w:val="24"/>
              </w:rPr>
            </w:pPr>
            <w:r w:rsidRPr="00814EFC">
              <w:rPr>
                <w:b/>
                <w:bCs/>
                <w:color w:val="000000"/>
                <w:sz w:val="24"/>
              </w:rPr>
              <w:t>7 160,0</w:t>
            </w:r>
          </w:p>
        </w:tc>
        <w:tc>
          <w:tcPr>
            <w:tcW w:w="2268" w:type="dxa"/>
            <w:shd w:val="clear" w:color="auto" w:fill="auto"/>
            <w:tcMar>
              <w:top w:w="0" w:type="dxa"/>
              <w:left w:w="108" w:type="dxa"/>
              <w:bottom w:w="0" w:type="dxa"/>
              <w:right w:w="108" w:type="dxa"/>
            </w:tcMar>
          </w:tcPr>
          <w:p w:rsidR="00871285" w:rsidRPr="00814EFC" w:rsidRDefault="00871285" w:rsidP="00A761F0">
            <w:pPr>
              <w:spacing w:after="0"/>
              <w:ind w:firstLine="0"/>
              <w:jc w:val="center"/>
              <w:rPr>
                <w:b/>
                <w:bCs/>
                <w:color w:val="000000"/>
                <w:sz w:val="24"/>
              </w:rPr>
            </w:pPr>
            <w:r w:rsidRPr="00814EFC">
              <w:rPr>
                <w:b/>
                <w:bCs/>
                <w:color w:val="000000"/>
                <w:sz w:val="24"/>
              </w:rPr>
              <w:t>8 526,0</w:t>
            </w:r>
          </w:p>
        </w:tc>
        <w:tc>
          <w:tcPr>
            <w:tcW w:w="2409" w:type="dxa"/>
            <w:shd w:val="clear" w:color="auto" w:fill="auto"/>
            <w:tcMar>
              <w:top w:w="0" w:type="dxa"/>
              <w:left w:w="108" w:type="dxa"/>
              <w:bottom w:w="0" w:type="dxa"/>
              <w:right w:w="108" w:type="dxa"/>
            </w:tcMar>
          </w:tcPr>
          <w:p w:rsidR="00871285" w:rsidRPr="00814EFC" w:rsidRDefault="00871285" w:rsidP="00A761F0">
            <w:pPr>
              <w:spacing w:after="0"/>
              <w:ind w:firstLine="0"/>
              <w:jc w:val="center"/>
              <w:rPr>
                <w:b/>
                <w:bCs/>
                <w:color w:val="000000"/>
                <w:sz w:val="24"/>
              </w:rPr>
            </w:pPr>
            <w:r w:rsidRPr="00814EFC">
              <w:rPr>
                <w:b/>
                <w:bCs/>
                <w:color w:val="000000"/>
                <w:sz w:val="24"/>
              </w:rPr>
              <w:t>+19,1</w:t>
            </w:r>
          </w:p>
        </w:tc>
      </w:tr>
      <w:tr w:rsidR="00871285" w:rsidRPr="00E66A59" w:rsidTr="00A761F0">
        <w:tc>
          <w:tcPr>
            <w:tcW w:w="2127" w:type="dxa"/>
            <w:tcBorders>
              <w:right w:val="single" w:sz="4" w:space="0" w:color="auto"/>
            </w:tcBorders>
            <w:shd w:val="clear" w:color="auto" w:fill="auto"/>
            <w:tcMar>
              <w:top w:w="0" w:type="dxa"/>
              <w:left w:w="108" w:type="dxa"/>
              <w:bottom w:w="0" w:type="dxa"/>
              <w:right w:w="108" w:type="dxa"/>
            </w:tcMar>
            <w:hideMark/>
          </w:tcPr>
          <w:p w:rsidR="00871285" w:rsidRPr="00BF22A3" w:rsidRDefault="00871285" w:rsidP="00A761F0">
            <w:pPr>
              <w:pStyle w:val="tabtekst"/>
              <w:rPr>
                <w:bCs/>
                <w:sz w:val="24"/>
              </w:rPr>
            </w:pPr>
            <w:r w:rsidRPr="00BF22A3">
              <w:rPr>
                <w:bCs/>
                <w:sz w:val="24"/>
              </w:rPr>
              <w:t>Tallina</w:t>
            </w:r>
          </w:p>
        </w:tc>
        <w:tc>
          <w:tcPr>
            <w:tcW w:w="2268" w:type="dxa"/>
            <w:tcBorders>
              <w:left w:val="single" w:sz="4" w:space="0" w:color="auto"/>
            </w:tcBorders>
            <w:shd w:val="clear" w:color="auto" w:fill="auto"/>
            <w:tcMar>
              <w:top w:w="0" w:type="dxa"/>
              <w:left w:w="108" w:type="dxa"/>
              <w:bottom w:w="0" w:type="dxa"/>
              <w:right w:w="108" w:type="dxa"/>
            </w:tcMar>
            <w:hideMark/>
          </w:tcPr>
          <w:p w:rsidR="00871285" w:rsidRPr="00814EFC" w:rsidRDefault="00871285" w:rsidP="00A761F0">
            <w:pPr>
              <w:spacing w:after="0"/>
              <w:ind w:firstLine="0"/>
              <w:jc w:val="center"/>
              <w:rPr>
                <w:bCs/>
                <w:color w:val="000000"/>
                <w:sz w:val="24"/>
              </w:rPr>
            </w:pPr>
            <w:r w:rsidRPr="00814EFC">
              <w:rPr>
                <w:bCs/>
                <w:color w:val="000000"/>
                <w:sz w:val="24"/>
              </w:rPr>
              <w:t>9 211,9</w:t>
            </w:r>
          </w:p>
        </w:tc>
        <w:tc>
          <w:tcPr>
            <w:tcW w:w="2268" w:type="dxa"/>
            <w:shd w:val="clear" w:color="auto" w:fill="auto"/>
            <w:tcMar>
              <w:top w:w="0" w:type="dxa"/>
              <w:left w:w="108" w:type="dxa"/>
              <w:bottom w:w="0" w:type="dxa"/>
              <w:right w:w="108" w:type="dxa"/>
            </w:tcMar>
            <w:hideMark/>
          </w:tcPr>
          <w:p w:rsidR="00871285" w:rsidRPr="00814EFC" w:rsidRDefault="00871285" w:rsidP="00A761F0">
            <w:pPr>
              <w:spacing w:after="0"/>
              <w:ind w:firstLine="0"/>
              <w:jc w:val="center"/>
              <w:rPr>
                <w:bCs/>
                <w:color w:val="000000"/>
                <w:sz w:val="24"/>
              </w:rPr>
            </w:pPr>
            <w:r w:rsidRPr="00814EFC">
              <w:rPr>
                <w:bCs/>
                <w:color w:val="000000"/>
                <w:sz w:val="24"/>
              </w:rPr>
              <w:t>8 348,2</w:t>
            </w:r>
          </w:p>
        </w:tc>
        <w:tc>
          <w:tcPr>
            <w:tcW w:w="2409" w:type="dxa"/>
            <w:shd w:val="clear" w:color="auto" w:fill="auto"/>
            <w:tcMar>
              <w:top w:w="0" w:type="dxa"/>
              <w:left w:w="108" w:type="dxa"/>
              <w:bottom w:w="0" w:type="dxa"/>
              <w:right w:w="108" w:type="dxa"/>
            </w:tcMar>
            <w:hideMark/>
          </w:tcPr>
          <w:p w:rsidR="00871285" w:rsidRPr="00814EFC" w:rsidRDefault="00871285" w:rsidP="00A761F0">
            <w:pPr>
              <w:spacing w:after="0"/>
              <w:ind w:firstLine="0"/>
              <w:jc w:val="center"/>
              <w:rPr>
                <w:bCs/>
                <w:color w:val="000000"/>
                <w:sz w:val="24"/>
              </w:rPr>
            </w:pPr>
            <w:r w:rsidRPr="00814EFC">
              <w:rPr>
                <w:bCs/>
                <w:color w:val="000000"/>
                <w:sz w:val="24"/>
              </w:rPr>
              <w:t>-9,4</w:t>
            </w:r>
          </w:p>
        </w:tc>
      </w:tr>
      <w:tr w:rsidR="00871285" w:rsidRPr="00E66A59" w:rsidTr="00A761F0">
        <w:tc>
          <w:tcPr>
            <w:tcW w:w="2127" w:type="dxa"/>
            <w:tcBorders>
              <w:right w:val="single" w:sz="4" w:space="0" w:color="auto"/>
            </w:tcBorders>
            <w:shd w:val="clear" w:color="auto" w:fill="auto"/>
            <w:tcMar>
              <w:top w:w="0" w:type="dxa"/>
              <w:left w:w="108" w:type="dxa"/>
              <w:bottom w:w="0" w:type="dxa"/>
              <w:right w:w="108" w:type="dxa"/>
            </w:tcMar>
            <w:hideMark/>
          </w:tcPr>
          <w:p w:rsidR="00871285" w:rsidRPr="00BF22A3" w:rsidRDefault="00871285" w:rsidP="00A761F0">
            <w:pPr>
              <w:pStyle w:val="tabtekst"/>
              <w:rPr>
                <w:bCs/>
                <w:sz w:val="24"/>
              </w:rPr>
            </w:pPr>
            <w:r w:rsidRPr="00BF22A3">
              <w:rPr>
                <w:bCs/>
                <w:sz w:val="24"/>
              </w:rPr>
              <w:t>Klaipēda</w:t>
            </w:r>
          </w:p>
        </w:tc>
        <w:tc>
          <w:tcPr>
            <w:tcW w:w="2268" w:type="dxa"/>
            <w:tcBorders>
              <w:left w:val="single" w:sz="4" w:space="0" w:color="auto"/>
            </w:tcBorders>
            <w:shd w:val="clear" w:color="auto" w:fill="auto"/>
            <w:tcMar>
              <w:top w:w="0" w:type="dxa"/>
              <w:left w:w="108" w:type="dxa"/>
              <w:bottom w:w="0" w:type="dxa"/>
              <w:right w:w="108" w:type="dxa"/>
            </w:tcMar>
            <w:hideMark/>
          </w:tcPr>
          <w:p w:rsidR="00871285" w:rsidRPr="00814EFC" w:rsidRDefault="00871285" w:rsidP="00A761F0">
            <w:pPr>
              <w:spacing w:after="0"/>
              <w:ind w:firstLine="0"/>
              <w:jc w:val="center"/>
              <w:rPr>
                <w:bCs/>
                <w:color w:val="000000"/>
                <w:sz w:val="24"/>
              </w:rPr>
            </w:pPr>
            <w:r w:rsidRPr="00814EFC">
              <w:rPr>
                <w:bCs/>
                <w:color w:val="000000"/>
                <w:sz w:val="24"/>
              </w:rPr>
              <w:t>9 075,5</w:t>
            </w:r>
          </w:p>
        </w:tc>
        <w:tc>
          <w:tcPr>
            <w:tcW w:w="2268" w:type="dxa"/>
            <w:shd w:val="clear" w:color="auto" w:fill="auto"/>
            <w:tcMar>
              <w:top w:w="0" w:type="dxa"/>
              <w:left w:w="108" w:type="dxa"/>
              <w:bottom w:w="0" w:type="dxa"/>
              <w:right w:w="108" w:type="dxa"/>
            </w:tcMar>
            <w:hideMark/>
          </w:tcPr>
          <w:p w:rsidR="00871285" w:rsidRPr="00814EFC" w:rsidRDefault="00871285" w:rsidP="00A761F0">
            <w:pPr>
              <w:spacing w:after="0"/>
              <w:ind w:firstLine="0"/>
              <w:jc w:val="center"/>
              <w:rPr>
                <w:bCs/>
                <w:color w:val="000000"/>
                <w:sz w:val="24"/>
              </w:rPr>
            </w:pPr>
            <w:r w:rsidRPr="00814EFC">
              <w:rPr>
                <w:bCs/>
                <w:color w:val="000000"/>
                <w:sz w:val="24"/>
              </w:rPr>
              <w:t>8 256,4</w:t>
            </w:r>
          </w:p>
        </w:tc>
        <w:tc>
          <w:tcPr>
            <w:tcW w:w="2409" w:type="dxa"/>
            <w:shd w:val="clear" w:color="auto" w:fill="auto"/>
            <w:tcMar>
              <w:top w:w="0" w:type="dxa"/>
              <w:left w:w="108" w:type="dxa"/>
              <w:bottom w:w="0" w:type="dxa"/>
              <w:right w:w="108" w:type="dxa"/>
            </w:tcMar>
            <w:hideMark/>
          </w:tcPr>
          <w:p w:rsidR="00871285" w:rsidRPr="00814EFC" w:rsidRDefault="00871285" w:rsidP="00A761F0">
            <w:pPr>
              <w:spacing w:after="0"/>
              <w:ind w:firstLine="0"/>
              <w:jc w:val="center"/>
              <w:rPr>
                <w:bCs/>
                <w:color w:val="000000"/>
                <w:sz w:val="24"/>
              </w:rPr>
            </w:pPr>
            <w:r w:rsidRPr="00814EFC">
              <w:rPr>
                <w:bCs/>
                <w:color w:val="000000"/>
                <w:sz w:val="24"/>
              </w:rPr>
              <w:t>-9,0</w:t>
            </w:r>
          </w:p>
        </w:tc>
      </w:tr>
      <w:tr w:rsidR="00871285" w:rsidRPr="00E66A59" w:rsidTr="00A761F0">
        <w:tc>
          <w:tcPr>
            <w:tcW w:w="2127" w:type="dxa"/>
            <w:tcBorders>
              <w:right w:val="single" w:sz="4" w:space="0" w:color="auto"/>
            </w:tcBorders>
            <w:shd w:val="clear" w:color="auto" w:fill="auto"/>
            <w:tcMar>
              <w:top w:w="0" w:type="dxa"/>
              <w:left w:w="108" w:type="dxa"/>
              <w:bottom w:w="0" w:type="dxa"/>
              <w:right w:w="108" w:type="dxa"/>
            </w:tcMar>
            <w:hideMark/>
          </w:tcPr>
          <w:p w:rsidR="00871285" w:rsidRPr="00E66A59" w:rsidRDefault="00871285" w:rsidP="00A761F0">
            <w:pPr>
              <w:pStyle w:val="tabtekst"/>
              <w:rPr>
                <w:bCs/>
                <w:sz w:val="24"/>
              </w:rPr>
            </w:pPr>
            <w:proofErr w:type="spellStart"/>
            <w:r w:rsidRPr="00E66A59">
              <w:rPr>
                <w:bCs/>
                <w:sz w:val="24"/>
              </w:rPr>
              <w:t>Ustjluga</w:t>
            </w:r>
            <w:proofErr w:type="spellEnd"/>
          </w:p>
        </w:tc>
        <w:tc>
          <w:tcPr>
            <w:tcW w:w="2268" w:type="dxa"/>
            <w:tcBorders>
              <w:left w:val="single" w:sz="4" w:space="0" w:color="auto"/>
            </w:tcBorders>
            <w:shd w:val="clear" w:color="auto" w:fill="auto"/>
            <w:tcMar>
              <w:top w:w="0" w:type="dxa"/>
              <w:left w:w="108" w:type="dxa"/>
              <w:bottom w:w="0" w:type="dxa"/>
              <w:right w:w="108" w:type="dxa"/>
            </w:tcMar>
            <w:hideMark/>
          </w:tcPr>
          <w:p w:rsidR="00871285" w:rsidRPr="00814EFC" w:rsidRDefault="00871285" w:rsidP="00A761F0">
            <w:pPr>
              <w:spacing w:after="0"/>
              <w:ind w:firstLine="0"/>
              <w:jc w:val="center"/>
              <w:rPr>
                <w:bCs/>
                <w:color w:val="000000"/>
                <w:sz w:val="24"/>
              </w:rPr>
            </w:pPr>
            <w:r w:rsidRPr="00814EFC">
              <w:rPr>
                <w:bCs/>
                <w:color w:val="000000"/>
                <w:sz w:val="24"/>
              </w:rPr>
              <w:t>2 711,5</w:t>
            </w:r>
          </w:p>
        </w:tc>
        <w:tc>
          <w:tcPr>
            <w:tcW w:w="2268" w:type="dxa"/>
            <w:shd w:val="clear" w:color="auto" w:fill="auto"/>
            <w:tcMar>
              <w:top w:w="0" w:type="dxa"/>
              <w:left w:w="108" w:type="dxa"/>
              <w:bottom w:w="0" w:type="dxa"/>
              <w:right w:w="108" w:type="dxa"/>
            </w:tcMar>
            <w:hideMark/>
          </w:tcPr>
          <w:p w:rsidR="00871285" w:rsidRPr="00814EFC" w:rsidRDefault="00871285" w:rsidP="00A761F0">
            <w:pPr>
              <w:spacing w:after="0"/>
              <w:ind w:firstLine="0"/>
              <w:jc w:val="center"/>
              <w:rPr>
                <w:bCs/>
                <w:color w:val="000000"/>
                <w:sz w:val="24"/>
              </w:rPr>
            </w:pPr>
            <w:r w:rsidRPr="00814EFC">
              <w:rPr>
                <w:bCs/>
                <w:color w:val="000000"/>
                <w:sz w:val="24"/>
              </w:rPr>
              <w:t>7 024,1</w:t>
            </w:r>
          </w:p>
        </w:tc>
        <w:tc>
          <w:tcPr>
            <w:tcW w:w="2409" w:type="dxa"/>
            <w:shd w:val="clear" w:color="auto" w:fill="auto"/>
            <w:tcMar>
              <w:top w:w="0" w:type="dxa"/>
              <w:left w:w="108" w:type="dxa"/>
              <w:bottom w:w="0" w:type="dxa"/>
              <w:right w:w="108" w:type="dxa"/>
            </w:tcMar>
            <w:hideMark/>
          </w:tcPr>
          <w:p w:rsidR="00871285" w:rsidRPr="00814EFC" w:rsidRDefault="00871285" w:rsidP="00A761F0">
            <w:pPr>
              <w:spacing w:after="0"/>
              <w:ind w:firstLine="0"/>
              <w:jc w:val="center"/>
              <w:rPr>
                <w:bCs/>
                <w:color w:val="000000"/>
                <w:sz w:val="24"/>
              </w:rPr>
            </w:pPr>
            <w:r w:rsidRPr="00814EFC">
              <w:rPr>
                <w:bCs/>
                <w:color w:val="000000"/>
                <w:sz w:val="24"/>
              </w:rPr>
              <w:t>+159,0</w:t>
            </w:r>
          </w:p>
        </w:tc>
      </w:tr>
      <w:tr w:rsidR="00871285" w:rsidRPr="00E66A59" w:rsidTr="00A761F0">
        <w:tc>
          <w:tcPr>
            <w:tcW w:w="2127" w:type="dxa"/>
            <w:tcBorders>
              <w:right w:val="single" w:sz="4" w:space="0" w:color="auto"/>
            </w:tcBorders>
            <w:shd w:val="clear" w:color="auto" w:fill="auto"/>
            <w:tcMar>
              <w:top w:w="0" w:type="dxa"/>
              <w:left w:w="108" w:type="dxa"/>
              <w:bottom w:w="0" w:type="dxa"/>
              <w:right w:w="108" w:type="dxa"/>
            </w:tcMar>
            <w:hideMark/>
          </w:tcPr>
          <w:p w:rsidR="00871285" w:rsidRPr="00E66A59" w:rsidRDefault="00871285" w:rsidP="00A761F0">
            <w:pPr>
              <w:pStyle w:val="tabtekst"/>
              <w:rPr>
                <w:bCs/>
                <w:sz w:val="24"/>
              </w:rPr>
            </w:pPr>
            <w:proofErr w:type="spellStart"/>
            <w:r w:rsidRPr="00E66A59">
              <w:rPr>
                <w:bCs/>
                <w:sz w:val="24"/>
              </w:rPr>
              <w:t>Visocka</w:t>
            </w:r>
            <w:proofErr w:type="spellEnd"/>
          </w:p>
        </w:tc>
        <w:tc>
          <w:tcPr>
            <w:tcW w:w="2268" w:type="dxa"/>
            <w:tcBorders>
              <w:left w:val="single" w:sz="4" w:space="0" w:color="auto"/>
            </w:tcBorders>
            <w:shd w:val="clear" w:color="auto" w:fill="auto"/>
            <w:tcMar>
              <w:top w:w="0" w:type="dxa"/>
              <w:left w:w="108" w:type="dxa"/>
              <w:bottom w:w="0" w:type="dxa"/>
              <w:right w:w="108" w:type="dxa"/>
            </w:tcMar>
            <w:hideMark/>
          </w:tcPr>
          <w:p w:rsidR="00871285" w:rsidRPr="00814EFC" w:rsidRDefault="00871285" w:rsidP="00A761F0">
            <w:pPr>
              <w:spacing w:after="0"/>
              <w:ind w:firstLine="0"/>
              <w:jc w:val="center"/>
              <w:rPr>
                <w:bCs/>
                <w:color w:val="000000"/>
                <w:sz w:val="24"/>
              </w:rPr>
            </w:pPr>
            <w:r w:rsidRPr="00814EFC">
              <w:rPr>
                <w:bCs/>
                <w:color w:val="000000"/>
                <w:sz w:val="24"/>
              </w:rPr>
              <w:t>3 095,8</w:t>
            </w:r>
          </w:p>
        </w:tc>
        <w:tc>
          <w:tcPr>
            <w:tcW w:w="2268" w:type="dxa"/>
            <w:shd w:val="clear" w:color="auto" w:fill="auto"/>
            <w:tcMar>
              <w:top w:w="0" w:type="dxa"/>
              <w:left w:w="108" w:type="dxa"/>
              <w:bottom w:w="0" w:type="dxa"/>
              <w:right w:w="108" w:type="dxa"/>
            </w:tcMar>
            <w:hideMark/>
          </w:tcPr>
          <w:p w:rsidR="00871285" w:rsidRPr="00814EFC" w:rsidRDefault="00871285" w:rsidP="00A761F0">
            <w:pPr>
              <w:spacing w:after="0"/>
              <w:ind w:firstLine="0"/>
              <w:jc w:val="center"/>
              <w:rPr>
                <w:bCs/>
                <w:color w:val="000000"/>
                <w:sz w:val="24"/>
              </w:rPr>
            </w:pPr>
            <w:r w:rsidRPr="00814EFC">
              <w:rPr>
                <w:bCs/>
                <w:color w:val="000000"/>
                <w:sz w:val="24"/>
              </w:rPr>
              <w:t>3 238,4</w:t>
            </w:r>
          </w:p>
        </w:tc>
        <w:tc>
          <w:tcPr>
            <w:tcW w:w="2409" w:type="dxa"/>
            <w:shd w:val="clear" w:color="auto" w:fill="auto"/>
            <w:tcMar>
              <w:top w:w="0" w:type="dxa"/>
              <w:left w:w="108" w:type="dxa"/>
              <w:bottom w:w="0" w:type="dxa"/>
              <w:right w:w="108" w:type="dxa"/>
            </w:tcMar>
            <w:hideMark/>
          </w:tcPr>
          <w:p w:rsidR="00871285" w:rsidRPr="00814EFC" w:rsidRDefault="00871285" w:rsidP="00A761F0">
            <w:pPr>
              <w:spacing w:after="0"/>
              <w:ind w:firstLine="0"/>
              <w:jc w:val="center"/>
              <w:rPr>
                <w:bCs/>
                <w:color w:val="000000"/>
                <w:sz w:val="24"/>
              </w:rPr>
            </w:pPr>
            <w:r w:rsidRPr="00814EFC">
              <w:rPr>
                <w:bCs/>
                <w:color w:val="000000"/>
                <w:sz w:val="24"/>
              </w:rPr>
              <w:t>+4,6</w:t>
            </w:r>
          </w:p>
        </w:tc>
      </w:tr>
      <w:tr w:rsidR="00871285" w:rsidRPr="00E66A59" w:rsidTr="00A761F0">
        <w:tc>
          <w:tcPr>
            <w:tcW w:w="2127" w:type="dxa"/>
            <w:tcBorders>
              <w:right w:val="single" w:sz="4" w:space="0" w:color="auto"/>
            </w:tcBorders>
            <w:shd w:val="clear" w:color="auto" w:fill="auto"/>
            <w:tcMar>
              <w:top w:w="0" w:type="dxa"/>
              <w:left w:w="108" w:type="dxa"/>
              <w:bottom w:w="0" w:type="dxa"/>
              <w:right w:w="108" w:type="dxa"/>
            </w:tcMar>
            <w:hideMark/>
          </w:tcPr>
          <w:p w:rsidR="00871285" w:rsidRPr="00814EFC" w:rsidRDefault="00871285" w:rsidP="00A761F0">
            <w:pPr>
              <w:pStyle w:val="tabtekst"/>
              <w:rPr>
                <w:b/>
                <w:bCs/>
                <w:sz w:val="24"/>
              </w:rPr>
            </w:pPr>
            <w:r w:rsidRPr="00814EFC">
              <w:rPr>
                <w:b/>
                <w:bCs/>
                <w:sz w:val="24"/>
              </w:rPr>
              <w:t>Liepāja</w:t>
            </w:r>
          </w:p>
        </w:tc>
        <w:tc>
          <w:tcPr>
            <w:tcW w:w="2268" w:type="dxa"/>
            <w:tcBorders>
              <w:left w:val="single" w:sz="4" w:space="0" w:color="auto"/>
            </w:tcBorders>
            <w:shd w:val="clear" w:color="auto" w:fill="auto"/>
            <w:tcMar>
              <w:top w:w="0" w:type="dxa"/>
              <w:left w:w="108" w:type="dxa"/>
              <w:bottom w:w="0" w:type="dxa"/>
              <w:right w:w="108" w:type="dxa"/>
            </w:tcMar>
            <w:hideMark/>
          </w:tcPr>
          <w:p w:rsidR="00871285" w:rsidRPr="00814EFC" w:rsidRDefault="00871285" w:rsidP="00A761F0">
            <w:pPr>
              <w:spacing w:after="0"/>
              <w:ind w:firstLine="0"/>
              <w:jc w:val="center"/>
              <w:rPr>
                <w:b/>
                <w:bCs/>
                <w:color w:val="000000"/>
                <w:sz w:val="24"/>
              </w:rPr>
            </w:pPr>
            <w:r w:rsidRPr="00814EFC">
              <w:rPr>
                <w:b/>
                <w:bCs/>
                <w:color w:val="000000"/>
                <w:sz w:val="24"/>
              </w:rPr>
              <w:t>1 192,9</w:t>
            </w:r>
          </w:p>
        </w:tc>
        <w:tc>
          <w:tcPr>
            <w:tcW w:w="2268" w:type="dxa"/>
            <w:shd w:val="clear" w:color="auto" w:fill="auto"/>
            <w:tcMar>
              <w:top w:w="0" w:type="dxa"/>
              <w:left w:w="108" w:type="dxa"/>
              <w:bottom w:w="0" w:type="dxa"/>
              <w:right w:w="108" w:type="dxa"/>
            </w:tcMar>
            <w:hideMark/>
          </w:tcPr>
          <w:p w:rsidR="00871285" w:rsidRPr="00814EFC" w:rsidRDefault="00871285" w:rsidP="00A761F0">
            <w:pPr>
              <w:spacing w:after="0"/>
              <w:ind w:firstLine="0"/>
              <w:jc w:val="center"/>
              <w:rPr>
                <w:b/>
                <w:bCs/>
                <w:color w:val="000000"/>
                <w:sz w:val="24"/>
              </w:rPr>
            </w:pPr>
            <w:r w:rsidRPr="00814EFC">
              <w:rPr>
                <w:b/>
                <w:bCs/>
                <w:color w:val="000000"/>
                <w:sz w:val="24"/>
              </w:rPr>
              <w:t>1 704,9</w:t>
            </w:r>
          </w:p>
        </w:tc>
        <w:tc>
          <w:tcPr>
            <w:tcW w:w="2409" w:type="dxa"/>
            <w:shd w:val="clear" w:color="auto" w:fill="auto"/>
            <w:tcMar>
              <w:top w:w="0" w:type="dxa"/>
              <w:left w:w="108" w:type="dxa"/>
              <w:bottom w:w="0" w:type="dxa"/>
              <w:right w:w="108" w:type="dxa"/>
            </w:tcMar>
            <w:hideMark/>
          </w:tcPr>
          <w:p w:rsidR="00871285" w:rsidRPr="00814EFC" w:rsidRDefault="00871285" w:rsidP="00A761F0">
            <w:pPr>
              <w:spacing w:after="0"/>
              <w:ind w:firstLine="0"/>
              <w:jc w:val="center"/>
              <w:rPr>
                <w:b/>
                <w:bCs/>
                <w:color w:val="000000"/>
                <w:sz w:val="24"/>
              </w:rPr>
            </w:pPr>
            <w:r w:rsidRPr="00814EFC">
              <w:rPr>
                <w:b/>
                <w:bCs/>
                <w:color w:val="000000"/>
                <w:sz w:val="24"/>
              </w:rPr>
              <w:t>+42,9</w:t>
            </w:r>
          </w:p>
        </w:tc>
      </w:tr>
      <w:tr w:rsidR="00871285" w:rsidRPr="00E66A59" w:rsidTr="00A761F0">
        <w:tc>
          <w:tcPr>
            <w:tcW w:w="2127" w:type="dxa"/>
            <w:tcBorders>
              <w:right w:val="single" w:sz="4" w:space="0" w:color="auto"/>
            </w:tcBorders>
            <w:shd w:val="clear" w:color="auto" w:fill="auto"/>
            <w:tcMar>
              <w:top w:w="0" w:type="dxa"/>
              <w:left w:w="108" w:type="dxa"/>
              <w:bottom w:w="0" w:type="dxa"/>
              <w:right w:w="108" w:type="dxa"/>
            </w:tcMar>
            <w:hideMark/>
          </w:tcPr>
          <w:p w:rsidR="00871285" w:rsidRPr="00E66A59" w:rsidRDefault="00871285" w:rsidP="00A761F0">
            <w:pPr>
              <w:pStyle w:val="tabtekst"/>
              <w:rPr>
                <w:bCs/>
                <w:sz w:val="24"/>
              </w:rPr>
            </w:pPr>
            <w:proofErr w:type="spellStart"/>
            <w:r w:rsidRPr="00E66A59">
              <w:rPr>
                <w:bCs/>
                <w:sz w:val="24"/>
              </w:rPr>
              <w:t>Viborga</w:t>
            </w:r>
            <w:proofErr w:type="spellEnd"/>
          </w:p>
        </w:tc>
        <w:tc>
          <w:tcPr>
            <w:tcW w:w="2268" w:type="dxa"/>
            <w:tcBorders>
              <w:left w:val="single" w:sz="4" w:space="0" w:color="auto"/>
            </w:tcBorders>
            <w:shd w:val="clear" w:color="auto" w:fill="auto"/>
            <w:tcMar>
              <w:top w:w="0" w:type="dxa"/>
              <w:left w:w="108" w:type="dxa"/>
              <w:bottom w:w="0" w:type="dxa"/>
              <w:right w:w="108" w:type="dxa"/>
            </w:tcMar>
            <w:hideMark/>
          </w:tcPr>
          <w:p w:rsidR="00871285" w:rsidRPr="00814EFC" w:rsidRDefault="00871285" w:rsidP="00A761F0">
            <w:pPr>
              <w:spacing w:after="0"/>
              <w:ind w:firstLine="0"/>
              <w:jc w:val="center"/>
              <w:rPr>
                <w:bCs/>
                <w:color w:val="000000"/>
                <w:sz w:val="24"/>
              </w:rPr>
            </w:pPr>
            <w:r w:rsidRPr="00814EFC">
              <w:rPr>
                <w:bCs/>
                <w:color w:val="000000"/>
                <w:sz w:val="24"/>
              </w:rPr>
              <w:t>177,0</w:t>
            </w:r>
          </w:p>
        </w:tc>
        <w:tc>
          <w:tcPr>
            <w:tcW w:w="2268" w:type="dxa"/>
            <w:shd w:val="clear" w:color="auto" w:fill="auto"/>
            <w:tcMar>
              <w:top w:w="0" w:type="dxa"/>
              <w:left w:w="108" w:type="dxa"/>
              <w:bottom w:w="0" w:type="dxa"/>
              <w:right w:w="108" w:type="dxa"/>
            </w:tcMar>
            <w:hideMark/>
          </w:tcPr>
          <w:p w:rsidR="00871285" w:rsidRPr="00814EFC" w:rsidRDefault="00871285" w:rsidP="00A761F0">
            <w:pPr>
              <w:spacing w:after="0"/>
              <w:ind w:firstLine="0"/>
              <w:jc w:val="center"/>
              <w:rPr>
                <w:bCs/>
                <w:color w:val="000000"/>
                <w:sz w:val="24"/>
              </w:rPr>
            </w:pPr>
            <w:r w:rsidRPr="00814EFC">
              <w:rPr>
                <w:bCs/>
                <w:color w:val="000000"/>
                <w:sz w:val="24"/>
              </w:rPr>
              <w:t>256,4</w:t>
            </w:r>
          </w:p>
        </w:tc>
        <w:tc>
          <w:tcPr>
            <w:tcW w:w="2409" w:type="dxa"/>
            <w:shd w:val="clear" w:color="auto" w:fill="auto"/>
            <w:tcMar>
              <w:top w:w="0" w:type="dxa"/>
              <w:left w:w="108" w:type="dxa"/>
              <w:bottom w:w="0" w:type="dxa"/>
              <w:right w:w="108" w:type="dxa"/>
            </w:tcMar>
            <w:hideMark/>
          </w:tcPr>
          <w:p w:rsidR="00871285" w:rsidRPr="00814EFC" w:rsidRDefault="00871285" w:rsidP="00A761F0">
            <w:pPr>
              <w:spacing w:after="0"/>
              <w:ind w:firstLine="0"/>
              <w:jc w:val="center"/>
              <w:rPr>
                <w:bCs/>
                <w:color w:val="000000"/>
                <w:sz w:val="24"/>
              </w:rPr>
            </w:pPr>
            <w:r w:rsidRPr="00814EFC">
              <w:rPr>
                <w:bCs/>
                <w:color w:val="000000"/>
                <w:sz w:val="24"/>
              </w:rPr>
              <w:t>+44,9</w:t>
            </w:r>
          </w:p>
        </w:tc>
      </w:tr>
    </w:tbl>
    <w:p w:rsidR="00871285" w:rsidRDefault="00871285" w:rsidP="00871285">
      <w:pPr>
        <w:spacing w:before="120"/>
      </w:pPr>
      <w:r w:rsidRPr="00E66A59">
        <w:t>Līdzīgi kā Latvijas ostās, 201</w:t>
      </w:r>
      <w:r>
        <w:t>2</w:t>
      </w:r>
      <w:r w:rsidRPr="00E66A59">
        <w:t xml:space="preserve">. </w:t>
      </w:r>
      <w:r>
        <w:t>g</w:t>
      </w:r>
      <w:r w:rsidRPr="00E66A59">
        <w:t>ad</w:t>
      </w:r>
      <w:r>
        <w:t>a pirmajā ceturksnī</w:t>
      </w:r>
      <w:r w:rsidRPr="00E66A59">
        <w:t xml:space="preserve"> būtiski palielinājies arī dzelzceļa pārvadāto kravu apjoms. </w:t>
      </w:r>
      <w:r>
        <w:t xml:space="preserve">Pa dzelzceļu transportēti 17,2 </w:t>
      </w:r>
      <w:proofErr w:type="spellStart"/>
      <w:r>
        <w:t>milj</w:t>
      </w:r>
      <w:proofErr w:type="spellEnd"/>
      <w:r>
        <w:t>. tonnu kravu, kas ir par 16,0% vairāk nekā 2011. gada atbilstošajā laika periodā.</w:t>
      </w:r>
    </w:p>
    <w:p w:rsidR="00871285" w:rsidRDefault="00871285" w:rsidP="00871285">
      <w:pPr>
        <w:pStyle w:val="Z"/>
        <w:spacing w:after="0"/>
      </w:pPr>
      <w:r w:rsidRPr="00696025">
        <w:rPr>
          <w:noProof/>
          <w:lang w:eastAsia="lv-LV"/>
        </w:rPr>
        <w:lastRenderedPageBreak/>
        <w:drawing>
          <wp:inline distT="0" distB="0" distL="0" distR="0" wp14:anchorId="4F9A7563" wp14:editId="73962BC8">
            <wp:extent cx="4786544" cy="27241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829" cy="2721467"/>
                    </a:xfrm>
                    <a:prstGeom prst="rect">
                      <a:avLst/>
                    </a:prstGeom>
                    <a:noFill/>
                    <a:ln>
                      <a:noFill/>
                    </a:ln>
                  </pic:spPr>
                </pic:pic>
              </a:graphicData>
            </a:graphic>
          </wp:inline>
        </w:drawing>
      </w:r>
    </w:p>
    <w:p w:rsidR="00871285" w:rsidRPr="00181850" w:rsidRDefault="00871285" w:rsidP="00871285">
      <w:pPr>
        <w:pStyle w:val="Z"/>
        <w:spacing w:after="0"/>
      </w:pPr>
      <w:r>
        <w:t>9</w:t>
      </w:r>
      <w:r w:rsidRPr="00181850">
        <w:t>. att. Kravu apgrozījums Latvijas ostās</w:t>
      </w:r>
      <w:r>
        <w:t xml:space="preserve"> un pārvadājumu apjoms dzelzceļā</w:t>
      </w:r>
      <w:r w:rsidRPr="00181850">
        <w:t xml:space="preserve"> </w:t>
      </w:r>
      <w:r>
        <w:t>2007</w:t>
      </w:r>
      <w:r w:rsidRPr="00181850">
        <w:t xml:space="preserve">. </w:t>
      </w:r>
      <w:r>
        <w:t>–</w:t>
      </w:r>
      <w:r w:rsidRPr="00181850">
        <w:t>201</w:t>
      </w:r>
      <w:r>
        <w:t>2</w:t>
      </w:r>
      <w:r w:rsidRPr="00181850">
        <w:t xml:space="preserve">. </w:t>
      </w:r>
      <w:r>
        <w:t>g</w:t>
      </w:r>
      <w:r w:rsidRPr="00181850">
        <w:t>ad</w:t>
      </w:r>
      <w:r>
        <w:t xml:space="preserve">ā pa ceturkšņiem, </w:t>
      </w:r>
      <w:proofErr w:type="spellStart"/>
      <w:r>
        <w:t>milj</w:t>
      </w:r>
      <w:proofErr w:type="spellEnd"/>
      <w:r w:rsidRPr="00181850">
        <w:t>. t.</w:t>
      </w:r>
    </w:p>
    <w:p w:rsidR="00871285" w:rsidRDefault="00871285" w:rsidP="00871285">
      <w:pPr>
        <w:spacing w:before="120"/>
      </w:pPr>
      <w:r>
        <w:t>Kopš 2010. gada strauji aug ar autotransportu pārvadāto kravu apjoms un augsti pieauguma tempi saglabājušies arī pēdējā laikā. 2011. gadā ar autotransportu pārvadāti 53,9 miljoni tonnu kravu, kas ir par 15,2% vairāk nekā iepriekšējā gadā.</w:t>
      </w:r>
      <w:r w:rsidRPr="0012074B">
        <w:t xml:space="preserve"> </w:t>
      </w:r>
      <w:r>
        <w:t xml:space="preserve">Straujāk pārvadājumu apjoms </w:t>
      </w:r>
      <w:r w:rsidRPr="00E66A59">
        <w:t>audzis starptautiskajā satiksmē – par 2</w:t>
      </w:r>
      <w:r>
        <w:t>0</w:t>
      </w:r>
      <w:r w:rsidRPr="00E66A59">
        <w:t xml:space="preserve">,4% līdz </w:t>
      </w:r>
      <w:r>
        <w:t>9,1</w:t>
      </w:r>
      <w:r w:rsidRPr="00E66A59">
        <w:t xml:space="preserve"> milj</w:t>
      </w:r>
      <w:r>
        <w:t>onam</w:t>
      </w:r>
      <w:r w:rsidRPr="00E66A59">
        <w:t xml:space="preserve"> tonnu, kamēr iekšzemes pārvadājumos pieaugums bijis </w:t>
      </w:r>
      <w:r>
        <w:t xml:space="preserve">nedaudz zemāks </w:t>
      </w:r>
      <w:r w:rsidRPr="00E66A59">
        <w:t xml:space="preserve">– par </w:t>
      </w:r>
      <w:r>
        <w:t>14,2% līdz 44</w:t>
      </w:r>
      <w:r w:rsidRPr="00E66A59">
        <w:t>,</w:t>
      </w:r>
      <w:r>
        <w:t>8</w:t>
      </w:r>
      <w:r w:rsidRPr="00E66A59">
        <w:t xml:space="preserve"> milj</w:t>
      </w:r>
      <w:r>
        <w:t xml:space="preserve">oniem </w:t>
      </w:r>
      <w:r w:rsidRPr="00E66A59">
        <w:t>tonnu</w:t>
      </w:r>
      <w:r>
        <w:t>.</w:t>
      </w:r>
    </w:p>
    <w:p w:rsidR="00871285" w:rsidRPr="00E66A59" w:rsidRDefault="00871285" w:rsidP="00871285">
      <w:pPr>
        <w:spacing w:before="120"/>
      </w:pPr>
      <w:r w:rsidRPr="00E66A59">
        <w:t xml:space="preserve">Atšķirībā no kravu pārvadājumiem, kur pieaugums vērojams gan starptautiskajā satiksmē, gan iekšzemes satiksmē, pasažieru pārvadājumus Latvijas teritorijā </w:t>
      </w:r>
      <w:r>
        <w:t>2011. gadā</w:t>
      </w:r>
      <w:r w:rsidRPr="00E66A59">
        <w:t xml:space="preserve"> </w:t>
      </w:r>
      <w:r>
        <w:t>turpināja negatīvi ietekmēt salīdzinoši</w:t>
      </w:r>
      <w:r w:rsidRPr="00E66A59">
        <w:t xml:space="preserve"> vājais iekšzemes pieprasījums – pirktspējas vājināšanās un nodarbinātības samazināšanās, mazinot iedzīvotāju pārvietošanās nepieciešamību uz darbavietām. Savukārt tūrisma straujā attīstība un augošā </w:t>
      </w:r>
      <w:r>
        <w:t>e</w:t>
      </w:r>
      <w:r w:rsidRPr="00E66A59">
        <w:t>migrācija ir palielinājusi pasažieru skaitu starptautiskajā satiksmē.</w:t>
      </w:r>
    </w:p>
    <w:p w:rsidR="00871285" w:rsidRDefault="00871285" w:rsidP="00871285">
      <w:pPr>
        <w:spacing w:before="120"/>
      </w:pPr>
      <w:r w:rsidRPr="00E66A59">
        <w:t xml:space="preserve">Ar autobusiem 2011. </w:t>
      </w:r>
      <w:r>
        <w:t>gadā</w:t>
      </w:r>
      <w:r w:rsidRPr="00E66A59">
        <w:t xml:space="preserve"> pārvadāti </w:t>
      </w:r>
      <w:r>
        <w:t>117,0</w:t>
      </w:r>
      <w:r w:rsidRPr="00E66A59">
        <w:t xml:space="preserve"> milj</w:t>
      </w:r>
      <w:r>
        <w:t xml:space="preserve">oni </w:t>
      </w:r>
      <w:r w:rsidRPr="00E66A59">
        <w:t>pasažieru, kas ir par 4,</w:t>
      </w:r>
      <w:r>
        <w:t>3% mazāk nekā 2010. gadā</w:t>
      </w:r>
      <w:r w:rsidRPr="00E66A59">
        <w:t xml:space="preserve">. Dzelzceļa pasažieru skaits samazinājies par </w:t>
      </w:r>
      <w:r>
        <w:t>1,7</w:t>
      </w:r>
      <w:r w:rsidRPr="00E66A59">
        <w:t xml:space="preserve">% līdz </w:t>
      </w:r>
      <w:r>
        <w:t>20,5 miljoniem</w:t>
      </w:r>
      <w:r w:rsidRPr="00E66A59">
        <w:t xml:space="preserve">, bet tramvaju un trolejbusu pasažieru skaits ir mazliet pieaudzis – attiecīgi par </w:t>
      </w:r>
      <w:r>
        <w:t>1,4</w:t>
      </w:r>
      <w:r w:rsidRPr="00E66A59">
        <w:t xml:space="preserve">% līdz </w:t>
      </w:r>
      <w:r>
        <w:t>41,6</w:t>
      </w:r>
      <w:r w:rsidRPr="00E66A59">
        <w:t xml:space="preserve"> miljoniem un </w:t>
      </w:r>
      <w:r>
        <w:t>4,1</w:t>
      </w:r>
      <w:r w:rsidRPr="00E66A59">
        <w:t xml:space="preserve">% līdz </w:t>
      </w:r>
      <w:r>
        <w:t>46,2</w:t>
      </w:r>
      <w:r w:rsidRPr="00E66A59">
        <w:t xml:space="preserve"> miljoniem.</w:t>
      </w:r>
    </w:p>
    <w:p w:rsidR="00871285" w:rsidRDefault="00871285" w:rsidP="00871285">
      <w:pPr>
        <w:spacing w:before="120"/>
      </w:pPr>
      <w:r w:rsidRPr="00E66A59">
        <w:t xml:space="preserve">Pēdējos gados strauji audzis pasažieru skaits lidostā „Rīga” un </w:t>
      </w:r>
      <w:r>
        <w:t>2011</w:t>
      </w:r>
      <w:r w:rsidRPr="00E66A59">
        <w:t xml:space="preserve">. gadā </w:t>
      </w:r>
      <w:r>
        <w:t xml:space="preserve">kopā </w:t>
      </w:r>
      <w:r w:rsidRPr="00E66A59">
        <w:t xml:space="preserve">gaisa pasažieru skaits palielinājās par </w:t>
      </w:r>
      <w:r>
        <w:t>9,5</w:t>
      </w:r>
      <w:r w:rsidR="000E7B3F" w:rsidRPr="000E7B3F">
        <w:t xml:space="preserve"> </w:t>
      </w:r>
      <w:r w:rsidR="000E7B3F">
        <w:t>procentiem</w:t>
      </w:r>
      <w:r>
        <w:t xml:space="preserve">. 2012. gada pirmajā ceturksnī attīstība ir kļuvusi lēnāka un </w:t>
      </w:r>
      <w:r w:rsidRPr="00E66A59">
        <w:t>lidosta „Rīga” apkalpoj</w:t>
      </w:r>
      <w:r>
        <w:t>usi</w:t>
      </w:r>
      <w:r w:rsidRPr="00E66A59">
        <w:t xml:space="preserve"> </w:t>
      </w:r>
      <w:r>
        <w:t xml:space="preserve">949,3 tūkstošus pasažieru, kas ir par </w:t>
      </w:r>
      <w:r w:rsidRPr="00E66A59">
        <w:t>1,0% vairāk nekā 201</w:t>
      </w:r>
      <w:r>
        <w:t>1</w:t>
      </w:r>
      <w:r w:rsidRPr="00E66A59">
        <w:t xml:space="preserve">. gada pirmajos </w:t>
      </w:r>
      <w:r>
        <w:t>trijos</w:t>
      </w:r>
      <w:r w:rsidRPr="00E66A59">
        <w:t xml:space="preserve"> mēnešos. </w:t>
      </w:r>
    </w:p>
    <w:p w:rsidR="000E0C96" w:rsidRDefault="00871285" w:rsidP="00B42E32">
      <w:pPr>
        <w:spacing w:before="120"/>
      </w:pPr>
      <w:r w:rsidRPr="00E66A59">
        <w:t xml:space="preserve">Pasažieru skaits Rīgas </w:t>
      </w:r>
      <w:r>
        <w:t xml:space="preserve">jūras </w:t>
      </w:r>
      <w:r w:rsidRPr="00E66A59">
        <w:t xml:space="preserve">ostā </w:t>
      </w:r>
      <w:r>
        <w:t xml:space="preserve">2012. </w:t>
      </w:r>
      <w:r w:rsidRPr="00E66A59">
        <w:t xml:space="preserve">gada </w:t>
      </w:r>
      <w:r>
        <w:t>pirmajā ceturksnī</w:t>
      </w:r>
      <w:r w:rsidRPr="00E66A59">
        <w:t>, salīdzinot ar 201</w:t>
      </w:r>
      <w:r>
        <w:t>1</w:t>
      </w:r>
      <w:r w:rsidRPr="00E66A59">
        <w:t>. gada attiecīgo laika periodu, palielinājies par 1,</w:t>
      </w:r>
      <w:r>
        <w:t>0</w:t>
      </w:r>
      <w:r w:rsidRPr="00E66A59">
        <w:t xml:space="preserve">% līdz </w:t>
      </w:r>
      <w:r>
        <w:t xml:space="preserve">146,3 </w:t>
      </w:r>
      <w:r w:rsidRPr="00E66A59">
        <w:t>tūkstošiem.</w:t>
      </w:r>
      <w:bookmarkStart w:id="26" w:name="_Toc325101915"/>
    </w:p>
    <w:p w:rsidR="00871285" w:rsidRPr="008E751D" w:rsidRDefault="00871285" w:rsidP="00871285">
      <w:pPr>
        <w:pStyle w:val="H2"/>
      </w:pPr>
      <w:r w:rsidRPr="008E751D">
        <w:lastRenderedPageBreak/>
        <w:t>1.4. Inflācija</w:t>
      </w:r>
      <w:bookmarkEnd w:id="25"/>
      <w:bookmarkEnd w:id="26"/>
    </w:p>
    <w:p w:rsidR="00871285" w:rsidRPr="00907DE6" w:rsidRDefault="00871285" w:rsidP="00871285">
      <w:pPr>
        <w:spacing w:before="120"/>
      </w:pPr>
      <w:r w:rsidRPr="00907DE6">
        <w:t xml:space="preserve">Patēriņa cenu dinamika 2011. gadā un arī 2012. gadā stipri atšķiras no tās, ko Latvijā piedzīvoja pirmskrīzes periodā. Lai arī inflācijas rādītājs 2011. gada maijā sasniedza savu augstāko vērtību kopš krīzes -  5% atzīmi, tomēr iemesli šim cenu kāpumam nav saistīti ar ekonomikas pārkaršanu un nespēju nodrošināt cenu stabilitāti valstī. </w:t>
      </w:r>
      <w:r>
        <w:t>N</w:t>
      </w:r>
      <w:r w:rsidRPr="00907DE6">
        <w:t>oteicošie faktori, kas izraisīja patēriņa cenu inflāciju</w:t>
      </w:r>
      <w:r>
        <w:t>,</w:t>
      </w:r>
      <w:r w:rsidRPr="00907DE6">
        <w:t xml:space="preserve"> bija energoresursu cenu kāpums pasaulē (importētā inflācija), kā arī netiešo nodokļu likmju izmaiņas. Savukārt pamatinflācija, kas raksturo vietējo tirgu, ir noturīgi zema. 2011. gada decembrī patēriņa cenu inflācijas samazinājās līdz 4</w:t>
      </w:r>
      <w:r w:rsidR="000E7B3F">
        <w:t>,0 procentiem</w:t>
      </w:r>
      <w:r w:rsidRPr="00907DE6">
        <w:t>.</w:t>
      </w:r>
    </w:p>
    <w:p w:rsidR="00871285" w:rsidRPr="00907DE6" w:rsidRDefault="00871285" w:rsidP="00871285">
      <w:pPr>
        <w:spacing w:before="120"/>
      </w:pPr>
      <w:r w:rsidRPr="00907DE6">
        <w:t xml:space="preserve">Gaidāms, ka patēriņa cenu inflācija turpinās palēnināties, ņemot vērā, ka privātais patēriņš Latvijas ekonomikā vēl arvien ir salīdzinoši vājš, neradot spiedienu uz pamatinflāciju. </w:t>
      </w:r>
      <w:r>
        <w:t>Tāpat</w:t>
      </w:r>
      <w:r w:rsidRPr="00907DE6">
        <w:t xml:space="preserve"> no gada inflācijas pakāpeniski izzudīs vienreizējie pasākumi, kas paaugst</w:t>
      </w:r>
      <w:r w:rsidR="00670A0D">
        <w:t>ināja cenu līmeni 2011. gadā – pievienotās vērtības nodokļa (turpmāk – P</w:t>
      </w:r>
      <w:r w:rsidRPr="00907DE6">
        <w:t>VN</w:t>
      </w:r>
      <w:r w:rsidR="00670A0D">
        <w:t>)</w:t>
      </w:r>
      <w:r w:rsidRPr="00907DE6">
        <w:t xml:space="preserve"> pieaugums janvārī, samazinātās PVN likmes atcelšana elektroenerģijai aprīlī un akcīzes nodokļu paaugstinājums degvielai un tabakai jūnijā. Lielāko ietekmi uz gada inflāciju jau kopš 2010. gada vidus ir radījusi importētā inflācija (2010. gada beigās neapstrādātās pārtikas cenas, 2011. un 20</w:t>
      </w:r>
      <w:r>
        <w:t xml:space="preserve">12. gadā – energoresursu cenas), </w:t>
      </w:r>
      <w:r w:rsidRPr="00907DE6">
        <w:t>noturīgi veidojot aptuveni 2 procentpunktus no kopējās gada inflācijas. Pēdējie dati liecina, ka gada inflācija ir samazinājusies jau līdz 3,3% 2012. gada martā un, izzūdot elektrības tari</w:t>
      </w:r>
      <w:r>
        <w:t xml:space="preserve">fu pieauguma ietekmei, līdz 2,8% </w:t>
      </w:r>
      <w:r w:rsidRPr="00907DE6">
        <w:t xml:space="preserve">aprīlī. </w:t>
      </w:r>
    </w:p>
    <w:p w:rsidR="00871285" w:rsidRPr="008E751D" w:rsidRDefault="00871285" w:rsidP="00871285">
      <w:pPr>
        <w:ind w:firstLine="142"/>
        <w:jc w:val="center"/>
      </w:pPr>
      <w:r w:rsidRPr="008E751D">
        <w:rPr>
          <w:noProof/>
          <w:lang w:eastAsia="lv-LV"/>
        </w:rPr>
        <w:drawing>
          <wp:inline distT="0" distB="0" distL="0" distR="0" wp14:anchorId="155914C1" wp14:editId="157DF8CC">
            <wp:extent cx="5274310" cy="263334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2633345"/>
                    </a:xfrm>
                    <a:prstGeom prst="rect">
                      <a:avLst/>
                    </a:prstGeom>
                    <a:noFill/>
                    <a:ln>
                      <a:noFill/>
                    </a:ln>
                  </pic:spPr>
                </pic:pic>
              </a:graphicData>
            </a:graphic>
          </wp:inline>
        </w:drawing>
      </w:r>
    </w:p>
    <w:p w:rsidR="00871285" w:rsidRPr="008E751D" w:rsidRDefault="00871285" w:rsidP="00871285">
      <w:pPr>
        <w:rPr>
          <w:b/>
          <w:i/>
        </w:rPr>
      </w:pPr>
      <w:r>
        <w:rPr>
          <w:b/>
          <w:i/>
        </w:rPr>
        <w:t xml:space="preserve">10. </w:t>
      </w:r>
      <w:proofErr w:type="spellStart"/>
      <w:r>
        <w:rPr>
          <w:b/>
          <w:i/>
        </w:rPr>
        <w:t>att</w:t>
      </w:r>
      <w:proofErr w:type="spellEnd"/>
      <w:r>
        <w:rPr>
          <w:b/>
          <w:i/>
        </w:rPr>
        <w:t xml:space="preserve">. </w:t>
      </w:r>
      <w:r w:rsidRPr="008E751D">
        <w:rPr>
          <w:b/>
          <w:i/>
        </w:rPr>
        <w:t>SPCI</w:t>
      </w:r>
      <w:r>
        <w:rPr>
          <w:rStyle w:val="FootnoteReference"/>
          <w:b/>
          <w:i/>
        </w:rPr>
        <w:footnoteReference w:id="4"/>
      </w:r>
      <w:r w:rsidRPr="008E751D">
        <w:rPr>
          <w:b/>
          <w:i/>
        </w:rPr>
        <w:t xml:space="preserve"> gada pieaugums un inflācijas komponentes pēc izcelsmes</w:t>
      </w:r>
    </w:p>
    <w:p w:rsidR="00871285" w:rsidRPr="00907DE6" w:rsidRDefault="00871285" w:rsidP="00871285">
      <w:pPr>
        <w:rPr>
          <w:lang w:eastAsia="lv-LV"/>
        </w:rPr>
      </w:pPr>
      <w:r w:rsidRPr="00907DE6">
        <w:rPr>
          <w:lang w:eastAsia="lv-LV"/>
        </w:rPr>
        <w:t>2012. gada pirmajā ceturksnī svarīgākie noti</w:t>
      </w:r>
      <w:r>
        <w:rPr>
          <w:lang w:eastAsia="lv-LV"/>
        </w:rPr>
        <w:t xml:space="preserve">kumi, kas izraisīja cenu kāpumu, </w:t>
      </w:r>
      <w:r w:rsidRPr="00907DE6">
        <w:rPr>
          <w:lang w:eastAsia="lv-LV"/>
        </w:rPr>
        <w:t xml:space="preserve">bija gāzes un siltumenerģijas tarifu </w:t>
      </w:r>
      <w:r>
        <w:rPr>
          <w:lang w:eastAsia="lv-LV"/>
        </w:rPr>
        <w:t xml:space="preserve">pieaugums </w:t>
      </w:r>
      <w:r w:rsidRPr="00907DE6">
        <w:rPr>
          <w:lang w:eastAsia="lv-LV"/>
        </w:rPr>
        <w:t>janvārī, naftas cenu</w:t>
      </w:r>
      <w:r>
        <w:rPr>
          <w:lang w:eastAsia="lv-LV"/>
        </w:rPr>
        <w:t xml:space="preserve"> un</w:t>
      </w:r>
      <w:r w:rsidRPr="00907DE6">
        <w:rPr>
          <w:lang w:eastAsia="lv-LV"/>
        </w:rPr>
        <w:t xml:space="preserve"> līdz ar to arī degvielas cenu kāpums februārī un martā, kā arī atsevišķi sezonāli </w:t>
      </w:r>
      <w:r w:rsidRPr="00907DE6">
        <w:rPr>
          <w:lang w:eastAsia="lv-LV"/>
        </w:rPr>
        <w:lastRenderedPageBreak/>
        <w:t>faktori, piemēram, apģērbu un dārzeņu cenu kāpums martā. Salīdzinot ar iepriekšējo ceturksni, patēriņa cenas pieauga par 1,1 procentu.</w:t>
      </w:r>
    </w:p>
    <w:p w:rsidR="00871285" w:rsidRPr="00907DE6" w:rsidRDefault="00871285" w:rsidP="00871285">
      <w:pPr>
        <w:rPr>
          <w:lang w:eastAsia="lv-LV"/>
        </w:rPr>
      </w:pPr>
      <w:r w:rsidRPr="00907DE6">
        <w:rPr>
          <w:lang w:eastAsia="lv-LV"/>
        </w:rPr>
        <w:t>Siltumenerģijas un gāzes tarifu kāpumu janvārī var skaidrot ar to aprēķina specifiku - Inčukalna gāzes krātuvē tiek veidotas rezerves, kas ļauj mākslīgi noturēt stabilu gāzes cenu, neatkarīgi no pasaules cenu svārstībām – parasti rezerves tiek atjaunotas pavasarī, bet izsīkst ap gada beigām, atkarībā no laika</w:t>
      </w:r>
      <w:r>
        <w:rPr>
          <w:lang w:eastAsia="lv-LV"/>
        </w:rPr>
        <w:t xml:space="preserve"> a</w:t>
      </w:r>
      <w:r w:rsidRPr="00907DE6">
        <w:rPr>
          <w:lang w:eastAsia="lv-LV"/>
        </w:rPr>
        <w:t>pstākļiem un apkures intensitātes. Kad beidzas rezerves, gāze tiek piegādāta pēc tirgus cenas, tādējādi rezervju izmantošanas laikā var veidoties būtiska starpība starp veco iepirkuma ce</w:t>
      </w:r>
      <w:r>
        <w:rPr>
          <w:lang w:eastAsia="lv-LV"/>
        </w:rPr>
        <w:t>nu un faktisko tirgus cenu, kas savukārt</w:t>
      </w:r>
      <w:r w:rsidRPr="00907DE6">
        <w:rPr>
          <w:lang w:eastAsia="lv-LV"/>
        </w:rPr>
        <w:t xml:space="preserve"> rezervju izbeigšanās mēnesī var būtiski ietekmēt inflācijas rādītāju. Šī iemesla dēļ siltumenerģija janvārī sadārdzinājās par 9,4%, paaugstinot mēneša inflācijas rādītāju par 0</w:t>
      </w:r>
      <w:r>
        <w:rPr>
          <w:lang w:eastAsia="lv-LV"/>
        </w:rPr>
        <w:t>,</w:t>
      </w:r>
      <w:r w:rsidRPr="00907DE6">
        <w:rPr>
          <w:lang w:eastAsia="lv-LV"/>
        </w:rPr>
        <w:t>43 procentpunktiem, bet gāzes cena pieauga par 8,6%, kas p</w:t>
      </w:r>
      <w:r>
        <w:rPr>
          <w:lang w:eastAsia="lv-LV"/>
        </w:rPr>
        <w:t>astiprināja inflāciju vēl par 0,</w:t>
      </w:r>
      <w:r w:rsidRPr="00907DE6">
        <w:rPr>
          <w:lang w:eastAsia="lv-LV"/>
        </w:rPr>
        <w:t>12 procentpunktiem.</w:t>
      </w:r>
    </w:p>
    <w:p w:rsidR="00871285" w:rsidRPr="00907DE6" w:rsidRDefault="00871285" w:rsidP="00871285">
      <w:pPr>
        <w:rPr>
          <w:lang w:eastAsia="lv-LV"/>
        </w:rPr>
      </w:pPr>
      <w:r>
        <w:rPr>
          <w:lang w:eastAsia="lv-LV"/>
        </w:rPr>
        <w:t xml:space="preserve">Naftas cenu kāpums, kas bija </w:t>
      </w:r>
      <w:r w:rsidRPr="00907DE6">
        <w:rPr>
          <w:lang w:eastAsia="lv-LV"/>
        </w:rPr>
        <w:t>vērojams no š</w:t>
      </w:r>
      <w:r>
        <w:rPr>
          <w:lang w:eastAsia="lv-LV"/>
        </w:rPr>
        <w:t>ī gada</w:t>
      </w:r>
      <w:r w:rsidRPr="00907DE6">
        <w:rPr>
          <w:lang w:eastAsia="lv-LV"/>
        </w:rPr>
        <w:t xml:space="preserve"> janvāra vidus līdz marta vidum</w:t>
      </w:r>
      <w:r>
        <w:rPr>
          <w:lang w:eastAsia="lv-LV"/>
        </w:rPr>
        <w:t>,</w:t>
      </w:r>
      <w:r w:rsidRPr="00907DE6">
        <w:rPr>
          <w:lang w:eastAsia="lv-LV"/>
        </w:rPr>
        <w:t xml:space="preserve"> bija globāla parādība, kas diezgan būtiski pacēla tieši saistīto izejvielu cenas, piemēram, dīzeļdegvielai un benzīnam. Eiropā </w:t>
      </w:r>
      <w:r>
        <w:rPr>
          <w:lang w:eastAsia="lv-LV"/>
        </w:rPr>
        <w:t>līdzās</w:t>
      </w:r>
      <w:r w:rsidRPr="00907DE6">
        <w:rPr>
          <w:lang w:eastAsia="lv-LV"/>
        </w:rPr>
        <w:t xml:space="preserve"> augstajām </w:t>
      </w:r>
      <w:r>
        <w:rPr>
          <w:lang w:eastAsia="lv-LV"/>
        </w:rPr>
        <w:t>naftas cenām</w:t>
      </w:r>
      <w:r w:rsidRPr="00907DE6">
        <w:rPr>
          <w:lang w:eastAsia="lv-LV"/>
        </w:rPr>
        <w:t xml:space="preserve"> degvielas iegādes cenu ietekmēja arī EUR/USD kurss, kas šī gada pirmajos mēnešos bija nelabvēlīgi zems. Latvijā degvielas cena martā, salīdzinot ar decembri</w:t>
      </w:r>
      <w:r>
        <w:rPr>
          <w:lang w:eastAsia="lv-LV"/>
        </w:rPr>
        <w:t>,</w:t>
      </w:r>
      <w:r w:rsidRPr="00907DE6">
        <w:rPr>
          <w:lang w:eastAsia="lv-LV"/>
        </w:rPr>
        <w:t xml:space="preserve"> pieauga par 7,8 procentiem.</w:t>
      </w:r>
    </w:p>
    <w:p w:rsidR="00871285" w:rsidRPr="00907DE6" w:rsidRDefault="00871285" w:rsidP="00871285">
      <w:pPr>
        <w:rPr>
          <w:lang w:eastAsia="lv-LV"/>
        </w:rPr>
      </w:pPr>
      <w:r w:rsidRPr="00907DE6">
        <w:rPr>
          <w:lang w:eastAsia="lv-LV"/>
        </w:rPr>
        <w:t>Finanšu ministrija prognozē, ka gada vidējā inflācija, kas tiek izmantota arī kā Māstrihtas kritērijs, 2012. gadā būs 2,6</w:t>
      </w:r>
      <w:r>
        <w:rPr>
          <w:lang w:eastAsia="lv-LV"/>
        </w:rPr>
        <w:t xml:space="preserve"> procenti</w:t>
      </w:r>
      <w:r w:rsidRPr="00907DE6">
        <w:rPr>
          <w:lang w:eastAsia="lv-LV"/>
        </w:rPr>
        <w:t>.</w:t>
      </w:r>
    </w:p>
    <w:p w:rsidR="00871285" w:rsidRPr="00907DE6" w:rsidRDefault="00871285" w:rsidP="00871285">
      <w:pPr>
        <w:rPr>
          <w:lang w:eastAsia="lv-LV"/>
        </w:rPr>
      </w:pPr>
      <w:r w:rsidRPr="00907DE6">
        <w:rPr>
          <w:lang w:eastAsia="lv-LV"/>
        </w:rPr>
        <w:t>Lielākā nenoteiktība un riski saistībā ar cenu kāpumu 2012. gadā ir vērojami ārējā vidē. Grūti prognozējamas ir naftas cenas, kurām kā spekulatīvu investīciju objektam ir gaidāmas būtiskas svārstības, reaģējot gan uz notikumiem Tuvajos Austrumos, gan uz Eiropas Savienības valstu izaugsmes atbilstību prognozēm. Būtiska loma ir arī EUR/USD kurs</w:t>
      </w:r>
      <w:r>
        <w:rPr>
          <w:lang w:eastAsia="lv-LV"/>
        </w:rPr>
        <w:t>a</w:t>
      </w:r>
      <w:r w:rsidRPr="00907DE6">
        <w:rPr>
          <w:lang w:eastAsia="lv-LV"/>
        </w:rPr>
        <w:t xml:space="preserve"> svārstībām, jo naftas produkti biržās kotējas USD izteiksmē – ja EUR turpinās vājināties, spiediens uz naftas galaproduktu cenām pieaugs. Jāatzīmē, ka naftas produktu cenu kāpumam var būt arī otrreizējs efekts uz inflāciju Latvijā – pieaugušās</w:t>
      </w:r>
      <w:r>
        <w:rPr>
          <w:lang w:eastAsia="lv-LV"/>
        </w:rPr>
        <w:t xml:space="preserve"> ražošanas un loģistikas pakalpojumu izmaksas </w:t>
      </w:r>
      <w:r w:rsidRPr="00907DE6">
        <w:rPr>
          <w:lang w:eastAsia="lv-LV"/>
        </w:rPr>
        <w:t xml:space="preserve">var atspoguļoties arī </w:t>
      </w:r>
      <w:r>
        <w:rPr>
          <w:lang w:eastAsia="lv-LV"/>
        </w:rPr>
        <w:t xml:space="preserve">citu </w:t>
      </w:r>
      <w:r w:rsidRPr="00907DE6">
        <w:rPr>
          <w:lang w:eastAsia="lv-LV"/>
        </w:rPr>
        <w:t xml:space="preserve">preču gala cenā. </w:t>
      </w:r>
    </w:p>
    <w:p w:rsidR="00871285" w:rsidRPr="00907DE6" w:rsidRDefault="00871285" w:rsidP="00871285">
      <w:pPr>
        <w:rPr>
          <w:lang w:eastAsia="lv-LV"/>
        </w:rPr>
      </w:pPr>
      <w:r w:rsidRPr="00907DE6">
        <w:rPr>
          <w:lang w:eastAsia="lv-LV"/>
        </w:rPr>
        <w:t>Attiecībā uz</w:t>
      </w:r>
      <w:r>
        <w:rPr>
          <w:lang w:eastAsia="lv-LV"/>
        </w:rPr>
        <w:t xml:space="preserve"> Māstrihtas kritērija izpildi -</w:t>
      </w:r>
      <w:r w:rsidRPr="00907DE6">
        <w:rPr>
          <w:lang w:eastAsia="lv-LV"/>
        </w:rPr>
        <w:t xml:space="preserve"> degvielas cena </w:t>
      </w:r>
      <w:r>
        <w:rPr>
          <w:lang w:eastAsia="lv-LV"/>
        </w:rPr>
        <w:t>pati par sevi</w:t>
      </w:r>
      <w:r w:rsidRPr="00907DE6">
        <w:rPr>
          <w:lang w:eastAsia="lv-LV"/>
        </w:rPr>
        <w:t xml:space="preserve"> nerada problēmas </w:t>
      </w:r>
      <w:r>
        <w:rPr>
          <w:lang w:eastAsia="lv-LV"/>
        </w:rPr>
        <w:t>tā</w:t>
      </w:r>
      <w:r w:rsidRPr="00907DE6">
        <w:rPr>
          <w:lang w:eastAsia="lv-LV"/>
        </w:rPr>
        <w:t xml:space="preserve"> izpildei, jo cenu izmaiņas visās valstīs ir aptuveni vienādas, </w:t>
      </w:r>
      <w:r>
        <w:rPr>
          <w:lang w:eastAsia="lv-LV"/>
        </w:rPr>
        <w:t xml:space="preserve">un </w:t>
      </w:r>
      <w:r w:rsidRPr="00907DE6">
        <w:rPr>
          <w:lang w:eastAsia="lv-LV"/>
        </w:rPr>
        <w:t>arī īpatsvars patēriņa grozos degvielai ir līdzīgs</w:t>
      </w:r>
      <w:r w:rsidRPr="003B1CAA">
        <w:rPr>
          <w:lang w:eastAsia="lv-LV"/>
        </w:rPr>
        <w:t>. Risks ir saistīts ar atšķirīgo patēriņa groza struktūru Eiropas Savienības valstu ietvaros un atsevišķu preču vai pakalpojumu jūtīgumu pret energoresursu ce</w:t>
      </w:r>
      <w:r w:rsidRPr="00907DE6">
        <w:rPr>
          <w:lang w:eastAsia="lv-LV"/>
        </w:rPr>
        <w:t>nu izmaiņām, piemēram, Latvijā ir viens no lielākajiem pārtikas preču īpatsvariem patēriņa grozā un pārtikas cenas vēsturiski ir vienmēr bijušas ļoti jūtīgas pret naftas cenu svārstībām.</w:t>
      </w:r>
    </w:p>
    <w:p w:rsidR="00871285" w:rsidRPr="008E751D" w:rsidRDefault="00871285" w:rsidP="00871285"/>
    <w:p w:rsidR="000E0C96" w:rsidRDefault="000E0C96" w:rsidP="00F85C2C">
      <w:pPr>
        <w:pStyle w:val="H2"/>
        <w:jc w:val="both"/>
      </w:pPr>
      <w:bookmarkStart w:id="27" w:name="_Toc262026546"/>
      <w:bookmarkStart w:id="28" w:name="_Toc325101916"/>
    </w:p>
    <w:p w:rsidR="00871285" w:rsidRPr="008E751D" w:rsidRDefault="00871285" w:rsidP="00871285">
      <w:pPr>
        <w:pStyle w:val="H2"/>
      </w:pPr>
      <w:r w:rsidRPr="008E751D">
        <w:lastRenderedPageBreak/>
        <w:t>1.5. Nodarbinātība un bezdarbs</w:t>
      </w:r>
      <w:bookmarkEnd w:id="27"/>
      <w:bookmarkEnd w:id="28"/>
    </w:p>
    <w:p w:rsidR="00871285" w:rsidRPr="005C7AC0" w:rsidRDefault="00871285" w:rsidP="00871285">
      <w:pPr>
        <w:rPr>
          <w:lang w:eastAsia="lv-LV"/>
        </w:rPr>
      </w:pPr>
      <w:bookmarkStart w:id="29" w:name="_Toc262026548"/>
      <w:r>
        <w:rPr>
          <w:lang w:eastAsia="lv-LV"/>
        </w:rPr>
        <w:t>L</w:t>
      </w:r>
      <w:r w:rsidRPr="005C7AC0">
        <w:rPr>
          <w:lang w:eastAsia="lv-LV"/>
        </w:rPr>
        <w:t xml:space="preserve">īdz 2008. gadam </w:t>
      </w:r>
      <w:r>
        <w:rPr>
          <w:lang w:eastAsia="lv-LV"/>
        </w:rPr>
        <w:t xml:space="preserve">Latvijas </w:t>
      </w:r>
      <w:r w:rsidRPr="005C7AC0">
        <w:rPr>
          <w:lang w:eastAsia="lv-LV"/>
        </w:rPr>
        <w:t>tautsaimniecībā nodarbināto iedzīvotāju skaits pastāvīgi pieauga, taču ekonomiskās krīzes laikā tika piedzīvots straujš nodarbinātības kritums un bezdarba līmeņa pieaugums. Līdz ar ekonomiskās izaugsmes atjaunošanos kopš 2010. gada pavasara situācija darba tirgū pastāvīgi uzlabojas, tautsaimniecībā nodarbināto iedzīvotāju skaits atkal ir sācis pieaugt un bezdarba līmenis, ar sezonāliem pārtraukumiem ziemas mēnešos, pakāpeniski samazinās. Tajā pašā laikā ir iezīmējušās strukturālā bezdarba problēmas, kad pieprasījumam darba tirgū neatbilstot piedāvājumam, ir pieaudzis to bezdarbnieku īpatsvars, kuri nav spējuši atrast darbu ilgāk par gadu.</w:t>
      </w:r>
    </w:p>
    <w:p w:rsidR="00871285" w:rsidRPr="005C7AC0" w:rsidRDefault="00871285" w:rsidP="00871285">
      <w:pPr>
        <w:rPr>
          <w:rFonts w:ascii="Verdana" w:hAnsi="Verdana"/>
          <w:color w:val="000000"/>
          <w:sz w:val="18"/>
          <w:szCs w:val="18"/>
          <w:lang w:eastAsia="lv-LV"/>
        </w:rPr>
      </w:pPr>
      <w:r w:rsidRPr="005C7AC0">
        <w:rPr>
          <w:lang w:eastAsia="lv-LV"/>
        </w:rPr>
        <w:t xml:space="preserve">Reģistrētā bezdarba līmenis, pēc Nodarbinātības valsts aģentūras datiem, 2012. gada pirmā ceturkšņa beigās bija samazinājies līdz 11,7% no ekonomiski aktīvajiem iedzīvotājiem. No visaugstākā bezdarba līmeņa, kas bija sasniegts 2010. gada martā un bija 17,3%, tas ir </w:t>
      </w:r>
      <w:r>
        <w:rPr>
          <w:lang w:eastAsia="lv-LV"/>
        </w:rPr>
        <w:t>samazinājums</w:t>
      </w:r>
      <w:r w:rsidRPr="005C7AC0">
        <w:rPr>
          <w:lang w:eastAsia="lv-LV"/>
        </w:rPr>
        <w:t xml:space="preserve"> par 5,6 procentpunktiem. Pēdējā gada laikā - no 2011. gada marta līdz 2012. gada martam – reģistrētā bezdarba līmenis ir samazinājies par 2,7 procentpunktiem. Savukārt reģistrēto bezdarbnieku skaits gada laikā ir sarucis par 31,3 tūkstošiem cilvēku jeb 19,1% un 2012. gada marta beigās bija 132,2 tūkstoši cilvēku.</w:t>
      </w:r>
    </w:p>
    <w:p w:rsidR="00871285" w:rsidRPr="005C7AC0" w:rsidRDefault="00871285" w:rsidP="00871285">
      <w:pPr>
        <w:ind w:firstLine="0"/>
        <w:jc w:val="center"/>
        <w:rPr>
          <w:lang w:eastAsia="lv-LV"/>
        </w:rPr>
      </w:pPr>
      <w:r w:rsidRPr="005C7AC0">
        <w:rPr>
          <w:noProof/>
          <w:lang w:eastAsia="lv-LV"/>
        </w:rPr>
        <w:drawing>
          <wp:inline distT="0" distB="0" distL="0" distR="0" wp14:anchorId="1CBE64EE" wp14:editId="4F32C87D">
            <wp:extent cx="5267325" cy="27527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b="14404"/>
                    <a:stretch/>
                  </pic:blipFill>
                  <pic:spPr bwMode="auto">
                    <a:xfrm>
                      <a:off x="0" y="0"/>
                      <a:ext cx="5274310" cy="2756375"/>
                    </a:xfrm>
                    <a:prstGeom prst="rect">
                      <a:avLst/>
                    </a:prstGeom>
                    <a:noFill/>
                    <a:ln>
                      <a:noFill/>
                    </a:ln>
                    <a:extLst>
                      <a:ext uri="{53640926-AAD7-44D8-BBD7-CCE9431645EC}">
                        <a14:shadowObscured xmlns:a14="http://schemas.microsoft.com/office/drawing/2010/main"/>
                      </a:ext>
                    </a:extLst>
                  </pic:spPr>
                </pic:pic>
              </a:graphicData>
            </a:graphic>
          </wp:inline>
        </w:drawing>
      </w:r>
    </w:p>
    <w:p w:rsidR="00871285" w:rsidRPr="005C7AC0" w:rsidRDefault="00871285" w:rsidP="00871285">
      <w:pPr>
        <w:pStyle w:val="Z"/>
      </w:pPr>
      <w:r>
        <w:t>11</w:t>
      </w:r>
      <w:r w:rsidRPr="005C7AC0">
        <w:t xml:space="preserve">. </w:t>
      </w:r>
      <w:proofErr w:type="spellStart"/>
      <w:r w:rsidRPr="005C7AC0">
        <w:t>att</w:t>
      </w:r>
      <w:proofErr w:type="spellEnd"/>
      <w:r w:rsidRPr="005C7AC0">
        <w:t>.</w:t>
      </w:r>
      <w:r w:rsidRPr="005C7AC0">
        <w:rPr>
          <w:color w:val="FF0000"/>
        </w:rPr>
        <w:t xml:space="preserve"> </w:t>
      </w:r>
      <w:r w:rsidRPr="005C7AC0">
        <w:t>Reģistrētā bezdarba līmenis (% no ekonomiski aktīvajiem iedzīvotājiem) perioda beigās</w:t>
      </w:r>
      <w:r>
        <w:t>.</w:t>
      </w:r>
    </w:p>
    <w:p w:rsidR="00871285" w:rsidRDefault="00871285" w:rsidP="00871285">
      <w:pPr>
        <w:rPr>
          <w:lang w:eastAsia="lv-LV"/>
        </w:rPr>
      </w:pPr>
      <w:r w:rsidRPr="005C7AC0">
        <w:rPr>
          <w:lang w:eastAsia="lv-LV"/>
        </w:rPr>
        <w:t>Tajā pašā laikā ilgstošo bezdarbnieku īpatsvars pēdējā gada laikā ir palielinājies par 2,6 procentpunktiem un ilgstošie bezdarbnieki 2012. gada marta beigās veidoja 42,6% no visiem reģistrētajiem bezdarbniekiem. Ilgstošo bezdarbnieku īpatsvars starp visiem reģistrētajiem bezdarbniekiem kopš 2009. gada marta, kad tas bija 8,2%, ir palielinājies par 34,4 procentpunktiem.</w:t>
      </w:r>
    </w:p>
    <w:p w:rsidR="00871285" w:rsidRPr="001E1136" w:rsidRDefault="00871285" w:rsidP="00871285">
      <w:pPr>
        <w:rPr>
          <w:bCs/>
          <w:iCs/>
        </w:rPr>
      </w:pPr>
      <w:r>
        <w:rPr>
          <w:lang w:eastAsia="lv-LV"/>
        </w:rPr>
        <w:t>Jauniešu īpatsvars</w:t>
      </w:r>
      <w:r w:rsidRPr="00514084">
        <w:rPr>
          <w:bCs/>
          <w:iCs/>
        </w:rPr>
        <w:t xml:space="preserve"> </w:t>
      </w:r>
      <w:r>
        <w:rPr>
          <w:bCs/>
          <w:iCs/>
        </w:rPr>
        <w:t xml:space="preserve">kopējā reģistrēto bezdarbnieku skaitā marta beigās bija 11,6% un bez darba bija 15,4 tūkstoši jauniešu vecumā no 15 līdz 24 gadiem. </w:t>
      </w:r>
      <w:r>
        <w:rPr>
          <w:bCs/>
          <w:iCs/>
        </w:rPr>
        <w:lastRenderedPageBreak/>
        <w:t>Jauniešu bezdarbnieku skaitam pēdējā gada laikā sarūkot par 32,9%, jauniešu bezdarbnieku īpatsvars starp visiem reģistrētajiem bezdarbniekiem ir samazinājies par 2,8 procentpunktiem.</w:t>
      </w:r>
    </w:p>
    <w:p w:rsidR="00871285" w:rsidRPr="005C7AC0" w:rsidRDefault="00871285" w:rsidP="00871285">
      <w:pPr>
        <w:rPr>
          <w:lang w:eastAsia="lv-LV"/>
        </w:rPr>
      </w:pPr>
      <w:r w:rsidRPr="005C7AC0">
        <w:rPr>
          <w:lang w:eastAsia="lv-LV"/>
        </w:rPr>
        <w:t>Reģistrētā bezdarba samazināšanos pēdējā gada laikā ir noteicis ne tikai ekonomiskās aktivitātes pieaugums, bet to ietekmējis arī bezdarbnieku motivācijas trūkums pēc pabalsta saņemšanas termiņa beigām turpināt reģistrēties kā bezdarbniekam. Līdz ar to Centrālās statistikas pārvaldes darbaspēka apsekojuma dati uzrāda augstāku bezdarba līmeni un lēnāku darba meklētāju īpatsvara samazināšanos</w:t>
      </w:r>
      <w:r>
        <w:rPr>
          <w:lang w:eastAsia="lv-LV"/>
        </w:rPr>
        <w:t xml:space="preserve"> nekā Nodarbinātības valsts aģentūras rādītāji.</w:t>
      </w:r>
    </w:p>
    <w:p w:rsidR="00871285" w:rsidRPr="005C7AC0" w:rsidRDefault="00871285" w:rsidP="00871285">
      <w:pPr>
        <w:rPr>
          <w:lang w:eastAsia="lv-LV"/>
        </w:rPr>
      </w:pPr>
      <w:r>
        <w:rPr>
          <w:lang w:eastAsia="lv-LV"/>
        </w:rPr>
        <w:t>Pēc</w:t>
      </w:r>
      <w:r w:rsidRPr="005C7AC0">
        <w:rPr>
          <w:lang w:eastAsia="lv-LV"/>
        </w:rPr>
        <w:t xml:space="preserve"> darbaspēka apsekojuma dati</w:t>
      </w:r>
      <w:r>
        <w:rPr>
          <w:lang w:eastAsia="lv-LV"/>
        </w:rPr>
        <w:t>em</w:t>
      </w:r>
      <w:r w:rsidRPr="005C7AC0">
        <w:rPr>
          <w:lang w:eastAsia="lv-LV"/>
        </w:rPr>
        <w:t xml:space="preserve">, </w:t>
      </w:r>
      <w:r>
        <w:rPr>
          <w:lang w:eastAsia="lv-LV"/>
        </w:rPr>
        <w:t>ņemot vērā</w:t>
      </w:r>
      <w:r w:rsidRPr="005C7AC0">
        <w:rPr>
          <w:lang w:eastAsia="lv-LV"/>
        </w:rPr>
        <w:t xml:space="preserve"> 2011. gada tautas skaitīšanas rezultāt</w:t>
      </w:r>
      <w:r>
        <w:rPr>
          <w:lang w:eastAsia="lv-LV"/>
        </w:rPr>
        <w:t>us</w:t>
      </w:r>
      <w:r w:rsidRPr="005C7AC0">
        <w:rPr>
          <w:lang w:eastAsia="lv-LV"/>
        </w:rPr>
        <w:t xml:space="preserve">, darba meklētāju īpatsvars 2011.gadā ir samazinājies līdz 16,1% no ekonomiski aktīvajiem iedzīvotājiem. Tas ir par 2,6 procentpunktiem mazāk nekā 2010. gadā, kad darbu meklēja 18,7% ekonomiski aktīvo iedzīvotāju. Tomēr 2010. gada skaitļos vēl nav </w:t>
      </w:r>
      <w:r>
        <w:rPr>
          <w:lang w:eastAsia="lv-LV"/>
        </w:rPr>
        <w:t>atspoguļoti</w:t>
      </w:r>
      <w:r w:rsidRPr="005C7AC0">
        <w:rPr>
          <w:lang w:eastAsia="lv-LV"/>
        </w:rPr>
        <w:t xml:space="preserve"> tautas skaitīšanas rezultāti, un faktiski arī šajā gadā darba meklētāju īpatsvars varētu būt bijis augstāks.</w:t>
      </w:r>
    </w:p>
    <w:p w:rsidR="00871285" w:rsidRPr="005C7AC0" w:rsidRDefault="00871285" w:rsidP="00871285">
      <w:pPr>
        <w:rPr>
          <w:lang w:eastAsia="lv-LV"/>
        </w:rPr>
      </w:pPr>
      <w:r w:rsidRPr="005C7AC0">
        <w:rPr>
          <w:lang w:eastAsia="lv-LV"/>
        </w:rPr>
        <w:t xml:space="preserve">2011. gada tautas skaitīšanas rezultāti ir parādījuši, ka iedzīvotāju skaits 15-74 gadu vecuma grupā emigrācijas rezultātā ir par 159 tūkstošiem jeb 9,1% mazāks, nekā </w:t>
      </w:r>
      <w:r>
        <w:rPr>
          <w:lang w:eastAsia="lv-LV"/>
        </w:rPr>
        <w:t>liecināja līdzšinējie statistikas dati</w:t>
      </w:r>
      <w:r w:rsidRPr="005C7AC0">
        <w:rPr>
          <w:lang w:eastAsia="lv-LV"/>
        </w:rPr>
        <w:t xml:space="preserve">. Lielākais samazinājums skāris tieši ekonomiski aktīvo iedzīvotāju daļu, kuru skaits samazinājies par 10,3%, tajā skaitā nodarbināto iedzīvotāju skaits </w:t>
      </w:r>
      <w:r>
        <w:rPr>
          <w:lang w:eastAsia="lv-LV"/>
        </w:rPr>
        <w:t>sarucis</w:t>
      </w:r>
      <w:r w:rsidRPr="005C7AC0">
        <w:rPr>
          <w:lang w:eastAsia="lv-LV"/>
        </w:rPr>
        <w:t xml:space="preserve"> par 11,1</w:t>
      </w:r>
      <w:r w:rsidR="000E7B3F" w:rsidRPr="000E7B3F">
        <w:rPr>
          <w:lang w:eastAsia="lv-LV"/>
        </w:rPr>
        <w:t xml:space="preserve"> </w:t>
      </w:r>
      <w:r w:rsidR="000E7B3F">
        <w:rPr>
          <w:lang w:eastAsia="lv-LV"/>
        </w:rPr>
        <w:t>procentu</w:t>
      </w:r>
      <w:r w:rsidRPr="005C7AC0">
        <w:rPr>
          <w:lang w:eastAsia="lv-LV"/>
        </w:rPr>
        <w:t>. Savukārt ekonomiski neaktīvo iedzīvotāju skaits 2011.gadā bijis par 6,7% mazāks</w:t>
      </w:r>
      <w:r>
        <w:rPr>
          <w:lang w:eastAsia="lv-LV"/>
        </w:rPr>
        <w:t>.</w:t>
      </w:r>
    </w:p>
    <w:p w:rsidR="00871285" w:rsidRPr="005C7AC0" w:rsidRDefault="00871285" w:rsidP="00871285">
      <w:pPr>
        <w:ind w:firstLine="0"/>
        <w:jc w:val="center"/>
        <w:rPr>
          <w:lang w:eastAsia="lv-LV"/>
        </w:rPr>
      </w:pPr>
      <w:r w:rsidRPr="00E44390">
        <w:rPr>
          <w:noProof/>
          <w:lang w:eastAsia="lv-LV"/>
        </w:rPr>
        <w:drawing>
          <wp:inline distT="0" distB="0" distL="0" distR="0" wp14:anchorId="6A424EEE" wp14:editId="0CDAF368">
            <wp:extent cx="5268446" cy="3286125"/>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3289782"/>
                    </a:xfrm>
                    <a:prstGeom prst="rect">
                      <a:avLst/>
                    </a:prstGeom>
                    <a:noFill/>
                    <a:ln>
                      <a:noFill/>
                    </a:ln>
                  </pic:spPr>
                </pic:pic>
              </a:graphicData>
            </a:graphic>
          </wp:inline>
        </w:drawing>
      </w:r>
    </w:p>
    <w:p w:rsidR="00871285" w:rsidRPr="005C7AC0" w:rsidRDefault="00871285" w:rsidP="00871285">
      <w:pPr>
        <w:pStyle w:val="Z"/>
      </w:pPr>
      <w:r>
        <w:t>12</w:t>
      </w:r>
      <w:r w:rsidRPr="005C7AC0">
        <w:t xml:space="preserve">. </w:t>
      </w:r>
      <w:proofErr w:type="spellStart"/>
      <w:r w:rsidRPr="005C7AC0">
        <w:t>att</w:t>
      </w:r>
      <w:proofErr w:type="spellEnd"/>
      <w:r w:rsidRPr="005C7AC0">
        <w:t>. Nodarbināto iedzīvotāju skaits un darba meklētāju īpatsvars (% no ekonomiski aktīvajiem iedzīvotājiem).</w:t>
      </w:r>
    </w:p>
    <w:p w:rsidR="00871285" w:rsidRPr="005C7AC0" w:rsidRDefault="00871285" w:rsidP="00871285">
      <w:r>
        <w:rPr>
          <w:lang w:eastAsia="lv-LV"/>
        </w:rPr>
        <w:lastRenderedPageBreak/>
        <w:t>Līdz ar spēcīgo ekonomikas izaugsmi n</w:t>
      </w:r>
      <w:r w:rsidRPr="005C7AC0">
        <w:rPr>
          <w:lang w:eastAsia="lv-LV"/>
        </w:rPr>
        <w:t xml:space="preserve">odarbinātības pieaugums un bezdarba līmeņa samazināšanās turpināsies arī 2012. gadā. Tomēr darba tirgus tālāku atlabšanu var vājināt ekonomiskās attīstības palēnināšanās un iespējamais pieprasījuma kritums Latvijas galvenajos eksporta tirgos, kurus negatīvi skārusi </w:t>
      </w:r>
      <w:proofErr w:type="spellStart"/>
      <w:r w:rsidRPr="005C7AC0">
        <w:rPr>
          <w:lang w:eastAsia="lv-LV"/>
        </w:rPr>
        <w:t>eirozonas</w:t>
      </w:r>
      <w:proofErr w:type="spellEnd"/>
      <w:r w:rsidRPr="005C7AC0">
        <w:rPr>
          <w:lang w:eastAsia="lv-LV"/>
        </w:rPr>
        <w:t xml:space="preserve"> parādu krīze.</w:t>
      </w:r>
    </w:p>
    <w:p w:rsidR="00871285" w:rsidRPr="008E751D" w:rsidRDefault="00871285" w:rsidP="00871285"/>
    <w:p w:rsidR="00871285" w:rsidRPr="008E751D" w:rsidRDefault="00871285" w:rsidP="00871285">
      <w:pPr>
        <w:pStyle w:val="H2"/>
      </w:pPr>
      <w:bookmarkStart w:id="30" w:name="_Toc325101917"/>
      <w:r w:rsidRPr="008E751D">
        <w:t>1.6. Iedzīvotāju ienākumi</w:t>
      </w:r>
      <w:bookmarkEnd w:id="30"/>
    </w:p>
    <w:p w:rsidR="00871285" w:rsidRPr="005C7AC0" w:rsidRDefault="00871285" w:rsidP="00871285">
      <w:bookmarkStart w:id="31" w:name="_Toc279341944"/>
      <w:r w:rsidRPr="005C7AC0">
        <w:t xml:space="preserve">Atjaunojoties Latvijas ekonomikas izaugsmei, pēc </w:t>
      </w:r>
      <w:r>
        <w:t>krīzes laikā piedzīvotās</w:t>
      </w:r>
      <w:r w:rsidRPr="005C7AC0">
        <w:t xml:space="preserve"> straujās lejupslīdes valstī ir atsācies arī darba samaksas pieaugums. Strādājošo vidējā mēneša bruto darba samaksa pakāpeniski palielinās jau kopš 2010. gada otrā ceturkšņa un 2011. gadā tā bija sasniegusi 464 latus, salīdzinājumā ar iepriekšējo gadu palielinoties par 4,3</w:t>
      </w:r>
      <w:r w:rsidR="000E7B3F" w:rsidRPr="000E7B3F">
        <w:t xml:space="preserve"> </w:t>
      </w:r>
      <w:r w:rsidR="000E7B3F">
        <w:t>procentiem</w:t>
      </w:r>
      <w:r w:rsidRPr="005C7AC0">
        <w:t>.</w:t>
      </w:r>
    </w:p>
    <w:p w:rsidR="00871285" w:rsidRPr="005C7AC0" w:rsidRDefault="00871285" w:rsidP="00871285">
      <w:r w:rsidRPr="005C7AC0">
        <w:t xml:space="preserve">Augstāka darba samaksa Latvijā tradicionāli ir sabiedriskajā sektorā, kur vidējā bruto darba samaksa 2011. gadā bija 492 lati – par 4,7% </w:t>
      </w:r>
      <w:r>
        <w:t>lielāka</w:t>
      </w:r>
      <w:r w:rsidRPr="005C7AC0">
        <w:t xml:space="preserve"> nekā 2010. gadā. Arī privātajā sektorā vidējā bruto darba samaksa gada laikā palielinājusies par 4,7% un 2011.gadā tā bija 447 lati. </w:t>
      </w:r>
    </w:p>
    <w:p w:rsidR="00871285" w:rsidRPr="005C7AC0" w:rsidRDefault="00871285" w:rsidP="00871285">
      <w:r w:rsidRPr="005C7AC0">
        <w:t>Augstāko darba samaksas līmeni sabiedriskajā sektorā nosaka augstais samaksas līmenis valsts un pašvaldību kapitālsabiedrībās, kur mēneša vidējā bruto darba samaksa 2011. gadā bija 590 lati, un gada laikā tā palielinājusies par 5,7</w:t>
      </w:r>
      <w:r w:rsidR="000E7B3F" w:rsidRPr="000E7B3F">
        <w:t xml:space="preserve"> </w:t>
      </w:r>
      <w:r w:rsidR="000E7B3F">
        <w:t>procentiem</w:t>
      </w:r>
      <w:r w:rsidRPr="005C7AC0">
        <w:t>. Savukārt vispārējās valdības sektorā, kas ietver valsts un pašvaldību budžeta iestādes, mēneša vidējā bruto darba samaksa tikai nedaudz pārsniedza privātā sektora līmeni un bija 454 lati, gada laikā palielinoties par 4,8</w:t>
      </w:r>
      <w:r w:rsidR="000E7B3F" w:rsidRPr="000E7B3F">
        <w:t xml:space="preserve"> </w:t>
      </w:r>
      <w:r w:rsidR="000E7B3F">
        <w:t>procentiem</w:t>
      </w:r>
      <w:r w:rsidRPr="005C7AC0">
        <w:t>.</w:t>
      </w:r>
    </w:p>
    <w:p w:rsidR="00871285" w:rsidRPr="005C7AC0" w:rsidRDefault="00871285" w:rsidP="00871285">
      <w:pPr>
        <w:ind w:firstLine="0"/>
        <w:jc w:val="center"/>
      </w:pPr>
      <w:r w:rsidRPr="00AA56ED">
        <w:rPr>
          <w:noProof/>
          <w:lang w:eastAsia="lv-LV"/>
        </w:rPr>
        <w:drawing>
          <wp:inline distT="0" distB="0" distL="0" distR="0" wp14:anchorId="46B88252" wp14:editId="2F6C5DB4">
            <wp:extent cx="5274310" cy="3442352"/>
            <wp:effectExtent l="0" t="0" r="254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3442352"/>
                    </a:xfrm>
                    <a:prstGeom prst="rect">
                      <a:avLst/>
                    </a:prstGeom>
                    <a:noFill/>
                    <a:ln>
                      <a:noFill/>
                    </a:ln>
                  </pic:spPr>
                </pic:pic>
              </a:graphicData>
            </a:graphic>
          </wp:inline>
        </w:drawing>
      </w:r>
    </w:p>
    <w:p w:rsidR="00871285" w:rsidRPr="005C7AC0" w:rsidRDefault="00871285" w:rsidP="00871285">
      <w:pPr>
        <w:pStyle w:val="Z"/>
        <w:spacing w:after="0"/>
      </w:pPr>
      <w:r w:rsidRPr="005C7AC0">
        <w:lastRenderedPageBreak/>
        <w:t>1</w:t>
      </w:r>
      <w:r>
        <w:t>3</w:t>
      </w:r>
      <w:r w:rsidRPr="005C7AC0">
        <w:t xml:space="preserve">. </w:t>
      </w:r>
      <w:proofErr w:type="spellStart"/>
      <w:r w:rsidRPr="005C7AC0">
        <w:t>att</w:t>
      </w:r>
      <w:proofErr w:type="spellEnd"/>
      <w:r w:rsidRPr="005C7AC0">
        <w:t xml:space="preserve">. Strādājošo mēneša vidējā bruto darba samaksa valstī, </w:t>
      </w:r>
    </w:p>
    <w:p w:rsidR="00871285" w:rsidRPr="005C7AC0" w:rsidRDefault="00871285" w:rsidP="00871285">
      <w:pPr>
        <w:pStyle w:val="Z"/>
        <w:spacing w:after="0"/>
      </w:pPr>
      <w:r w:rsidRPr="005C7AC0">
        <w:t>pa sektoriem, latos</w:t>
      </w:r>
    </w:p>
    <w:p w:rsidR="00871285" w:rsidRPr="005C7AC0" w:rsidRDefault="00871285" w:rsidP="00871285">
      <w:pPr>
        <w:spacing w:before="240"/>
        <w:ind w:firstLine="0"/>
      </w:pPr>
      <w:r w:rsidRPr="005C7AC0">
        <w:tab/>
        <w:t>Lai gan darba samaksas pieaugums valstī ir atsācies, vidējā bruto darba samaksa joprojām atpaliek no pirmskrīzes laikā sasniegtā līmeņa. Kopējā mēneša vidējā bruto darba samaksa valstī 2011. gada ceturtajā ceturksnī bija par 5,0% zemāka nekā 2008. gada ceturtajā ceturksnī, kad vidējā alga Latvijā bija sasniegusi līdz šim augstākos rādītājus. Tomēr darba samaksas dinamika privātajā un sabiedriskajā sektorā būtiski atšķiras – krīzes laikā ievērojami lielāks algu samazinājums bija sabiedriskajā sektorā, kamēr  privātā sektora uzņēmēji vairāk samazinājuši strādājošo skaitu, būtiski nemainot atalgojuma līmeni. Ja sabiedriskajā sektorā ekonomiskās krīzes un valsts budžeta konsolidācijas pasākumu rezultātā mēneša vidējā bruto darba samaksa kopš 2008. gada ceturtā ceturkšņa ir kritusies par 16,4%, tajā skaitā vispārējās valdības sektorā par 21,0%, privātajā sektorā vidējās darba samaksa 2011.gada ceturtajā ceturksnī jau par 2,3% pārsniegusi pirms krīzes sasniegto augstāko līmeni.</w:t>
      </w:r>
    </w:p>
    <w:p w:rsidR="00871285" w:rsidRPr="005C7AC0" w:rsidRDefault="00871285" w:rsidP="00871285">
      <w:pPr>
        <w:ind w:firstLine="0"/>
      </w:pPr>
      <w:r w:rsidRPr="005C7AC0">
        <w:tab/>
      </w:r>
      <w:r>
        <w:t>No</w:t>
      </w:r>
      <w:r w:rsidRPr="005C7AC0">
        <w:t xml:space="preserve"> atsevišķām ekonomikas nozarēm, augstākā mēneša vidējā bruto darba samaksa Latvijā ir finanšu un apdrošināšanas nozarē, kur tā 2011. gadā sasniedza 966 latus, salīdzinājumā ar 2010. gadu palielinoties par 4,0</w:t>
      </w:r>
      <w:r w:rsidR="000E7B3F" w:rsidRPr="000E7B3F">
        <w:t xml:space="preserve"> </w:t>
      </w:r>
      <w:r w:rsidR="000E7B3F">
        <w:t>procentiem</w:t>
      </w:r>
      <w:r w:rsidRPr="005C7AC0">
        <w:t>. Savukārt zemākā bruto darba samaksa ir izmitināšanas un ēdināšanas pakalpojumu nozarē – 300 lati, un gada laikā tā ir palielinājusies par 5,3</w:t>
      </w:r>
      <w:r w:rsidR="000E7B3F" w:rsidRPr="000E7B3F">
        <w:t xml:space="preserve"> </w:t>
      </w:r>
      <w:r w:rsidR="000E7B3F">
        <w:t>procentiem</w:t>
      </w:r>
      <w:r w:rsidRPr="005C7AC0">
        <w:t>. Lielākais darba samaksas pieaugums 2011. gadā, salīdzinot ar 2010. gadu, bijis citu pakalpojumu sfērā – par 8,5% un operācijās ar nekustamo īpašumu – par 8,4</w:t>
      </w:r>
      <w:r w:rsidR="000E7B3F" w:rsidRPr="000E7B3F">
        <w:t xml:space="preserve"> </w:t>
      </w:r>
      <w:r w:rsidR="000E7B3F">
        <w:t>procentiem</w:t>
      </w:r>
      <w:r w:rsidRPr="005C7AC0">
        <w:t>. Vismazāk darba samaksa palielinājusies transporta un uzglabāšanas nozarē - par 1,0</w:t>
      </w:r>
      <w:r w:rsidR="000E7B3F" w:rsidRPr="000E7B3F">
        <w:t xml:space="preserve"> </w:t>
      </w:r>
      <w:r w:rsidR="000E7B3F">
        <w:t>procentu</w:t>
      </w:r>
      <w:r w:rsidRPr="005C7AC0">
        <w:t xml:space="preserve">. </w:t>
      </w:r>
    </w:p>
    <w:p w:rsidR="00871285" w:rsidRPr="005C7AC0" w:rsidRDefault="00871285" w:rsidP="00871285">
      <w:pPr>
        <w:ind w:firstLine="0"/>
      </w:pPr>
      <w:r w:rsidRPr="005C7AC0">
        <w:tab/>
        <w:t>Ja kopumā valstī mēneša vidējā bruto darba samaksa pakāpeniski palielinās jau no 2010. gada otrā ceturkšņa un 2011. gada laikā ir augusi par 4,3%, reālā darba samaksa, kurā ņemtas vērā nodokļu un patēriņa cenu izmaiņas, 2011. gadā palielinājusies tikai par 0,1</w:t>
      </w:r>
      <w:r w:rsidR="000E7B3F" w:rsidRPr="000E7B3F">
        <w:t xml:space="preserve"> </w:t>
      </w:r>
      <w:r w:rsidR="000E7B3F">
        <w:t>procentu</w:t>
      </w:r>
      <w:r w:rsidRPr="005C7AC0">
        <w:t>. Attiecīgi mēneša vidējā bruto darba samaksa 2011. gada ceturtajā ceturksnī par 34,2% pārsniedza 2007. gada sākuma līmeni, kamēr reālā darba samaksa šajā pašā laika posmā palielinājusies tikai par 2</w:t>
      </w:r>
      <w:r w:rsidR="000E7B3F">
        <w:t>,0 procentiem</w:t>
      </w:r>
      <w:r w:rsidRPr="005C7AC0">
        <w:t>.</w:t>
      </w:r>
    </w:p>
    <w:p w:rsidR="00871285" w:rsidRPr="005C7AC0" w:rsidRDefault="00871285" w:rsidP="00871285">
      <w:pPr>
        <w:ind w:firstLine="0"/>
        <w:jc w:val="center"/>
      </w:pPr>
      <w:r w:rsidRPr="005C7AC0">
        <w:rPr>
          <w:noProof/>
          <w:lang w:eastAsia="lv-LV"/>
        </w:rPr>
        <w:lastRenderedPageBreak/>
        <w:drawing>
          <wp:inline distT="0" distB="0" distL="0" distR="0" wp14:anchorId="6B539B07" wp14:editId="016F572E">
            <wp:extent cx="5268446" cy="2857500"/>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b="16898"/>
                    <a:stretch/>
                  </pic:blipFill>
                  <pic:spPr bwMode="auto">
                    <a:xfrm>
                      <a:off x="0" y="0"/>
                      <a:ext cx="5274310" cy="2860680"/>
                    </a:xfrm>
                    <a:prstGeom prst="rect">
                      <a:avLst/>
                    </a:prstGeom>
                    <a:noFill/>
                    <a:ln>
                      <a:noFill/>
                    </a:ln>
                    <a:extLst>
                      <a:ext uri="{53640926-AAD7-44D8-BBD7-CCE9431645EC}">
                        <a14:shadowObscured xmlns:a14="http://schemas.microsoft.com/office/drawing/2010/main"/>
                      </a:ext>
                    </a:extLst>
                  </pic:spPr>
                </pic:pic>
              </a:graphicData>
            </a:graphic>
          </wp:inline>
        </w:drawing>
      </w:r>
    </w:p>
    <w:p w:rsidR="00871285" w:rsidRPr="005C7AC0" w:rsidRDefault="00871285" w:rsidP="00871285">
      <w:pPr>
        <w:pStyle w:val="Z"/>
        <w:ind w:firstLine="720"/>
      </w:pPr>
      <w:r w:rsidRPr="005C7AC0">
        <w:t>1</w:t>
      </w:r>
      <w:r>
        <w:t>4</w:t>
      </w:r>
      <w:r w:rsidRPr="005C7AC0">
        <w:t xml:space="preserve">. </w:t>
      </w:r>
      <w:proofErr w:type="spellStart"/>
      <w:r w:rsidRPr="005C7AC0">
        <w:t>att</w:t>
      </w:r>
      <w:proofErr w:type="spellEnd"/>
      <w:r w:rsidRPr="005C7AC0">
        <w:t>. Strādājošo reālā un bruto darba samaksa pa ceturkšņiem (2007. gada pirmais ceturksnis = 1)</w:t>
      </w:r>
    </w:p>
    <w:p w:rsidR="00871285" w:rsidRPr="005C7AC0" w:rsidRDefault="00871285" w:rsidP="00871285">
      <w:r w:rsidRPr="005C7AC0">
        <w:t>Pēc Centrālās statistikas pārvaldes darbaspēka apsekojuma datiem, 2011. gadā nodarbināti bija 862,8 tūkstoši cilvēku jeb 41,7% no visiem Latvijas iedzīvotājiem. Tajā skaitā darba samaksa kā galvenais ienākumu veids bija 765,8 tūkstošiem cilvēku jeb 37,0% no visiem iedzīvotājiem.</w:t>
      </w:r>
    </w:p>
    <w:p w:rsidR="00871285" w:rsidRPr="005C7AC0" w:rsidRDefault="00871285" w:rsidP="00871285">
      <w:r w:rsidRPr="005C7AC0">
        <w:t>2012. gada pirmajā ceturksnī Latvijā bija 581,4 tūkstoši pensionāru jeb 28,1% no visiem iedzīvotājiem. Salīdzinot ar 2011. gada pirmo ceturksni, pensionāru skaits valstī ir palielinājies par 0,5</w:t>
      </w:r>
      <w:r w:rsidR="000E7B3F" w:rsidRPr="000E7B3F">
        <w:t xml:space="preserve"> </w:t>
      </w:r>
      <w:r w:rsidR="000E7B3F">
        <w:t>procentiem</w:t>
      </w:r>
      <w:r w:rsidRPr="005C7AC0">
        <w:t>. Vidējais vecuma pensijas apmērs pirmajā ceturksnī bija 186,07 lati un, pieaugot no jauna piešķirto pensiju apmēram, gada laikā tas ir palielinājies par 1,2</w:t>
      </w:r>
      <w:r w:rsidR="000E7B3F" w:rsidRPr="000E7B3F">
        <w:t xml:space="preserve"> </w:t>
      </w:r>
      <w:r w:rsidR="000E7B3F">
        <w:t>procentiem</w:t>
      </w:r>
      <w:r w:rsidRPr="005C7AC0">
        <w:t>.</w:t>
      </w:r>
    </w:p>
    <w:p w:rsidR="00871285" w:rsidRPr="005C7AC0" w:rsidRDefault="00871285" w:rsidP="00871285">
      <w:r w:rsidRPr="005C7AC0">
        <w:t>Bezdarbnieka pabalstus 2012. gada pirmajā ceturksnī saņēma 33,6 tūkstoši cilvēku jeb 1,6% no visiem iedzīvotājiem  un salīdzinājumā ar 2011. gada pirmo ceturksni bezdarbnieka pabalstu saņēmēju skaits ir samazinājies par 12,6</w:t>
      </w:r>
      <w:r w:rsidR="000E7B3F" w:rsidRPr="000E7B3F">
        <w:t xml:space="preserve"> </w:t>
      </w:r>
      <w:r w:rsidR="000E7B3F">
        <w:t>procentiem</w:t>
      </w:r>
      <w:r w:rsidRPr="005C7AC0">
        <w:t>. Pabalstu saņēmēju īpatsvars starp visiem reģistrētajiem bezdarbniekiem 2012. gada pirmajā ceturksnī bija 25,4%, kas ir par 1,9 procentpunktiem vairāk nekā 2011. gada pirmajā ceturksnī un liecina, ka, krītoties kopējam bezdarbnieku skaitam, no jauna reģistrēto bezdarbnieku īpatsvars tajā pieaug.</w:t>
      </w:r>
    </w:p>
    <w:p w:rsidR="00871285" w:rsidRPr="005C7AC0" w:rsidRDefault="00871285" w:rsidP="00871285">
      <w:r w:rsidRPr="005C7AC0">
        <w:t>Vidējais bezdarbnieka pabalsta apmērs 2012. gada pirmajā ceturksnī bija 109 lati – par 1,6% lielāks nekā attiecīgajā ceturksnī pirms gada.</w:t>
      </w:r>
    </w:p>
    <w:p w:rsidR="00871285" w:rsidRPr="0002523C" w:rsidRDefault="00871285" w:rsidP="00871285">
      <w:pPr>
        <w:ind w:firstLine="720"/>
      </w:pPr>
      <w:r w:rsidRPr="005C7AC0">
        <w:t>Valstī noteiktā iztikas minimuma patēriņa groza vērtība 2012. gada pirmā ceturkšņa beigās bija 174,4 lati un gada laikā tā ir palielinājusies par 0,89 latiem jeb 0,5 procentiem.</w:t>
      </w:r>
    </w:p>
    <w:p w:rsidR="00871285" w:rsidRPr="008E751D" w:rsidRDefault="00871285" w:rsidP="00871285">
      <w:pPr>
        <w:ind w:firstLine="720"/>
      </w:pPr>
    </w:p>
    <w:p w:rsidR="000E0C96" w:rsidRDefault="000E0C96" w:rsidP="00F85C2C">
      <w:pPr>
        <w:pStyle w:val="H2"/>
        <w:jc w:val="both"/>
      </w:pPr>
      <w:bookmarkStart w:id="32" w:name="_Toc325101918"/>
      <w:bookmarkEnd w:id="31"/>
    </w:p>
    <w:p w:rsidR="00871285" w:rsidRPr="008E751D" w:rsidRDefault="00871285" w:rsidP="00871285">
      <w:pPr>
        <w:pStyle w:val="H2"/>
      </w:pPr>
      <w:r w:rsidRPr="008E751D">
        <w:lastRenderedPageBreak/>
        <w:t>1.7. Ārējā tirdzniecība un maksājumu bilance</w:t>
      </w:r>
      <w:bookmarkEnd w:id="29"/>
      <w:bookmarkEnd w:id="32"/>
    </w:p>
    <w:p w:rsidR="00871285" w:rsidRPr="00706287" w:rsidRDefault="00871285" w:rsidP="00871285">
      <w:pPr>
        <w:spacing w:after="0"/>
        <w:rPr>
          <w:color w:val="000000" w:themeColor="text1"/>
        </w:rPr>
      </w:pPr>
      <w:r w:rsidRPr="00706287">
        <w:rPr>
          <w:color w:val="000000" w:themeColor="text1"/>
        </w:rPr>
        <w:t xml:space="preserve">2012. gada pirmajā ceturksnī Latvijas ārējās tirdzniecības </w:t>
      </w:r>
      <w:r>
        <w:rPr>
          <w:color w:val="000000" w:themeColor="text1"/>
        </w:rPr>
        <w:t>aktivitāte samazinājās, palēninoties gan importa, gan eksporta pieauguma tempiem, vienlaikus sekmējot ārējas tirdzniecības deficīta</w:t>
      </w:r>
      <w:r w:rsidRPr="00706287">
        <w:rPr>
          <w:color w:val="000000" w:themeColor="text1"/>
        </w:rPr>
        <w:t xml:space="preserve"> samazinā</w:t>
      </w:r>
      <w:r>
        <w:rPr>
          <w:color w:val="000000" w:themeColor="text1"/>
        </w:rPr>
        <w:t>šanos</w:t>
      </w:r>
      <w:r w:rsidRPr="00706287">
        <w:rPr>
          <w:color w:val="000000" w:themeColor="text1"/>
        </w:rPr>
        <w:t xml:space="preserve"> otro ceturksni pēc kārtas. Ārējās tirdzniecības apgrozījums sasniedza 3453,5 </w:t>
      </w:r>
      <w:proofErr w:type="spellStart"/>
      <w:r w:rsidRPr="00706287">
        <w:rPr>
          <w:color w:val="000000" w:themeColor="text1"/>
        </w:rPr>
        <w:t>milj</w:t>
      </w:r>
      <w:proofErr w:type="spellEnd"/>
      <w:r w:rsidRPr="00706287">
        <w:rPr>
          <w:color w:val="000000" w:themeColor="text1"/>
        </w:rPr>
        <w:t xml:space="preserve">. latu – par 15,6% jeb 466,7 </w:t>
      </w:r>
      <w:proofErr w:type="spellStart"/>
      <w:r w:rsidRPr="00706287">
        <w:rPr>
          <w:color w:val="000000" w:themeColor="text1"/>
        </w:rPr>
        <w:t>milj</w:t>
      </w:r>
      <w:proofErr w:type="spellEnd"/>
      <w:r w:rsidRPr="00706287">
        <w:rPr>
          <w:color w:val="000000" w:themeColor="text1"/>
        </w:rPr>
        <w:t xml:space="preserve">. latu vairāk nekā iepriekšējā gada atbilstošajā periodā. Eksporta apjoms faktiskajās cenās sasniedza 1501,4 </w:t>
      </w:r>
      <w:proofErr w:type="spellStart"/>
      <w:r w:rsidRPr="00706287">
        <w:rPr>
          <w:color w:val="000000" w:themeColor="text1"/>
        </w:rPr>
        <w:t>milj</w:t>
      </w:r>
      <w:proofErr w:type="spellEnd"/>
      <w:r w:rsidRPr="00706287">
        <w:rPr>
          <w:color w:val="000000" w:themeColor="text1"/>
        </w:rPr>
        <w:t xml:space="preserve">. latu – par 13,0% jeb 172,8 </w:t>
      </w:r>
      <w:proofErr w:type="spellStart"/>
      <w:r w:rsidRPr="00706287">
        <w:rPr>
          <w:color w:val="000000" w:themeColor="text1"/>
        </w:rPr>
        <w:t>milj</w:t>
      </w:r>
      <w:proofErr w:type="spellEnd"/>
      <w:r w:rsidRPr="00706287">
        <w:rPr>
          <w:color w:val="000000" w:themeColor="text1"/>
        </w:rPr>
        <w:t xml:space="preserve">. latu vairāk nekā 2011. gada atbilstošajā periodā, bet importa apjoms – 1952,1 </w:t>
      </w:r>
      <w:proofErr w:type="spellStart"/>
      <w:r w:rsidRPr="00706287">
        <w:rPr>
          <w:color w:val="000000" w:themeColor="text1"/>
        </w:rPr>
        <w:t>milj</w:t>
      </w:r>
      <w:proofErr w:type="spellEnd"/>
      <w:r w:rsidRPr="00706287">
        <w:rPr>
          <w:color w:val="000000" w:themeColor="text1"/>
        </w:rPr>
        <w:t xml:space="preserve">. latu, pieaugot par 17,7% jeb 293,9 </w:t>
      </w:r>
      <w:proofErr w:type="spellStart"/>
      <w:r w:rsidRPr="00706287">
        <w:rPr>
          <w:color w:val="000000" w:themeColor="text1"/>
        </w:rPr>
        <w:t>milj</w:t>
      </w:r>
      <w:proofErr w:type="spellEnd"/>
      <w:r w:rsidRPr="00706287">
        <w:rPr>
          <w:color w:val="000000" w:themeColor="text1"/>
        </w:rPr>
        <w:t xml:space="preserve">. latu, ārējās tirdzniecības bilances deficītam samazinoties līdz 450,7 </w:t>
      </w:r>
      <w:proofErr w:type="spellStart"/>
      <w:r w:rsidRPr="00706287">
        <w:rPr>
          <w:color w:val="000000" w:themeColor="text1"/>
        </w:rPr>
        <w:t>milj</w:t>
      </w:r>
      <w:proofErr w:type="spellEnd"/>
      <w:r w:rsidR="000E7B3F">
        <w:rPr>
          <w:color w:val="000000" w:themeColor="text1"/>
        </w:rPr>
        <w:t>.</w:t>
      </w:r>
      <w:r w:rsidRPr="00706287">
        <w:rPr>
          <w:color w:val="000000" w:themeColor="text1"/>
        </w:rPr>
        <w:t xml:space="preserve"> </w:t>
      </w:r>
      <w:r w:rsidR="000E7B3F">
        <w:rPr>
          <w:color w:val="000000" w:themeColor="text1"/>
        </w:rPr>
        <w:t>latu</w:t>
      </w:r>
      <w:r w:rsidR="000E7B3F" w:rsidRPr="00706287" w:rsidDel="000E7B3F">
        <w:rPr>
          <w:color w:val="000000" w:themeColor="text1"/>
        </w:rPr>
        <w:t xml:space="preserve"> </w:t>
      </w:r>
      <w:r w:rsidRPr="00706287">
        <w:rPr>
          <w:color w:val="000000" w:themeColor="text1"/>
        </w:rPr>
        <w:t>.</w:t>
      </w:r>
    </w:p>
    <w:p w:rsidR="00871285" w:rsidRPr="008E751D" w:rsidRDefault="00871285" w:rsidP="00871285">
      <w:pPr>
        <w:spacing w:after="0"/>
        <w:rPr>
          <w:color w:val="000000" w:themeColor="text1"/>
          <w:sz w:val="24"/>
          <w:szCs w:val="24"/>
        </w:rPr>
      </w:pPr>
    </w:p>
    <w:p w:rsidR="00871285" w:rsidRPr="008E751D" w:rsidRDefault="00871285" w:rsidP="00871285">
      <w:pPr>
        <w:spacing w:after="0"/>
        <w:ind w:firstLine="0"/>
        <w:jc w:val="center"/>
        <w:rPr>
          <w:sz w:val="24"/>
          <w:szCs w:val="24"/>
        </w:rPr>
      </w:pPr>
      <w:r>
        <w:rPr>
          <w:noProof/>
          <w:lang w:eastAsia="lv-LV"/>
        </w:rPr>
        <w:drawing>
          <wp:inline distT="0" distB="0" distL="0" distR="0" wp14:anchorId="277027F3" wp14:editId="14B95D83">
            <wp:extent cx="5685183" cy="3323645"/>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71285" w:rsidRPr="00487A97" w:rsidRDefault="00871285" w:rsidP="00871285">
      <w:pPr>
        <w:pStyle w:val="Z"/>
        <w:ind w:firstLine="720"/>
      </w:pPr>
      <w:r w:rsidRPr="00487A97">
        <w:t xml:space="preserve">15. </w:t>
      </w:r>
      <w:proofErr w:type="spellStart"/>
      <w:r w:rsidRPr="00487A97">
        <w:t>att</w:t>
      </w:r>
      <w:proofErr w:type="spellEnd"/>
      <w:r w:rsidRPr="00487A97">
        <w:t xml:space="preserve">. Latvijas eksporta un importa apjomi faktiskajās cenās, </w:t>
      </w:r>
      <w:proofErr w:type="spellStart"/>
      <w:r w:rsidRPr="00487A97">
        <w:t>milj</w:t>
      </w:r>
      <w:proofErr w:type="spellEnd"/>
      <w:r w:rsidRPr="00487A97">
        <w:t>. Ls</w:t>
      </w:r>
    </w:p>
    <w:p w:rsidR="00871285" w:rsidRPr="008E751D" w:rsidRDefault="00871285" w:rsidP="00871285">
      <w:pPr>
        <w:spacing w:after="0"/>
        <w:ind w:firstLine="720"/>
      </w:pPr>
      <w:r w:rsidRPr="008E751D">
        <w:t>2012. g</w:t>
      </w:r>
      <w:r>
        <w:t xml:space="preserve">ada pirmajā ceturksnī eksporta </w:t>
      </w:r>
      <w:r w:rsidRPr="008E751D">
        <w:t xml:space="preserve">pieaugums salīdzinājumā ar iepriekšējā gada atbilstošo periodu bija vērojams visās nozarēs, izņemot ķīmiskās rūpniecības ražojumus, tekstilmateriālus un izstrādājumus, kā arī satiksmes līdzekļus. Ķīmiskās rūpniecības eksporta apjoma samazinājumu par 1,4% pret 2011. gada pirmo ceturksni pamatā ietekmējis grupas nozīmīgākās komponentes farmācijas produktu eksporta apjomu samazinājums par 15,4% (farmācijas produkti veido 46,7% no visu eksportēto ķīmiskās rūpniecības apjoma). Visstraujāk audzis lauksaimniecības un pārtikas, </w:t>
      </w:r>
      <w:proofErr w:type="spellStart"/>
      <w:r w:rsidRPr="008E751D">
        <w:t>minerālproduktu</w:t>
      </w:r>
      <w:proofErr w:type="spellEnd"/>
      <w:r w:rsidRPr="008E751D">
        <w:t xml:space="preserve">, kā arī metāla un tā izstrādājumu eksports. Lauksaimniecības produktu </w:t>
      </w:r>
      <w:r>
        <w:t xml:space="preserve">eksporta </w:t>
      </w:r>
      <w:r w:rsidRPr="008E751D">
        <w:t>pieaugumu noteikusi svarīgāko grupas preču - piena un piena produktu, kā arī  alkoholisko dzērienu  eksporta palielināšanās attiecīgi par 25,1% un 31,3</w:t>
      </w:r>
      <w:r w:rsidR="000E7B3F" w:rsidRPr="000E7B3F">
        <w:t xml:space="preserve"> </w:t>
      </w:r>
      <w:r w:rsidR="000E7B3F">
        <w:t>procentiem</w:t>
      </w:r>
      <w:r w:rsidRPr="008E751D">
        <w:t xml:space="preserve">. Metāla eksporta straujais pieaugums 20,1% apmērā </w:t>
      </w:r>
      <w:r w:rsidRPr="00BE5347">
        <w:t>attaisno</w:t>
      </w:r>
      <w:r w:rsidRPr="008E751D">
        <w:t xml:space="preserve"> nozarē veiktās investīcijas šīs nozares produktivitātes un jaudu celšanai, jo pēc A/S </w:t>
      </w:r>
      <w:r w:rsidRPr="008E751D">
        <w:lastRenderedPageBreak/>
        <w:t>„Liepājas metalurgs” rekonstrukcijas pabeigšanas 2012. gada pirmajā ceturksnī vērojams būtisks rūpniecības izlaides un eksporta apjomu kāpums.</w:t>
      </w:r>
    </w:p>
    <w:p w:rsidR="00871285" w:rsidRPr="0050546E" w:rsidRDefault="00871285" w:rsidP="00871285">
      <w:pPr>
        <w:spacing w:after="0"/>
        <w:ind w:firstLine="720"/>
        <w:rPr>
          <w:color w:val="000000" w:themeColor="text1"/>
        </w:rPr>
      </w:pPr>
      <w:r w:rsidRPr="008E751D">
        <w:t xml:space="preserve"> </w:t>
      </w:r>
      <w:r w:rsidRPr="00C766D6">
        <w:rPr>
          <w:color w:val="000000" w:themeColor="text1"/>
        </w:rPr>
        <w:t xml:space="preserve">Eksportētās koksnes apjoms faktiskajās cenās gada griezumā uzrāda stabilu 12,6% pieaugumu. Koksnes eksporta gada </w:t>
      </w:r>
      <w:r w:rsidRPr="007B23CE">
        <w:rPr>
          <w:color w:val="000000" w:themeColor="text1"/>
        </w:rPr>
        <w:t xml:space="preserve">pieauguma tempu samazināšanos 2011. gada pēdējā ceturksnī un 2012. gada sākumā ietekmēja apgrūtināta pieeja izejmateriāliem klimatisko apstākļu dēļ. </w:t>
      </w:r>
      <w:r w:rsidRPr="007B23CE">
        <w:t>Turpmākajos</w:t>
      </w:r>
      <w:r w:rsidRPr="008E751D">
        <w:t xml:space="preserve"> mēnešos eksporta apjomus</w:t>
      </w:r>
      <w:r w:rsidR="00A95328">
        <w:t>,</w:t>
      </w:r>
      <w:r w:rsidRPr="008E751D">
        <w:t xml:space="preserve"> galvenokārt</w:t>
      </w:r>
      <w:r w:rsidR="00A95328">
        <w:t>,</w:t>
      </w:r>
      <w:r w:rsidRPr="008E751D">
        <w:t xml:space="preserve"> ietekmēs resursu pieejamība un cenu dinamika noieta tirgos. Koka un koka izstrādājumu eksporta pieauguma tempi visticamāk būs mērenāki nekā 2011. gadā, ko ietekmēs arī kokrūpniecības 2011. gada </w:t>
      </w:r>
      <w:r>
        <w:t xml:space="preserve">otrā un trešā </w:t>
      </w:r>
      <w:r w:rsidRPr="008E751D">
        <w:t>ceturkšņa augstā bāze. Tādējādi turpmāk koksnes eksporta pieaugumu noteiks resurs</w:t>
      </w:r>
      <w:r>
        <w:t>u</w:t>
      </w:r>
      <w:r w:rsidRPr="008E751D">
        <w:t xml:space="preserve"> pārdale par labu tieši tiem uzņēmējiem, kuri ražo un pārdod produkciju, kurai ir visaugstākā pievienotā vērtība pārstrādes procesā, vienlaikus palielinot nepieciešamību pēc jaunām investīcijām šajā nozarē.</w:t>
      </w:r>
    </w:p>
    <w:p w:rsidR="00871285" w:rsidRPr="008E751D" w:rsidRDefault="00871285" w:rsidP="00871285">
      <w:pPr>
        <w:spacing w:after="0"/>
        <w:ind w:firstLine="720"/>
      </w:pPr>
    </w:p>
    <w:p w:rsidR="00871285" w:rsidRPr="008E751D" w:rsidRDefault="00871285" w:rsidP="00871285">
      <w:pPr>
        <w:spacing w:after="0"/>
        <w:ind w:firstLine="0"/>
        <w:rPr>
          <w:color w:val="000000" w:themeColor="text1"/>
          <w:sz w:val="24"/>
          <w:szCs w:val="24"/>
        </w:rPr>
      </w:pPr>
      <w:r>
        <w:rPr>
          <w:noProof/>
          <w:lang w:eastAsia="lv-LV"/>
        </w:rPr>
        <w:drawing>
          <wp:inline distT="0" distB="0" distL="0" distR="0" wp14:anchorId="26452D77" wp14:editId="46EDF945">
            <wp:extent cx="6003235" cy="4333461"/>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71285" w:rsidRPr="00487A97" w:rsidRDefault="00871285" w:rsidP="00871285">
      <w:pPr>
        <w:pStyle w:val="Z"/>
        <w:ind w:firstLine="720"/>
      </w:pPr>
      <w:r w:rsidRPr="00487A97">
        <w:t xml:space="preserve">16. </w:t>
      </w:r>
      <w:proofErr w:type="spellStart"/>
      <w:r w:rsidRPr="00487A97">
        <w:t>att</w:t>
      </w:r>
      <w:proofErr w:type="spellEnd"/>
      <w:r w:rsidRPr="00487A97">
        <w:t>. Latvijas eksporta sadalījums pa nozarēm, %</w:t>
      </w:r>
    </w:p>
    <w:p w:rsidR="00871285" w:rsidRPr="008E751D" w:rsidRDefault="00871285" w:rsidP="00871285">
      <w:pPr>
        <w:spacing w:after="0"/>
        <w:ind w:firstLine="720"/>
      </w:pPr>
      <w:r w:rsidRPr="008E751D">
        <w:t>Ārējā pieprasījuma, sezonalitātes un atšķirīgas nozaru attīstības tempu dēļ 2012. gada pirmajā ceturksnī nedaudz mainījusies eksporta struktūra. Par 1,6 procentpunktiem pieaudzis eksportēt</w:t>
      </w:r>
      <w:r>
        <w:t>o</w:t>
      </w:r>
      <w:r w:rsidRPr="008E751D">
        <w:t xml:space="preserve"> lauksaimniecības preču un pārtikas produktu īpatsvars, </w:t>
      </w:r>
      <w:proofErr w:type="spellStart"/>
      <w:r w:rsidRPr="008E751D">
        <w:t>minerālproduktu</w:t>
      </w:r>
      <w:proofErr w:type="spellEnd"/>
      <w:r w:rsidRPr="008E751D">
        <w:t xml:space="preserve"> eksporta īpatsvars pieaudzis par 1,9 procentpunktiem. Savukārt samazinājies ķīmiskās rūpniecības ražojumu, mehānismu un ierīču, kā arī satiksmes līdzekļu īpatsvars. </w:t>
      </w:r>
    </w:p>
    <w:p w:rsidR="00871285" w:rsidRPr="008E751D" w:rsidRDefault="00871285" w:rsidP="00871285">
      <w:pPr>
        <w:spacing w:after="0"/>
        <w:ind w:firstLine="720"/>
      </w:pPr>
      <w:r w:rsidRPr="008E751D">
        <w:lastRenderedPageBreak/>
        <w:t>2012. gada pirmajā ceturksnī eksporta tirgu struktūra saglabāj</w:t>
      </w:r>
      <w:r>
        <w:t xml:space="preserve">ās nemainīga </w:t>
      </w:r>
      <w:r w:rsidRPr="008E751D">
        <w:t>- 72% preču tiek eksportēts uz ES valstīm, eksports uz NVS valstīm veido 14</w:t>
      </w:r>
      <w:r w:rsidR="000E7B3F" w:rsidRPr="000E7B3F">
        <w:t xml:space="preserve"> </w:t>
      </w:r>
      <w:r w:rsidR="000E7B3F">
        <w:t>procentus</w:t>
      </w:r>
      <w:r w:rsidRPr="008E751D">
        <w:t xml:space="preserve">.  Joprojām galvenie (eksports uz katru no tām veido vairāk </w:t>
      </w:r>
      <w:r>
        <w:t>ne</w:t>
      </w:r>
      <w:r w:rsidRPr="008E751D">
        <w:t xml:space="preserve">kā 10% no kopējā eksporta apjoma) ārējās tirdzniecības partneri ir Baltijas valstis un Krievija, taču vērojama neliela eksporta tirgu diversifikācija. Eksports uz Lietuvu pagājušā gada atbilstošajā  periodā veidoja 18,0% no kopējā apjoma, taču gada </w:t>
      </w:r>
      <w:r>
        <w:t>laikā</w:t>
      </w:r>
      <w:r w:rsidRPr="008E751D">
        <w:t xml:space="preserve"> samazinājies līdz </w:t>
      </w:r>
      <w:r w:rsidR="00263611">
        <w:t>14,9</w:t>
      </w:r>
      <w:r w:rsidR="000E7B3F" w:rsidRPr="000E7B3F">
        <w:t xml:space="preserve"> </w:t>
      </w:r>
      <w:r w:rsidR="000E7B3F">
        <w:t>procentiem</w:t>
      </w:r>
      <w:r w:rsidRPr="008E751D">
        <w:t>. Par 1,6 procentpunktiem samazinājies Krievijas īpatsvars, šobrīd veidojot 10% no kopējā eksporta apjoma, taču 0,3-1 procentpunkta apjomā eksporta daļa ir pieaugusi uz tādām valstīm kā Lielbritānija, Dānija, Somija, Norvēģija, kā arī aizvien pieaug Polijas kā ārējās tirdzniecības partnera loma, un eksports uz to veido jau 7,2% no visa eksporta apjoma. Kravu sūtījumi NATO misijas vajadzībām Afganistānā 2012. gada pirmajā ceturksnī veidoja 2,3% no visas eksporta vērtības. Svarīgi atzīmēt, ka</w:t>
      </w:r>
      <w:r>
        <w:t xml:space="preserve"> Latvijas eksporta apjoms uz parādu krīzes skartajām valstīm – Grieķiju, Spāniju, Portugāli un Itāliju mazs (eksports uz </w:t>
      </w:r>
      <w:r w:rsidRPr="008E751D">
        <w:t>tām veido vien 2,0% no kopējā eksporta apjoma)</w:t>
      </w:r>
      <w:r>
        <w:t xml:space="preserve">, kas </w:t>
      </w:r>
      <w:r w:rsidRPr="008E751D">
        <w:t>būtiski mazina riskus, kas saistīti ar tieši nelabvēlīgu ārējās vides ietekmi.</w:t>
      </w:r>
    </w:p>
    <w:p w:rsidR="00871285" w:rsidRPr="008E751D" w:rsidRDefault="00871285" w:rsidP="00871285">
      <w:pPr>
        <w:spacing w:after="0"/>
        <w:ind w:firstLine="720"/>
      </w:pPr>
      <w:r w:rsidRPr="008E751D">
        <w:t xml:space="preserve">Kā ierasts gada sākumā importa pieauguma tempi sezonālu apstākļu ietekmē samazinājās, taču gada griezumā importa pieaugums bija vērojams visās nozarēs, izņemot tekstilizstrādājumu un satiksmes līdzekļu preču grupās, ko ietekmēja sauszemes transporta līdzekļu importa sarukums </w:t>
      </w:r>
      <w:r>
        <w:t xml:space="preserve">2012. gada pirmajā ceturksnī </w:t>
      </w:r>
      <w:r w:rsidRPr="008E751D">
        <w:t>par 13,8% salīdzinājum</w:t>
      </w:r>
      <w:r>
        <w:t>ā ar 2011. gada pirmo ceturksni.</w:t>
      </w:r>
      <w:r w:rsidRPr="008E751D">
        <w:t xml:space="preserve"> </w:t>
      </w:r>
      <w:r>
        <w:t>T</w:t>
      </w:r>
      <w:r w:rsidRPr="008E751D">
        <w:t>as skaidrojams ar sauszemes transporta līdzekļu eksporta samazinājumu, jo liela daļa importēto sauszemes transporta līdzek</w:t>
      </w:r>
      <w:r>
        <w:t>ļu</w:t>
      </w:r>
      <w:r w:rsidRPr="008E751D">
        <w:t xml:space="preserve"> tiek </w:t>
      </w:r>
      <w:proofErr w:type="spellStart"/>
      <w:r w:rsidRPr="008E751D">
        <w:t>reeksportēt</w:t>
      </w:r>
      <w:r>
        <w:t>a</w:t>
      </w:r>
      <w:proofErr w:type="spellEnd"/>
      <w:r w:rsidRPr="008E751D">
        <w:t xml:space="preserve"> (sauszemes transporta līdzekļu neto imports 2012. gada 1. ceturksnī </w:t>
      </w:r>
      <w:r>
        <w:t>veido</w:t>
      </w:r>
      <w:r w:rsidRPr="008E751D">
        <w:t xml:space="preserve"> 38,2% no to kopējā importa apjoma). Vairāk </w:t>
      </w:r>
      <w:r>
        <w:t>ne</w:t>
      </w:r>
      <w:r w:rsidRPr="008E751D">
        <w:t xml:space="preserve">kā par 25% palielinājies </w:t>
      </w:r>
      <w:proofErr w:type="spellStart"/>
      <w:r w:rsidRPr="008E751D">
        <w:t>minerālproduktu</w:t>
      </w:r>
      <w:proofErr w:type="spellEnd"/>
      <w:r w:rsidRPr="008E751D">
        <w:t xml:space="preserve">, mehānismu un ierīču, kā arī koka un tā izstrādājumu importa apjoms faktiskajās cenās. </w:t>
      </w:r>
      <w:proofErr w:type="spellStart"/>
      <w:r w:rsidRPr="008E751D">
        <w:t>Minerālproduktu</w:t>
      </w:r>
      <w:proofErr w:type="spellEnd"/>
      <w:r w:rsidRPr="008E751D">
        <w:t xml:space="preserve"> importa apjoma pieaugumu pamatā ietekmēja naftas un tam sekojošo ene</w:t>
      </w:r>
      <w:r>
        <w:t>rgoresursu cenu kāpums, kā arī e</w:t>
      </w:r>
      <w:r w:rsidRPr="008E751D">
        <w:t xml:space="preserve">iro kursa samazinājums pret ASV dolāru. Joprojām būtisks importa pieaugumu veicinošs faktors ir pieprasījums pēc starppatēriņa un investīciju precēm, par ko liecina pieaugošais koka un metālu izstrādājumu, kā arī mehānismu un ierīču importa apjoms. </w:t>
      </w:r>
    </w:p>
    <w:p w:rsidR="006A276C" w:rsidRDefault="00871285" w:rsidP="006C3F05">
      <w:pPr>
        <w:spacing w:after="0"/>
        <w:ind w:firstLine="720"/>
      </w:pPr>
      <w:r>
        <w:t xml:space="preserve">Tomēr </w:t>
      </w:r>
      <w:r w:rsidRPr="008E751D">
        <w:t>vērtējot eksporta pieauguma attīstības perspektīvas jābūt piesardzīgiem. Eksporta attīstības tendences turpmāk galvenokārt noteiks situācija ārējā vidē. Riski, kas saistīti ar ārējo vidi, saglabājas augsti. Par to liecina arī Eiropas Komisijas aprīlī publicētie konfidences rādītāji, norādot uz vispārēju negatīvu noskaņojumu ar lejupvērstu tendenci šī gada pirmajā ceturksnī. Arī Latvijas uzņēmēju noskaņojuma rādītāji pirmajā ceturksnī apstiprina bažas par ārējās vides nelabvēlīgo ietekmi. Līdz ar pagājušā gada otrā ceturkšņa augstajiem bāzes rādītājiem sagaidāms, ka eksporta izaugsmes tempi turpmākajos mēnešos varētu palēnināties, ko papildus ietekmēs pagājušā gada otrā ceturkšņa augstie bāzes rādītāji.</w:t>
      </w:r>
      <w:bookmarkEnd w:id="14"/>
      <w:bookmarkEnd w:id="15"/>
    </w:p>
    <w:p w:rsidR="006C3F05" w:rsidRPr="003927D1" w:rsidRDefault="006C3F05" w:rsidP="006C3F05">
      <w:pPr>
        <w:spacing w:after="0"/>
        <w:ind w:firstLine="720"/>
      </w:pPr>
    </w:p>
    <w:p w:rsidR="00FE5FBB" w:rsidRDefault="00EC284B" w:rsidP="004F6F6E">
      <w:pPr>
        <w:pStyle w:val="H2"/>
      </w:pPr>
      <w:bookmarkStart w:id="33" w:name="_Toc262026550"/>
      <w:bookmarkStart w:id="34" w:name="_Toc325101919"/>
      <w:bookmarkStart w:id="35" w:name="_Toc130004091"/>
      <w:bookmarkStart w:id="36" w:name="_Toc160359661"/>
      <w:bookmarkStart w:id="37" w:name="_Toc167254146"/>
      <w:bookmarkStart w:id="38" w:name="_Toc226433813"/>
      <w:bookmarkEnd w:id="7"/>
      <w:r>
        <w:lastRenderedPageBreak/>
        <w:t>1.8</w:t>
      </w:r>
      <w:r w:rsidR="00FE5FBB">
        <w:t>. Centrālās valdības parāds</w:t>
      </w:r>
      <w:bookmarkEnd w:id="33"/>
      <w:bookmarkEnd w:id="34"/>
    </w:p>
    <w:p w:rsidR="00FE5FBB" w:rsidRDefault="00FE5FBB" w:rsidP="004F6F6E">
      <w:pPr>
        <w:ind w:firstLine="720"/>
      </w:pPr>
      <w:r>
        <w:t xml:space="preserve">Aizņemšanās apjomu un centrālās valdības parāda līmeni kopumā ietekmē kopējās finansēšanas nepieciešamības apjoms, kuru veido valsts budžeta izpildes nodrošināšanai, kā arī valsts parāda saistību finansēšanai un likviditātes rezerves uzturēšanai nepieciešamā finansējuma apjoms. Saskaņā ar likumu „Par valsts budžetu 2012.gadam” maksimāli pieļaujamais valsts (centrālās valdības) parāda apjoms 2012.gada beigās ir noteikts 6,2 </w:t>
      </w:r>
      <w:proofErr w:type="spellStart"/>
      <w:r>
        <w:t>mljrd.latu</w:t>
      </w:r>
      <w:proofErr w:type="spellEnd"/>
      <w:r>
        <w:t xml:space="preserve"> apmērā. </w:t>
      </w:r>
    </w:p>
    <w:p w:rsidR="00FE5FBB" w:rsidRPr="000151A5" w:rsidRDefault="00FE5FBB" w:rsidP="000151A5">
      <w:pPr>
        <w:ind w:firstLine="720"/>
      </w:pPr>
      <w:r w:rsidRPr="000151A5">
        <w:t xml:space="preserve">Centrālās valdības parāds 2012.gada pirmā ceturkšņa beigās veidoja       5,6 </w:t>
      </w:r>
      <w:proofErr w:type="spellStart"/>
      <w:r w:rsidRPr="000151A5">
        <w:t>mljrd.latu</w:t>
      </w:r>
      <w:proofErr w:type="spellEnd"/>
      <w:r w:rsidRPr="000151A5">
        <w:t xml:space="preserve"> jeb ~38% no IKP. 2012.gada pirmajā ceturksnī centrālās valdības parāds palielinājās par 403,9 </w:t>
      </w:r>
      <w:proofErr w:type="spellStart"/>
      <w:r w:rsidRPr="000151A5">
        <w:t>milj.latu</w:t>
      </w:r>
      <w:proofErr w:type="spellEnd"/>
      <w:r w:rsidRPr="000151A5">
        <w:t xml:space="preserve">, kas ir izskaidrojams ar 2012.gada februārī veikto eiroobligāciju emisiju 1 </w:t>
      </w:r>
      <w:proofErr w:type="spellStart"/>
      <w:r w:rsidRPr="000151A5">
        <w:t>mljrd</w:t>
      </w:r>
      <w:proofErr w:type="spellEnd"/>
      <w:r w:rsidRPr="000151A5">
        <w:t>. USD apmērā (skat.</w:t>
      </w:r>
      <w:r w:rsidRPr="006C3F05">
        <w:t>1</w:t>
      </w:r>
      <w:r w:rsidR="006C3F05">
        <w:t>7</w:t>
      </w:r>
      <w:r w:rsidRPr="000151A5">
        <w:t>.att.).</w:t>
      </w:r>
    </w:p>
    <w:p w:rsidR="00FE5FBB" w:rsidRDefault="00FE5FBB" w:rsidP="000E0C96">
      <w:pPr>
        <w:jc w:val="center"/>
        <w:rPr>
          <w:noProof/>
          <w:lang w:eastAsia="lv-LV"/>
        </w:rPr>
      </w:pPr>
      <w:r>
        <w:rPr>
          <w:noProof/>
          <w:lang w:eastAsia="lv-LV"/>
        </w:rPr>
        <w:drawing>
          <wp:inline distT="0" distB="0" distL="0" distR="0" wp14:anchorId="3280B5C1" wp14:editId="0EC97BA4">
            <wp:extent cx="3964940" cy="2406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4940" cy="2406650"/>
                    </a:xfrm>
                    <a:prstGeom prst="rect">
                      <a:avLst/>
                    </a:prstGeom>
                    <a:noFill/>
                    <a:ln>
                      <a:noFill/>
                    </a:ln>
                  </pic:spPr>
                </pic:pic>
              </a:graphicData>
            </a:graphic>
          </wp:inline>
        </w:drawing>
      </w:r>
    </w:p>
    <w:p w:rsidR="00FE5FBB" w:rsidRPr="000151A5" w:rsidRDefault="00FE5FBB" w:rsidP="000151A5">
      <w:pPr>
        <w:rPr>
          <w:sz w:val="18"/>
        </w:rPr>
      </w:pPr>
      <w:r w:rsidRPr="000151A5">
        <w:rPr>
          <w:sz w:val="18"/>
        </w:rPr>
        <w:t xml:space="preserve">* aprēķinot parāda attiecību pret IKP 2012.gada I </w:t>
      </w:r>
      <w:proofErr w:type="spellStart"/>
      <w:r w:rsidRPr="000151A5">
        <w:rPr>
          <w:sz w:val="18"/>
        </w:rPr>
        <w:t>cet</w:t>
      </w:r>
      <w:proofErr w:type="spellEnd"/>
      <w:r w:rsidRPr="000151A5">
        <w:rPr>
          <w:sz w:val="18"/>
        </w:rPr>
        <w:t>., izmantota IKP prognoze 2012.gadam saskaņā ar Konverģences programmu 2012.-2015.gadam</w:t>
      </w:r>
    </w:p>
    <w:p w:rsidR="00FE5FBB" w:rsidRPr="006C3F05" w:rsidRDefault="006C3F05" w:rsidP="000151A5">
      <w:pPr>
        <w:jc w:val="center"/>
        <w:rPr>
          <w:b/>
          <w:i/>
        </w:rPr>
      </w:pPr>
      <w:r w:rsidRPr="006C3F05">
        <w:rPr>
          <w:b/>
          <w:i/>
        </w:rPr>
        <w:t>17</w:t>
      </w:r>
      <w:r w:rsidR="00FE5FBB" w:rsidRPr="006C3F05">
        <w:rPr>
          <w:b/>
          <w:i/>
        </w:rPr>
        <w:t xml:space="preserve">.att. Centrālās </w:t>
      </w:r>
      <w:r w:rsidR="00A95328" w:rsidRPr="006C3F05">
        <w:rPr>
          <w:b/>
          <w:i/>
        </w:rPr>
        <w:t>valdības parāds 2004.-2012.gadā</w:t>
      </w:r>
    </w:p>
    <w:p w:rsidR="00FE5FBB" w:rsidRPr="00FE5FBB" w:rsidRDefault="00FE5FBB" w:rsidP="009129E0">
      <w:pPr>
        <w:pStyle w:val="ListParagraph"/>
        <w:ind w:left="360" w:firstLine="0"/>
        <w:jc w:val="center"/>
        <w:rPr>
          <w:szCs w:val="20"/>
        </w:rPr>
      </w:pPr>
      <w:r>
        <w:rPr>
          <w:noProof/>
          <w:lang w:eastAsia="lv-LV"/>
        </w:rPr>
        <w:drawing>
          <wp:inline distT="0" distB="0" distL="0" distR="0" wp14:anchorId="629903D7" wp14:editId="233530F7">
            <wp:extent cx="3079750" cy="22091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9750" cy="2209165"/>
                    </a:xfrm>
                    <a:prstGeom prst="rect">
                      <a:avLst/>
                    </a:prstGeom>
                    <a:noFill/>
                    <a:ln>
                      <a:noFill/>
                    </a:ln>
                  </pic:spPr>
                </pic:pic>
              </a:graphicData>
            </a:graphic>
          </wp:inline>
        </w:drawing>
      </w:r>
    </w:p>
    <w:p w:rsidR="00FE5FBB" w:rsidRPr="006C3F05" w:rsidRDefault="006C3F05" w:rsidP="000151A5">
      <w:pPr>
        <w:rPr>
          <w:b/>
          <w:i/>
        </w:rPr>
      </w:pPr>
      <w:r w:rsidRPr="006C3F05">
        <w:rPr>
          <w:b/>
          <w:i/>
        </w:rPr>
        <w:t>18</w:t>
      </w:r>
      <w:r w:rsidR="00FE5FBB" w:rsidRPr="006C3F05">
        <w:rPr>
          <w:b/>
          <w:i/>
        </w:rPr>
        <w:t>.att. Centrālās valdības parāda st</w:t>
      </w:r>
      <w:bookmarkStart w:id="39" w:name="_Toc262026552"/>
      <w:r w:rsidR="00A95328" w:rsidRPr="006C3F05">
        <w:rPr>
          <w:b/>
          <w:i/>
        </w:rPr>
        <w:t xml:space="preserve">ruktūra 2012.gada I </w:t>
      </w:r>
      <w:proofErr w:type="spellStart"/>
      <w:r w:rsidR="00A95328" w:rsidRPr="006C3F05">
        <w:rPr>
          <w:b/>
          <w:i/>
        </w:rPr>
        <w:t>cet</w:t>
      </w:r>
      <w:proofErr w:type="spellEnd"/>
      <w:r w:rsidR="00A95328" w:rsidRPr="006C3F05">
        <w:rPr>
          <w:b/>
          <w:i/>
        </w:rPr>
        <w:t>. beigās</w:t>
      </w:r>
    </w:p>
    <w:p w:rsidR="00FE5FBB" w:rsidRPr="000151A5" w:rsidRDefault="00FE5FBB" w:rsidP="000151A5">
      <w:pPr>
        <w:ind w:firstLine="720"/>
      </w:pPr>
      <w:r w:rsidRPr="000151A5">
        <w:t xml:space="preserve">Valsts parāda struktūrā lielāko īpatsvaru veido ārējais parāds (88%). Starptautiskā aizņēmuma programmas ietvaros uzņemto ārējā parāda saistību </w:t>
      </w:r>
      <w:r w:rsidRPr="000151A5">
        <w:lastRenderedPageBreak/>
        <w:t>apjoms veido vairāk kā pusi (55%) no centrālās valdības parāda kopējā apjoma (</w:t>
      </w:r>
      <w:proofErr w:type="spellStart"/>
      <w:r w:rsidRPr="000151A5">
        <w:t>skat</w:t>
      </w:r>
      <w:proofErr w:type="spellEnd"/>
      <w:r w:rsidRPr="000151A5">
        <w:t xml:space="preserve">. </w:t>
      </w:r>
      <w:r w:rsidR="006C3F05" w:rsidRPr="006C3F05">
        <w:t>18</w:t>
      </w:r>
      <w:r w:rsidRPr="006C3F05">
        <w:t>.</w:t>
      </w:r>
      <w:r w:rsidRPr="000151A5">
        <w:t>att.).</w:t>
      </w:r>
    </w:p>
    <w:p w:rsidR="000E0C96" w:rsidRDefault="000E0C96" w:rsidP="00F85C2C">
      <w:pPr>
        <w:ind w:firstLine="0"/>
        <w:rPr>
          <w:b/>
        </w:rPr>
      </w:pPr>
    </w:p>
    <w:p w:rsidR="00FE5FBB" w:rsidRPr="001E1793" w:rsidRDefault="00FE5FBB" w:rsidP="001E1793">
      <w:pPr>
        <w:jc w:val="center"/>
        <w:rPr>
          <w:b/>
        </w:rPr>
      </w:pPr>
      <w:r w:rsidRPr="001E1793">
        <w:rPr>
          <w:b/>
        </w:rPr>
        <w:t>Centrālās valdības iekšējais parāds</w:t>
      </w:r>
      <w:bookmarkEnd w:id="39"/>
    </w:p>
    <w:p w:rsidR="00FE5FBB" w:rsidRDefault="00FE5FBB" w:rsidP="00A95328">
      <w:pPr>
        <w:ind w:firstLine="720"/>
      </w:pPr>
      <w:r>
        <w:t xml:space="preserve">Centrālās valdības iekšējais parāds nominālvērtībā 2011.gada 31.decembrī bija 717,9 </w:t>
      </w:r>
      <w:proofErr w:type="spellStart"/>
      <w:r>
        <w:t>milj.latu</w:t>
      </w:r>
      <w:proofErr w:type="spellEnd"/>
      <w:r>
        <w:t xml:space="preserve">. 2012.gada pirmā ceturkšņa beigās tā apjoms bija 684,4 milj.latu, veidojot 12% no kopējā centrālās valdības parāda apjoma. Valsts iekšējā parāda atmaksātajam apjomam pārsniedzot valsts iekšējā aizņēmuma apjomu, 2012.gada pirmajā ceturksnī iekšējais parāds ir samazinājies par 33,6 </w:t>
      </w:r>
      <w:proofErr w:type="spellStart"/>
      <w:r>
        <w:t>milj.latu</w:t>
      </w:r>
      <w:proofErr w:type="spellEnd"/>
      <w:r>
        <w:t xml:space="preserve">. </w:t>
      </w:r>
    </w:p>
    <w:p w:rsidR="00FE5FBB" w:rsidRDefault="00FE5FBB" w:rsidP="00A95328">
      <w:pPr>
        <w:ind w:firstLine="720"/>
      </w:pPr>
      <w:r>
        <w:t>Finansējums iekšējā finanšu tirgū tiek piesaistīts, organizējot regulāras valsts iekšējā aizņēmuma vērtspapīru emisijas. 2012.gadā Valsts kase turpināja regulāras valsts vērtspapīru izsoles, piedāvājot investoriem gan īstermiņa, gan vidējā termiņa valsts vērtspapīrus. Sešu un divpadsmit mēnešu parādzīmju izsoles Valsts kase rīkoja, lai galvenokārt nodrošinātu relatīvi lētus likviditātes resursus un uzturētu iekšējā aizņēmuma vērtspapīru tirgu, kā arī nodrošinātu īstermiņa latu resursu aizņemšanās etalona regulāru aktualizēšanu tirgū. Savukārt, lai nodrošinātu institucionālajiem investoriem pietiekamu piedāvājumu ieguldīt valsts vērtspapīros, Valsts kase uzsāka piecu gadu obligāciju programmu (</w:t>
      </w:r>
      <w:proofErr w:type="spellStart"/>
      <w:r>
        <w:t>skat</w:t>
      </w:r>
      <w:proofErr w:type="spellEnd"/>
      <w:r>
        <w:t xml:space="preserve">. </w:t>
      </w:r>
      <w:r w:rsidR="006C3F05">
        <w:t>19</w:t>
      </w:r>
      <w:r>
        <w:t>.att.).</w:t>
      </w:r>
    </w:p>
    <w:p w:rsidR="00FE5FBB" w:rsidRDefault="00FE5FBB" w:rsidP="000151A5">
      <w:pPr>
        <w:rPr>
          <w:noProof/>
          <w:lang w:eastAsia="lv-LV"/>
        </w:rPr>
      </w:pPr>
      <w:r>
        <w:rPr>
          <w:noProof/>
          <w:lang w:eastAsia="lv-LV"/>
        </w:rPr>
        <w:drawing>
          <wp:inline distT="0" distB="0" distL="0" distR="0" wp14:anchorId="4AA42FBF" wp14:editId="17C89F2F">
            <wp:extent cx="4959985" cy="28892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9985" cy="2889250"/>
                    </a:xfrm>
                    <a:prstGeom prst="rect">
                      <a:avLst/>
                    </a:prstGeom>
                    <a:noFill/>
                    <a:ln>
                      <a:noFill/>
                    </a:ln>
                  </pic:spPr>
                </pic:pic>
              </a:graphicData>
            </a:graphic>
          </wp:inline>
        </w:drawing>
      </w:r>
    </w:p>
    <w:p w:rsidR="00FE5FBB" w:rsidRPr="004F6F6E" w:rsidRDefault="006C3F05" w:rsidP="004F6F6E">
      <w:pPr>
        <w:pStyle w:val="Z"/>
      </w:pPr>
      <w:r>
        <w:t>19</w:t>
      </w:r>
      <w:r w:rsidR="00FE5FBB" w:rsidRPr="004F6F6E">
        <w:t xml:space="preserve">. </w:t>
      </w:r>
      <w:proofErr w:type="spellStart"/>
      <w:r w:rsidR="00FE5FBB" w:rsidRPr="004F6F6E">
        <w:t>att</w:t>
      </w:r>
      <w:proofErr w:type="spellEnd"/>
      <w:r w:rsidR="00FE5FBB" w:rsidRPr="004F6F6E">
        <w:t>. Apgrozībā esošo valsts iekšējā aizņēmuma vērtspapīru struktūras attīstība</w:t>
      </w:r>
    </w:p>
    <w:p w:rsidR="00FE5FBB" w:rsidRDefault="00FE5FBB" w:rsidP="00A95328">
      <w:pPr>
        <w:ind w:firstLine="720"/>
      </w:pPr>
      <w:r>
        <w:t xml:space="preserve">Pieaugot investoru interesei par ieguldījumiem vidējā termiņa un ilgtermiņa valsts vērtspapīros, obligāciju īpatsvars valsts iekšējā parāda portfelī 2012.gada pirmajā ceturksnī turpināja pieaugt, ceturkšņa beigās sasniedzot 69% </w:t>
      </w:r>
      <w:r>
        <w:lastRenderedPageBreak/>
        <w:t>no kopējā apgrozībā esošā vērtspapīru apjoma (</w:t>
      </w:r>
      <w:proofErr w:type="spellStart"/>
      <w:r>
        <w:t>skat</w:t>
      </w:r>
      <w:proofErr w:type="spellEnd"/>
      <w:r>
        <w:t>.</w:t>
      </w:r>
      <w:r w:rsidR="006C3F05">
        <w:t xml:space="preserve"> 20</w:t>
      </w:r>
      <w:r>
        <w:t xml:space="preserve">.att.). Šī tendence apliecina investoru uzticību valsts kredītspējai. </w:t>
      </w:r>
    </w:p>
    <w:p w:rsidR="00FE5FBB" w:rsidRDefault="00FE5FBB" w:rsidP="00A95328">
      <w:pPr>
        <w:ind w:firstLine="720"/>
      </w:pPr>
      <w:r>
        <w:t xml:space="preserve">2012.gada pirmajā ceturksnī tika veiksmīgi emitētas piecu gadu obligācijas 30,0 </w:t>
      </w:r>
      <w:proofErr w:type="spellStart"/>
      <w:r>
        <w:t>milj.latu</w:t>
      </w:r>
      <w:proofErr w:type="spellEnd"/>
      <w:r>
        <w:t xml:space="preserve"> apjomā ar vidējo svērto peļņas likmi pēdējā izsolē 4,114%, kopējam investoru pieprasījumam pēc šī termiņa obligācijām būtiski pārsniedzot izsolēs pārdoto apjomu. Īstermiņa (sešu un divpadsmit mēnešu) parādzīmes tika emitētas 75,0 </w:t>
      </w:r>
      <w:proofErr w:type="spellStart"/>
      <w:r>
        <w:t>milj.latu</w:t>
      </w:r>
      <w:proofErr w:type="spellEnd"/>
      <w:r>
        <w:t xml:space="preserve"> apjomā ar vidējo svērto peļņas likmi pēdējā izsolē 0,997% (sešu mēnešu parādzīmēm) un 1,583% (divpadsmit mēnešu parādzīmēm).</w:t>
      </w:r>
    </w:p>
    <w:p w:rsidR="00FE5FBB" w:rsidRPr="00FE5FBB" w:rsidRDefault="00FE5FBB" w:rsidP="000E0C96">
      <w:pPr>
        <w:ind w:firstLine="1560"/>
        <w:jc w:val="left"/>
        <w:rPr>
          <w:b/>
          <w:sz w:val="24"/>
        </w:rPr>
      </w:pPr>
      <w:r>
        <w:rPr>
          <w:noProof/>
          <w:lang w:eastAsia="lv-LV"/>
        </w:rPr>
        <w:drawing>
          <wp:inline distT="0" distB="0" distL="0" distR="0" wp14:anchorId="068F9E07" wp14:editId="4EAE1EC0">
            <wp:extent cx="3225800" cy="2362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25800" cy="2362835"/>
                    </a:xfrm>
                    <a:prstGeom prst="rect">
                      <a:avLst/>
                    </a:prstGeom>
                    <a:noFill/>
                    <a:ln>
                      <a:noFill/>
                    </a:ln>
                  </pic:spPr>
                </pic:pic>
              </a:graphicData>
            </a:graphic>
          </wp:inline>
        </w:drawing>
      </w:r>
    </w:p>
    <w:p w:rsidR="00FE5FBB" w:rsidRPr="004F6F6E" w:rsidRDefault="006C3F05" w:rsidP="004F6F6E">
      <w:pPr>
        <w:ind w:firstLine="0"/>
        <w:jc w:val="center"/>
        <w:rPr>
          <w:b/>
          <w:i/>
        </w:rPr>
      </w:pPr>
      <w:r>
        <w:rPr>
          <w:b/>
          <w:i/>
        </w:rPr>
        <w:t>20</w:t>
      </w:r>
      <w:r w:rsidR="00FE5FBB" w:rsidRPr="004F6F6E">
        <w:rPr>
          <w:b/>
          <w:i/>
        </w:rPr>
        <w:t xml:space="preserve">.att. Apgrozībā esošo valsts iekšējā aizņēmuma vērtspapīru struktūra 2012.gada I </w:t>
      </w:r>
      <w:proofErr w:type="spellStart"/>
      <w:r w:rsidR="00FE5FBB" w:rsidRPr="004F6F6E">
        <w:rPr>
          <w:b/>
          <w:i/>
        </w:rPr>
        <w:t>cet</w:t>
      </w:r>
      <w:proofErr w:type="spellEnd"/>
      <w:r w:rsidR="00FE5FBB" w:rsidRPr="004F6F6E">
        <w:rPr>
          <w:b/>
          <w:i/>
        </w:rPr>
        <w:t>. beigās</w:t>
      </w:r>
    </w:p>
    <w:p w:rsidR="00FE5FBB" w:rsidRDefault="00FE5FBB" w:rsidP="00A95328">
      <w:pPr>
        <w:ind w:firstLine="720"/>
      </w:pPr>
      <w:r>
        <w:t>2012.gada pirmajā ceturksnī, pateicoties augstajam likviditātes līmenim iekšējā finanšu tirgū, valsts vērtspapīru procentu likmes saglabājās tuvu rekordzemam līmenim (</w:t>
      </w:r>
      <w:proofErr w:type="spellStart"/>
      <w:r>
        <w:t>skat</w:t>
      </w:r>
      <w:proofErr w:type="spellEnd"/>
      <w:r>
        <w:t xml:space="preserve">. </w:t>
      </w:r>
      <w:r w:rsidR="006C3F05">
        <w:t>21</w:t>
      </w:r>
      <w:r>
        <w:t>.att.).</w:t>
      </w:r>
    </w:p>
    <w:p w:rsidR="00FE5FBB" w:rsidRDefault="00FE5FBB" w:rsidP="000E0C96">
      <w:pPr>
        <w:ind w:firstLine="0"/>
        <w:jc w:val="center"/>
      </w:pPr>
      <w:r>
        <w:rPr>
          <w:noProof/>
          <w:lang w:eastAsia="lv-LV"/>
        </w:rPr>
        <w:lastRenderedPageBreak/>
        <w:drawing>
          <wp:inline distT="0" distB="0" distL="0" distR="0" wp14:anchorId="08DE8C09" wp14:editId="5CAEF867">
            <wp:extent cx="4930140" cy="3394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30140" cy="3394075"/>
                    </a:xfrm>
                    <a:prstGeom prst="rect">
                      <a:avLst/>
                    </a:prstGeom>
                    <a:noFill/>
                    <a:ln>
                      <a:noFill/>
                    </a:ln>
                  </pic:spPr>
                </pic:pic>
              </a:graphicData>
            </a:graphic>
          </wp:inline>
        </w:drawing>
      </w:r>
    </w:p>
    <w:p w:rsidR="00FE5FBB" w:rsidRPr="004F6F6E" w:rsidRDefault="006C3F05" w:rsidP="004F6F6E">
      <w:pPr>
        <w:ind w:firstLine="0"/>
        <w:jc w:val="center"/>
        <w:rPr>
          <w:b/>
          <w:i/>
        </w:rPr>
      </w:pPr>
      <w:r>
        <w:rPr>
          <w:b/>
          <w:i/>
        </w:rPr>
        <w:t>21</w:t>
      </w:r>
      <w:r w:rsidR="00FE5FBB" w:rsidRPr="004F6F6E">
        <w:rPr>
          <w:b/>
          <w:i/>
        </w:rPr>
        <w:t xml:space="preserve">.att. </w:t>
      </w:r>
      <w:r w:rsidR="00FE5FBB" w:rsidRPr="004F6F6E">
        <w:rPr>
          <w:b/>
          <w:bCs/>
          <w:i/>
        </w:rPr>
        <w:t xml:space="preserve">Valsts vērtspapīru konkurējošās </w:t>
      </w:r>
      <w:proofErr w:type="spellStart"/>
      <w:r w:rsidR="00FE5FBB" w:rsidRPr="004F6F6E">
        <w:rPr>
          <w:b/>
          <w:bCs/>
          <w:i/>
        </w:rPr>
        <w:t>daudzcenu</w:t>
      </w:r>
      <w:proofErr w:type="spellEnd"/>
      <w:r w:rsidR="00FE5FBB" w:rsidRPr="004F6F6E">
        <w:rPr>
          <w:b/>
          <w:bCs/>
          <w:i/>
        </w:rPr>
        <w:t xml:space="preserve"> izolēs noteiktās vidējās svērtās procentu likmes</w:t>
      </w:r>
    </w:p>
    <w:p w:rsidR="00FE5FBB" w:rsidRDefault="00FE5FBB" w:rsidP="00A95328">
      <w:pPr>
        <w:ind w:firstLine="360"/>
      </w:pPr>
      <w:r>
        <w:t>Arī turpmāk, saglabājoties pozitīvām finanšu tirgus un ekonomikas attīstības tendencēm, ir plānots finansējumu iekšējā finanšu tirgū piesaistīt galvenokārt ar vidēja termiņa un ilgtermiņa parāda vērtspapīriem, īstermiņa parādzīmju (ar dzēšanas termiņu līdz vienam gadam) emisijas izmantojot galvenokārt kā likviditātes vadības un iekšējā finanšu tirgus uzturēšanas instrumentu.</w:t>
      </w:r>
    </w:p>
    <w:p w:rsidR="006C3F05" w:rsidRDefault="006C3F05" w:rsidP="001E1793">
      <w:pPr>
        <w:jc w:val="center"/>
        <w:rPr>
          <w:b/>
        </w:rPr>
      </w:pPr>
    </w:p>
    <w:p w:rsidR="00FE5FBB" w:rsidRPr="001E1793" w:rsidRDefault="00FE5FBB" w:rsidP="001E1793">
      <w:pPr>
        <w:jc w:val="center"/>
        <w:rPr>
          <w:b/>
        </w:rPr>
      </w:pPr>
      <w:r w:rsidRPr="001E1793">
        <w:rPr>
          <w:b/>
        </w:rPr>
        <w:t>Centrālās valdības ārējais parāds</w:t>
      </w:r>
    </w:p>
    <w:p w:rsidR="00FE5FBB" w:rsidRDefault="00FE5FBB" w:rsidP="00A95328">
      <w:pPr>
        <w:ind w:firstLine="360"/>
      </w:pPr>
      <w:r>
        <w:t xml:space="preserve">Centrālās valdības ārējais parāds nominālvērtībā 2011.gada beigās veidoja 4 498,3 </w:t>
      </w:r>
      <w:proofErr w:type="spellStart"/>
      <w:r>
        <w:t>milj.latu</w:t>
      </w:r>
      <w:proofErr w:type="spellEnd"/>
      <w:r>
        <w:t xml:space="preserve">. 2012.gada pirmajā ceturksnī tas palielinājās par 437,5 </w:t>
      </w:r>
      <w:proofErr w:type="spellStart"/>
      <w:r>
        <w:t>milj.latu</w:t>
      </w:r>
      <w:proofErr w:type="spellEnd"/>
      <w:r>
        <w:t xml:space="preserve">, ceturkšņa beigās veidojot 4 935,8 </w:t>
      </w:r>
      <w:proofErr w:type="spellStart"/>
      <w:r>
        <w:t>milj.latu</w:t>
      </w:r>
      <w:proofErr w:type="spellEnd"/>
      <w:r>
        <w:t xml:space="preserve">. Centrālās valdības ārējā parāda pieaugumu noteica 2012.gada februārī veiktā eiroobligāciju emisija 1 </w:t>
      </w:r>
      <w:proofErr w:type="spellStart"/>
      <w:r>
        <w:t>mljrd</w:t>
      </w:r>
      <w:proofErr w:type="spellEnd"/>
      <w:r>
        <w:t>. USD apmērā.</w:t>
      </w:r>
    </w:p>
    <w:p w:rsidR="00FE5FBB" w:rsidRDefault="00FE5FBB" w:rsidP="00A95328">
      <w:pPr>
        <w:ind w:firstLine="360"/>
      </w:pPr>
      <w:r>
        <w:t>2012.gada pirmajā ceturksnī, salīdzinot ar 2011.gada beigām, centrālās valdības ārējā parāda struktūrā pieaudzis eiroobligāciju īpatsvars, uz 2012.gada pirmā ceturkšņa beigām ārējā parāda struktūrā veidojot 27%, kā arī ņemot vērā 2012.gada martā Starptautiskā Valūtas fonda aizņēmuma pirmās daļas atmaksu, samazināj</w:t>
      </w:r>
      <w:r w:rsidR="00A95328">
        <w:t>ies</w:t>
      </w:r>
      <w:r>
        <w:t xml:space="preserve"> starptautiskā aizņēmuma programmas īpatsvars ārējā parāda struktūrā no 72% 2011.gada beigās līdz 62% 2012.gada pirmā ceturkšņa beigās (</w:t>
      </w:r>
      <w:proofErr w:type="spellStart"/>
      <w:r>
        <w:t>skat</w:t>
      </w:r>
      <w:proofErr w:type="spellEnd"/>
      <w:r>
        <w:t xml:space="preserve">. </w:t>
      </w:r>
      <w:r w:rsidR="006C3F05">
        <w:t>22</w:t>
      </w:r>
      <w:r>
        <w:t xml:space="preserve">. un </w:t>
      </w:r>
      <w:r w:rsidR="006C3F05">
        <w:t>23</w:t>
      </w:r>
      <w:r>
        <w:t xml:space="preserve">.att.). Ārējā parāda atlikušo daļu veido iepriekš noslēgto līgumu ietvaros dažādu projektu finansēšanai saņemtie aizņēmumi no Eiropas Investīciju bankas, Ziemeļu Investīciju bankas un citām finanšu institūcijām. </w:t>
      </w:r>
    </w:p>
    <w:p w:rsidR="00FE5FBB" w:rsidRPr="00FE5FBB" w:rsidRDefault="00FE5FBB" w:rsidP="000E0C96">
      <w:pPr>
        <w:ind w:firstLine="0"/>
        <w:jc w:val="center"/>
        <w:rPr>
          <w:szCs w:val="20"/>
        </w:rPr>
      </w:pPr>
      <w:r>
        <w:rPr>
          <w:noProof/>
          <w:lang w:eastAsia="lv-LV"/>
        </w:rPr>
        <w:lastRenderedPageBreak/>
        <w:drawing>
          <wp:inline distT="0" distB="0" distL="0" distR="0" wp14:anchorId="3F7C7E08" wp14:editId="25FBC0FD">
            <wp:extent cx="4089400" cy="22606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89400" cy="2260600"/>
                    </a:xfrm>
                    <a:prstGeom prst="rect">
                      <a:avLst/>
                    </a:prstGeom>
                    <a:noFill/>
                    <a:ln>
                      <a:noFill/>
                    </a:ln>
                  </pic:spPr>
                </pic:pic>
              </a:graphicData>
            </a:graphic>
          </wp:inline>
        </w:drawing>
      </w:r>
    </w:p>
    <w:p w:rsidR="00FE5FBB" w:rsidRPr="004F6F6E" w:rsidRDefault="006C3F05" w:rsidP="004F6F6E">
      <w:pPr>
        <w:ind w:firstLine="0"/>
        <w:jc w:val="center"/>
        <w:rPr>
          <w:b/>
          <w:i/>
        </w:rPr>
      </w:pPr>
      <w:r>
        <w:rPr>
          <w:b/>
          <w:i/>
        </w:rPr>
        <w:t>22</w:t>
      </w:r>
      <w:r w:rsidR="00FE5FBB" w:rsidRPr="004F6F6E">
        <w:rPr>
          <w:b/>
          <w:i/>
        </w:rPr>
        <w:t xml:space="preserve">.att. </w:t>
      </w:r>
      <w:r w:rsidR="00FE5FBB" w:rsidRPr="004F6F6E">
        <w:rPr>
          <w:b/>
          <w:bCs/>
          <w:i/>
        </w:rPr>
        <w:t>Centrālās valdības ārējā parāda struktūras attīstība</w:t>
      </w:r>
    </w:p>
    <w:p w:rsidR="00FE5FBB" w:rsidRDefault="00FE5FBB" w:rsidP="000E0C96">
      <w:pPr>
        <w:ind w:firstLine="0"/>
        <w:jc w:val="center"/>
      </w:pPr>
      <w:r>
        <w:rPr>
          <w:noProof/>
          <w:lang w:eastAsia="lv-LV"/>
        </w:rPr>
        <w:drawing>
          <wp:inline distT="0" distB="0" distL="0" distR="0" wp14:anchorId="462779B5" wp14:editId="7374FFC0">
            <wp:extent cx="4381500" cy="23552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500" cy="2355215"/>
                    </a:xfrm>
                    <a:prstGeom prst="rect">
                      <a:avLst/>
                    </a:prstGeom>
                    <a:noFill/>
                    <a:ln>
                      <a:noFill/>
                    </a:ln>
                  </pic:spPr>
                </pic:pic>
              </a:graphicData>
            </a:graphic>
          </wp:inline>
        </w:drawing>
      </w:r>
    </w:p>
    <w:p w:rsidR="00FE5FBB" w:rsidRPr="004F6F6E" w:rsidRDefault="006C3F05" w:rsidP="004F6F6E">
      <w:pPr>
        <w:ind w:firstLine="0"/>
        <w:jc w:val="center"/>
        <w:rPr>
          <w:b/>
          <w:i/>
        </w:rPr>
      </w:pPr>
      <w:r>
        <w:rPr>
          <w:b/>
          <w:i/>
        </w:rPr>
        <w:t>23</w:t>
      </w:r>
      <w:r w:rsidR="00FE5FBB" w:rsidRPr="004F6F6E">
        <w:rPr>
          <w:b/>
          <w:i/>
        </w:rPr>
        <w:t xml:space="preserve">.att. Ārējā parāda struktūra 2011.gada I </w:t>
      </w:r>
      <w:proofErr w:type="spellStart"/>
      <w:r w:rsidR="00FE5FBB" w:rsidRPr="004F6F6E">
        <w:rPr>
          <w:b/>
          <w:i/>
        </w:rPr>
        <w:t>cet</w:t>
      </w:r>
      <w:proofErr w:type="spellEnd"/>
      <w:r w:rsidR="00FE5FBB" w:rsidRPr="004F6F6E">
        <w:rPr>
          <w:b/>
          <w:i/>
        </w:rPr>
        <w:t>. beigās</w:t>
      </w:r>
    </w:p>
    <w:p w:rsidR="00FE5FBB" w:rsidRDefault="00FE5FBB" w:rsidP="00A95328">
      <w:pPr>
        <w:ind w:firstLine="360"/>
      </w:pPr>
      <w:r w:rsidRPr="00A95328">
        <w:t>Atbilstoši  Latvijas valsts parāda vadības stratēģijai lai novērstu valsts parāda pārfinansēšanas risku vidējā termiņā un savlaicīgi nodrošinātu priekšnosacījumus valsts</w:t>
      </w:r>
      <w:r>
        <w:t xml:space="preserve"> ārējā parāda saistību (</w:t>
      </w:r>
      <w:proofErr w:type="spellStart"/>
      <w:r>
        <w:t>t.sk</w:t>
      </w:r>
      <w:proofErr w:type="spellEnd"/>
      <w:r>
        <w:t>. starptautiskā aizņēmuma programmas ietvaros saņemtā finansējuma) atmaksai 2014. un 2015.gadā, pakāpeniski tiek veikta aizņemšanās starptautiskajos finanšu tirgos, organizējot regulāras (ikgadējas) publiskas valsts parāda vērtspapīru emisijas un prioritāri nodrošinot investoru bāzes diversificēšanu (Eiropā, ASV un Āzijā), kā arī optimāla, Latvijas kredītreitinga novērtējumam atbilstoša aizņemšanās izmaksu līmeņa sasniegšanu.</w:t>
      </w:r>
    </w:p>
    <w:p w:rsidR="006A276C" w:rsidRPr="00F53D19" w:rsidRDefault="006A276C" w:rsidP="00F53D19">
      <w:pPr>
        <w:pStyle w:val="Heading1"/>
        <w:jc w:val="center"/>
      </w:pPr>
      <w:r w:rsidRPr="003927D1">
        <w:br w:type="page"/>
      </w:r>
      <w:bookmarkStart w:id="40" w:name="_Toc262026553"/>
      <w:bookmarkStart w:id="41" w:name="_Toc293496368"/>
      <w:bookmarkStart w:id="42" w:name="_Toc325101920"/>
      <w:r w:rsidR="001E1793">
        <w:lastRenderedPageBreak/>
        <w:t>2</w:t>
      </w:r>
      <w:r w:rsidR="00F53D19" w:rsidRPr="00F53D19">
        <w:t>. </w:t>
      </w:r>
      <w:r w:rsidRPr="00F53D19">
        <w:t>Kopbudžeta izpilde</w:t>
      </w:r>
      <w:bookmarkEnd w:id="40"/>
      <w:bookmarkEnd w:id="41"/>
      <w:bookmarkEnd w:id="42"/>
    </w:p>
    <w:p w:rsidR="00007150" w:rsidRPr="00952906" w:rsidRDefault="00952906" w:rsidP="00952906">
      <w:pPr>
        <w:pStyle w:val="Heading2"/>
      </w:pPr>
      <w:bookmarkStart w:id="43" w:name="_Toc160359659"/>
      <w:bookmarkStart w:id="44" w:name="_Toc167254144"/>
      <w:bookmarkStart w:id="45" w:name="_Toc226433811"/>
      <w:bookmarkStart w:id="46" w:name="_Toc262026554"/>
      <w:bookmarkStart w:id="47" w:name="_Toc293496369"/>
      <w:bookmarkStart w:id="48" w:name="_Toc325101921"/>
      <w:bookmarkStart w:id="49" w:name="_Toc167254145"/>
      <w:bookmarkStart w:id="50" w:name="_Toc226433812"/>
      <w:bookmarkStart w:id="51" w:name="_Toc261947580"/>
      <w:bookmarkStart w:id="52" w:name="_Toc130004090"/>
      <w:bookmarkStart w:id="53" w:name="_Toc524936074"/>
      <w:bookmarkStart w:id="54" w:name="_Toc97362244"/>
      <w:bookmarkStart w:id="55" w:name="_Toc104093082"/>
      <w:bookmarkStart w:id="56" w:name="_Toc130004095"/>
      <w:bookmarkStart w:id="57" w:name="_Toc160359666"/>
      <w:bookmarkStart w:id="58" w:name="_Toc167254151"/>
      <w:bookmarkStart w:id="59" w:name="_Toc226433818"/>
      <w:bookmarkStart w:id="60" w:name="_Toc262026561"/>
      <w:bookmarkEnd w:id="35"/>
      <w:bookmarkEnd w:id="36"/>
      <w:bookmarkEnd w:id="37"/>
      <w:bookmarkEnd w:id="38"/>
      <w:r w:rsidRPr="00952906">
        <w:t xml:space="preserve">2.1. </w:t>
      </w:r>
      <w:r w:rsidR="00007150" w:rsidRPr="00952906">
        <w:t>Vispārējs fiskālās situācijas raksturojums</w:t>
      </w:r>
      <w:bookmarkEnd w:id="43"/>
      <w:bookmarkEnd w:id="44"/>
      <w:bookmarkEnd w:id="45"/>
      <w:bookmarkEnd w:id="46"/>
      <w:bookmarkEnd w:id="47"/>
      <w:bookmarkEnd w:id="48"/>
    </w:p>
    <w:p w:rsidR="00007150" w:rsidRPr="00850AE5" w:rsidRDefault="00007150" w:rsidP="00007150">
      <w:pPr>
        <w:spacing w:before="240"/>
        <w:ind w:firstLine="720"/>
        <w:rPr>
          <w:rFonts w:cs="Times New Roman"/>
        </w:rPr>
      </w:pPr>
      <w:r>
        <w:rPr>
          <w:rFonts w:cs="Times New Roman"/>
        </w:rPr>
        <w:t xml:space="preserve">Ņemot vērā </w:t>
      </w:r>
      <w:r w:rsidRPr="007C07F6">
        <w:rPr>
          <w:rFonts w:cs="Times New Roman"/>
        </w:rPr>
        <w:t xml:space="preserve">tautsaimniecības </w:t>
      </w:r>
      <w:r>
        <w:rPr>
          <w:rFonts w:cs="Times New Roman"/>
        </w:rPr>
        <w:t>attīstību</w:t>
      </w:r>
      <w:r w:rsidRPr="007C07F6">
        <w:rPr>
          <w:rFonts w:cs="Times New Roman"/>
        </w:rPr>
        <w:t xml:space="preserve"> </w:t>
      </w:r>
      <w:r>
        <w:rPr>
          <w:rFonts w:cs="Times New Roman"/>
        </w:rPr>
        <w:t>2012. gada</w:t>
      </w:r>
      <w:r w:rsidRPr="007C07F6">
        <w:rPr>
          <w:rFonts w:cs="Times New Roman"/>
        </w:rPr>
        <w:t xml:space="preserve"> pirmajā ceturksnī </w:t>
      </w:r>
      <w:r>
        <w:rPr>
          <w:rFonts w:cs="Times New Roman"/>
        </w:rPr>
        <w:t>kopbudžeta ieņēmumi turpināja pieaugt, kas nodrošināja būtisku budžeta deficīta samazināšanos salīdzinājumā ar pagājušo gadu. Salīdzinājumā ar 2011. </w:t>
      </w:r>
      <w:r w:rsidRPr="007C07F6">
        <w:rPr>
          <w:rFonts w:cs="Times New Roman"/>
        </w:rPr>
        <w:t xml:space="preserve">gada atbilstošo periodu pieauga gan nodokļu, gan nenodokļu ieņēmumi. </w:t>
      </w:r>
      <w:r w:rsidR="001143CC">
        <w:rPr>
          <w:rFonts w:cs="Times New Roman"/>
        </w:rPr>
        <w:t xml:space="preserve">Šāda attīstība ļauj izdarīt pieņēmumu, ka nospraustais valsts budžeta deficīta mērķis 2012.gadam  - 2.1% </w:t>
      </w:r>
      <w:r w:rsidR="00085E15">
        <w:rPr>
          <w:rFonts w:cs="Times New Roman"/>
        </w:rPr>
        <w:t xml:space="preserve">no IKP </w:t>
      </w:r>
      <w:r w:rsidR="001143CC">
        <w:rPr>
          <w:rFonts w:cs="Times New Roman"/>
        </w:rPr>
        <w:t>tiks ievērots.</w:t>
      </w:r>
    </w:p>
    <w:p w:rsidR="00007150" w:rsidRPr="00124296" w:rsidRDefault="00007150" w:rsidP="004F6F6E">
      <w:pPr>
        <w:spacing w:before="240"/>
        <w:ind w:firstLine="0"/>
        <w:jc w:val="right"/>
        <w:rPr>
          <w:rFonts w:cs="Times New Roman"/>
          <w:b/>
          <w:i/>
        </w:rPr>
      </w:pPr>
      <w:r w:rsidRPr="00124296">
        <w:rPr>
          <w:rFonts w:cs="Times New Roman"/>
          <w:b/>
          <w:i/>
        </w:rPr>
        <w:t>3. tabula. Konsolidētā kopbudžeta ieņēmumi un izdevumi</w:t>
      </w:r>
    </w:p>
    <w:tbl>
      <w:tblPr>
        <w:tblW w:w="8369" w:type="dxa"/>
        <w:tblInd w:w="103" w:type="dxa"/>
        <w:tblLook w:val="04A0" w:firstRow="1" w:lastRow="0" w:firstColumn="1" w:lastColumn="0" w:noHBand="0" w:noVBand="1"/>
      </w:tblPr>
      <w:tblGrid>
        <w:gridCol w:w="4258"/>
        <w:gridCol w:w="1417"/>
        <w:gridCol w:w="1276"/>
        <w:gridCol w:w="1418"/>
      </w:tblGrid>
      <w:tr w:rsidR="00007150" w:rsidRPr="00124296" w:rsidTr="007D0B65">
        <w:trPr>
          <w:trHeight w:val="469"/>
        </w:trPr>
        <w:tc>
          <w:tcPr>
            <w:tcW w:w="4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7150" w:rsidRPr="00124296" w:rsidRDefault="00007150" w:rsidP="007D0B65">
            <w:pPr>
              <w:spacing w:after="0"/>
              <w:ind w:firstLine="0"/>
              <w:jc w:val="center"/>
              <w:rPr>
                <w:rFonts w:eastAsia="Times New Roman" w:cs="Times New Roman"/>
                <w:sz w:val="20"/>
                <w:szCs w:val="20"/>
                <w:lang w:eastAsia="lv-LV"/>
              </w:rPr>
            </w:pPr>
            <w:r w:rsidRPr="00124296">
              <w:rPr>
                <w:rFonts w:eastAsia="Times New Roman" w:cs="Times New Roman"/>
                <w:sz w:val="20"/>
                <w:szCs w:val="20"/>
                <w:lang w:eastAsia="lv-LV"/>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07150" w:rsidRPr="00124296" w:rsidRDefault="00007150" w:rsidP="007D0B65">
            <w:pPr>
              <w:spacing w:after="0"/>
              <w:ind w:firstLine="0"/>
              <w:jc w:val="center"/>
              <w:rPr>
                <w:rFonts w:eastAsia="Times New Roman" w:cs="Times New Roman"/>
                <w:sz w:val="20"/>
                <w:szCs w:val="20"/>
                <w:lang w:eastAsia="lv-LV"/>
              </w:rPr>
            </w:pPr>
            <w:r w:rsidRPr="00124296">
              <w:rPr>
                <w:rFonts w:eastAsia="Times New Roman" w:cs="Times New Roman"/>
                <w:sz w:val="20"/>
                <w:szCs w:val="20"/>
                <w:lang w:eastAsia="lv-LV"/>
              </w:rPr>
              <w:t>2011.g.</w:t>
            </w:r>
          </w:p>
          <w:p w:rsidR="00007150" w:rsidRPr="00124296" w:rsidRDefault="00007150" w:rsidP="007D0B65">
            <w:pPr>
              <w:spacing w:after="0"/>
              <w:ind w:firstLine="0"/>
              <w:jc w:val="center"/>
              <w:rPr>
                <w:rFonts w:eastAsia="Times New Roman" w:cs="Times New Roman"/>
                <w:sz w:val="20"/>
                <w:szCs w:val="20"/>
                <w:lang w:eastAsia="lv-LV"/>
              </w:rPr>
            </w:pPr>
            <w:r w:rsidRPr="00124296">
              <w:rPr>
                <w:rFonts w:eastAsia="Times New Roman" w:cs="Times New Roman"/>
                <w:sz w:val="20"/>
                <w:szCs w:val="20"/>
                <w:lang w:eastAsia="lv-LV"/>
              </w:rPr>
              <w:t xml:space="preserve"> I-III izpilde, </w:t>
            </w:r>
            <w:proofErr w:type="spellStart"/>
            <w:r w:rsidRPr="00124296">
              <w:rPr>
                <w:rFonts w:eastAsia="Times New Roman" w:cs="Times New Roman"/>
                <w:sz w:val="20"/>
                <w:szCs w:val="20"/>
                <w:lang w:eastAsia="lv-LV"/>
              </w:rPr>
              <w:t>milj</w:t>
            </w:r>
            <w:proofErr w:type="spellEnd"/>
            <w:r w:rsidRPr="00124296">
              <w:rPr>
                <w:rFonts w:eastAsia="Times New Roman" w:cs="Times New Roman"/>
                <w:sz w:val="20"/>
                <w:szCs w:val="20"/>
                <w:lang w:eastAsia="lv-LV"/>
              </w:rPr>
              <w:t>. latu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07150" w:rsidRPr="00124296" w:rsidRDefault="00007150" w:rsidP="007D0B65">
            <w:pPr>
              <w:spacing w:after="0"/>
              <w:ind w:firstLine="0"/>
              <w:jc w:val="center"/>
              <w:rPr>
                <w:rFonts w:eastAsia="Times New Roman" w:cs="Times New Roman"/>
                <w:sz w:val="20"/>
                <w:szCs w:val="20"/>
                <w:lang w:eastAsia="lv-LV"/>
              </w:rPr>
            </w:pPr>
            <w:r w:rsidRPr="00124296">
              <w:rPr>
                <w:rFonts w:eastAsia="Times New Roman" w:cs="Times New Roman"/>
                <w:sz w:val="20"/>
                <w:szCs w:val="20"/>
                <w:lang w:eastAsia="lv-LV"/>
              </w:rPr>
              <w:t xml:space="preserve">2012.g.       I-III izpilde,     </w:t>
            </w:r>
            <w:proofErr w:type="spellStart"/>
            <w:r w:rsidRPr="00124296">
              <w:rPr>
                <w:rFonts w:eastAsia="Times New Roman" w:cs="Times New Roman"/>
                <w:sz w:val="20"/>
                <w:szCs w:val="20"/>
                <w:lang w:eastAsia="lv-LV"/>
              </w:rPr>
              <w:t>milj</w:t>
            </w:r>
            <w:proofErr w:type="spellEnd"/>
            <w:r w:rsidRPr="00124296">
              <w:rPr>
                <w:rFonts w:eastAsia="Times New Roman" w:cs="Times New Roman"/>
                <w:sz w:val="20"/>
                <w:szCs w:val="20"/>
                <w:lang w:eastAsia="lv-LV"/>
              </w:rPr>
              <w:t>. latu</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07150" w:rsidRPr="00124296" w:rsidRDefault="00007150" w:rsidP="007D0B65">
            <w:pPr>
              <w:spacing w:after="0"/>
              <w:ind w:firstLine="0"/>
              <w:jc w:val="center"/>
              <w:rPr>
                <w:rFonts w:eastAsia="Times New Roman" w:cs="Times New Roman"/>
                <w:sz w:val="20"/>
                <w:szCs w:val="20"/>
                <w:lang w:eastAsia="lv-LV"/>
              </w:rPr>
            </w:pPr>
            <w:r w:rsidRPr="00124296">
              <w:rPr>
                <w:rFonts w:eastAsia="Times New Roman" w:cs="Times New Roman"/>
                <w:sz w:val="20"/>
                <w:szCs w:val="20"/>
                <w:lang w:eastAsia="lv-LV"/>
              </w:rPr>
              <w:t>2012./2011.g. I-III izpildes izmaiņas, %</w:t>
            </w:r>
          </w:p>
        </w:tc>
      </w:tr>
      <w:tr w:rsidR="00007150" w:rsidRPr="00124296" w:rsidTr="007D0B65">
        <w:trPr>
          <w:trHeight w:val="50"/>
        </w:trPr>
        <w:tc>
          <w:tcPr>
            <w:tcW w:w="4258" w:type="dxa"/>
            <w:tcBorders>
              <w:top w:val="single" w:sz="4" w:space="0" w:color="auto"/>
              <w:left w:val="single" w:sz="4" w:space="0" w:color="auto"/>
              <w:bottom w:val="single" w:sz="4" w:space="0" w:color="auto"/>
            </w:tcBorders>
            <w:shd w:val="clear" w:color="auto" w:fill="auto"/>
            <w:vAlign w:val="bottom"/>
            <w:hideMark/>
          </w:tcPr>
          <w:p w:rsidR="00007150" w:rsidRPr="00124296" w:rsidRDefault="00007150" w:rsidP="007D0B65">
            <w:pPr>
              <w:spacing w:after="0"/>
              <w:ind w:firstLine="0"/>
              <w:jc w:val="left"/>
              <w:rPr>
                <w:rFonts w:eastAsia="Times New Roman" w:cs="Times New Roman"/>
                <w:b/>
                <w:bCs/>
                <w:color w:val="000000"/>
                <w:sz w:val="20"/>
                <w:szCs w:val="20"/>
                <w:lang w:eastAsia="lv-LV"/>
              </w:rPr>
            </w:pPr>
            <w:r w:rsidRPr="00124296">
              <w:rPr>
                <w:rFonts w:eastAsia="Times New Roman" w:cs="Times New Roman"/>
                <w:b/>
                <w:bCs/>
                <w:color w:val="000000"/>
                <w:sz w:val="20"/>
                <w:szCs w:val="20"/>
                <w:lang w:eastAsia="lv-LV"/>
              </w:rPr>
              <w:t>KONSOLIDĒTAIS KOPBUDŽETS</w:t>
            </w:r>
          </w:p>
        </w:tc>
        <w:tc>
          <w:tcPr>
            <w:tcW w:w="1417" w:type="dxa"/>
            <w:tcBorders>
              <w:top w:val="single" w:sz="4" w:space="0" w:color="auto"/>
              <w:bottom w:val="single" w:sz="4" w:space="0" w:color="auto"/>
            </w:tcBorders>
            <w:shd w:val="clear" w:color="auto" w:fill="auto"/>
            <w:vAlign w:val="bottom"/>
            <w:hideMark/>
          </w:tcPr>
          <w:p w:rsidR="00007150" w:rsidRPr="00124296" w:rsidRDefault="00007150" w:rsidP="007D0B65">
            <w:pPr>
              <w:spacing w:after="0"/>
              <w:ind w:firstLine="0"/>
              <w:jc w:val="left"/>
              <w:rPr>
                <w:rFonts w:eastAsia="Times New Roman" w:cs="Times New Roman"/>
                <w:b/>
                <w:bCs/>
                <w:color w:val="000000"/>
                <w:sz w:val="20"/>
                <w:szCs w:val="20"/>
                <w:lang w:eastAsia="lv-LV"/>
              </w:rPr>
            </w:pPr>
            <w:r w:rsidRPr="00124296">
              <w:rPr>
                <w:rFonts w:eastAsia="Times New Roman" w:cs="Times New Roman"/>
                <w:b/>
                <w:bCs/>
                <w:color w:val="000000"/>
                <w:sz w:val="20"/>
                <w:szCs w:val="20"/>
                <w:lang w:eastAsia="lv-LV"/>
              </w:rPr>
              <w:t> </w:t>
            </w:r>
          </w:p>
        </w:tc>
        <w:tc>
          <w:tcPr>
            <w:tcW w:w="1276" w:type="dxa"/>
            <w:tcBorders>
              <w:top w:val="single" w:sz="4" w:space="0" w:color="auto"/>
              <w:bottom w:val="single" w:sz="4" w:space="0" w:color="auto"/>
            </w:tcBorders>
            <w:shd w:val="clear" w:color="auto" w:fill="auto"/>
            <w:vAlign w:val="bottom"/>
            <w:hideMark/>
          </w:tcPr>
          <w:p w:rsidR="00007150" w:rsidRPr="00124296" w:rsidRDefault="00007150" w:rsidP="007D0B65">
            <w:pPr>
              <w:spacing w:after="0"/>
              <w:ind w:firstLine="0"/>
              <w:jc w:val="left"/>
              <w:rPr>
                <w:rFonts w:eastAsia="Times New Roman" w:cs="Times New Roman"/>
                <w:b/>
                <w:bCs/>
                <w:color w:val="000000"/>
                <w:sz w:val="20"/>
                <w:szCs w:val="20"/>
                <w:lang w:eastAsia="lv-LV"/>
              </w:rPr>
            </w:pPr>
            <w:r w:rsidRPr="00124296">
              <w:rPr>
                <w:rFonts w:eastAsia="Times New Roman" w:cs="Times New Roman"/>
                <w:b/>
                <w:bCs/>
                <w:color w:val="000000"/>
                <w:sz w:val="20"/>
                <w:szCs w:val="20"/>
                <w:lang w:eastAsia="lv-LV"/>
              </w:rPr>
              <w:t> </w:t>
            </w:r>
          </w:p>
        </w:tc>
        <w:tc>
          <w:tcPr>
            <w:tcW w:w="1418" w:type="dxa"/>
            <w:tcBorders>
              <w:top w:val="single" w:sz="4" w:space="0" w:color="auto"/>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left"/>
              <w:rPr>
                <w:rFonts w:eastAsia="Times New Roman" w:cs="Times New Roman"/>
                <w:b/>
                <w:bCs/>
                <w:color w:val="000000"/>
                <w:sz w:val="20"/>
                <w:szCs w:val="20"/>
                <w:lang w:eastAsia="lv-LV"/>
              </w:rPr>
            </w:pPr>
            <w:r w:rsidRPr="00124296">
              <w:rPr>
                <w:rFonts w:eastAsia="Times New Roman" w:cs="Times New Roman"/>
                <w:b/>
                <w:bCs/>
                <w:color w:val="000000"/>
                <w:sz w:val="20"/>
                <w:szCs w:val="20"/>
                <w:lang w:eastAsia="lv-LV"/>
              </w:rPr>
              <w:t> </w:t>
            </w:r>
          </w:p>
        </w:tc>
      </w:tr>
      <w:tr w:rsidR="00007150" w:rsidRPr="00124296" w:rsidTr="007D0B65">
        <w:trPr>
          <w:trHeight w:val="50"/>
        </w:trPr>
        <w:tc>
          <w:tcPr>
            <w:tcW w:w="425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left"/>
              <w:rPr>
                <w:rFonts w:eastAsia="Times New Roman" w:cs="Times New Roman"/>
                <w:sz w:val="20"/>
                <w:szCs w:val="20"/>
                <w:lang w:eastAsia="lv-LV"/>
              </w:rPr>
            </w:pPr>
            <w:r w:rsidRPr="00124296">
              <w:rPr>
                <w:rFonts w:eastAsia="Times New Roman" w:cs="Times New Roman"/>
                <w:sz w:val="20"/>
                <w:szCs w:val="20"/>
                <w:lang w:eastAsia="lv-LV"/>
              </w:rPr>
              <w:t>Ieņēmumi</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007150" w:rsidRPr="00124296" w:rsidRDefault="00007150" w:rsidP="007D0B65">
            <w:pPr>
              <w:spacing w:after="0"/>
              <w:ind w:firstLine="0"/>
              <w:jc w:val="right"/>
              <w:rPr>
                <w:rFonts w:eastAsia="Times New Roman" w:cs="Times New Roman"/>
                <w:sz w:val="20"/>
                <w:szCs w:val="20"/>
                <w:lang w:val="en-US"/>
              </w:rPr>
            </w:pPr>
            <w:r w:rsidRPr="00124296">
              <w:rPr>
                <w:rFonts w:eastAsia="Times New Roman" w:cs="Times New Roman"/>
                <w:sz w:val="20"/>
                <w:szCs w:val="20"/>
                <w:lang w:val="en-US"/>
              </w:rPr>
              <w:t>1 067,3</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right"/>
              <w:rPr>
                <w:rFonts w:eastAsia="Times New Roman" w:cs="Times New Roman"/>
                <w:sz w:val="20"/>
                <w:szCs w:val="20"/>
                <w:lang w:val="en-US"/>
              </w:rPr>
            </w:pPr>
            <w:r w:rsidRPr="00124296">
              <w:rPr>
                <w:rFonts w:eastAsia="Times New Roman" w:cs="Times New Roman"/>
                <w:sz w:val="20"/>
                <w:szCs w:val="20"/>
                <w:lang w:val="en-US"/>
              </w:rPr>
              <w:t>1 248,9</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right"/>
              <w:rPr>
                <w:rFonts w:eastAsia="Times New Roman" w:cs="Times New Roman"/>
                <w:sz w:val="20"/>
                <w:szCs w:val="20"/>
                <w:lang w:val="en-US"/>
              </w:rPr>
            </w:pPr>
            <w:r w:rsidRPr="00124296">
              <w:rPr>
                <w:rFonts w:eastAsia="Times New Roman" w:cs="Times New Roman"/>
                <w:sz w:val="20"/>
                <w:szCs w:val="20"/>
                <w:lang w:val="en-US"/>
              </w:rPr>
              <w:t>17,0%</w:t>
            </w:r>
          </w:p>
        </w:tc>
      </w:tr>
      <w:tr w:rsidR="00007150" w:rsidRPr="00124296" w:rsidTr="007D0B65">
        <w:trPr>
          <w:trHeight w:val="50"/>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left"/>
              <w:rPr>
                <w:rFonts w:eastAsia="Times New Roman" w:cs="Times New Roman"/>
                <w:sz w:val="20"/>
                <w:szCs w:val="20"/>
                <w:lang w:eastAsia="lv-LV"/>
              </w:rPr>
            </w:pPr>
            <w:r w:rsidRPr="00124296">
              <w:rPr>
                <w:rFonts w:eastAsia="Times New Roman" w:cs="Times New Roman"/>
                <w:sz w:val="20"/>
                <w:szCs w:val="20"/>
                <w:lang w:eastAsia="lv-LV"/>
              </w:rPr>
              <w:t>Izdevumi</w:t>
            </w:r>
          </w:p>
        </w:tc>
        <w:tc>
          <w:tcPr>
            <w:tcW w:w="1417" w:type="dxa"/>
            <w:tcBorders>
              <w:top w:val="nil"/>
              <w:left w:val="nil"/>
              <w:bottom w:val="single" w:sz="4" w:space="0" w:color="auto"/>
              <w:right w:val="single" w:sz="4" w:space="0" w:color="auto"/>
            </w:tcBorders>
            <w:shd w:val="clear" w:color="auto" w:fill="auto"/>
            <w:noWrap/>
            <w:vAlign w:val="bottom"/>
            <w:hideMark/>
          </w:tcPr>
          <w:p w:rsidR="00007150" w:rsidRPr="00124296" w:rsidRDefault="00007150" w:rsidP="007D0B65">
            <w:pPr>
              <w:spacing w:after="0"/>
              <w:ind w:firstLine="0"/>
              <w:jc w:val="right"/>
              <w:rPr>
                <w:rFonts w:eastAsia="Times New Roman" w:cs="Times New Roman"/>
                <w:sz w:val="20"/>
                <w:szCs w:val="20"/>
                <w:lang w:val="en-US"/>
              </w:rPr>
            </w:pPr>
            <w:r w:rsidRPr="00124296">
              <w:rPr>
                <w:rFonts w:eastAsia="Times New Roman" w:cs="Times New Roman"/>
                <w:sz w:val="20"/>
                <w:szCs w:val="20"/>
                <w:lang w:val="en-US"/>
              </w:rPr>
              <w:t>1 249,1</w:t>
            </w:r>
          </w:p>
        </w:tc>
        <w:tc>
          <w:tcPr>
            <w:tcW w:w="1276" w:type="dxa"/>
            <w:tcBorders>
              <w:top w:val="nil"/>
              <w:left w:val="nil"/>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right"/>
              <w:rPr>
                <w:rFonts w:eastAsia="Times New Roman" w:cs="Times New Roman"/>
                <w:sz w:val="20"/>
                <w:szCs w:val="20"/>
                <w:lang w:val="en-US"/>
              </w:rPr>
            </w:pPr>
            <w:r w:rsidRPr="00124296">
              <w:rPr>
                <w:rFonts w:eastAsia="Times New Roman" w:cs="Times New Roman"/>
                <w:sz w:val="20"/>
                <w:szCs w:val="20"/>
                <w:lang w:val="en-US"/>
              </w:rPr>
              <w:t>1 292,8</w:t>
            </w:r>
          </w:p>
        </w:tc>
        <w:tc>
          <w:tcPr>
            <w:tcW w:w="1418" w:type="dxa"/>
            <w:tcBorders>
              <w:top w:val="nil"/>
              <w:left w:val="nil"/>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right"/>
              <w:rPr>
                <w:rFonts w:eastAsia="Times New Roman" w:cs="Times New Roman"/>
                <w:sz w:val="20"/>
                <w:szCs w:val="20"/>
                <w:lang w:val="en-US"/>
              </w:rPr>
            </w:pPr>
            <w:r w:rsidRPr="00124296">
              <w:rPr>
                <w:rFonts w:eastAsia="Times New Roman" w:cs="Times New Roman"/>
                <w:sz w:val="20"/>
                <w:szCs w:val="20"/>
                <w:lang w:val="en-US"/>
              </w:rPr>
              <w:t>3,5%</w:t>
            </w:r>
          </w:p>
        </w:tc>
      </w:tr>
      <w:tr w:rsidR="00007150" w:rsidRPr="00124296" w:rsidTr="007D0B65">
        <w:trPr>
          <w:trHeight w:val="50"/>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left"/>
              <w:rPr>
                <w:rFonts w:eastAsia="Times New Roman" w:cs="Times New Roman"/>
                <w:i/>
                <w:iCs/>
                <w:sz w:val="20"/>
                <w:szCs w:val="20"/>
                <w:lang w:eastAsia="lv-LV"/>
              </w:rPr>
            </w:pPr>
            <w:r w:rsidRPr="00124296">
              <w:rPr>
                <w:rFonts w:eastAsia="Times New Roman" w:cs="Times New Roman"/>
                <w:i/>
                <w:iCs/>
                <w:sz w:val="20"/>
                <w:szCs w:val="20"/>
                <w:lang w:eastAsia="lv-LV"/>
              </w:rPr>
              <w:t>Finansiālā bilance</w:t>
            </w:r>
          </w:p>
        </w:tc>
        <w:tc>
          <w:tcPr>
            <w:tcW w:w="1417" w:type="dxa"/>
            <w:tcBorders>
              <w:top w:val="nil"/>
              <w:left w:val="nil"/>
              <w:bottom w:val="single" w:sz="4" w:space="0" w:color="auto"/>
              <w:right w:val="single" w:sz="4" w:space="0" w:color="auto"/>
            </w:tcBorders>
            <w:shd w:val="clear" w:color="auto" w:fill="auto"/>
            <w:noWrap/>
            <w:vAlign w:val="bottom"/>
            <w:hideMark/>
          </w:tcPr>
          <w:p w:rsidR="00007150" w:rsidRPr="00124296" w:rsidRDefault="00007150" w:rsidP="007D0B65">
            <w:pPr>
              <w:spacing w:after="0"/>
              <w:ind w:firstLine="0"/>
              <w:jc w:val="right"/>
              <w:rPr>
                <w:rFonts w:eastAsia="Times New Roman" w:cs="Times New Roman"/>
                <w:b/>
                <w:bCs/>
                <w:i/>
                <w:iCs/>
                <w:sz w:val="20"/>
                <w:szCs w:val="20"/>
                <w:lang w:val="en-US"/>
              </w:rPr>
            </w:pPr>
            <w:r w:rsidRPr="00124296">
              <w:rPr>
                <w:rFonts w:eastAsia="Times New Roman" w:cs="Times New Roman"/>
                <w:b/>
                <w:bCs/>
                <w:i/>
                <w:iCs/>
                <w:sz w:val="20"/>
                <w:szCs w:val="20"/>
                <w:lang w:val="en-US"/>
              </w:rPr>
              <w:t>-181,8</w:t>
            </w:r>
          </w:p>
        </w:tc>
        <w:tc>
          <w:tcPr>
            <w:tcW w:w="1276" w:type="dxa"/>
            <w:tcBorders>
              <w:top w:val="nil"/>
              <w:left w:val="nil"/>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right"/>
              <w:rPr>
                <w:rFonts w:eastAsia="Times New Roman" w:cs="Times New Roman"/>
                <w:b/>
                <w:bCs/>
                <w:i/>
                <w:iCs/>
                <w:sz w:val="20"/>
                <w:szCs w:val="20"/>
                <w:lang w:val="en-US"/>
              </w:rPr>
            </w:pPr>
            <w:r w:rsidRPr="00124296">
              <w:rPr>
                <w:rFonts w:eastAsia="Times New Roman" w:cs="Times New Roman"/>
                <w:b/>
                <w:bCs/>
                <w:i/>
                <w:iCs/>
                <w:sz w:val="20"/>
                <w:szCs w:val="20"/>
                <w:lang w:val="en-US"/>
              </w:rPr>
              <w:t>-43,9</w:t>
            </w:r>
          </w:p>
        </w:tc>
        <w:tc>
          <w:tcPr>
            <w:tcW w:w="1418" w:type="dxa"/>
            <w:tcBorders>
              <w:top w:val="nil"/>
              <w:left w:val="nil"/>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left"/>
              <w:rPr>
                <w:rFonts w:eastAsia="Times New Roman" w:cs="Times New Roman"/>
                <w:sz w:val="20"/>
                <w:szCs w:val="20"/>
                <w:lang w:val="en-US"/>
              </w:rPr>
            </w:pPr>
            <w:r w:rsidRPr="00124296">
              <w:rPr>
                <w:rFonts w:eastAsia="Times New Roman" w:cs="Times New Roman"/>
                <w:sz w:val="20"/>
                <w:szCs w:val="20"/>
                <w:lang w:val="en-US"/>
              </w:rPr>
              <w:t> </w:t>
            </w:r>
          </w:p>
        </w:tc>
      </w:tr>
      <w:tr w:rsidR="00007150" w:rsidRPr="00124296" w:rsidTr="007D0B65">
        <w:trPr>
          <w:trHeight w:val="50"/>
        </w:trPr>
        <w:tc>
          <w:tcPr>
            <w:tcW w:w="4258" w:type="dxa"/>
            <w:tcBorders>
              <w:top w:val="single" w:sz="4" w:space="0" w:color="auto"/>
              <w:left w:val="single" w:sz="4" w:space="0" w:color="auto"/>
              <w:bottom w:val="single" w:sz="4" w:space="0" w:color="auto"/>
              <w:right w:val="nil"/>
            </w:tcBorders>
            <w:shd w:val="clear" w:color="auto" w:fill="auto"/>
            <w:vAlign w:val="bottom"/>
            <w:hideMark/>
          </w:tcPr>
          <w:p w:rsidR="00007150" w:rsidRPr="00124296" w:rsidRDefault="00007150" w:rsidP="007D0B65">
            <w:pPr>
              <w:spacing w:after="0"/>
              <w:ind w:firstLine="0"/>
              <w:jc w:val="left"/>
              <w:rPr>
                <w:rFonts w:eastAsia="Times New Roman" w:cs="Times New Roman"/>
                <w:b/>
                <w:bCs/>
                <w:sz w:val="20"/>
                <w:szCs w:val="20"/>
                <w:lang w:eastAsia="lv-LV"/>
              </w:rPr>
            </w:pPr>
            <w:r w:rsidRPr="00124296">
              <w:rPr>
                <w:rFonts w:eastAsia="Times New Roman" w:cs="Times New Roman"/>
                <w:b/>
                <w:bCs/>
                <w:sz w:val="20"/>
                <w:szCs w:val="20"/>
                <w:lang w:eastAsia="lv-LV"/>
              </w:rPr>
              <w:t>VALSTS KONSOLIDĒTAIS BUDŽETS</w:t>
            </w:r>
            <w:r w:rsidRPr="00124296">
              <w:rPr>
                <w:rFonts w:eastAsia="Times New Roman" w:cs="Times New Roman"/>
                <w:b/>
                <w:bCs/>
                <w:sz w:val="20"/>
                <w:szCs w:val="20"/>
                <w:vertAlign w:val="superscript"/>
                <w:lang w:eastAsia="lv-LV"/>
              </w:rPr>
              <w:footnoteReference w:id="5"/>
            </w:r>
          </w:p>
        </w:tc>
        <w:tc>
          <w:tcPr>
            <w:tcW w:w="1417" w:type="dxa"/>
            <w:tcBorders>
              <w:top w:val="single" w:sz="4" w:space="0" w:color="auto"/>
              <w:left w:val="nil"/>
              <w:bottom w:val="single" w:sz="4" w:space="0" w:color="auto"/>
              <w:right w:val="nil"/>
            </w:tcBorders>
            <w:shd w:val="clear" w:color="auto" w:fill="auto"/>
            <w:hideMark/>
          </w:tcPr>
          <w:p w:rsidR="00007150" w:rsidRPr="00124296" w:rsidRDefault="00007150" w:rsidP="007D0B65">
            <w:pPr>
              <w:spacing w:after="0"/>
              <w:ind w:firstLine="0"/>
              <w:jc w:val="right"/>
              <w:rPr>
                <w:rFonts w:eastAsia="Times New Roman" w:cs="Times New Roman"/>
                <w:sz w:val="20"/>
                <w:szCs w:val="20"/>
                <w:lang w:val="en-US"/>
              </w:rPr>
            </w:pPr>
          </w:p>
        </w:tc>
        <w:tc>
          <w:tcPr>
            <w:tcW w:w="1276" w:type="dxa"/>
            <w:tcBorders>
              <w:top w:val="single" w:sz="4" w:space="0" w:color="auto"/>
              <w:left w:val="nil"/>
              <w:bottom w:val="single" w:sz="4" w:space="0" w:color="auto"/>
              <w:right w:val="nil"/>
            </w:tcBorders>
            <w:shd w:val="clear" w:color="auto" w:fill="auto"/>
            <w:hideMark/>
          </w:tcPr>
          <w:p w:rsidR="00007150" w:rsidRPr="00124296" w:rsidRDefault="00007150" w:rsidP="007D0B65">
            <w:pPr>
              <w:spacing w:after="0"/>
              <w:ind w:firstLine="0"/>
              <w:jc w:val="right"/>
              <w:rPr>
                <w:rFonts w:eastAsia="Times New Roman" w:cs="Times New Roman"/>
                <w:sz w:val="20"/>
                <w:szCs w:val="20"/>
                <w:lang w:val="en-US"/>
              </w:rPr>
            </w:pPr>
          </w:p>
        </w:tc>
        <w:tc>
          <w:tcPr>
            <w:tcW w:w="1418" w:type="dxa"/>
            <w:tcBorders>
              <w:top w:val="single" w:sz="4" w:space="0" w:color="auto"/>
              <w:left w:val="nil"/>
              <w:bottom w:val="single" w:sz="4" w:space="0" w:color="auto"/>
              <w:right w:val="single" w:sz="4" w:space="0" w:color="auto"/>
            </w:tcBorders>
            <w:shd w:val="clear" w:color="auto" w:fill="auto"/>
            <w:hideMark/>
          </w:tcPr>
          <w:p w:rsidR="00007150" w:rsidRPr="00124296" w:rsidRDefault="00007150" w:rsidP="007D0B65">
            <w:pPr>
              <w:spacing w:after="0"/>
              <w:ind w:firstLine="0"/>
              <w:jc w:val="right"/>
              <w:rPr>
                <w:rFonts w:eastAsia="Times New Roman" w:cs="Times New Roman"/>
                <w:sz w:val="20"/>
                <w:szCs w:val="20"/>
                <w:lang w:val="en-US"/>
              </w:rPr>
            </w:pPr>
          </w:p>
        </w:tc>
      </w:tr>
      <w:tr w:rsidR="00007150" w:rsidRPr="00124296" w:rsidTr="007D0B65">
        <w:trPr>
          <w:trHeight w:val="50"/>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left"/>
              <w:rPr>
                <w:rFonts w:eastAsia="Times New Roman" w:cs="Times New Roman"/>
                <w:sz w:val="20"/>
                <w:szCs w:val="20"/>
                <w:lang w:eastAsia="lv-LV"/>
              </w:rPr>
            </w:pPr>
            <w:r w:rsidRPr="00124296">
              <w:rPr>
                <w:rFonts w:eastAsia="Times New Roman" w:cs="Times New Roman"/>
                <w:sz w:val="20"/>
                <w:szCs w:val="20"/>
                <w:lang w:eastAsia="lv-LV"/>
              </w:rPr>
              <w:t>Ieņēmumi</w:t>
            </w:r>
          </w:p>
        </w:tc>
        <w:tc>
          <w:tcPr>
            <w:tcW w:w="1417" w:type="dxa"/>
            <w:tcBorders>
              <w:top w:val="nil"/>
              <w:left w:val="nil"/>
              <w:bottom w:val="single" w:sz="4" w:space="0" w:color="auto"/>
              <w:right w:val="single" w:sz="4" w:space="0" w:color="auto"/>
            </w:tcBorders>
            <w:shd w:val="clear" w:color="auto" w:fill="auto"/>
            <w:noWrap/>
            <w:vAlign w:val="bottom"/>
            <w:hideMark/>
          </w:tcPr>
          <w:p w:rsidR="00007150" w:rsidRPr="00124296" w:rsidRDefault="00007150" w:rsidP="007D0B65">
            <w:pPr>
              <w:spacing w:after="0"/>
              <w:ind w:firstLine="0"/>
              <w:jc w:val="right"/>
              <w:rPr>
                <w:rFonts w:eastAsia="Times New Roman" w:cs="Times New Roman"/>
                <w:sz w:val="20"/>
                <w:szCs w:val="20"/>
                <w:lang w:val="en-US"/>
              </w:rPr>
            </w:pPr>
            <w:r w:rsidRPr="00124296">
              <w:rPr>
                <w:rFonts w:eastAsia="Times New Roman" w:cs="Times New Roman"/>
                <w:sz w:val="20"/>
                <w:szCs w:val="20"/>
                <w:lang w:val="en-US"/>
              </w:rPr>
              <w:t>853,8</w:t>
            </w:r>
          </w:p>
        </w:tc>
        <w:tc>
          <w:tcPr>
            <w:tcW w:w="1276" w:type="dxa"/>
            <w:tcBorders>
              <w:top w:val="nil"/>
              <w:left w:val="nil"/>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right"/>
              <w:rPr>
                <w:rFonts w:eastAsia="Times New Roman" w:cs="Times New Roman"/>
                <w:sz w:val="20"/>
                <w:szCs w:val="20"/>
                <w:lang w:val="en-US"/>
              </w:rPr>
            </w:pPr>
            <w:r w:rsidRPr="00124296">
              <w:rPr>
                <w:rFonts w:eastAsia="Times New Roman" w:cs="Times New Roman"/>
                <w:sz w:val="20"/>
                <w:szCs w:val="20"/>
                <w:lang w:val="en-US"/>
              </w:rPr>
              <w:t>1 016,5</w:t>
            </w:r>
          </w:p>
        </w:tc>
        <w:tc>
          <w:tcPr>
            <w:tcW w:w="1418" w:type="dxa"/>
            <w:tcBorders>
              <w:top w:val="nil"/>
              <w:left w:val="nil"/>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right"/>
              <w:rPr>
                <w:rFonts w:eastAsia="Times New Roman" w:cs="Times New Roman"/>
                <w:sz w:val="20"/>
                <w:szCs w:val="20"/>
                <w:lang w:val="en-US"/>
              </w:rPr>
            </w:pPr>
            <w:r w:rsidRPr="00124296">
              <w:rPr>
                <w:rFonts w:eastAsia="Times New Roman" w:cs="Times New Roman"/>
                <w:sz w:val="20"/>
                <w:szCs w:val="20"/>
                <w:lang w:val="en-US"/>
              </w:rPr>
              <w:t>19,1%</w:t>
            </w:r>
          </w:p>
        </w:tc>
      </w:tr>
      <w:tr w:rsidR="00007150" w:rsidRPr="00124296" w:rsidTr="007D0B65">
        <w:trPr>
          <w:trHeight w:val="50"/>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left"/>
              <w:rPr>
                <w:rFonts w:eastAsia="Times New Roman" w:cs="Times New Roman"/>
                <w:sz w:val="20"/>
                <w:szCs w:val="20"/>
                <w:lang w:eastAsia="lv-LV"/>
              </w:rPr>
            </w:pPr>
            <w:r w:rsidRPr="00124296">
              <w:rPr>
                <w:rFonts w:eastAsia="Times New Roman" w:cs="Times New Roman"/>
                <w:sz w:val="20"/>
                <w:szCs w:val="20"/>
                <w:lang w:eastAsia="lv-LV"/>
              </w:rPr>
              <w:t>Izdevumi</w:t>
            </w:r>
          </w:p>
        </w:tc>
        <w:tc>
          <w:tcPr>
            <w:tcW w:w="1417" w:type="dxa"/>
            <w:tcBorders>
              <w:top w:val="nil"/>
              <w:left w:val="nil"/>
              <w:bottom w:val="single" w:sz="4" w:space="0" w:color="auto"/>
              <w:right w:val="single" w:sz="4" w:space="0" w:color="auto"/>
            </w:tcBorders>
            <w:shd w:val="clear" w:color="auto" w:fill="auto"/>
            <w:noWrap/>
            <w:vAlign w:val="bottom"/>
            <w:hideMark/>
          </w:tcPr>
          <w:p w:rsidR="00007150" w:rsidRPr="00124296" w:rsidRDefault="00007150" w:rsidP="007D0B65">
            <w:pPr>
              <w:spacing w:after="0"/>
              <w:ind w:firstLine="0"/>
              <w:jc w:val="right"/>
              <w:rPr>
                <w:rFonts w:eastAsia="Times New Roman" w:cs="Times New Roman"/>
                <w:sz w:val="20"/>
                <w:szCs w:val="20"/>
                <w:lang w:val="en-US"/>
              </w:rPr>
            </w:pPr>
            <w:r w:rsidRPr="00124296">
              <w:rPr>
                <w:rFonts w:eastAsia="Times New Roman" w:cs="Times New Roman"/>
                <w:sz w:val="20"/>
                <w:szCs w:val="20"/>
                <w:lang w:val="en-US"/>
              </w:rPr>
              <w:t>1 084,0</w:t>
            </w:r>
          </w:p>
        </w:tc>
        <w:tc>
          <w:tcPr>
            <w:tcW w:w="1276" w:type="dxa"/>
            <w:tcBorders>
              <w:top w:val="nil"/>
              <w:left w:val="nil"/>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right"/>
              <w:rPr>
                <w:rFonts w:eastAsia="Times New Roman" w:cs="Times New Roman"/>
                <w:sz w:val="20"/>
                <w:szCs w:val="20"/>
                <w:lang w:val="en-US"/>
              </w:rPr>
            </w:pPr>
            <w:r w:rsidRPr="00124296">
              <w:rPr>
                <w:rFonts w:eastAsia="Times New Roman" w:cs="Times New Roman"/>
                <w:sz w:val="20"/>
                <w:szCs w:val="20"/>
                <w:lang w:val="en-US"/>
              </w:rPr>
              <w:t>1 125,1</w:t>
            </w:r>
          </w:p>
        </w:tc>
        <w:tc>
          <w:tcPr>
            <w:tcW w:w="1418" w:type="dxa"/>
            <w:tcBorders>
              <w:top w:val="nil"/>
              <w:left w:val="nil"/>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right"/>
              <w:rPr>
                <w:rFonts w:eastAsia="Times New Roman" w:cs="Times New Roman"/>
                <w:sz w:val="20"/>
                <w:szCs w:val="20"/>
                <w:lang w:val="en-US"/>
              </w:rPr>
            </w:pPr>
            <w:r w:rsidRPr="00124296">
              <w:rPr>
                <w:rFonts w:eastAsia="Times New Roman" w:cs="Times New Roman"/>
                <w:sz w:val="20"/>
                <w:szCs w:val="20"/>
                <w:lang w:val="en-US"/>
              </w:rPr>
              <w:t>3,8%</w:t>
            </w:r>
          </w:p>
        </w:tc>
      </w:tr>
      <w:tr w:rsidR="00007150" w:rsidRPr="00124296" w:rsidTr="007D0B65">
        <w:trPr>
          <w:trHeight w:val="50"/>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left"/>
              <w:rPr>
                <w:rFonts w:eastAsia="Times New Roman" w:cs="Times New Roman"/>
                <w:i/>
                <w:iCs/>
                <w:sz w:val="20"/>
                <w:szCs w:val="20"/>
                <w:lang w:eastAsia="lv-LV"/>
              </w:rPr>
            </w:pPr>
            <w:r w:rsidRPr="00124296">
              <w:rPr>
                <w:rFonts w:eastAsia="Times New Roman" w:cs="Times New Roman"/>
                <w:i/>
                <w:iCs/>
                <w:sz w:val="20"/>
                <w:szCs w:val="20"/>
                <w:lang w:eastAsia="lv-LV"/>
              </w:rPr>
              <w:t>Finansiālā bilance</w:t>
            </w:r>
          </w:p>
        </w:tc>
        <w:tc>
          <w:tcPr>
            <w:tcW w:w="1417" w:type="dxa"/>
            <w:tcBorders>
              <w:top w:val="nil"/>
              <w:left w:val="nil"/>
              <w:bottom w:val="single" w:sz="4" w:space="0" w:color="auto"/>
              <w:right w:val="single" w:sz="4" w:space="0" w:color="auto"/>
            </w:tcBorders>
            <w:shd w:val="clear" w:color="auto" w:fill="auto"/>
            <w:noWrap/>
            <w:vAlign w:val="bottom"/>
            <w:hideMark/>
          </w:tcPr>
          <w:p w:rsidR="00007150" w:rsidRPr="00124296" w:rsidRDefault="00007150" w:rsidP="007D0B65">
            <w:pPr>
              <w:spacing w:after="0"/>
              <w:ind w:firstLine="0"/>
              <w:jc w:val="right"/>
              <w:rPr>
                <w:rFonts w:eastAsia="Times New Roman" w:cs="Times New Roman"/>
                <w:b/>
                <w:bCs/>
                <w:i/>
                <w:iCs/>
                <w:sz w:val="20"/>
                <w:szCs w:val="20"/>
                <w:lang w:val="en-US"/>
              </w:rPr>
            </w:pPr>
            <w:r w:rsidRPr="00124296">
              <w:rPr>
                <w:rFonts w:eastAsia="Times New Roman" w:cs="Times New Roman"/>
                <w:b/>
                <w:bCs/>
                <w:i/>
                <w:iCs/>
                <w:sz w:val="20"/>
                <w:szCs w:val="20"/>
                <w:lang w:val="en-US"/>
              </w:rPr>
              <w:t>-230,3</w:t>
            </w:r>
          </w:p>
        </w:tc>
        <w:tc>
          <w:tcPr>
            <w:tcW w:w="1276" w:type="dxa"/>
            <w:tcBorders>
              <w:top w:val="nil"/>
              <w:left w:val="nil"/>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right"/>
              <w:rPr>
                <w:rFonts w:eastAsia="Times New Roman" w:cs="Times New Roman"/>
                <w:b/>
                <w:bCs/>
                <w:i/>
                <w:iCs/>
                <w:sz w:val="20"/>
                <w:szCs w:val="20"/>
                <w:lang w:val="en-US"/>
              </w:rPr>
            </w:pPr>
            <w:r w:rsidRPr="00124296">
              <w:rPr>
                <w:rFonts w:eastAsia="Times New Roman" w:cs="Times New Roman"/>
                <w:b/>
                <w:bCs/>
                <w:i/>
                <w:iCs/>
                <w:sz w:val="20"/>
                <w:szCs w:val="20"/>
                <w:lang w:val="en-US"/>
              </w:rPr>
              <w:t>-108,6</w:t>
            </w:r>
          </w:p>
        </w:tc>
        <w:tc>
          <w:tcPr>
            <w:tcW w:w="1418" w:type="dxa"/>
            <w:tcBorders>
              <w:top w:val="nil"/>
              <w:left w:val="nil"/>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left"/>
              <w:rPr>
                <w:rFonts w:eastAsia="Times New Roman" w:cs="Times New Roman"/>
                <w:sz w:val="20"/>
                <w:szCs w:val="20"/>
                <w:lang w:val="en-US"/>
              </w:rPr>
            </w:pPr>
            <w:r w:rsidRPr="00124296">
              <w:rPr>
                <w:rFonts w:eastAsia="Times New Roman" w:cs="Times New Roman"/>
                <w:sz w:val="20"/>
                <w:szCs w:val="20"/>
                <w:lang w:val="en-US"/>
              </w:rPr>
              <w:t> </w:t>
            </w:r>
          </w:p>
        </w:tc>
      </w:tr>
      <w:tr w:rsidR="00007150" w:rsidRPr="00124296" w:rsidTr="007D0B65">
        <w:trPr>
          <w:trHeight w:val="50"/>
        </w:trPr>
        <w:tc>
          <w:tcPr>
            <w:tcW w:w="4258" w:type="dxa"/>
            <w:tcBorders>
              <w:top w:val="single" w:sz="4" w:space="0" w:color="auto"/>
              <w:left w:val="single" w:sz="4" w:space="0" w:color="auto"/>
              <w:bottom w:val="single" w:sz="4" w:space="0" w:color="auto"/>
              <w:right w:val="nil"/>
            </w:tcBorders>
            <w:shd w:val="clear" w:color="auto" w:fill="auto"/>
            <w:vAlign w:val="bottom"/>
            <w:hideMark/>
          </w:tcPr>
          <w:p w:rsidR="00007150" w:rsidRPr="00124296" w:rsidRDefault="00007150" w:rsidP="007D0B65">
            <w:pPr>
              <w:spacing w:after="0"/>
              <w:ind w:firstLineChars="200" w:firstLine="402"/>
              <w:jc w:val="left"/>
              <w:rPr>
                <w:rFonts w:eastAsia="Times New Roman" w:cs="Times New Roman"/>
                <w:b/>
                <w:bCs/>
                <w:sz w:val="20"/>
                <w:szCs w:val="20"/>
                <w:lang w:eastAsia="lv-LV"/>
              </w:rPr>
            </w:pPr>
            <w:r w:rsidRPr="00124296">
              <w:rPr>
                <w:rFonts w:eastAsia="Times New Roman" w:cs="Times New Roman"/>
                <w:b/>
                <w:bCs/>
                <w:sz w:val="20"/>
                <w:szCs w:val="20"/>
                <w:lang w:eastAsia="lv-LV"/>
              </w:rPr>
              <w:t>Valsts pamatbudžets</w:t>
            </w:r>
          </w:p>
        </w:tc>
        <w:tc>
          <w:tcPr>
            <w:tcW w:w="1417" w:type="dxa"/>
            <w:tcBorders>
              <w:top w:val="single" w:sz="4" w:space="0" w:color="auto"/>
              <w:left w:val="nil"/>
              <w:bottom w:val="single" w:sz="4" w:space="0" w:color="auto"/>
              <w:right w:val="nil"/>
            </w:tcBorders>
            <w:shd w:val="clear" w:color="auto" w:fill="auto"/>
            <w:hideMark/>
          </w:tcPr>
          <w:p w:rsidR="00007150" w:rsidRPr="00124296" w:rsidRDefault="00007150" w:rsidP="007D0B65">
            <w:pPr>
              <w:spacing w:after="0"/>
              <w:ind w:firstLine="0"/>
              <w:jc w:val="right"/>
              <w:rPr>
                <w:rFonts w:eastAsia="Times New Roman" w:cs="Times New Roman"/>
                <w:sz w:val="20"/>
                <w:szCs w:val="20"/>
                <w:lang w:val="en-US"/>
              </w:rPr>
            </w:pPr>
          </w:p>
        </w:tc>
        <w:tc>
          <w:tcPr>
            <w:tcW w:w="1276" w:type="dxa"/>
            <w:tcBorders>
              <w:top w:val="single" w:sz="4" w:space="0" w:color="auto"/>
              <w:left w:val="nil"/>
              <w:bottom w:val="single" w:sz="4" w:space="0" w:color="auto"/>
              <w:right w:val="nil"/>
            </w:tcBorders>
            <w:shd w:val="clear" w:color="auto" w:fill="auto"/>
            <w:hideMark/>
          </w:tcPr>
          <w:p w:rsidR="00007150" w:rsidRPr="00124296" w:rsidRDefault="00007150" w:rsidP="007D0B65">
            <w:pPr>
              <w:spacing w:after="0"/>
              <w:ind w:firstLine="0"/>
              <w:jc w:val="right"/>
              <w:rPr>
                <w:rFonts w:eastAsia="Times New Roman" w:cs="Times New Roman"/>
                <w:sz w:val="20"/>
                <w:szCs w:val="20"/>
                <w:lang w:val="en-US"/>
              </w:rPr>
            </w:pPr>
          </w:p>
        </w:tc>
        <w:tc>
          <w:tcPr>
            <w:tcW w:w="1418" w:type="dxa"/>
            <w:tcBorders>
              <w:top w:val="single" w:sz="4" w:space="0" w:color="auto"/>
              <w:left w:val="nil"/>
              <w:bottom w:val="single" w:sz="4" w:space="0" w:color="auto"/>
              <w:right w:val="single" w:sz="4" w:space="0" w:color="auto"/>
            </w:tcBorders>
            <w:shd w:val="clear" w:color="auto" w:fill="auto"/>
            <w:hideMark/>
          </w:tcPr>
          <w:p w:rsidR="00007150" w:rsidRPr="00124296" w:rsidRDefault="00007150" w:rsidP="007D0B65">
            <w:pPr>
              <w:spacing w:after="0"/>
              <w:ind w:firstLine="0"/>
              <w:jc w:val="right"/>
              <w:rPr>
                <w:rFonts w:eastAsia="Times New Roman" w:cs="Times New Roman"/>
                <w:sz w:val="20"/>
                <w:szCs w:val="20"/>
                <w:lang w:val="en-US"/>
              </w:rPr>
            </w:pPr>
          </w:p>
        </w:tc>
      </w:tr>
      <w:tr w:rsidR="00007150" w:rsidRPr="00124296" w:rsidTr="007D0B65">
        <w:trPr>
          <w:trHeight w:val="50"/>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left"/>
              <w:rPr>
                <w:rFonts w:eastAsia="Times New Roman" w:cs="Times New Roman"/>
                <w:sz w:val="20"/>
                <w:szCs w:val="20"/>
                <w:lang w:eastAsia="lv-LV"/>
              </w:rPr>
            </w:pPr>
            <w:r w:rsidRPr="00124296">
              <w:rPr>
                <w:rFonts w:eastAsia="Times New Roman" w:cs="Times New Roman"/>
                <w:sz w:val="20"/>
                <w:szCs w:val="20"/>
                <w:lang w:eastAsia="lv-LV"/>
              </w:rPr>
              <w:t>Ieņēmumi</w:t>
            </w:r>
          </w:p>
        </w:tc>
        <w:tc>
          <w:tcPr>
            <w:tcW w:w="1417" w:type="dxa"/>
            <w:tcBorders>
              <w:top w:val="nil"/>
              <w:left w:val="nil"/>
              <w:bottom w:val="single" w:sz="4" w:space="0" w:color="auto"/>
              <w:right w:val="single" w:sz="4" w:space="0" w:color="auto"/>
            </w:tcBorders>
            <w:shd w:val="clear" w:color="auto" w:fill="auto"/>
            <w:noWrap/>
            <w:vAlign w:val="bottom"/>
            <w:hideMark/>
          </w:tcPr>
          <w:p w:rsidR="00007150" w:rsidRPr="00124296" w:rsidRDefault="00007150" w:rsidP="007D0B65">
            <w:pPr>
              <w:spacing w:after="0"/>
              <w:ind w:firstLine="0"/>
              <w:jc w:val="right"/>
              <w:rPr>
                <w:rFonts w:eastAsia="Times New Roman" w:cs="Times New Roman"/>
                <w:sz w:val="20"/>
                <w:szCs w:val="20"/>
                <w:lang w:val="en-US"/>
              </w:rPr>
            </w:pPr>
            <w:r w:rsidRPr="00124296">
              <w:rPr>
                <w:rFonts w:eastAsia="Times New Roman" w:cs="Times New Roman"/>
                <w:sz w:val="20"/>
                <w:szCs w:val="20"/>
                <w:lang w:val="en-US"/>
              </w:rPr>
              <w:t>555,9</w:t>
            </w:r>
          </w:p>
        </w:tc>
        <w:tc>
          <w:tcPr>
            <w:tcW w:w="1276" w:type="dxa"/>
            <w:tcBorders>
              <w:top w:val="nil"/>
              <w:left w:val="nil"/>
              <w:bottom w:val="single" w:sz="4" w:space="0" w:color="auto"/>
              <w:right w:val="single" w:sz="4" w:space="0" w:color="auto"/>
            </w:tcBorders>
            <w:shd w:val="clear" w:color="auto" w:fill="auto"/>
            <w:noWrap/>
            <w:vAlign w:val="bottom"/>
            <w:hideMark/>
          </w:tcPr>
          <w:p w:rsidR="00007150" w:rsidRPr="00124296" w:rsidRDefault="00007150" w:rsidP="007D0B65">
            <w:pPr>
              <w:spacing w:after="0"/>
              <w:ind w:firstLine="0"/>
              <w:jc w:val="right"/>
              <w:rPr>
                <w:rFonts w:eastAsia="Times New Roman" w:cs="Times New Roman"/>
                <w:sz w:val="20"/>
                <w:szCs w:val="20"/>
                <w:lang w:val="en-US"/>
              </w:rPr>
            </w:pPr>
            <w:r w:rsidRPr="00124296">
              <w:rPr>
                <w:rFonts w:eastAsia="Times New Roman" w:cs="Times New Roman"/>
                <w:sz w:val="20"/>
                <w:szCs w:val="20"/>
                <w:lang w:val="en-US"/>
              </w:rPr>
              <w:t>689,9</w:t>
            </w:r>
          </w:p>
        </w:tc>
        <w:tc>
          <w:tcPr>
            <w:tcW w:w="1418" w:type="dxa"/>
            <w:tcBorders>
              <w:top w:val="nil"/>
              <w:left w:val="nil"/>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right"/>
              <w:rPr>
                <w:rFonts w:eastAsia="Times New Roman" w:cs="Times New Roman"/>
                <w:sz w:val="20"/>
                <w:szCs w:val="20"/>
                <w:lang w:val="en-US"/>
              </w:rPr>
            </w:pPr>
            <w:r w:rsidRPr="00124296">
              <w:rPr>
                <w:rFonts w:eastAsia="Times New Roman" w:cs="Times New Roman"/>
                <w:sz w:val="20"/>
                <w:szCs w:val="20"/>
                <w:lang w:val="en-US"/>
              </w:rPr>
              <w:t>24,1%</w:t>
            </w:r>
          </w:p>
        </w:tc>
      </w:tr>
      <w:tr w:rsidR="00007150" w:rsidRPr="00124296" w:rsidTr="007D0B65">
        <w:trPr>
          <w:trHeight w:val="50"/>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left"/>
              <w:rPr>
                <w:rFonts w:eastAsia="Times New Roman" w:cs="Times New Roman"/>
                <w:sz w:val="20"/>
                <w:szCs w:val="20"/>
                <w:lang w:eastAsia="lv-LV"/>
              </w:rPr>
            </w:pPr>
            <w:r w:rsidRPr="00124296">
              <w:rPr>
                <w:rFonts w:eastAsia="Times New Roman" w:cs="Times New Roman"/>
                <w:sz w:val="20"/>
                <w:szCs w:val="20"/>
                <w:lang w:eastAsia="lv-LV"/>
              </w:rPr>
              <w:t>Izdevumi</w:t>
            </w:r>
          </w:p>
        </w:tc>
        <w:tc>
          <w:tcPr>
            <w:tcW w:w="1417" w:type="dxa"/>
            <w:tcBorders>
              <w:top w:val="nil"/>
              <w:left w:val="nil"/>
              <w:bottom w:val="single" w:sz="4" w:space="0" w:color="auto"/>
              <w:right w:val="single" w:sz="4" w:space="0" w:color="auto"/>
            </w:tcBorders>
            <w:shd w:val="clear" w:color="auto" w:fill="auto"/>
            <w:noWrap/>
            <w:vAlign w:val="bottom"/>
            <w:hideMark/>
          </w:tcPr>
          <w:p w:rsidR="00007150" w:rsidRPr="00124296" w:rsidRDefault="00007150" w:rsidP="007D0B65">
            <w:pPr>
              <w:spacing w:after="0"/>
              <w:ind w:firstLine="0"/>
              <w:jc w:val="right"/>
              <w:rPr>
                <w:rFonts w:eastAsia="Times New Roman" w:cs="Times New Roman"/>
                <w:sz w:val="20"/>
                <w:szCs w:val="20"/>
                <w:lang w:val="en-US"/>
              </w:rPr>
            </w:pPr>
            <w:r w:rsidRPr="00124296">
              <w:rPr>
                <w:rFonts w:eastAsia="Times New Roman" w:cs="Times New Roman"/>
                <w:sz w:val="20"/>
                <w:szCs w:val="20"/>
                <w:lang w:val="en-US"/>
              </w:rPr>
              <w:t>730,7</w:t>
            </w:r>
          </w:p>
        </w:tc>
        <w:tc>
          <w:tcPr>
            <w:tcW w:w="1276" w:type="dxa"/>
            <w:tcBorders>
              <w:top w:val="nil"/>
              <w:left w:val="nil"/>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right"/>
              <w:rPr>
                <w:rFonts w:eastAsia="Times New Roman" w:cs="Times New Roman"/>
                <w:sz w:val="20"/>
                <w:szCs w:val="20"/>
                <w:lang w:val="en-US"/>
              </w:rPr>
            </w:pPr>
            <w:r w:rsidRPr="00124296">
              <w:rPr>
                <w:rFonts w:eastAsia="Times New Roman" w:cs="Times New Roman"/>
                <w:sz w:val="20"/>
                <w:szCs w:val="20"/>
                <w:lang w:val="en-US"/>
              </w:rPr>
              <w:t>743,9</w:t>
            </w:r>
          </w:p>
        </w:tc>
        <w:tc>
          <w:tcPr>
            <w:tcW w:w="1418" w:type="dxa"/>
            <w:tcBorders>
              <w:top w:val="nil"/>
              <w:left w:val="nil"/>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right"/>
              <w:rPr>
                <w:rFonts w:eastAsia="Times New Roman" w:cs="Times New Roman"/>
                <w:sz w:val="20"/>
                <w:szCs w:val="20"/>
                <w:lang w:val="en-US"/>
              </w:rPr>
            </w:pPr>
            <w:r w:rsidRPr="00124296">
              <w:rPr>
                <w:rFonts w:eastAsia="Times New Roman" w:cs="Times New Roman"/>
                <w:sz w:val="20"/>
                <w:szCs w:val="20"/>
                <w:lang w:val="en-US"/>
              </w:rPr>
              <w:t>1,8%</w:t>
            </w:r>
          </w:p>
        </w:tc>
      </w:tr>
      <w:tr w:rsidR="00007150" w:rsidRPr="00124296" w:rsidTr="007D0B65">
        <w:trPr>
          <w:trHeight w:val="50"/>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left"/>
              <w:rPr>
                <w:rFonts w:eastAsia="Times New Roman" w:cs="Times New Roman"/>
                <w:i/>
                <w:iCs/>
                <w:sz w:val="20"/>
                <w:szCs w:val="20"/>
                <w:lang w:eastAsia="lv-LV"/>
              </w:rPr>
            </w:pPr>
            <w:r w:rsidRPr="00124296">
              <w:rPr>
                <w:rFonts w:eastAsia="Times New Roman" w:cs="Times New Roman"/>
                <w:i/>
                <w:iCs/>
                <w:sz w:val="20"/>
                <w:szCs w:val="20"/>
                <w:lang w:eastAsia="lv-LV"/>
              </w:rPr>
              <w:t>Finansiālā bilance</w:t>
            </w:r>
          </w:p>
        </w:tc>
        <w:tc>
          <w:tcPr>
            <w:tcW w:w="1417" w:type="dxa"/>
            <w:tcBorders>
              <w:top w:val="nil"/>
              <w:left w:val="nil"/>
              <w:bottom w:val="single" w:sz="4" w:space="0" w:color="auto"/>
              <w:right w:val="single" w:sz="4" w:space="0" w:color="auto"/>
            </w:tcBorders>
            <w:shd w:val="clear" w:color="auto" w:fill="auto"/>
            <w:noWrap/>
            <w:vAlign w:val="bottom"/>
            <w:hideMark/>
          </w:tcPr>
          <w:p w:rsidR="00007150" w:rsidRPr="00124296" w:rsidRDefault="00007150" w:rsidP="007D0B65">
            <w:pPr>
              <w:spacing w:after="0"/>
              <w:ind w:firstLine="0"/>
              <w:jc w:val="right"/>
              <w:rPr>
                <w:rFonts w:eastAsia="Times New Roman" w:cs="Times New Roman"/>
                <w:b/>
                <w:bCs/>
                <w:i/>
                <w:iCs/>
                <w:sz w:val="20"/>
                <w:szCs w:val="20"/>
                <w:lang w:val="en-US"/>
              </w:rPr>
            </w:pPr>
            <w:r w:rsidRPr="00124296">
              <w:rPr>
                <w:rFonts w:eastAsia="Times New Roman" w:cs="Times New Roman"/>
                <w:b/>
                <w:bCs/>
                <w:i/>
                <w:iCs/>
                <w:sz w:val="20"/>
                <w:szCs w:val="20"/>
                <w:lang w:val="en-US"/>
              </w:rPr>
              <w:t>-174,8</w:t>
            </w:r>
          </w:p>
        </w:tc>
        <w:tc>
          <w:tcPr>
            <w:tcW w:w="1276" w:type="dxa"/>
            <w:tcBorders>
              <w:top w:val="nil"/>
              <w:left w:val="nil"/>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right"/>
              <w:rPr>
                <w:rFonts w:eastAsia="Times New Roman" w:cs="Times New Roman"/>
                <w:b/>
                <w:bCs/>
                <w:i/>
                <w:iCs/>
                <w:sz w:val="20"/>
                <w:szCs w:val="20"/>
                <w:lang w:val="en-US"/>
              </w:rPr>
            </w:pPr>
            <w:r w:rsidRPr="00124296">
              <w:rPr>
                <w:rFonts w:eastAsia="Times New Roman" w:cs="Times New Roman"/>
                <w:b/>
                <w:bCs/>
                <w:i/>
                <w:iCs/>
                <w:sz w:val="20"/>
                <w:szCs w:val="20"/>
                <w:lang w:val="en-US"/>
              </w:rPr>
              <w:t>-54,0</w:t>
            </w:r>
          </w:p>
        </w:tc>
        <w:tc>
          <w:tcPr>
            <w:tcW w:w="1418" w:type="dxa"/>
            <w:tcBorders>
              <w:top w:val="nil"/>
              <w:left w:val="nil"/>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left"/>
              <w:rPr>
                <w:rFonts w:eastAsia="Times New Roman" w:cs="Times New Roman"/>
                <w:sz w:val="20"/>
                <w:szCs w:val="20"/>
                <w:lang w:val="en-US"/>
              </w:rPr>
            </w:pPr>
            <w:r w:rsidRPr="00124296">
              <w:rPr>
                <w:rFonts w:eastAsia="Times New Roman" w:cs="Times New Roman"/>
                <w:sz w:val="20"/>
                <w:szCs w:val="20"/>
                <w:lang w:val="en-US"/>
              </w:rPr>
              <w:t> </w:t>
            </w:r>
          </w:p>
        </w:tc>
      </w:tr>
      <w:tr w:rsidR="00007150" w:rsidRPr="00124296" w:rsidTr="007D0B65">
        <w:trPr>
          <w:trHeight w:val="50"/>
        </w:trPr>
        <w:tc>
          <w:tcPr>
            <w:tcW w:w="4258" w:type="dxa"/>
            <w:tcBorders>
              <w:top w:val="single" w:sz="4" w:space="0" w:color="auto"/>
              <w:left w:val="single" w:sz="4" w:space="0" w:color="auto"/>
              <w:bottom w:val="single" w:sz="4" w:space="0" w:color="auto"/>
              <w:right w:val="nil"/>
            </w:tcBorders>
            <w:shd w:val="clear" w:color="auto" w:fill="auto"/>
            <w:vAlign w:val="bottom"/>
            <w:hideMark/>
          </w:tcPr>
          <w:p w:rsidR="00007150" w:rsidRPr="00124296" w:rsidRDefault="00007150" w:rsidP="007D0B65">
            <w:pPr>
              <w:spacing w:after="0"/>
              <w:ind w:firstLineChars="200" w:firstLine="402"/>
              <w:jc w:val="left"/>
              <w:rPr>
                <w:rFonts w:eastAsia="Times New Roman" w:cs="Times New Roman"/>
                <w:b/>
                <w:bCs/>
                <w:sz w:val="20"/>
                <w:szCs w:val="20"/>
                <w:lang w:eastAsia="lv-LV"/>
              </w:rPr>
            </w:pPr>
            <w:r w:rsidRPr="00124296">
              <w:rPr>
                <w:rFonts w:eastAsia="Times New Roman" w:cs="Times New Roman"/>
                <w:b/>
                <w:bCs/>
                <w:sz w:val="20"/>
                <w:szCs w:val="20"/>
                <w:lang w:eastAsia="lv-LV"/>
              </w:rPr>
              <w:t>Valsts speciālais budžets</w:t>
            </w:r>
          </w:p>
        </w:tc>
        <w:tc>
          <w:tcPr>
            <w:tcW w:w="1417" w:type="dxa"/>
            <w:tcBorders>
              <w:top w:val="single" w:sz="4" w:space="0" w:color="auto"/>
              <w:left w:val="nil"/>
              <w:bottom w:val="single" w:sz="4" w:space="0" w:color="auto"/>
              <w:right w:val="nil"/>
            </w:tcBorders>
            <w:shd w:val="clear" w:color="auto" w:fill="auto"/>
            <w:hideMark/>
          </w:tcPr>
          <w:p w:rsidR="00007150" w:rsidRPr="00124296" w:rsidRDefault="00007150" w:rsidP="007D0B65">
            <w:pPr>
              <w:spacing w:after="0"/>
              <w:ind w:firstLine="0"/>
              <w:jc w:val="right"/>
              <w:rPr>
                <w:rFonts w:eastAsia="Times New Roman" w:cs="Times New Roman"/>
                <w:sz w:val="20"/>
                <w:szCs w:val="20"/>
                <w:lang w:val="en-US"/>
              </w:rPr>
            </w:pPr>
          </w:p>
        </w:tc>
        <w:tc>
          <w:tcPr>
            <w:tcW w:w="1276" w:type="dxa"/>
            <w:tcBorders>
              <w:top w:val="single" w:sz="4" w:space="0" w:color="auto"/>
              <w:left w:val="nil"/>
              <w:bottom w:val="single" w:sz="4" w:space="0" w:color="auto"/>
              <w:right w:val="nil"/>
            </w:tcBorders>
            <w:shd w:val="clear" w:color="auto" w:fill="auto"/>
            <w:hideMark/>
          </w:tcPr>
          <w:p w:rsidR="00007150" w:rsidRPr="00124296" w:rsidRDefault="00007150" w:rsidP="007D0B65">
            <w:pPr>
              <w:spacing w:after="0"/>
              <w:ind w:firstLine="0"/>
              <w:jc w:val="right"/>
              <w:rPr>
                <w:rFonts w:eastAsia="Times New Roman" w:cs="Times New Roman"/>
                <w:sz w:val="20"/>
                <w:szCs w:val="20"/>
                <w:lang w:val="en-US"/>
              </w:rPr>
            </w:pPr>
          </w:p>
        </w:tc>
        <w:tc>
          <w:tcPr>
            <w:tcW w:w="1418" w:type="dxa"/>
            <w:tcBorders>
              <w:top w:val="single" w:sz="4" w:space="0" w:color="auto"/>
              <w:left w:val="nil"/>
              <w:bottom w:val="single" w:sz="4" w:space="0" w:color="auto"/>
              <w:right w:val="single" w:sz="4" w:space="0" w:color="auto"/>
            </w:tcBorders>
            <w:shd w:val="clear" w:color="auto" w:fill="auto"/>
            <w:hideMark/>
          </w:tcPr>
          <w:p w:rsidR="00007150" w:rsidRPr="00124296" w:rsidRDefault="00007150" w:rsidP="007D0B65">
            <w:pPr>
              <w:spacing w:after="0"/>
              <w:ind w:firstLine="0"/>
              <w:jc w:val="right"/>
              <w:rPr>
                <w:rFonts w:eastAsia="Times New Roman" w:cs="Times New Roman"/>
                <w:sz w:val="20"/>
                <w:szCs w:val="20"/>
                <w:lang w:val="en-US"/>
              </w:rPr>
            </w:pPr>
          </w:p>
        </w:tc>
      </w:tr>
      <w:tr w:rsidR="00007150" w:rsidRPr="00124296" w:rsidTr="007D0B65">
        <w:trPr>
          <w:trHeight w:val="50"/>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left"/>
              <w:rPr>
                <w:rFonts w:eastAsia="Times New Roman" w:cs="Times New Roman"/>
                <w:sz w:val="20"/>
                <w:szCs w:val="20"/>
                <w:lang w:eastAsia="lv-LV"/>
              </w:rPr>
            </w:pPr>
            <w:r w:rsidRPr="00124296">
              <w:rPr>
                <w:rFonts w:eastAsia="Times New Roman" w:cs="Times New Roman"/>
                <w:sz w:val="20"/>
                <w:szCs w:val="20"/>
                <w:lang w:eastAsia="lv-LV"/>
              </w:rPr>
              <w:t>Ieņēmumi</w:t>
            </w:r>
          </w:p>
        </w:tc>
        <w:tc>
          <w:tcPr>
            <w:tcW w:w="1417" w:type="dxa"/>
            <w:tcBorders>
              <w:top w:val="nil"/>
              <w:left w:val="nil"/>
              <w:bottom w:val="single" w:sz="4" w:space="0" w:color="auto"/>
              <w:right w:val="single" w:sz="4" w:space="0" w:color="auto"/>
            </w:tcBorders>
            <w:shd w:val="clear" w:color="auto" w:fill="auto"/>
            <w:noWrap/>
            <w:vAlign w:val="bottom"/>
            <w:hideMark/>
          </w:tcPr>
          <w:p w:rsidR="00007150" w:rsidRPr="00124296" w:rsidRDefault="00007150" w:rsidP="007D0B65">
            <w:pPr>
              <w:spacing w:after="0"/>
              <w:ind w:firstLine="0"/>
              <w:jc w:val="right"/>
              <w:rPr>
                <w:rFonts w:eastAsia="Times New Roman" w:cs="Times New Roman"/>
                <w:sz w:val="20"/>
                <w:szCs w:val="20"/>
                <w:lang w:val="en-US"/>
              </w:rPr>
            </w:pPr>
            <w:r w:rsidRPr="00124296">
              <w:rPr>
                <w:rFonts w:eastAsia="Times New Roman" w:cs="Times New Roman"/>
                <w:sz w:val="20"/>
                <w:szCs w:val="20"/>
                <w:lang w:val="en-US"/>
              </w:rPr>
              <w:t>281,7</w:t>
            </w:r>
          </w:p>
        </w:tc>
        <w:tc>
          <w:tcPr>
            <w:tcW w:w="1276" w:type="dxa"/>
            <w:tcBorders>
              <w:top w:val="nil"/>
              <w:left w:val="nil"/>
              <w:bottom w:val="single" w:sz="4" w:space="0" w:color="auto"/>
              <w:right w:val="single" w:sz="4" w:space="0" w:color="auto"/>
            </w:tcBorders>
            <w:shd w:val="clear" w:color="auto" w:fill="auto"/>
            <w:noWrap/>
            <w:vAlign w:val="bottom"/>
            <w:hideMark/>
          </w:tcPr>
          <w:p w:rsidR="00007150" w:rsidRPr="00124296" w:rsidRDefault="00007150" w:rsidP="007D0B65">
            <w:pPr>
              <w:spacing w:after="0"/>
              <w:ind w:firstLine="0"/>
              <w:jc w:val="right"/>
              <w:rPr>
                <w:rFonts w:eastAsia="Times New Roman" w:cs="Times New Roman"/>
                <w:sz w:val="20"/>
                <w:szCs w:val="20"/>
                <w:lang w:val="en-US"/>
              </w:rPr>
            </w:pPr>
            <w:r w:rsidRPr="00124296">
              <w:rPr>
                <w:rFonts w:eastAsia="Times New Roman" w:cs="Times New Roman"/>
                <w:sz w:val="20"/>
                <w:szCs w:val="20"/>
                <w:lang w:val="en-US"/>
              </w:rPr>
              <w:t>311,2</w:t>
            </w:r>
          </w:p>
        </w:tc>
        <w:tc>
          <w:tcPr>
            <w:tcW w:w="1418" w:type="dxa"/>
            <w:tcBorders>
              <w:top w:val="nil"/>
              <w:left w:val="nil"/>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right"/>
              <w:rPr>
                <w:rFonts w:eastAsia="Times New Roman" w:cs="Times New Roman"/>
                <w:sz w:val="20"/>
                <w:szCs w:val="20"/>
                <w:lang w:val="en-US"/>
              </w:rPr>
            </w:pPr>
            <w:r w:rsidRPr="00124296">
              <w:rPr>
                <w:rFonts w:eastAsia="Times New Roman" w:cs="Times New Roman"/>
                <w:sz w:val="20"/>
                <w:szCs w:val="20"/>
                <w:lang w:val="en-US"/>
              </w:rPr>
              <w:t>10,5%</w:t>
            </w:r>
          </w:p>
        </w:tc>
      </w:tr>
      <w:tr w:rsidR="00007150" w:rsidRPr="00124296" w:rsidTr="007D0B65">
        <w:trPr>
          <w:trHeight w:val="50"/>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left"/>
              <w:rPr>
                <w:rFonts w:eastAsia="Times New Roman" w:cs="Times New Roman"/>
                <w:sz w:val="20"/>
                <w:szCs w:val="20"/>
                <w:lang w:eastAsia="lv-LV"/>
              </w:rPr>
            </w:pPr>
            <w:r w:rsidRPr="00124296">
              <w:rPr>
                <w:rFonts w:eastAsia="Times New Roman" w:cs="Times New Roman"/>
                <w:sz w:val="20"/>
                <w:szCs w:val="20"/>
                <w:lang w:eastAsia="lv-LV"/>
              </w:rPr>
              <w:t>Izdevumi</w:t>
            </w:r>
          </w:p>
        </w:tc>
        <w:tc>
          <w:tcPr>
            <w:tcW w:w="1417" w:type="dxa"/>
            <w:tcBorders>
              <w:top w:val="nil"/>
              <w:left w:val="nil"/>
              <w:bottom w:val="single" w:sz="4" w:space="0" w:color="auto"/>
              <w:right w:val="single" w:sz="4" w:space="0" w:color="auto"/>
            </w:tcBorders>
            <w:shd w:val="clear" w:color="auto" w:fill="auto"/>
            <w:noWrap/>
            <w:vAlign w:val="bottom"/>
            <w:hideMark/>
          </w:tcPr>
          <w:p w:rsidR="00007150" w:rsidRPr="00124296" w:rsidRDefault="00007150" w:rsidP="007D0B65">
            <w:pPr>
              <w:spacing w:after="0"/>
              <w:ind w:firstLine="0"/>
              <w:jc w:val="right"/>
              <w:rPr>
                <w:rFonts w:eastAsia="Times New Roman" w:cs="Times New Roman"/>
                <w:sz w:val="20"/>
                <w:szCs w:val="20"/>
                <w:lang w:val="en-US"/>
              </w:rPr>
            </w:pPr>
            <w:r w:rsidRPr="00124296">
              <w:rPr>
                <w:rFonts w:eastAsia="Times New Roman" w:cs="Times New Roman"/>
                <w:sz w:val="20"/>
                <w:szCs w:val="20"/>
                <w:lang w:val="en-US"/>
              </w:rPr>
              <w:t>346,5</w:t>
            </w:r>
          </w:p>
        </w:tc>
        <w:tc>
          <w:tcPr>
            <w:tcW w:w="1276" w:type="dxa"/>
            <w:tcBorders>
              <w:top w:val="nil"/>
              <w:left w:val="nil"/>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right"/>
              <w:rPr>
                <w:rFonts w:eastAsia="Times New Roman" w:cs="Times New Roman"/>
                <w:sz w:val="20"/>
                <w:szCs w:val="20"/>
                <w:lang w:val="en-US"/>
              </w:rPr>
            </w:pPr>
            <w:r w:rsidRPr="00124296">
              <w:rPr>
                <w:rFonts w:eastAsia="Times New Roman" w:cs="Times New Roman"/>
                <w:sz w:val="20"/>
                <w:szCs w:val="20"/>
                <w:lang w:val="en-US"/>
              </w:rPr>
              <w:t>369,5</w:t>
            </w:r>
          </w:p>
        </w:tc>
        <w:tc>
          <w:tcPr>
            <w:tcW w:w="1418" w:type="dxa"/>
            <w:tcBorders>
              <w:top w:val="nil"/>
              <w:left w:val="nil"/>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right"/>
              <w:rPr>
                <w:rFonts w:eastAsia="Times New Roman" w:cs="Times New Roman"/>
                <w:sz w:val="20"/>
                <w:szCs w:val="20"/>
                <w:lang w:val="en-US"/>
              </w:rPr>
            </w:pPr>
            <w:r w:rsidRPr="00124296">
              <w:rPr>
                <w:rFonts w:eastAsia="Times New Roman" w:cs="Times New Roman"/>
                <w:sz w:val="20"/>
                <w:szCs w:val="20"/>
                <w:lang w:val="en-US"/>
              </w:rPr>
              <w:t>6,6%</w:t>
            </w:r>
          </w:p>
        </w:tc>
      </w:tr>
      <w:tr w:rsidR="00007150" w:rsidRPr="00124296" w:rsidTr="007D0B65">
        <w:trPr>
          <w:trHeight w:val="50"/>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left"/>
              <w:rPr>
                <w:rFonts w:eastAsia="Times New Roman" w:cs="Times New Roman"/>
                <w:i/>
                <w:iCs/>
                <w:sz w:val="20"/>
                <w:szCs w:val="20"/>
                <w:lang w:eastAsia="lv-LV"/>
              </w:rPr>
            </w:pPr>
            <w:r w:rsidRPr="00124296">
              <w:rPr>
                <w:rFonts w:eastAsia="Times New Roman" w:cs="Times New Roman"/>
                <w:i/>
                <w:iCs/>
                <w:sz w:val="20"/>
                <w:szCs w:val="20"/>
                <w:lang w:eastAsia="lv-LV"/>
              </w:rPr>
              <w:t>Finansiālā bilance</w:t>
            </w:r>
          </w:p>
        </w:tc>
        <w:tc>
          <w:tcPr>
            <w:tcW w:w="1417" w:type="dxa"/>
            <w:tcBorders>
              <w:top w:val="nil"/>
              <w:left w:val="nil"/>
              <w:bottom w:val="single" w:sz="4" w:space="0" w:color="auto"/>
              <w:right w:val="single" w:sz="4" w:space="0" w:color="auto"/>
            </w:tcBorders>
            <w:shd w:val="clear" w:color="auto" w:fill="auto"/>
            <w:noWrap/>
            <w:vAlign w:val="bottom"/>
            <w:hideMark/>
          </w:tcPr>
          <w:p w:rsidR="00007150" w:rsidRPr="00124296" w:rsidRDefault="00007150" w:rsidP="007D0B65">
            <w:pPr>
              <w:spacing w:after="0"/>
              <w:ind w:firstLine="0"/>
              <w:jc w:val="right"/>
              <w:rPr>
                <w:rFonts w:eastAsia="Times New Roman" w:cs="Times New Roman"/>
                <w:b/>
                <w:bCs/>
                <w:i/>
                <w:iCs/>
                <w:sz w:val="20"/>
                <w:szCs w:val="20"/>
                <w:lang w:val="en-US"/>
              </w:rPr>
            </w:pPr>
            <w:r w:rsidRPr="00124296">
              <w:rPr>
                <w:rFonts w:eastAsia="Times New Roman" w:cs="Times New Roman"/>
                <w:b/>
                <w:bCs/>
                <w:i/>
                <w:iCs/>
                <w:sz w:val="20"/>
                <w:szCs w:val="20"/>
                <w:lang w:val="en-US"/>
              </w:rPr>
              <w:t>-64,8</w:t>
            </w:r>
          </w:p>
        </w:tc>
        <w:tc>
          <w:tcPr>
            <w:tcW w:w="1276" w:type="dxa"/>
            <w:tcBorders>
              <w:top w:val="nil"/>
              <w:left w:val="nil"/>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right"/>
              <w:rPr>
                <w:rFonts w:eastAsia="Times New Roman" w:cs="Times New Roman"/>
                <w:b/>
                <w:bCs/>
                <w:i/>
                <w:iCs/>
                <w:sz w:val="20"/>
                <w:szCs w:val="20"/>
                <w:lang w:val="en-US"/>
              </w:rPr>
            </w:pPr>
            <w:r w:rsidRPr="00124296">
              <w:rPr>
                <w:rFonts w:eastAsia="Times New Roman" w:cs="Times New Roman"/>
                <w:b/>
                <w:bCs/>
                <w:i/>
                <w:iCs/>
                <w:sz w:val="20"/>
                <w:szCs w:val="20"/>
                <w:lang w:val="en-US"/>
              </w:rPr>
              <w:t>-58,3</w:t>
            </w:r>
          </w:p>
        </w:tc>
        <w:tc>
          <w:tcPr>
            <w:tcW w:w="1418" w:type="dxa"/>
            <w:tcBorders>
              <w:top w:val="nil"/>
              <w:left w:val="nil"/>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left"/>
              <w:rPr>
                <w:rFonts w:eastAsia="Times New Roman" w:cs="Times New Roman"/>
                <w:sz w:val="20"/>
                <w:szCs w:val="20"/>
                <w:lang w:val="en-US"/>
              </w:rPr>
            </w:pPr>
            <w:r w:rsidRPr="00124296">
              <w:rPr>
                <w:rFonts w:eastAsia="Times New Roman" w:cs="Times New Roman"/>
                <w:sz w:val="20"/>
                <w:szCs w:val="20"/>
                <w:lang w:val="en-US"/>
              </w:rPr>
              <w:t> </w:t>
            </w:r>
          </w:p>
        </w:tc>
      </w:tr>
      <w:tr w:rsidR="00007150" w:rsidRPr="00124296" w:rsidTr="007D0B65">
        <w:trPr>
          <w:trHeight w:val="51"/>
        </w:trPr>
        <w:tc>
          <w:tcPr>
            <w:tcW w:w="836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7150" w:rsidRPr="00124296" w:rsidRDefault="00007150" w:rsidP="007D0B65">
            <w:pPr>
              <w:spacing w:after="0"/>
              <w:ind w:firstLine="0"/>
              <w:jc w:val="left"/>
              <w:rPr>
                <w:rFonts w:eastAsia="Times New Roman" w:cs="Times New Roman"/>
                <w:b/>
                <w:bCs/>
                <w:color w:val="000000"/>
                <w:sz w:val="20"/>
                <w:szCs w:val="20"/>
                <w:lang w:eastAsia="lv-LV"/>
              </w:rPr>
            </w:pPr>
            <w:r w:rsidRPr="00124296">
              <w:rPr>
                <w:rFonts w:eastAsia="Times New Roman" w:cs="Times New Roman"/>
                <w:b/>
                <w:bCs/>
                <w:color w:val="000000"/>
                <w:sz w:val="20"/>
                <w:szCs w:val="20"/>
                <w:lang w:eastAsia="lv-LV"/>
              </w:rPr>
              <w:t>PAŠVALDĪBU KONSOLIDĒTAIS BUDŽETS</w:t>
            </w:r>
            <w:r w:rsidRPr="00124296">
              <w:rPr>
                <w:rFonts w:eastAsia="Times New Roman" w:cs="Times New Roman"/>
                <w:b/>
                <w:bCs/>
                <w:sz w:val="20"/>
                <w:szCs w:val="20"/>
                <w:vertAlign w:val="superscript"/>
                <w:lang w:eastAsia="lv-LV"/>
              </w:rPr>
              <w:footnoteReference w:id="6"/>
            </w:r>
            <w:r w:rsidRPr="00124296">
              <w:rPr>
                <w:rFonts w:eastAsia="Times New Roman" w:cs="Times New Roman"/>
                <w:b/>
                <w:bCs/>
                <w:sz w:val="20"/>
                <w:szCs w:val="20"/>
                <w:vertAlign w:val="superscript"/>
                <w:lang w:eastAsia="lv-LV"/>
              </w:rPr>
              <w:t> </w:t>
            </w:r>
          </w:p>
        </w:tc>
      </w:tr>
      <w:tr w:rsidR="00007150" w:rsidRPr="00124296" w:rsidTr="007D0B65">
        <w:trPr>
          <w:trHeight w:val="50"/>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left"/>
              <w:rPr>
                <w:rFonts w:eastAsia="Times New Roman" w:cs="Times New Roman"/>
                <w:sz w:val="20"/>
                <w:szCs w:val="20"/>
                <w:lang w:eastAsia="lv-LV"/>
              </w:rPr>
            </w:pPr>
            <w:r w:rsidRPr="00124296">
              <w:rPr>
                <w:rFonts w:eastAsia="Times New Roman" w:cs="Times New Roman"/>
                <w:sz w:val="20"/>
                <w:szCs w:val="20"/>
                <w:lang w:eastAsia="lv-LV"/>
              </w:rPr>
              <w:t>Ieņēmumi</w:t>
            </w:r>
          </w:p>
        </w:tc>
        <w:tc>
          <w:tcPr>
            <w:tcW w:w="1417" w:type="dxa"/>
            <w:tcBorders>
              <w:top w:val="nil"/>
              <w:left w:val="nil"/>
              <w:bottom w:val="single" w:sz="4" w:space="0" w:color="auto"/>
              <w:right w:val="single" w:sz="4" w:space="0" w:color="auto"/>
            </w:tcBorders>
            <w:shd w:val="clear" w:color="auto" w:fill="auto"/>
            <w:noWrap/>
            <w:vAlign w:val="bottom"/>
            <w:hideMark/>
          </w:tcPr>
          <w:p w:rsidR="00007150" w:rsidRPr="00124296" w:rsidRDefault="00007150" w:rsidP="007D0B65">
            <w:pPr>
              <w:spacing w:after="0"/>
              <w:ind w:firstLine="0"/>
              <w:jc w:val="right"/>
              <w:rPr>
                <w:rFonts w:eastAsia="Times New Roman" w:cs="Times New Roman"/>
                <w:sz w:val="20"/>
                <w:szCs w:val="20"/>
                <w:lang w:val="en-US"/>
              </w:rPr>
            </w:pPr>
            <w:r w:rsidRPr="00124296">
              <w:rPr>
                <w:rFonts w:eastAsia="Times New Roman" w:cs="Times New Roman"/>
                <w:sz w:val="20"/>
                <w:szCs w:val="20"/>
                <w:lang w:val="en-US"/>
              </w:rPr>
              <w:t>319,4</w:t>
            </w:r>
          </w:p>
        </w:tc>
        <w:tc>
          <w:tcPr>
            <w:tcW w:w="1276" w:type="dxa"/>
            <w:tcBorders>
              <w:top w:val="nil"/>
              <w:left w:val="nil"/>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right"/>
              <w:rPr>
                <w:rFonts w:eastAsia="Times New Roman" w:cs="Times New Roman"/>
                <w:sz w:val="20"/>
                <w:szCs w:val="20"/>
                <w:lang w:val="en-US"/>
              </w:rPr>
            </w:pPr>
            <w:r w:rsidRPr="00124296">
              <w:rPr>
                <w:rFonts w:eastAsia="Times New Roman" w:cs="Times New Roman"/>
                <w:sz w:val="20"/>
                <w:szCs w:val="20"/>
                <w:lang w:val="en-US"/>
              </w:rPr>
              <w:t>338,5</w:t>
            </w:r>
          </w:p>
        </w:tc>
        <w:tc>
          <w:tcPr>
            <w:tcW w:w="1418" w:type="dxa"/>
            <w:tcBorders>
              <w:top w:val="nil"/>
              <w:left w:val="nil"/>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right"/>
              <w:rPr>
                <w:rFonts w:eastAsia="Times New Roman" w:cs="Times New Roman"/>
                <w:sz w:val="20"/>
                <w:szCs w:val="20"/>
                <w:lang w:val="en-US"/>
              </w:rPr>
            </w:pPr>
            <w:r w:rsidRPr="00124296">
              <w:rPr>
                <w:rFonts w:eastAsia="Times New Roman" w:cs="Times New Roman"/>
                <w:sz w:val="20"/>
                <w:szCs w:val="20"/>
                <w:lang w:val="en-US"/>
              </w:rPr>
              <w:t>6,0%</w:t>
            </w:r>
          </w:p>
        </w:tc>
      </w:tr>
      <w:tr w:rsidR="00007150" w:rsidRPr="00124296" w:rsidTr="007D0B65">
        <w:trPr>
          <w:trHeight w:val="50"/>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left"/>
              <w:rPr>
                <w:rFonts w:eastAsia="Times New Roman" w:cs="Times New Roman"/>
                <w:sz w:val="20"/>
                <w:szCs w:val="20"/>
                <w:lang w:eastAsia="lv-LV"/>
              </w:rPr>
            </w:pPr>
            <w:r w:rsidRPr="00124296">
              <w:rPr>
                <w:rFonts w:eastAsia="Times New Roman" w:cs="Times New Roman"/>
                <w:sz w:val="20"/>
                <w:szCs w:val="20"/>
                <w:lang w:eastAsia="lv-LV"/>
              </w:rPr>
              <w:t>Izdevumi</w:t>
            </w:r>
          </w:p>
        </w:tc>
        <w:tc>
          <w:tcPr>
            <w:tcW w:w="1417" w:type="dxa"/>
            <w:tcBorders>
              <w:top w:val="nil"/>
              <w:left w:val="nil"/>
              <w:bottom w:val="single" w:sz="4" w:space="0" w:color="auto"/>
              <w:right w:val="single" w:sz="4" w:space="0" w:color="auto"/>
            </w:tcBorders>
            <w:shd w:val="clear" w:color="auto" w:fill="auto"/>
            <w:noWrap/>
            <w:vAlign w:val="bottom"/>
            <w:hideMark/>
          </w:tcPr>
          <w:p w:rsidR="00007150" w:rsidRPr="00124296" w:rsidRDefault="00007150" w:rsidP="007D0B65">
            <w:pPr>
              <w:spacing w:after="0"/>
              <w:ind w:firstLine="0"/>
              <w:jc w:val="right"/>
              <w:rPr>
                <w:rFonts w:eastAsia="Times New Roman" w:cs="Times New Roman"/>
                <w:sz w:val="20"/>
                <w:szCs w:val="20"/>
                <w:lang w:val="en-US"/>
              </w:rPr>
            </w:pPr>
            <w:r w:rsidRPr="00124296">
              <w:rPr>
                <w:rFonts w:eastAsia="Times New Roman" w:cs="Times New Roman"/>
                <w:sz w:val="20"/>
                <w:szCs w:val="20"/>
                <w:lang w:val="en-US"/>
              </w:rPr>
              <w:t>274,4</w:t>
            </w:r>
          </w:p>
        </w:tc>
        <w:tc>
          <w:tcPr>
            <w:tcW w:w="1276" w:type="dxa"/>
            <w:tcBorders>
              <w:top w:val="nil"/>
              <w:left w:val="nil"/>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right"/>
              <w:rPr>
                <w:rFonts w:eastAsia="Times New Roman" w:cs="Times New Roman"/>
                <w:sz w:val="20"/>
                <w:szCs w:val="20"/>
                <w:lang w:val="en-US"/>
              </w:rPr>
            </w:pPr>
            <w:r w:rsidRPr="00124296">
              <w:rPr>
                <w:rFonts w:eastAsia="Times New Roman" w:cs="Times New Roman"/>
                <w:sz w:val="20"/>
                <w:szCs w:val="20"/>
                <w:lang w:val="en-US"/>
              </w:rPr>
              <w:t>273,8</w:t>
            </w:r>
          </w:p>
        </w:tc>
        <w:tc>
          <w:tcPr>
            <w:tcW w:w="1418" w:type="dxa"/>
            <w:tcBorders>
              <w:top w:val="nil"/>
              <w:left w:val="nil"/>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right"/>
              <w:rPr>
                <w:rFonts w:eastAsia="Times New Roman" w:cs="Times New Roman"/>
                <w:sz w:val="20"/>
                <w:szCs w:val="20"/>
                <w:lang w:val="en-US"/>
              </w:rPr>
            </w:pPr>
            <w:r w:rsidRPr="00124296">
              <w:rPr>
                <w:rFonts w:eastAsia="Times New Roman" w:cs="Times New Roman"/>
                <w:sz w:val="20"/>
                <w:szCs w:val="20"/>
                <w:lang w:val="en-US"/>
              </w:rPr>
              <w:t>-0,2%</w:t>
            </w:r>
          </w:p>
        </w:tc>
      </w:tr>
      <w:tr w:rsidR="00007150" w:rsidRPr="00124296" w:rsidTr="007D0B65">
        <w:trPr>
          <w:trHeight w:val="50"/>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left"/>
              <w:rPr>
                <w:rFonts w:eastAsia="Times New Roman" w:cs="Times New Roman"/>
                <w:i/>
                <w:iCs/>
                <w:sz w:val="20"/>
                <w:szCs w:val="20"/>
                <w:lang w:eastAsia="lv-LV"/>
              </w:rPr>
            </w:pPr>
            <w:r w:rsidRPr="00124296">
              <w:rPr>
                <w:rFonts w:eastAsia="Times New Roman" w:cs="Times New Roman"/>
                <w:i/>
                <w:iCs/>
                <w:sz w:val="20"/>
                <w:szCs w:val="20"/>
                <w:lang w:eastAsia="lv-LV"/>
              </w:rPr>
              <w:t>Finansiālā bilance</w:t>
            </w:r>
          </w:p>
        </w:tc>
        <w:tc>
          <w:tcPr>
            <w:tcW w:w="1417" w:type="dxa"/>
            <w:tcBorders>
              <w:top w:val="nil"/>
              <w:left w:val="nil"/>
              <w:bottom w:val="single" w:sz="4" w:space="0" w:color="auto"/>
              <w:right w:val="single" w:sz="4" w:space="0" w:color="auto"/>
            </w:tcBorders>
            <w:shd w:val="clear" w:color="auto" w:fill="auto"/>
            <w:noWrap/>
            <w:vAlign w:val="bottom"/>
            <w:hideMark/>
          </w:tcPr>
          <w:p w:rsidR="00007150" w:rsidRPr="00124296" w:rsidRDefault="00007150" w:rsidP="007D0B65">
            <w:pPr>
              <w:spacing w:after="0"/>
              <w:ind w:firstLine="0"/>
              <w:jc w:val="right"/>
              <w:rPr>
                <w:rFonts w:eastAsia="Times New Roman" w:cs="Times New Roman"/>
                <w:b/>
                <w:bCs/>
                <w:i/>
                <w:iCs/>
                <w:sz w:val="20"/>
                <w:szCs w:val="20"/>
                <w:lang w:val="en-US"/>
              </w:rPr>
            </w:pPr>
            <w:r w:rsidRPr="00124296">
              <w:rPr>
                <w:rFonts w:eastAsia="Times New Roman" w:cs="Times New Roman"/>
                <w:b/>
                <w:bCs/>
                <w:i/>
                <w:iCs/>
                <w:sz w:val="20"/>
                <w:szCs w:val="20"/>
                <w:lang w:val="en-US"/>
              </w:rPr>
              <w:t>45,0</w:t>
            </w:r>
          </w:p>
        </w:tc>
        <w:tc>
          <w:tcPr>
            <w:tcW w:w="1276" w:type="dxa"/>
            <w:tcBorders>
              <w:top w:val="nil"/>
              <w:left w:val="nil"/>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right"/>
              <w:rPr>
                <w:rFonts w:eastAsia="Times New Roman" w:cs="Times New Roman"/>
                <w:b/>
                <w:bCs/>
                <w:i/>
                <w:iCs/>
                <w:sz w:val="20"/>
                <w:szCs w:val="20"/>
                <w:lang w:val="en-US"/>
              </w:rPr>
            </w:pPr>
            <w:r w:rsidRPr="00124296">
              <w:rPr>
                <w:rFonts w:eastAsia="Times New Roman" w:cs="Times New Roman"/>
                <w:b/>
                <w:bCs/>
                <w:i/>
                <w:iCs/>
                <w:sz w:val="20"/>
                <w:szCs w:val="20"/>
                <w:lang w:val="en-US"/>
              </w:rPr>
              <w:t>64,6</w:t>
            </w:r>
          </w:p>
        </w:tc>
        <w:tc>
          <w:tcPr>
            <w:tcW w:w="1418" w:type="dxa"/>
            <w:tcBorders>
              <w:top w:val="nil"/>
              <w:left w:val="nil"/>
              <w:bottom w:val="single" w:sz="4" w:space="0" w:color="auto"/>
              <w:right w:val="single" w:sz="4" w:space="0" w:color="auto"/>
            </w:tcBorders>
            <w:shd w:val="clear" w:color="auto" w:fill="auto"/>
            <w:vAlign w:val="bottom"/>
            <w:hideMark/>
          </w:tcPr>
          <w:p w:rsidR="00007150" w:rsidRPr="00124296" w:rsidRDefault="00007150" w:rsidP="007D0B65">
            <w:pPr>
              <w:spacing w:after="0"/>
              <w:ind w:firstLine="0"/>
              <w:jc w:val="left"/>
              <w:rPr>
                <w:rFonts w:eastAsia="Times New Roman" w:cs="Times New Roman"/>
                <w:sz w:val="20"/>
                <w:szCs w:val="20"/>
                <w:lang w:val="en-US"/>
              </w:rPr>
            </w:pPr>
            <w:r w:rsidRPr="00124296">
              <w:rPr>
                <w:rFonts w:eastAsia="Times New Roman" w:cs="Times New Roman"/>
                <w:sz w:val="20"/>
                <w:szCs w:val="20"/>
                <w:lang w:val="en-US"/>
              </w:rPr>
              <w:t> </w:t>
            </w:r>
          </w:p>
        </w:tc>
      </w:tr>
    </w:tbl>
    <w:p w:rsidR="00007150" w:rsidRPr="00850AE5" w:rsidRDefault="00007150" w:rsidP="00007150">
      <w:pPr>
        <w:spacing w:before="240"/>
      </w:pPr>
      <w:r w:rsidRPr="0032080D">
        <w:rPr>
          <w:rFonts w:cs="Times New Roman"/>
        </w:rPr>
        <w:t>Valsts kases oficiālā</w:t>
      </w:r>
      <w:r>
        <w:rPr>
          <w:rFonts w:cs="Times New Roman"/>
        </w:rPr>
        <w:t xml:space="preserve"> mēneša pārskata dati par 2012. </w:t>
      </w:r>
      <w:r w:rsidRPr="0032080D">
        <w:rPr>
          <w:rFonts w:cs="Times New Roman"/>
        </w:rPr>
        <w:t xml:space="preserve">gada pirmo ceturksni liecina, ka </w:t>
      </w:r>
      <w:r w:rsidRPr="00106C40">
        <w:rPr>
          <w:rFonts w:cs="Times New Roman"/>
        </w:rPr>
        <w:t>konsolidētā kopbudžeta deficīts</w:t>
      </w:r>
      <w:r w:rsidRPr="0032080D">
        <w:rPr>
          <w:rFonts w:cs="Times New Roman"/>
        </w:rPr>
        <w:t xml:space="preserve"> salīdzinājumā ar iepriekšējā gada attiecīgo periodu samaz</w:t>
      </w:r>
      <w:r>
        <w:rPr>
          <w:rFonts w:cs="Times New Roman"/>
        </w:rPr>
        <w:t>inājās par 137,8 milj. latu un bija 43,9 milj. latu, izdevumiem (1 292,8 milj. latu) pārsniedzot ieņēmumus (1 248,9 milj. </w:t>
      </w:r>
      <w:r w:rsidRPr="0032080D">
        <w:rPr>
          <w:rFonts w:cs="Times New Roman"/>
        </w:rPr>
        <w:t>latu). Deficīta apmēru kopbudžetā noteica deficīts valsts konsolidētajā budžetā (ieskaitot atvasinātās publiskās personas, kā arī zie</w:t>
      </w:r>
      <w:r>
        <w:rPr>
          <w:rFonts w:cs="Times New Roman"/>
        </w:rPr>
        <w:t>dojumus un dāvinājumus) 108,6 milj. </w:t>
      </w:r>
      <w:r w:rsidRPr="0032080D">
        <w:rPr>
          <w:rFonts w:cs="Times New Roman"/>
        </w:rPr>
        <w:t>latu apmērā. Jā</w:t>
      </w:r>
      <w:r>
        <w:rPr>
          <w:rFonts w:cs="Times New Roman"/>
        </w:rPr>
        <w:t>atzīmē, ka, salīdzinot ar 2011. </w:t>
      </w:r>
      <w:r w:rsidRPr="0032080D">
        <w:rPr>
          <w:rFonts w:cs="Times New Roman"/>
        </w:rPr>
        <w:t xml:space="preserve">gada </w:t>
      </w:r>
      <w:r>
        <w:rPr>
          <w:rFonts w:cs="Times New Roman"/>
        </w:rPr>
        <w:t>pirmo ceturksni</w:t>
      </w:r>
      <w:r w:rsidRPr="0032080D">
        <w:rPr>
          <w:rFonts w:cs="Times New Roman"/>
        </w:rPr>
        <w:t>, šā gada janvārī–martā valsts bu</w:t>
      </w:r>
      <w:r>
        <w:rPr>
          <w:rFonts w:cs="Times New Roman"/>
        </w:rPr>
        <w:t>džetā deficīts saruka par 121,7 milj. </w:t>
      </w:r>
      <w:r w:rsidRPr="0032080D">
        <w:rPr>
          <w:rFonts w:cs="Times New Roman"/>
        </w:rPr>
        <w:t>latu, savukārt, pašvaldību budžetā pā</w:t>
      </w:r>
      <w:r>
        <w:rPr>
          <w:rFonts w:cs="Times New Roman"/>
        </w:rPr>
        <w:t>rpalikums palielinājās par 19,6 </w:t>
      </w:r>
      <w:r w:rsidRPr="0032080D">
        <w:rPr>
          <w:rFonts w:cs="Times New Roman"/>
        </w:rPr>
        <w:t>mi</w:t>
      </w:r>
      <w:r>
        <w:rPr>
          <w:rFonts w:cs="Times New Roman"/>
        </w:rPr>
        <w:t>lj. latu.</w:t>
      </w:r>
      <w:r w:rsidRPr="00124296">
        <w:t xml:space="preserve"> </w:t>
      </w:r>
    </w:p>
    <w:p w:rsidR="00007150" w:rsidRPr="003927D1" w:rsidRDefault="00007150" w:rsidP="00007150">
      <w:pPr>
        <w:pStyle w:val="Z"/>
        <w:spacing w:before="240"/>
        <w:rPr>
          <w:rFonts w:cs="Times New Roman"/>
        </w:rPr>
      </w:pPr>
      <w:r w:rsidRPr="00106C40">
        <w:rPr>
          <w:noProof/>
          <w:lang w:eastAsia="lv-LV"/>
        </w:rPr>
        <w:lastRenderedPageBreak/>
        <w:drawing>
          <wp:inline distT="0" distB="0" distL="0" distR="0" wp14:anchorId="6A845146" wp14:editId="712ED340">
            <wp:extent cx="5271340" cy="2282343"/>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a:extLst>
                        <a:ext uri="{28A0092B-C50C-407E-A947-70E740481C1C}">
                          <a14:useLocalDpi xmlns:a14="http://schemas.microsoft.com/office/drawing/2010/main" val="0"/>
                        </a:ext>
                      </a:extLst>
                    </a:blip>
                    <a:srcRect b="33617"/>
                    <a:stretch/>
                  </pic:blipFill>
                  <pic:spPr bwMode="auto">
                    <a:xfrm>
                      <a:off x="0" y="0"/>
                      <a:ext cx="5274310" cy="2283629"/>
                    </a:xfrm>
                    <a:prstGeom prst="rect">
                      <a:avLst/>
                    </a:prstGeom>
                    <a:noFill/>
                    <a:ln>
                      <a:noFill/>
                    </a:ln>
                    <a:extLst>
                      <a:ext uri="{53640926-AAD7-44D8-BBD7-CCE9431645EC}">
                        <a14:shadowObscured xmlns:a14="http://schemas.microsoft.com/office/drawing/2010/main"/>
                      </a:ext>
                    </a:extLst>
                  </pic:spPr>
                </pic:pic>
              </a:graphicData>
            </a:graphic>
          </wp:inline>
        </w:drawing>
      </w:r>
    </w:p>
    <w:p w:rsidR="00007150" w:rsidRPr="002A5E83" w:rsidRDefault="00952906" w:rsidP="00007150">
      <w:pPr>
        <w:pStyle w:val="Z"/>
        <w:rPr>
          <w:rFonts w:cs="Times New Roman"/>
        </w:rPr>
      </w:pPr>
      <w:r>
        <w:rPr>
          <w:rFonts w:cs="Times New Roman"/>
        </w:rPr>
        <w:t>24</w:t>
      </w:r>
      <w:r w:rsidR="00007150" w:rsidRPr="002A5E83">
        <w:rPr>
          <w:rFonts w:cs="Times New Roman"/>
        </w:rPr>
        <w:t xml:space="preserve">. att. Konsolidētā kopbudžeta finansiālā bilance, </w:t>
      </w:r>
      <w:proofErr w:type="spellStart"/>
      <w:r w:rsidR="00007150" w:rsidRPr="002A5E83">
        <w:rPr>
          <w:rFonts w:cs="Times New Roman"/>
        </w:rPr>
        <w:t>milj</w:t>
      </w:r>
      <w:proofErr w:type="spellEnd"/>
      <w:r w:rsidR="00007150" w:rsidRPr="002A5E83">
        <w:rPr>
          <w:rFonts w:cs="Times New Roman"/>
        </w:rPr>
        <w:t>. latu</w:t>
      </w:r>
    </w:p>
    <w:p w:rsidR="00007150" w:rsidRDefault="00007150" w:rsidP="00007150">
      <w:pPr>
        <w:spacing w:before="240"/>
        <w:ind w:firstLine="720"/>
        <w:rPr>
          <w:rFonts w:cs="Times New Roman"/>
        </w:rPr>
      </w:pPr>
      <w:r w:rsidRPr="00124296">
        <w:rPr>
          <w:rFonts w:cs="Times New Roman"/>
        </w:rPr>
        <w:t>Jāatzīmē, ka kopbudžeta ieņēmumu pieauguma t</w:t>
      </w:r>
      <w:r>
        <w:rPr>
          <w:rFonts w:cs="Times New Roman"/>
        </w:rPr>
        <w:t>emps 2012. gada pirmajā ceturksnī bija straujāks - par 181,6 milj. </w:t>
      </w:r>
      <w:r w:rsidRPr="00124296">
        <w:rPr>
          <w:rFonts w:cs="Times New Roman"/>
        </w:rPr>
        <w:t xml:space="preserve">latiem jeb 17,0%, salīdzinot ar iepriekšējā gada </w:t>
      </w:r>
      <w:r>
        <w:rPr>
          <w:rFonts w:cs="Times New Roman"/>
        </w:rPr>
        <w:t>atbilstošo periodu</w:t>
      </w:r>
      <w:r w:rsidRPr="00124296">
        <w:rPr>
          <w:rFonts w:cs="Times New Roman"/>
        </w:rPr>
        <w:t>, savukārt kopbu</w:t>
      </w:r>
      <w:r>
        <w:rPr>
          <w:rFonts w:cs="Times New Roman"/>
        </w:rPr>
        <w:t>džeta izdevumi pieauga lēnāk - par 43,7 milj. latu jeb 3,5 </w:t>
      </w:r>
      <w:r w:rsidRPr="00124296">
        <w:rPr>
          <w:rFonts w:cs="Times New Roman"/>
        </w:rPr>
        <w:t>procentiem.</w:t>
      </w:r>
    </w:p>
    <w:p w:rsidR="003B4D3D" w:rsidRDefault="003B4D3D" w:rsidP="006A276C">
      <w:pPr>
        <w:rPr>
          <w:rFonts w:cs="Times New Roman"/>
        </w:rPr>
      </w:pPr>
    </w:p>
    <w:p w:rsidR="006A276C" w:rsidRPr="002A5E83" w:rsidRDefault="00952906" w:rsidP="00952906">
      <w:pPr>
        <w:pStyle w:val="Heading2"/>
        <w:ind w:left="360" w:firstLine="0"/>
        <w:rPr>
          <w:rFonts w:cs="Times New Roman"/>
          <w:szCs w:val="36"/>
        </w:rPr>
      </w:pPr>
      <w:bookmarkStart w:id="61" w:name="_Toc293496370"/>
      <w:bookmarkStart w:id="62" w:name="_Toc325101922"/>
      <w:r>
        <w:rPr>
          <w:rFonts w:cs="Times New Roman"/>
          <w:szCs w:val="36"/>
        </w:rPr>
        <w:t xml:space="preserve">2.2. </w:t>
      </w:r>
      <w:r w:rsidR="006A276C" w:rsidRPr="002A5E83">
        <w:rPr>
          <w:rFonts w:cs="Times New Roman"/>
          <w:szCs w:val="36"/>
        </w:rPr>
        <w:t>Nodokļu ieņēmumi</w:t>
      </w:r>
      <w:bookmarkEnd w:id="49"/>
      <w:bookmarkEnd w:id="50"/>
      <w:bookmarkEnd w:id="51"/>
      <w:bookmarkEnd w:id="61"/>
      <w:bookmarkEnd w:id="62"/>
    </w:p>
    <w:p w:rsidR="00501C90" w:rsidRPr="00C24512" w:rsidRDefault="00501C90" w:rsidP="00501C90">
      <w:bookmarkStart w:id="63" w:name="_Toc226433814"/>
      <w:bookmarkStart w:id="64" w:name="_Toc261947584"/>
      <w:bookmarkStart w:id="65" w:name="_Toc293496371"/>
      <w:bookmarkStart w:id="66" w:name="_Toc130004094"/>
      <w:bookmarkEnd w:id="52"/>
      <w:r w:rsidRPr="00C24512">
        <w:t>Kopējie nodokļu</w:t>
      </w:r>
      <w:r w:rsidRPr="00C24512">
        <w:rPr>
          <w:rStyle w:val="FootnoteReference"/>
        </w:rPr>
        <w:footnoteReference w:id="7"/>
      </w:r>
      <w:r w:rsidRPr="00C24512">
        <w:t xml:space="preserve"> ieņēmumi (ieskaitot valsts fondēto pensiju shēmas līdzekļus) 2012. gada pirmajā ceturksnī bija 1017,6 milj. latu, kas salīdzinājumā ar 2011. gada pirmo ceturksni ir par 140,2 milj. latu jeb 16,0% vairāk. Lielākais īpatsvars 2012. gada pirmajā ceturksnī kopējos nodokļu ieņēmumos bija sociālās apdrošināšanas iemaksu ieņēmumiem – 31,8%, pievienotās vērtības nodokļa ieņēmumiem – 25,6% un iedzīvotāju ienākuma nodokļa ieņēmumiem –20,2 procenti. </w:t>
      </w:r>
      <w:r w:rsidRPr="00B63197">
        <w:rPr>
          <w:rFonts w:eastAsia="Calibri"/>
        </w:rPr>
        <w:t>Nodokļu ieņēmumu pieaugumu noteica gan iedzīvotāju un uzņēmumu ekonomiskās aktivitātes pieaugums, gan  nodokļu politikas izmaiņu un  administrēšanas pasākumu pozitīvā ietekme.</w:t>
      </w:r>
    </w:p>
    <w:p w:rsidR="00501C90" w:rsidRPr="00B6111F" w:rsidRDefault="00501C90" w:rsidP="00501C90">
      <w:pPr>
        <w:rPr>
          <w:rFonts w:eastAsia="Calibri"/>
        </w:rPr>
      </w:pPr>
      <w:r w:rsidRPr="00755A0A">
        <w:t xml:space="preserve">Kopumā </w:t>
      </w:r>
      <w:r>
        <w:t>2012. gada</w:t>
      </w:r>
      <w:r w:rsidRPr="00755A0A">
        <w:t xml:space="preserve"> pirmajā ceturksnī faktiski iekasētie nodokļu ieņēmumi pārsniedz plānotos ieņēmumus par 90,8 milj. latu, nodrošinot plāna izpildi par 109,8 procentiem</w:t>
      </w:r>
      <w:r>
        <w:t>.</w:t>
      </w:r>
      <w:r w:rsidRPr="00B63197">
        <w:t xml:space="preserve"> </w:t>
      </w:r>
    </w:p>
    <w:p w:rsidR="00501C90" w:rsidRPr="0024313F" w:rsidRDefault="00952906" w:rsidP="002A5E83">
      <w:pPr>
        <w:ind w:firstLine="0"/>
        <w:jc w:val="right"/>
        <w:rPr>
          <w:b/>
          <w:i/>
        </w:rPr>
      </w:pPr>
      <w:r>
        <w:rPr>
          <w:b/>
          <w:i/>
        </w:rPr>
        <w:t>4</w:t>
      </w:r>
      <w:r w:rsidR="00501C90" w:rsidRPr="0024313F">
        <w:rPr>
          <w:b/>
          <w:i/>
        </w:rPr>
        <w:t xml:space="preserve">. tabula. Nodokļu ieņēmumi, </w:t>
      </w:r>
      <w:proofErr w:type="spellStart"/>
      <w:r w:rsidR="00501C90" w:rsidRPr="0024313F">
        <w:rPr>
          <w:b/>
          <w:i/>
        </w:rPr>
        <w:t>milj</w:t>
      </w:r>
      <w:proofErr w:type="spellEnd"/>
      <w:r w:rsidR="00501C90" w:rsidRPr="0024313F">
        <w:rPr>
          <w:b/>
          <w:i/>
        </w:rPr>
        <w:t>. latu</w:t>
      </w:r>
    </w:p>
    <w:tbl>
      <w:tblPr>
        <w:tblW w:w="838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1417"/>
        <w:gridCol w:w="1276"/>
        <w:gridCol w:w="1276"/>
        <w:gridCol w:w="1276"/>
      </w:tblGrid>
      <w:tr w:rsidR="00501C90" w:rsidRPr="000111BC" w:rsidTr="002A5E83">
        <w:trPr>
          <w:trHeight w:val="900"/>
        </w:trPr>
        <w:tc>
          <w:tcPr>
            <w:tcW w:w="3142" w:type="dxa"/>
            <w:shd w:val="clear" w:color="auto" w:fill="auto"/>
            <w:noWrap/>
            <w:vAlign w:val="bottom"/>
            <w:hideMark/>
          </w:tcPr>
          <w:p w:rsidR="00501C90" w:rsidRPr="000111BC" w:rsidRDefault="00501C90" w:rsidP="00A761F0">
            <w:pPr>
              <w:spacing w:after="0"/>
              <w:ind w:firstLine="0"/>
              <w:jc w:val="center"/>
              <w:rPr>
                <w:sz w:val="20"/>
                <w:lang w:eastAsia="lv-LV"/>
              </w:rPr>
            </w:pPr>
          </w:p>
          <w:p w:rsidR="00501C90" w:rsidRPr="000111BC" w:rsidRDefault="00501C90" w:rsidP="00A761F0">
            <w:pPr>
              <w:spacing w:after="0"/>
              <w:ind w:firstLine="0"/>
              <w:jc w:val="center"/>
              <w:rPr>
                <w:sz w:val="20"/>
                <w:lang w:eastAsia="lv-LV"/>
              </w:rPr>
            </w:pPr>
          </w:p>
          <w:p w:rsidR="00501C90" w:rsidRPr="000111BC" w:rsidRDefault="00501C90" w:rsidP="00A761F0">
            <w:pPr>
              <w:spacing w:after="0"/>
              <w:ind w:firstLine="0"/>
              <w:jc w:val="center"/>
              <w:rPr>
                <w:sz w:val="20"/>
                <w:lang w:eastAsia="lv-LV"/>
              </w:rPr>
            </w:pPr>
          </w:p>
        </w:tc>
        <w:tc>
          <w:tcPr>
            <w:tcW w:w="1417" w:type="dxa"/>
            <w:shd w:val="clear" w:color="auto" w:fill="auto"/>
            <w:vAlign w:val="center"/>
            <w:hideMark/>
          </w:tcPr>
          <w:p w:rsidR="00501C90" w:rsidRPr="000111BC" w:rsidRDefault="00501C90" w:rsidP="00A761F0">
            <w:pPr>
              <w:spacing w:after="0"/>
              <w:ind w:firstLine="0"/>
              <w:jc w:val="center"/>
              <w:rPr>
                <w:sz w:val="20"/>
                <w:lang w:eastAsia="lv-LV"/>
              </w:rPr>
            </w:pPr>
            <w:r w:rsidRPr="000111BC">
              <w:rPr>
                <w:sz w:val="20"/>
                <w:lang w:eastAsia="lv-LV"/>
              </w:rPr>
              <w:t xml:space="preserve">2011. gada </w:t>
            </w:r>
            <w:proofErr w:type="spellStart"/>
            <w:r w:rsidRPr="000111BC">
              <w:rPr>
                <w:sz w:val="20"/>
                <w:lang w:eastAsia="lv-LV"/>
              </w:rPr>
              <w:t>I ceturksnis</w:t>
            </w:r>
            <w:proofErr w:type="spellEnd"/>
          </w:p>
        </w:tc>
        <w:tc>
          <w:tcPr>
            <w:tcW w:w="1276" w:type="dxa"/>
            <w:vAlign w:val="center"/>
          </w:tcPr>
          <w:p w:rsidR="00501C90" w:rsidRPr="000111BC" w:rsidRDefault="00501C90" w:rsidP="00A761F0">
            <w:pPr>
              <w:spacing w:after="0"/>
              <w:ind w:firstLine="0"/>
              <w:jc w:val="center"/>
              <w:rPr>
                <w:sz w:val="20"/>
                <w:lang w:eastAsia="lv-LV"/>
              </w:rPr>
            </w:pPr>
            <w:r w:rsidRPr="000111BC">
              <w:rPr>
                <w:sz w:val="20"/>
                <w:lang w:eastAsia="lv-LV"/>
              </w:rPr>
              <w:t>2012. gada</w:t>
            </w:r>
            <w:r w:rsidRPr="000111BC">
              <w:rPr>
                <w:sz w:val="20"/>
                <w:lang w:eastAsia="lv-LV"/>
              </w:rPr>
              <w:br/>
            </w:r>
            <w:proofErr w:type="spellStart"/>
            <w:r w:rsidRPr="000111BC">
              <w:rPr>
                <w:sz w:val="20"/>
                <w:lang w:eastAsia="lv-LV"/>
              </w:rPr>
              <w:t>I ceturksnis</w:t>
            </w:r>
            <w:proofErr w:type="spellEnd"/>
          </w:p>
        </w:tc>
        <w:tc>
          <w:tcPr>
            <w:tcW w:w="1276" w:type="dxa"/>
            <w:shd w:val="clear" w:color="auto" w:fill="auto"/>
            <w:vAlign w:val="center"/>
            <w:hideMark/>
          </w:tcPr>
          <w:p w:rsidR="00501C90" w:rsidRPr="000111BC" w:rsidRDefault="00501C90" w:rsidP="00A761F0">
            <w:pPr>
              <w:spacing w:after="0"/>
              <w:ind w:firstLine="0"/>
              <w:jc w:val="center"/>
              <w:rPr>
                <w:sz w:val="20"/>
                <w:lang w:eastAsia="lv-LV"/>
              </w:rPr>
            </w:pPr>
            <w:r w:rsidRPr="000111BC">
              <w:rPr>
                <w:sz w:val="20"/>
                <w:lang w:eastAsia="lv-LV"/>
              </w:rPr>
              <w:t>Izmaiņas</w:t>
            </w:r>
            <w:r w:rsidRPr="000111BC">
              <w:rPr>
                <w:sz w:val="20"/>
                <w:lang w:eastAsia="lv-LV"/>
              </w:rPr>
              <w:br/>
              <w:t xml:space="preserve">2012.g </w:t>
            </w:r>
            <w:proofErr w:type="spellStart"/>
            <w:r w:rsidRPr="000111BC">
              <w:rPr>
                <w:sz w:val="20"/>
                <w:lang w:eastAsia="lv-LV"/>
              </w:rPr>
              <w:t>I cet</w:t>
            </w:r>
            <w:proofErr w:type="spellEnd"/>
            <w:r w:rsidRPr="000111BC">
              <w:rPr>
                <w:sz w:val="20"/>
                <w:lang w:eastAsia="lv-LV"/>
              </w:rPr>
              <w:t xml:space="preserve">./ 2011.g </w:t>
            </w:r>
            <w:proofErr w:type="spellStart"/>
            <w:r w:rsidRPr="000111BC">
              <w:rPr>
                <w:sz w:val="20"/>
                <w:lang w:eastAsia="lv-LV"/>
              </w:rPr>
              <w:t>I cet</w:t>
            </w:r>
            <w:proofErr w:type="spellEnd"/>
            <w:r w:rsidRPr="000111BC">
              <w:rPr>
                <w:sz w:val="20"/>
                <w:lang w:eastAsia="lv-LV"/>
              </w:rPr>
              <w:t>.,</w:t>
            </w:r>
          </w:p>
          <w:p w:rsidR="00501C90" w:rsidRPr="000111BC" w:rsidRDefault="00501C90" w:rsidP="00A761F0">
            <w:pPr>
              <w:spacing w:after="0"/>
              <w:ind w:firstLine="0"/>
              <w:jc w:val="center"/>
              <w:rPr>
                <w:sz w:val="20"/>
                <w:lang w:eastAsia="lv-LV"/>
              </w:rPr>
            </w:pPr>
            <w:proofErr w:type="spellStart"/>
            <w:r w:rsidRPr="000111BC">
              <w:rPr>
                <w:sz w:val="20"/>
                <w:lang w:eastAsia="lv-LV"/>
              </w:rPr>
              <w:t>milj. latu</w:t>
            </w:r>
            <w:proofErr w:type="spellEnd"/>
          </w:p>
        </w:tc>
        <w:tc>
          <w:tcPr>
            <w:tcW w:w="1276" w:type="dxa"/>
            <w:shd w:val="clear" w:color="auto" w:fill="auto"/>
            <w:vAlign w:val="center"/>
            <w:hideMark/>
          </w:tcPr>
          <w:p w:rsidR="00501C90" w:rsidRPr="000111BC" w:rsidRDefault="00501C90" w:rsidP="00A761F0">
            <w:pPr>
              <w:spacing w:after="0"/>
              <w:ind w:firstLine="0"/>
              <w:jc w:val="center"/>
              <w:rPr>
                <w:sz w:val="20"/>
                <w:lang w:eastAsia="lv-LV"/>
              </w:rPr>
            </w:pPr>
            <w:r w:rsidRPr="000111BC">
              <w:rPr>
                <w:sz w:val="20"/>
                <w:lang w:eastAsia="lv-LV"/>
              </w:rPr>
              <w:t>Izmaiņas</w:t>
            </w:r>
            <w:r w:rsidRPr="000111BC">
              <w:rPr>
                <w:sz w:val="20"/>
                <w:lang w:eastAsia="lv-LV"/>
              </w:rPr>
              <w:br/>
              <w:t xml:space="preserve">2012.g </w:t>
            </w:r>
            <w:proofErr w:type="spellStart"/>
            <w:r w:rsidRPr="000111BC">
              <w:rPr>
                <w:sz w:val="20"/>
                <w:lang w:eastAsia="lv-LV"/>
              </w:rPr>
              <w:t>I cet</w:t>
            </w:r>
            <w:proofErr w:type="spellEnd"/>
            <w:r w:rsidRPr="000111BC">
              <w:rPr>
                <w:sz w:val="20"/>
                <w:lang w:eastAsia="lv-LV"/>
              </w:rPr>
              <w:t xml:space="preserve">./ 2011.g </w:t>
            </w:r>
            <w:proofErr w:type="spellStart"/>
            <w:r w:rsidRPr="000111BC">
              <w:rPr>
                <w:sz w:val="20"/>
                <w:lang w:eastAsia="lv-LV"/>
              </w:rPr>
              <w:t>I cet</w:t>
            </w:r>
            <w:proofErr w:type="spellEnd"/>
            <w:r w:rsidRPr="000111BC">
              <w:rPr>
                <w:sz w:val="20"/>
                <w:lang w:eastAsia="lv-LV"/>
              </w:rPr>
              <w:t>.,</w:t>
            </w:r>
          </w:p>
          <w:p w:rsidR="00501C90" w:rsidRPr="000111BC" w:rsidRDefault="00501C90" w:rsidP="00A761F0">
            <w:pPr>
              <w:spacing w:after="0"/>
              <w:ind w:firstLine="0"/>
              <w:jc w:val="center"/>
              <w:rPr>
                <w:sz w:val="20"/>
                <w:lang w:eastAsia="lv-LV"/>
              </w:rPr>
            </w:pPr>
            <w:r w:rsidRPr="000111BC">
              <w:rPr>
                <w:sz w:val="20"/>
                <w:lang w:eastAsia="lv-LV"/>
              </w:rPr>
              <w:t>%</w:t>
            </w:r>
          </w:p>
        </w:tc>
      </w:tr>
      <w:tr w:rsidR="00501C90" w:rsidRPr="00947E6E" w:rsidTr="002A5E83">
        <w:trPr>
          <w:trHeight w:val="240"/>
        </w:trPr>
        <w:tc>
          <w:tcPr>
            <w:tcW w:w="3142" w:type="dxa"/>
            <w:shd w:val="clear" w:color="auto" w:fill="auto"/>
            <w:noWrap/>
            <w:vAlign w:val="bottom"/>
            <w:hideMark/>
          </w:tcPr>
          <w:p w:rsidR="00501C90" w:rsidRPr="0024313F" w:rsidRDefault="00501C90" w:rsidP="00A761F0">
            <w:pPr>
              <w:spacing w:after="0"/>
              <w:ind w:firstLine="0"/>
              <w:jc w:val="left"/>
              <w:rPr>
                <w:sz w:val="20"/>
                <w:lang w:eastAsia="lv-LV"/>
              </w:rPr>
            </w:pPr>
            <w:r w:rsidRPr="0024313F">
              <w:rPr>
                <w:sz w:val="20"/>
                <w:lang w:eastAsia="lv-LV"/>
              </w:rPr>
              <w:t> Uzņēmumu ienākuma nodoklis</w:t>
            </w:r>
          </w:p>
        </w:tc>
        <w:tc>
          <w:tcPr>
            <w:tcW w:w="1417" w:type="dxa"/>
            <w:shd w:val="clear" w:color="auto" w:fill="auto"/>
            <w:noWrap/>
            <w:vAlign w:val="bottom"/>
            <w:hideMark/>
          </w:tcPr>
          <w:p w:rsidR="00501C90" w:rsidRPr="0024313F" w:rsidRDefault="00501C90" w:rsidP="00A761F0">
            <w:pPr>
              <w:tabs>
                <w:tab w:val="decimal" w:pos="601"/>
              </w:tabs>
              <w:spacing w:after="0"/>
              <w:ind w:firstLine="0"/>
              <w:jc w:val="left"/>
              <w:rPr>
                <w:sz w:val="20"/>
                <w:lang w:eastAsia="lv-LV"/>
              </w:rPr>
            </w:pPr>
            <w:r w:rsidRPr="0024313F">
              <w:rPr>
                <w:sz w:val="20"/>
                <w:lang w:eastAsia="lv-LV"/>
              </w:rPr>
              <w:t>34,3</w:t>
            </w:r>
          </w:p>
        </w:tc>
        <w:tc>
          <w:tcPr>
            <w:tcW w:w="1276" w:type="dxa"/>
            <w:vAlign w:val="bottom"/>
          </w:tcPr>
          <w:p w:rsidR="00501C90" w:rsidRPr="0024313F" w:rsidRDefault="00501C90" w:rsidP="00A761F0">
            <w:pPr>
              <w:tabs>
                <w:tab w:val="decimal" w:pos="601"/>
              </w:tabs>
              <w:spacing w:after="0"/>
              <w:ind w:firstLine="0"/>
              <w:jc w:val="left"/>
              <w:rPr>
                <w:sz w:val="20"/>
                <w:lang w:eastAsia="lv-LV"/>
              </w:rPr>
            </w:pPr>
            <w:r w:rsidRPr="0024313F">
              <w:rPr>
                <w:sz w:val="20"/>
                <w:lang w:eastAsia="lv-LV"/>
              </w:rPr>
              <w:t>45,9</w:t>
            </w:r>
          </w:p>
        </w:tc>
        <w:tc>
          <w:tcPr>
            <w:tcW w:w="1276" w:type="dxa"/>
            <w:shd w:val="clear" w:color="auto" w:fill="auto"/>
            <w:noWrap/>
            <w:vAlign w:val="bottom"/>
            <w:hideMark/>
          </w:tcPr>
          <w:p w:rsidR="00501C90" w:rsidRPr="00BB02A9" w:rsidRDefault="00501C90" w:rsidP="00A761F0">
            <w:pPr>
              <w:tabs>
                <w:tab w:val="decimal" w:pos="601"/>
              </w:tabs>
              <w:spacing w:after="0"/>
              <w:ind w:firstLine="0"/>
              <w:jc w:val="left"/>
              <w:rPr>
                <w:sz w:val="20"/>
                <w:lang w:eastAsia="lv-LV"/>
              </w:rPr>
            </w:pPr>
            <w:r w:rsidRPr="00BB02A9">
              <w:rPr>
                <w:sz w:val="20"/>
                <w:lang w:eastAsia="lv-LV"/>
              </w:rPr>
              <w:t>11,6</w:t>
            </w:r>
          </w:p>
        </w:tc>
        <w:tc>
          <w:tcPr>
            <w:tcW w:w="1276" w:type="dxa"/>
            <w:shd w:val="clear" w:color="auto" w:fill="auto"/>
            <w:noWrap/>
            <w:vAlign w:val="bottom"/>
            <w:hideMark/>
          </w:tcPr>
          <w:p w:rsidR="00501C90" w:rsidRPr="00BB02A9" w:rsidRDefault="00501C90" w:rsidP="00A761F0">
            <w:pPr>
              <w:tabs>
                <w:tab w:val="decimal" w:pos="601"/>
              </w:tabs>
              <w:spacing w:after="0"/>
              <w:ind w:firstLine="0"/>
              <w:jc w:val="left"/>
              <w:rPr>
                <w:sz w:val="20"/>
                <w:lang w:eastAsia="lv-LV"/>
              </w:rPr>
            </w:pPr>
            <w:r w:rsidRPr="00BB02A9">
              <w:rPr>
                <w:sz w:val="20"/>
                <w:lang w:eastAsia="lv-LV"/>
              </w:rPr>
              <w:t>33,8</w:t>
            </w:r>
          </w:p>
        </w:tc>
      </w:tr>
      <w:tr w:rsidR="00501C90" w:rsidRPr="00947E6E" w:rsidTr="002A5E83">
        <w:trPr>
          <w:trHeight w:val="240"/>
        </w:trPr>
        <w:tc>
          <w:tcPr>
            <w:tcW w:w="3142" w:type="dxa"/>
            <w:shd w:val="clear" w:color="auto" w:fill="auto"/>
            <w:noWrap/>
            <w:vAlign w:val="bottom"/>
            <w:hideMark/>
          </w:tcPr>
          <w:p w:rsidR="00501C90" w:rsidRPr="0024313F" w:rsidRDefault="00501C90" w:rsidP="00A761F0">
            <w:pPr>
              <w:spacing w:after="0"/>
              <w:ind w:firstLine="0"/>
              <w:jc w:val="left"/>
              <w:rPr>
                <w:sz w:val="20"/>
                <w:lang w:eastAsia="lv-LV"/>
              </w:rPr>
            </w:pPr>
            <w:r w:rsidRPr="0024313F">
              <w:rPr>
                <w:sz w:val="20"/>
                <w:lang w:eastAsia="lv-LV"/>
              </w:rPr>
              <w:t> Pievienotās vērtības nodoklis</w:t>
            </w:r>
          </w:p>
        </w:tc>
        <w:tc>
          <w:tcPr>
            <w:tcW w:w="1417" w:type="dxa"/>
            <w:shd w:val="clear" w:color="auto" w:fill="auto"/>
            <w:noWrap/>
            <w:vAlign w:val="bottom"/>
            <w:hideMark/>
          </w:tcPr>
          <w:p w:rsidR="00501C90" w:rsidRPr="0024313F" w:rsidRDefault="00501C90" w:rsidP="00A761F0">
            <w:pPr>
              <w:tabs>
                <w:tab w:val="decimal" w:pos="601"/>
              </w:tabs>
              <w:spacing w:after="0"/>
              <w:ind w:firstLine="0"/>
              <w:jc w:val="left"/>
              <w:rPr>
                <w:sz w:val="20"/>
                <w:lang w:eastAsia="lv-LV"/>
              </w:rPr>
            </w:pPr>
            <w:r w:rsidRPr="0024313F">
              <w:rPr>
                <w:sz w:val="20"/>
                <w:lang w:eastAsia="lv-LV"/>
              </w:rPr>
              <w:t>199,4</w:t>
            </w:r>
          </w:p>
        </w:tc>
        <w:tc>
          <w:tcPr>
            <w:tcW w:w="1276" w:type="dxa"/>
            <w:vAlign w:val="bottom"/>
          </w:tcPr>
          <w:p w:rsidR="00501C90" w:rsidRPr="0024313F" w:rsidRDefault="00501C90" w:rsidP="00A761F0">
            <w:pPr>
              <w:tabs>
                <w:tab w:val="decimal" w:pos="601"/>
              </w:tabs>
              <w:spacing w:after="0"/>
              <w:ind w:firstLine="0"/>
              <w:jc w:val="left"/>
              <w:rPr>
                <w:sz w:val="20"/>
                <w:lang w:eastAsia="lv-LV"/>
              </w:rPr>
            </w:pPr>
            <w:r w:rsidRPr="0024313F">
              <w:rPr>
                <w:sz w:val="20"/>
                <w:lang w:eastAsia="lv-LV"/>
              </w:rPr>
              <w:t>260,4</w:t>
            </w:r>
          </w:p>
        </w:tc>
        <w:tc>
          <w:tcPr>
            <w:tcW w:w="1276" w:type="dxa"/>
            <w:shd w:val="clear" w:color="auto" w:fill="auto"/>
            <w:noWrap/>
            <w:vAlign w:val="bottom"/>
            <w:hideMark/>
          </w:tcPr>
          <w:p w:rsidR="00501C90" w:rsidRPr="00BB02A9" w:rsidRDefault="00501C90" w:rsidP="00A761F0">
            <w:pPr>
              <w:tabs>
                <w:tab w:val="decimal" w:pos="601"/>
              </w:tabs>
              <w:spacing w:after="0"/>
              <w:ind w:firstLine="0"/>
              <w:jc w:val="left"/>
              <w:rPr>
                <w:sz w:val="20"/>
                <w:lang w:eastAsia="lv-LV"/>
              </w:rPr>
            </w:pPr>
            <w:r w:rsidRPr="00BB02A9">
              <w:rPr>
                <w:sz w:val="20"/>
                <w:lang w:eastAsia="lv-LV"/>
              </w:rPr>
              <w:t>60,9</w:t>
            </w:r>
          </w:p>
        </w:tc>
        <w:tc>
          <w:tcPr>
            <w:tcW w:w="1276" w:type="dxa"/>
            <w:shd w:val="clear" w:color="auto" w:fill="auto"/>
            <w:noWrap/>
            <w:vAlign w:val="bottom"/>
            <w:hideMark/>
          </w:tcPr>
          <w:p w:rsidR="00501C90" w:rsidRPr="00BB02A9" w:rsidRDefault="00501C90" w:rsidP="00A761F0">
            <w:pPr>
              <w:tabs>
                <w:tab w:val="decimal" w:pos="601"/>
              </w:tabs>
              <w:spacing w:after="0"/>
              <w:ind w:firstLine="0"/>
              <w:jc w:val="left"/>
              <w:rPr>
                <w:sz w:val="20"/>
                <w:lang w:eastAsia="lv-LV"/>
              </w:rPr>
            </w:pPr>
            <w:r w:rsidRPr="00BB02A9">
              <w:rPr>
                <w:sz w:val="20"/>
                <w:lang w:eastAsia="lv-LV"/>
              </w:rPr>
              <w:t>30,6</w:t>
            </w:r>
          </w:p>
        </w:tc>
      </w:tr>
      <w:tr w:rsidR="00501C90" w:rsidRPr="00947E6E" w:rsidTr="002A5E83">
        <w:trPr>
          <w:trHeight w:val="240"/>
        </w:trPr>
        <w:tc>
          <w:tcPr>
            <w:tcW w:w="3142" w:type="dxa"/>
            <w:shd w:val="clear" w:color="auto" w:fill="auto"/>
            <w:noWrap/>
            <w:vAlign w:val="bottom"/>
            <w:hideMark/>
          </w:tcPr>
          <w:p w:rsidR="00501C90" w:rsidRPr="0024313F" w:rsidRDefault="00501C90" w:rsidP="00A761F0">
            <w:pPr>
              <w:spacing w:after="0"/>
              <w:ind w:firstLine="0"/>
              <w:jc w:val="left"/>
              <w:rPr>
                <w:sz w:val="20"/>
                <w:lang w:eastAsia="lv-LV"/>
              </w:rPr>
            </w:pPr>
            <w:r w:rsidRPr="0024313F">
              <w:rPr>
                <w:sz w:val="20"/>
                <w:lang w:eastAsia="lv-LV"/>
              </w:rPr>
              <w:t> Akcīzes nodoklis</w:t>
            </w:r>
          </w:p>
        </w:tc>
        <w:tc>
          <w:tcPr>
            <w:tcW w:w="1417" w:type="dxa"/>
            <w:shd w:val="clear" w:color="auto" w:fill="auto"/>
            <w:noWrap/>
            <w:vAlign w:val="bottom"/>
            <w:hideMark/>
          </w:tcPr>
          <w:p w:rsidR="00501C90" w:rsidRPr="0024313F" w:rsidRDefault="00501C90" w:rsidP="00A761F0">
            <w:pPr>
              <w:tabs>
                <w:tab w:val="decimal" w:pos="601"/>
              </w:tabs>
              <w:spacing w:after="0"/>
              <w:ind w:firstLine="0"/>
              <w:jc w:val="left"/>
              <w:rPr>
                <w:sz w:val="20"/>
                <w:lang w:eastAsia="lv-LV"/>
              </w:rPr>
            </w:pPr>
            <w:r w:rsidRPr="0024313F">
              <w:rPr>
                <w:sz w:val="20"/>
                <w:lang w:eastAsia="lv-LV"/>
              </w:rPr>
              <w:t>105,8</w:t>
            </w:r>
          </w:p>
        </w:tc>
        <w:tc>
          <w:tcPr>
            <w:tcW w:w="1276" w:type="dxa"/>
            <w:vAlign w:val="bottom"/>
          </w:tcPr>
          <w:p w:rsidR="00501C90" w:rsidRPr="0024313F" w:rsidRDefault="00501C90" w:rsidP="00A761F0">
            <w:pPr>
              <w:tabs>
                <w:tab w:val="decimal" w:pos="601"/>
              </w:tabs>
              <w:spacing w:after="0"/>
              <w:ind w:firstLine="0"/>
              <w:jc w:val="left"/>
              <w:rPr>
                <w:sz w:val="20"/>
                <w:lang w:eastAsia="lv-LV"/>
              </w:rPr>
            </w:pPr>
            <w:r w:rsidRPr="0024313F">
              <w:rPr>
                <w:sz w:val="20"/>
                <w:lang w:eastAsia="lv-LV"/>
              </w:rPr>
              <w:t>118,8</w:t>
            </w:r>
          </w:p>
        </w:tc>
        <w:tc>
          <w:tcPr>
            <w:tcW w:w="1276" w:type="dxa"/>
            <w:shd w:val="clear" w:color="auto" w:fill="auto"/>
            <w:noWrap/>
            <w:vAlign w:val="bottom"/>
            <w:hideMark/>
          </w:tcPr>
          <w:p w:rsidR="00501C90" w:rsidRPr="00BB02A9" w:rsidRDefault="00501C90" w:rsidP="00A761F0">
            <w:pPr>
              <w:tabs>
                <w:tab w:val="decimal" w:pos="601"/>
              </w:tabs>
              <w:spacing w:after="0"/>
              <w:ind w:firstLine="0"/>
              <w:jc w:val="left"/>
              <w:rPr>
                <w:sz w:val="20"/>
                <w:lang w:eastAsia="lv-LV"/>
              </w:rPr>
            </w:pPr>
            <w:r w:rsidRPr="00BB02A9">
              <w:rPr>
                <w:sz w:val="20"/>
                <w:lang w:eastAsia="lv-LV"/>
              </w:rPr>
              <w:t>13,0</w:t>
            </w:r>
          </w:p>
        </w:tc>
        <w:tc>
          <w:tcPr>
            <w:tcW w:w="1276" w:type="dxa"/>
            <w:shd w:val="clear" w:color="auto" w:fill="auto"/>
            <w:noWrap/>
            <w:vAlign w:val="bottom"/>
            <w:hideMark/>
          </w:tcPr>
          <w:p w:rsidR="00501C90" w:rsidRPr="00BB02A9" w:rsidRDefault="00501C90" w:rsidP="00A761F0">
            <w:pPr>
              <w:tabs>
                <w:tab w:val="decimal" w:pos="601"/>
              </w:tabs>
              <w:spacing w:after="0"/>
              <w:ind w:firstLine="0"/>
              <w:jc w:val="left"/>
              <w:rPr>
                <w:sz w:val="20"/>
                <w:lang w:eastAsia="lv-LV"/>
              </w:rPr>
            </w:pPr>
            <w:r w:rsidRPr="00BB02A9">
              <w:rPr>
                <w:sz w:val="20"/>
                <w:lang w:eastAsia="lv-LV"/>
              </w:rPr>
              <w:t>12,2</w:t>
            </w:r>
          </w:p>
        </w:tc>
      </w:tr>
      <w:tr w:rsidR="00501C90" w:rsidRPr="00947E6E" w:rsidTr="002A5E83">
        <w:trPr>
          <w:trHeight w:val="240"/>
        </w:trPr>
        <w:tc>
          <w:tcPr>
            <w:tcW w:w="3142" w:type="dxa"/>
            <w:shd w:val="clear" w:color="auto" w:fill="auto"/>
            <w:noWrap/>
            <w:vAlign w:val="bottom"/>
            <w:hideMark/>
          </w:tcPr>
          <w:p w:rsidR="00501C90" w:rsidRPr="0024313F" w:rsidRDefault="00501C90" w:rsidP="00A761F0">
            <w:pPr>
              <w:spacing w:after="0"/>
              <w:ind w:firstLine="0"/>
              <w:jc w:val="left"/>
              <w:rPr>
                <w:sz w:val="20"/>
                <w:lang w:eastAsia="lv-LV"/>
              </w:rPr>
            </w:pPr>
            <w:r w:rsidRPr="0024313F">
              <w:rPr>
                <w:sz w:val="20"/>
                <w:lang w:eastAsia="lv-LV"/>
              </w:rPr>
              <w:t> Vieglo automobiļu un motociklu nodoklis</w:t>
            </w:r>
          </w:p>
        </w:tc>
        <w:tc>
          <w:tcPr>
            <w:tcW w:w="1417" w:type="dxa"/>
            <w:shd w:val="clear" w:color="auto" w:fill="auto"/>
            <w:noWrap/>
            <w:vAlign w:val="bottom"/>
            <w:hideMark/>
          </w:tcPr>
          <w:p w:rsidR="00501C90" w:rsidRPr="0024313F" w:rsidRDefault="00501C90" w:rsidP="00A761F0">
            <w:pPr>
              <w:tabs>
                <w:tab w:val="decimal" w:pos="601"/>
              </w:tabs>
              <w:spacing w:after="0"/>
              <w:ind w:firstLine="0"/>
              <w:jc w:val="left"/>
              <w:rPr>
                <w:sz w:val="20"/>
                <w:lang w:eastAsia="lv-LV"/>
              </w:rPr>
            </w:pPr>
            <w:r w:rsidRPr="0024313F">
              <w:rPr>
                <w:sz w:val="20"/>
                <w:lang w:eastAsia="lv-LV"/>
              </w:rPr>
              <w:t>1,0</w:t>
            </w:r>
          </w:p>
        </w:tc>
        <w:tc>
          <w:tcPr>
            <w:tcW w:w="1276" w:type="dxa"/>
            <w:vAlign w:val="bottom"/>
          </w:tcPr>
          <w:p w:rsidR="00501C90" w:rsidRPr="0024313F" w:rsidRDefault="00501C90" w:rsidP="00A761F0">
            <w:pPr>
              <w:tabs>
                <w:tab w:val="decimal" w:pos="601"/>
              </w:tabs>
              <w:spacing w:after="0"/>
              <w:ind w:firstLine="0"/>
              <w:jc w:val="left"/>
              <w:rPr>
                <w:sz w:val="20"/>
                <w:lang w:eastAsia="lv-LV"/>
              </w:rPr>
            </w:pPr>
            <w:r w:rsidRPr="0024313F">
              <w:rPr>
                <w:sz w:val="20"/>
                <w:lang w:eastAsia="lv-LV"/>
              </w:rPr>
              <w:t>1,3</w:t>
            </w:r>
          </w:p>
        </w:tc>
        <w:tc>
          <w:tcPr>
            <w:tcW w:w="1276" w:type="dxa"/>
            <w:shd w:val="clear" w:color="auto" w:fill="auto"/>
            <w:noWrap/>
            <w:vAlign w:val="bottom"/>
            <w:hideMark/>
          </w:tcPr>
          <w:p w:rsidR="00501C90" w:rsidRPr="00BB02A9" w:rsidRDefault="00501C90" w:rsidP="00A761F0">
            <w:pPr>
              <w:tabs>
                <w:tab w:val="decimal" w:pos="601"/>
              </w:tabs>
              <w:spacing w:after="0"/>
              <w:ind w:firstLine="0"/>
              <w:jc w:val="left"/>
              <w:rPr>
                <w:sz w:val="20"/>
                <w:lang w:eastAsia="lv-LV"/>
              </w:rPr>
            </w:pPr>
            <w:r w:rsidRPr="00BB02A9">
              <w:rPr>
                <w:sz w:val="20"/>
                <w:lang w:eastAsia="lv-LV"/>
              </w:rPr>
              <w:t>0,3</w:t>
            </w:r>
          </w:p>
        </w:tc>
        <w:tc>
          <w:tcPr>
            <w:tcW w:w="1276" w:type="dxa"/>
            <w:shd w:val="clear" w:color="auto" w:fill="auto"/>
            <w:noWrap/>
            <w:vAlign w:val="bottom"/>
            <w:hideMark/>
          </w:tcPr>
          <w:p w:rsidR="00501C90" w:rsidRPr="00BB02A9" w:rsidRDefault="00501C90" w:rsidP="00A761F0">
            <w:pPr>
              <w:tabs>
                <w:tab w:val="decimal" w:pos="601"/>
              </w:tabs>
              <w:spacing w:after="0"/>
              <w:ind w:firstLine="0"/>
              <w:jc w:val="left"/>
              <w:rPr>
                <w:sz w:val="20"/>
                <w:lang w:eastAsia="lv-LV"/>
              </w:rPr>
            </w:pPr>
            <w:r w:rsidRPr="00BB02A9">
              <w:rPr>
                <w:sz w:val="20"/>
                <w:lang w:eastAsia="lv-LV"/>
              </w:rPr>
              <w:t>33,6</w:t>
            </w:r>
          </w:p>
        </w:tc>
      </w:tr>
      <w:tr w:rsidR="00501C90" w:rsidRPr="00947E6E" w:rsidTr="002A5E83">
        <w:trPr>
          <w:trHeight w:val="240"/>
        </w:trPr>
        <w:tc>
          <w:tcPr>
            <w:tcW w:w="3142" w:type="dxa"/>
            <w:shd w:val="clear" w:color="auto" w:fill="auto"/>
            <w:noWrap/>
            <w:vAlign w:val="bottom"/>
            <w:hideMark/>
          </w:tcPr>
          <w:p w:rsidR="00501C90" w:rsidRPr="0024313F" w:rsidRDefault="00501C90" w:rsidP="00A761F0">
            <w:pPr>
              <w:spacing w:after="0"/>
              <w:ind w:firstLine="0"/>
              <w:jc w:val="left"/>
              <w:rPr>
                <w:sz w:val="20"/>
                <w:lang w:eastAsia="lv-LV"/>
              </w:rPr>
            </w:pPr>
            <w:r w:rsidRPr="0024313F">
              <w:rPr>
                <w:sz w:val="20"/>
                <w:lang w:eastAsia="lv-LV"/>
              </w:rPr>
              <w:lastRenderedPageBreak/>
              <w:t> Sociālās apdrošināšanas iemaksas*</w:t>
            </w:r>
          </w:p>
        </w:tc>
        <w:tc>
          <w:tcPr>
            <w:tcW w:w="1417" w:type="dxa"/>
            <w:shd w:val="clear" w:color="auto" w:fill="auto"/>
            <w:noWrap/>
            <w:vAlign w:val="bottom"/>
            <w:hideMark/>
          </w:tcPr>
          <w:p w:rsidR="00501C90" w:rsidRPr="0024313F" w:rsidRDefault="00501C90" w:rsidP="00A761F0">
            <w:pPr>
              <w:tabs>
                <w:tab w:val="decimal" w:pos="601"/>
              </w:tabs>
              <w:spacing w:after="0"/>
              <w:ind w:firstLine="0"/>
              <w:jc w:val="left"/>
              <w:rPr>
                <w:sz w:val="20"/>
                <w:lang w:eastAsia="lv-LV"/>
              </w:rPr>
            </w:pPr>
            <w:r w:rsidRPr="0024313F">
              <w:rPr>
                <w:sz w:val="20"/>
                <w:lang w:eastAsia="lv-LV"/>
              </w:rPr>
              <w:t>292,8</w:t>
            </w:r>
          </w:p>
        </w:tc>
        <w:tc>
          <w:tcPr>
            <w:tcW w:w="1276" w:type="dxa"/>
            <w:vAlign w:val="bottom"/>
          </w:tcPr>
          <w:p w:rsidR="00501C90" w:rsidRPr="00947E6E" w:rsidRDefault="00501C90" w:rsidP="00A761F0">
            <w:pPr>
              <w:tabs>
                <w:tab w:val="decimal" w:pos="601"/>
              </w:tabs>
              <w:spacing w:after="0"/>
              <w:ind w:firstLine="0"/>
              <w:jc w:val="left"/>
              <w:rPr>
                <w:sz w:val="20"/>
                <w:highlight w:val="yellow"/>
                <w:lang w:eastAsia="lv-LV"/>
              </w:rPr>
            </w:pPr>
            <w:r w:rsidRPr="0024313F">
              <w:rPr>
                <w:sz w:val="20"/>
                <w:lang w:eastAsia="lv-LV"/>
              </w:rPr>
              <w:t>323,1</w:t>
            </w:r>
          </w:p>
        </w:tc>
        <w:tc>
          <w:tcPr>
            <w:tcW w:w="1276" w:type="dxa"/>
            <w:shd w:val="clear" w:color="auto" w:fill="auto"/>
            <w:noWrap/>
            <w:vAlign w:val="bottom"/>
            <w:hideMark/>
          </w:tcPr>
          <w:p w:rsidR="00501C90" w:rsidRPr="00BB02A9" w:rsidRDefault="00501C90" w:rsidP="00A761F0">
            <w:pPr>
              <w:tabs>
                <w:tab w:val="decimal" w:pos="601"/>
              </w:tabs>
              <w:spacing w:after="0"/>
              <w:ind w:firstLine="0"/>
              <w:jc w:val="left"/>
              <w:rPr>
                <w:sz w:val="20"/>
                <w:lang w:eastAsia="lv-LV"/>
              </w:rPr>
            </w:pPr>
            <w:r w:rsidRPr="00BB02A9">
              <w:rPr>
                <w:sz w:val="20"/>
                <w:lang w:eastAsia="lv-LV"/>
              </w:rPr>
              <w:t>30,3</w:t>
            </w:r>
          </w:p>
        </w:tc>
        <w:tc>
          <w:tcPr>
            <w:tcW w:w="1276" w:type="dxa"/>
            <w:shd w:val="clear" w:color="auto" w:fill="auto"/>
            <w:noWrap/>
            <w:vAlign w:val="bottom"/>
            <w:hideMark/>
          </w:tcPr>
          <w:p w:rsidR="00501C90" w:rsidRPr="00BB02A9" w:rsidRDefault="00501C90" w:rsidP="00A761F0">
            <w:pPr>
              <w:tabs>
                <w:tab w:val="decimal" w:pos="601"/>
              </w:tabs>
              <w:spacing w:after="0"/>
              <w:ind w:firstLine="0"/>
              <w:jc w:val="left"/>
              <w:rPr>
                <w:sz w:val="20"/>
                <w:lang w:eastAsia="lv-LV"/>
              </w:rPr>
            </w:pPr>
            <w:r w:rsidRPr="00BB02A9">
              <w:rPr>
                <w:sz w:val="20"/>
                <w:lang w:eastAsia="lv-LV"/>
              </w:rPr>
              <w:t>10,3</w:t>
            </w:r>
          </w:p>
        </w:tc>
      </w:tr>
      <w:tr w:rsidR="00501C90" w:rsidRPr="00947E6E" w:rsidTr="002A5E83">
        <w:trPr>
          <w:trHeight w:val="240"/>
        </w:trPr>
        <w:tc>
          <w:tcPr>
            <w:tcW w:w="3142" w:type="dxa"/>
            <w:shd w:val="clear" w:color="auto" w:fill="auto"/>
            <w:noWrap/>
            <w:vAlign w:val="bottom"/>
            <w:hideMark/>
          </w:tcPr>
          <w:p w:rsidR="00501C90" w:rsidRPr="0024313F" w:rsidRDefault="00501C90" w:rsidP="00A761F0">
            <w:pPr>
              <w:spacing w:after="0"/>
              <w:ind w:firstLine="0"/>
              <w:jc w:val="left"/>
              <w:rPr>
                <w:sz w:val="20"/>
                <w:lang w:eastAsia="lv-LV"/>
              </w:rPr>
            </w:pPr>
            <w:r w:rsidRPr="0024313F">
              <w:rPr>
                <w:sz w:val="20"/>
                <w:lang w:eastAsia="lv-LV"/>
              </w:rPr>
              <w:t> Muitas nodoklis</w:t>
            </w:r>
          </w:p>
        </w:tc>
        <w:tc>
          <w:tcPr>
            <w:tcW w:w="1417" w:type="dxa"/>
            <w:shd w:val="clear" w:color="auto" w:fill="auto"/>
            <w:noWrap/>
            <w:vAlign w:val="bottom"/>
            <w:hideMark/>
          </w:tcPr>
          <w:p w:rsidR="00501C90" w:rsidRPr="0024313F" w:rsidRDefault="00501C90" w:rsidP="00A761F0">
            <w:pPr>
              <w:tabs>
                <w:tab w:val="decimal" w:pos="601"/>
              </w:tabs>
              <w:spacing w:after="0"/>
              <w:ind w:firstLine="0"/>
              <w:jc w:val="left"/>
              <w:rPr>
                <w:sz w:val="20"/>
                <w:lang w:eastAsia="lv-LV"/>
              </w:rPr>
            </w:pPr>
            <w:r w:rsidRPr="0024313F">
              <w:rPr>
                <w:sz w:val="20"/>
                <w:lang w:eastAsia="lv-LV"/>
              </w:rPr>
              <w:t>5,0</w:t>
            </w:r>
          </w:p>
        </w:tc>
        <w:tc>
          <w:tcPr>
            <w:tcW w:w="1276" w:type="dxa"/>
            <w:vAlign w:val="bottom"/>
          </w:tcPr>
          <w:p w:rsidR="00501C90" w:rsidRPr="00947E6E" w:rsidRDefault="00501C90" w:rsidP="00A761F0">
            <w:pPr>
              <w:tabs>
                <w:tab w:val="decimal" w:pos="601"/>
              </w:tabs>
              <w:spacing w:after="0"/>
              <w:ind w:firstLine="0"/>
              <w:jc w:val="left"/>
              <w:rPr>
                <w:sz w:val="20"/>
                <w:highlight w:val="yellow"/>
                <w:lang w:eastAsia="lv-LV"/>
              </w:rPr>
            </w:pPr>
            <w:r w:rsidRPr="0024313F">
              <w:rPr>
                <w:sz w:val="20"/>
                <w:lang w:eastAsia="lv-LV"/>
              </w:rPr>
              <w:t>5,9</w:t>
            </w:r>
          </w:p>
        </w:tc>
        <w:tc>
          <w:tcPr>
            <w:tcW w:w="1276" w:type="dxa"/>
            <w:shd w:val="clear" w:color="auto" w:fill="auto"/>
            <w:noWrap/>
            <w:vAlign w:val="bottom"/>
            <w:hideMark/>
          </w:tcPr>
          <w:p w:rsidR="00501C90" w:rsidRPr="00BB02A9" w:rsidRDefault="00501C90" w:rsidP="00A761F0">
            <w:pPr>
              <w:tabs>
                <w:tab w:val="decimal" w:pos="601"/>
              </w:tabs>
              <w:spacing w:after="0"/>
              <w:ind w:firstLine="0"/>
              <w:jc w:val="left"/>
              <w:rPr>
                <w:sz w:val="20"/>
                <w:lang w:eastAsia="lv-LV"/>
              </w:rPr>
            </w:pPr>
            <w:r w:rsidRPr="00BB02A9">
              <w:rPr>
                <w:sz w:val="20"/>
                <w:lang w:eastAsia="lv-LV"/>
              </w:rPr>
              <w:t>0,8</w:t>
            </w:r>
          </w:p>
        </w:tc>
        <w:tc>
          <w:tcPr>
            <w:tcW w:w="1276" w:type="dxa"/>
            <w:shd w:val="clear" w:color="auto" w:fill="auto"/>
            <w:noWrap/>
            <w:vAlign w:val="bottom"/>
            <w:hideMark/>
          </w:tcPr>
          <w:p w:rsidR="00501C90" w:rsidRPr="00BB02A9" w:rsidRDefault="00501C90" w:rsidP="00A761F0">
            <w:pPr>
              <w:tabs>
                <w:tab w:val="decimal" w:pos="601"/>
              </w:tabs>
              <w:spacing w:after="0"/>
              <w:ind w:firstLine="0"/>
              <w:jc w:val="left"/>
              <w:rPr>
                <w:sz w:val="20"/>
                <w:lang w:eastAsia="lv-LV"/>
              </w:rPr>
            </w:pPr>
            <w:r w:rsidRPr="00BB02A9">
              <w:rPr>
                <w:sz w:val="20"/>
                <w:lang w:eastAsia="lv-LV"/>
              </w:rPr>
              <w:t>16,5</w:t>
            </w:r>
          </w:p>
        </w:tc>
      </w:tr>
      <w:tr w:rsidR="00501C90" w:rsidRPr="00947E6E" w:rsidTr="002A5E83">
        <w:trPr>
          <w:trHeight w:val="240"/>
        </w:trPr>
        <w:tc>
          <w:tcPr>
            <w:tcW w:w="3142" w:type="dxa"/>
            <w:shd w:val="clear" w:color="auto" w:fill="auto"/>
            <w:noWrap/>
            <w:vAlign w:val="bottom"/>
            <w:hideMark/>
          </w:tcPr>
          <w:p w:rsidR="00501C90" w:rsidRPr="0024313F" w:rsidRDefault="00501C90" w:rsidP="00A761F0">
            <w:pPr>
              <w:spacing w:after="0"/>
              <w:ind w:firstLine="0"/>
              <w:jc w:val="left"/>
              <w:rPr>
                <w:sz w:val="20"/>
                <w:lang w:eastAsia="lv-LV"/>
              </w:rPr>
            </w:pPr>
            <w:r w:rsidRPr="0024313F">
              <w:rPr>
                <w:sz w:val="20"/>
                <w:lang w:eastAsia="lv-LV"/>
              </w:rPr>
              <w:t> Iedzīvotāju ienākuma nodoklis</w:t>
            </w:r>
          </w:p>
        </w:tc>
        <w:tc>
          <w:tcPr>
            <w:tcW w:w="1417" w:type="dxa"/>
            <w:shd w:val="clear" w:color="auto" w:fill="auto"/>
            <w:noWrap/>
            <w:vAlign w:val="bottom"/>
            <w:hideMark/>
          </w:tcPr>
          <w:p w:rsidR="00501C90" w:rsidRPr="0024313F" w:rsidRDefault="00501C90" w:rsidP="00A761F0">
            <w:pPr>
              <w:tabs>
                <w:tab w:val="decimal" w:pos="601"/>
              </w:tabs>
              <w:spacing w:after="0"/>
              <w:ind w:firstLine="0"/>
              <w:jc w:val="left"/>
              <w:rPr>
                <w:sz w:val="20"/>
                <w:lang w:eastAsia="lv-LV"/>
              </w:rPr>
            </w:pPr>
            <w:r w:rsidRPr="0024313F">
              <w:rPr>
                <w:sz w:val="20"/>
                <w:lang w:eastAsia="lv-LV"/>
              </w:rPr>
              <w:t>183,0</w:t>
            </w:r>
          </w:p>
        </w:tc>
        <w:tc>
          <w:tcPr>
            <w:tcW w:w="1276" w:type="dxa"/>
            <w:vAlign w:val="bottom"/>
          </w:tcPr>
          <w:p w:rsidR="00501C90" w:rsidRPr="00947E6E" w:rsidRDefault="00501C90" w:rsidP="00A761F0">
            <w:pPr>
              <w:tabs>
                <w:tab w:val="decimal" w:pos="601"/>
              </w:tabs>
              <w:spacing w:after="0"/>
              <w:ind w:firstLine="0"/>
              <w:jc w:val="left"/>
              <w:rPr>
                <w:sz w:val="20"/>
                <w:highlight w:val="yellow"/>
                <w:lang w:eastAsia="lv-LV"/>
              </w:rPr>
            </w:pPr>
            <w:r w:rsidRPr="0024313F">
              <w:rPr>
                <w:sz w:val="20"/>
                <w:lang w:eastAsia="lv-LV"/>
              </w:rPr>
              <w:t>205,6</w:t>
            </w:r>
          </w:p>
        </w:tc>
        <w:tc>
          <w:tcPr>
            <w:tcW w:w="1276" w:type="dxa"/>
            <w:shd w:val="clear" w:color="auto" w:fill="auto"/>
            <w:noWrap/>
            <w:vAlign w:val="bottom"/>
            <w:hideMark/>
          </w:tcPr>
          <w:p w:rsidR="00501C90" w:rsidRPr="00BB02A9" w:rsidRDefault="00501C90" w:rsidP="00A761F0">
            <w:pPr>
              <w:tabs>
                <w:tab w:val="decimal" w:pos="601"/>
              </w:tabs>
              <w:spacing w:after="0"/>
              <w:ind w:firstLine="0"/>
              <w:jc w:val="left"/>
              <w:rPr>
                <w:sz w:val="20"/>
                <w:lang w:eastAsia="lv-LV"/>
              </w:rPr>
            </w:pPr>
            <w:r w:rsidRPr="00BB02A9">
              <w:rPr>
                <w:sz w:val="20"/>
                <w:lang w:eastAsia="lv-LV"/>
              </w:rPr>
              <w:t>22,6</w:t>
            </w:r>
          </w:p>
        </w:tc>
        <w:tc>
          <w:tcPr>
            <w:tcW w:w="1276" w:type="dxa"/>
            <w:shd w:val="clear" w:color="auto" w:fill="auto"/>
            <w:noWrap/>
            <w:vAlign w:val="bottom"/>
            <w:hideMark/>
          </w:tcPr>
          <w:p w:rsidR="00501C90" w:rsidRPr="00BB02A9" w:rsidRDefault="00501C90" w:rsidP="00A761F0">
            <w:pPr>
              <w:tabs>
                <w:tab w:val="decimal" w:pos="601"/>
              </w:tabs>
              <w:spacing w:after="0"/>
              <w:ind w:firstLine="0"/>
              <w:jc w:val="left"/>
              <w:rPr>
                <w:sz w:val="20"/>
                <w:lang w:eastAsia="lv-LV"/>
              </w:rPr>
            </w:pPr>
            <w:r w:rsidRPr="00BB02A9">
              <w:rPr>
                <w:sz w:val="20"/>
                <w:lang w:eastAsia="lv-LV"/>
              </w:rPr>
              <w:t>12,4</w:t>
            </w:r>
          </w:p>
        </w:tc>
      </w:tr>
      <w:tr w:rsidR="00501C90" w:rsidRPr="00947E6E" w:rsidTr="002A5E83">
        <w:trPr>
          <w:trHeight w:val="240"/>
        </w:trPr>
        <w:tc>
          <w:tcPr>
            <w:tcW w:w="3142" w:type="dxa"/>
            <w:shd w:val="clear" w:color="auto" w:fill="auto"/>
            <w:noWrap/>
            <w:vAlign w:val="bottom"/>
            <w:hideMark/>
          </w:tcPr>
          <w:p w:rsidR="00501C90" w:rsidRPr="0024313F" w:rsidRDefault="00501C90" w:rsidP="00A761F0">
            <w:pPr>
              <w:spacing w:after="0"/>
              <w:ind w:firstLine="0"/>
              <w:jc w:val="left"/>
              <w:rPr>
                <w:sz w:val="20"/>
                <w:lang w:eastAsia="lv-LV"/>
              </w:rPr>
            </w:pPr>
            <w:r w:rsidRPr="0024313F">
              <w:rPr>
                <w:sz w:val="20"/>
                <w:lang w:eastAsia="lv-LV"/>
              </w:rPr>
              <w:t> Nekustamā īpašuma nodoklis</w:t>
            </w:r>
          </w:p>
        </w:tc>
        <w:tc>
          <w:tcPr>
            <w:tcW w:w="1417" w:type="dxa"/>
            <w:shd w:val="clear" w:color="auto" w:fill="auto"/>
            <w:noWrap/>
            <w:vAlign w:val="bottom"/>
            <w:hideMark/>
          </w:tcPr>
          <w:p w:rsidR="00501C90" w:rsidRPr="0024313F" w:rsidRDefault="00501C90" w:rsidP="00A761F0">
            <w:pPr>
              <w:tabs>
                <w:tab w:val="decimal" w:pos="601"/>
              </w:tabs>
              <w:spacing w:after="0"/>
              <w:ind w:firstLine="0"/>
              <w:jc w:val="left"/>
              <w:rPr>
                <w:sz w:val="20"/>
                <w:lang w:eastAsia="lv-LV"/>
              </w:rPr>
            </w:pPr>
            <w:r w:rsidRPr="0024313F">
              <w:rPr>
                <w:sz w:val="20"/>
                <w:lang w:eastAsia="lv-LV"/>
              </w:rPr>
              <w:t>37,3</w:t>
            </w:r>
          </w:p>
        </w:tc>
        <w:tc>
          <w:tcPr>
            <w:tcW w:w="1276" w:type="dxa"/>
            <w:vAlign w:val="bottom"/>
          </w:tcPr>
          <w:p w:rsidR="00501C90" w:rsidRPr="00947E6E" w:rsidRDefault="00501C90" w:rsidP="00A761F0">
            <w:pPr>
              <w:tabs>
                <w:tab w:val="decimal" w:pos="601"/>
              </w:tabs>
              <w:spacing w:after="0"/>
              <w:ind w:firstLine="0"/>
              <w:jc w:val="left"/>
              <w:rPr>
                <w:sz w:val="20"/>
                <w:highlight w:val="yellow"/>
                <w:lang w:eastAsia="lv-LV"/>
              </w:rPr>
            </w:pPr>
            <w:r w:rsidRPr="0024313F">
              <w:rPr>
                <w:sz w:val="20"/>
                <w:lang w:eastAsia="lv-LV"/>
              </w:rPr>
              <w:t>35,3</w:t>
            </w:r>
          </w:p>
        </w:tc>
        <w:tc>
          <w:tcPr>
            <w:tcW w:w="1276" w:type="dxa"/>
            <w:shd w:val="clear" w:color="auto" w:fill="auto"/>
            <w:noWrap/>
            <w:vAlign w:val="bottom"/>
            <w:hideMark/>
          </w:tcPr>
          <w:p w:rsidR="00501C90" w:rsidRPr="00BB02A9" w:rsidRDefault="00501C90" w:rsidP="00A761F0">
            <w:pPr>
              <w:tabs>
                <w:tab w:val="decimal" w:pos="601"/>
              </w:tabs>
              <w:spacing w:after="0"/>
              <w:ind w:firstLine="0"/>
              <w:jc w:val="left"/>
              <w:rPr>
                <w:sz w:val="20"/>
                <w:lang w:eastAsia="lv-LV"/>
              </w:rPr>
            </w:pPr>
            <w:r w:rsidRPr="00BB02A9">
              <w:rPr>
                <w:sz w:val="20"/>
                <w:lang w:eastAsia="lv-LV"/>
              </w:rPr>
              <w:t>-2,0</w:t>
            </w:r>
          </w:p>
        </w:tc>
        <w:tc>
          <w:tcPr>
            <w:tcW w:w="1276" w:type="dxa"/>
            <w:shd w:val="clear" w:color="auto" w:fill="auto"/>
            <w:noWrap/>
            <w:vAlign w:val="bottom"/>
            <w:hideMark/>
          </w:tcPr>
          <w:p w:rsidR="00501C90" w:rsidRPr="00BB02A9" w:rsidRDefault="00501C90" w:rsidP="00A761F0">
            <w:pPr>
              <w:tabs>
                <w:tab w:val="decimal" w:pos="601"/>
              </w:tabs>
              <w:spacing w:after="0"/>
              <w:ind w:firstLine="0"/>
              <w:jc w:val="left"/>
              <w:rPr>
                <w:sz w:val="20"/>
                <w:lang w:eastAsia="lv-LV"/>
              </w:rPr>
            </w:pPr>
            <w:r w:rsidRPr="00BB02A9">
              <w:rPr>
                <w:sz w:val="20"/>
                <w:lang w:eastAsia="lv-LV"/>
              </w:rPr>
              <w:t>-5,4</w:t>
            </w:r>
          </w:p>
        </w:tc>
      </w:tr>
      <w:tr w:rsidR="00501C90" w:rsidRPr="00947E6E" w:rsidTr="002A5E83">
        <w:trPr>
          <w:trHeight w:val="240"/>
        </w:trPr>
        <w:tc>
          <w:tcPr>
            <w:tcW w:w="3142" w:type="dxa"/>
            <w:shd w:val="clear" w:color="auto" w:fill="auto"/>
            <w:noWrap/>
            <w:vAlign w:val="bottom"/>
            <w:hideMark/>
          </w:tcPr>
          <w:p w:rsidR="00501C90" w:rsidRPr="0024313F" w:rsidRDefault="00501C90" w:rsidP="00A761F0">
            <w:pPr>
              <w:spacing w:after="0"/>
              <w:ind w:firstLine="0"/>
              <w:jc w:val="left"/>
              <w:rPr>
                <w:sz w:val="20"/>
                <w:lang w:eastAsia="lv-LV"/>
              </w:rPr>
            </w:pPr>
            <w:r w:rsidRPr="0024313F">
              <w:rPr>
                <w:sz w:val="20"/>
                <w:lang w:eastAsia="lv-LV"/>
              </w:rPr>
              <w:t> Dabas resursu nodoklis</w:t>
            </w:r>
          </w:p>
        </w:tc>
        <w:tc>
          <w:tcPr>
            <w:tcW w:w="1417" w:type="dxa"/>
            <w:shd w:val="clear" w:color="auto" w:fill="auto"/>
            <w:noWrap/>
            <w:vAlign w:val="bottom"/>
            <w:hideMark/>
          </w:tcPr>
          <w:p w:rsidR="00501C90" w:rsidRPr="0024313F" w:rsidRDefault="00501C90" w:rsidP="00A761F0">
            <w:pPr>
              <w:tabs>
                <w:tab w:val="decimal" w:pos="601"/>
              </w:tabs>
              <w:spacing w:after="0"/>
              <w:ind w:firstLine="0"/>
              <w:jc w:val="left"/>
              <w:rPr>
                <w:sz w:val="20"/>
                <w:lang w:eastAsia="lv-LV"/>
              </w:rPr>
            </w:pPr>
            <w:r w:rsidRPr="0024313F">
              <w:rPr>
                <w:sz w:val="20"/>
                <w:lang w:eastAsia="lv-LV"/>
              </w:rPr>
              <w:t>2,5</w:t>
            </w:r>
          </w:p>
        </w:tc>
        <w:tc>
          <w:tcPr>
            <w:tcW w:w="1276" w:type="dxa"/>
            <w:vAlign w:val="bottom"/>
          </w:tcPr>
          <w:p w:rsidR="00501C90" w:rsidRPr="00947E6E" w:rsidRDefault="00501C90" w:rsidP="00A761F0">
            <w:pPr>
              <w:tabs>
                <w:tab w:val="decimal" w:pos="601"/>
              </w:tabs>
              <w:spacing w:after="0"/>
              <w:ind w:firstLine="0"/>
              <w:jc w:val="left"/>
              <w:rPr>
                <w:sz w:val="20"/>
                <w:highlight w:val="yellow"/>
                <w:lang w:eastAsia="lv-LV"/>
              </w:rPr>
            </w:pPr>
            <w:r w:rsidRPr="0024313F">
              <w:rPr>
                <w:sz w:val="20"/>
                <w:lang w:eastAsia="lv-LV"/>
              </w:rPr>
              <w:t>3,3</w:t>
            </w:r>
          </w:p>
        </w:tc>
        <w:tc>
          <w:tcPr>
            <w:tcW w:w="1276" w:type="dxa"/>
            <w:shd w:val="clear" w:color="auto" w:fill="auto"/>
            <w:noWrap/>
            <w:vAlign w:val="bottom"/>
            <w:hideMark/>
          </w:tcPr>
          <w:p w:rsidR="00501C90" w:rsidRPr="00BB02A9" w:rsidRDefault="00501C90" w:rsidP="00A761F0">
            <w:pPr>
              <w:tabs>
                <w:tab w:val="decimal" w:pos="601"/>
              </w:tabs>
              <w:spacing w:after="0"/>
              <w:ind w:firstLine="0"/>
              <w:jc w:val="left"/>
              <w:rPr>
                <w:sz w:val="20"/>
                <w:lang w:eastAsia="lv-LV"/>
              </w:rPr>
            </w:pPr>
            <w:r w:rsidRPr="00BB02A9">
              <w:rPr>
                <w:sz w:val="20"/>
                <w:lang w:eastAsia="lv-LV"/>
              </w:rPr>
              <w:t>0,8</w:t>
            </w:r>
          </w:p>
        </w:tc>
        <w:tc>
          <w:tcPr>
            <w:tcW w:w="1276" w:type="dxa"/>
            <w:shd w:val="clear" w:color="auto" w:fill="auto"/>
            <w:noWrap/>
            <w:vAlign w:val="bottom"/>
            <w:hideMark/>
          </w:tcPr>
          <w:p w:rsidR="00501C90" w:rsidRPr="00BB02A9" w:rsidRDefault="00501C90" w:rsidP="00A761F0">
            <w:pPr>
              <w:tabs>
                <w:tab w:val="decimal" w:pos="601"/>
              </w:tabs>
              <w:spacing w:after="0"/>
              <w:ind w:firstLine="0"/>
              <w:jc w:val="left"/>
              <w:rPr>
                <w:sz w:val="20"/>
                <w:lang w:eastAsia="lv-LV"/>
              </w:rPr>
            </w:pPr>
            <w:r w:rsidRPr="00BB02A9">
              <w:rPr>
                <w:sz w:val="20"/>
                <w:lang w:eastAsia="lv-LV"/>
              </w:rPr>
              <w:t>30,8</w:t>
            </w:r>
          </w:p>
        </w:tc>
      </w:tr>
      <w:tr w:rsidR="00501C90" w:rsidRPr="00947E6E" w:rsidTr="002A5E83">
        <w:trPr>
          <w:trHeight w:val="240"/>
        </w:trPr>
        <w:tc>
          <w:tcPr>
            <w:tcW w:w="3142" w:type="dxa"/>
            <w:shd w:val="clear" w:color="auto" w:fill="auto"/>
            <w:noWrap/>
            <w:vAlign w:val="bottom"/>
            <w:hideMark/>
          </w:tcPr>
          <w:p w:rsidR="00501C90" w:rsidRPr="0024313F" w:rsidRDefault="00501C90" w:rsidP="00A761F0">
            <w:pPr>
              <w:spacing w:after="0"/>
              <w:ind w:firstLine="0"/>
              <w:jc w:val="left"/>
              <w:rPr>
                <w:sz w:val="20"/>
                <w:lang w:eastAsia="lv-LV"/>
              </w:rPr>
            </w:pPr>
            <w:r w:rsidRPr="0024313F">
              <w:rPr>
                <w:sz w:val="20"/>
                <w:lang w:eastAsia="lv-LV"/>
              </w:rPr>
              <w:t> Azartspēļu un izložu nodoklis</w:t>
            </w:r>
          </w:p>
        </w:tc>
        <w:tc>
          <w:tcPr>
            <w:tcW w:w="1417" w:type="dxa"/>
            <w:shd w:val="clear" w:color="auto" w:fill="auto"/>
            <w:noWrap/>
            <w:vAlign w:val="bottom"/>
            <w:hideMark/>
          </w:tcPr>
          <w:p w:rsidR="00501C90" w:rsidRPr="0024313F" w:rsidRDefault="00501C90" w:rsidP="00A761F0">
            <w:pPr>
              <w:tabs>
                <w:tab w:val="decimal" w:pos="601"/>
              </w:tabs>
              <w:spacing w:after="0"/>
              <w:ind w:firstLine="0"/>
              <w:jc w:val="left"/>
              <w:rPr>
                <w:sz w:val="20"/>
                <w:lang w:eastAsia="lv-LV"/>
              </w:rPr>
            </w:pPr>
            <w:r w:rsidRPr="0024313F">
              <w:rPr>
                <w:sz w:val="20"/>
                <w:lang w:eastAsia="lv-LV"/>
              </w:rPr>
              <w:t>3,8</w:t>
            </w:r>
          </w:p>
        </w:tc>
        <w:tc>
          <w:tcPr>
            <w:tcW w:w="1276" w:type="dxa"/>
            <w:vAlign w:val="bottom"/>
          </w:tcPr>
          <w:p w:rsidR="00501C90" w:rsidRPr="00947E6E" w:rsidRDefault="00501C90" w:rsidP="00A761F0">
            <w:pPr>
              <w:tabs>
                <w:tab w:val="decimal" w:pos="601"/>
              </w:tabs>
              <w:spacing w:after="0"/>
              <w:ind w:firstLine="0"/>
              <w:jc w:val="left"/>
              <w:rPr>
                <w:sz w:val="20"/>
                <w:highlight w:val="yellow"/>
                <w:lang w:eastAsia="lv-LV"/>
              </w:rPr>
            </w:pPr>
            <w:r w:rsidRPr="0024313F">
              <w:rPr>
                <w:sz w:val="20"/>
                <w:lang w:eastAsia="lv-LV"/>
              </w:rPr>
              <w:t>4,7</w:t>
            </w:r>
          </w:p>
        </w:tc>
        <w:tc>
          <w:tcPr>
            <w:tcW w:w="1276" w:type="dxa"/>
            <w:shd w:val="clear" w:color="auto" w:fill="auto"/>
            <w:noWrap/>
            <w:vAlign w:val="bottom"/>
            <w:hideMark/>
          </w:tcPr>
          <w:p w:rsidR="00501C90" w:rsidRPr="00BB02A9" w:rsidRDefault="00501C90" w:rsidP="00A761F0">
            <w:pPr>
              <w:tabs>
                <w:tab w:val="decimal" w:pos="601"/>
              </w:tabs>
              <w:spacing w:after="0"/>
              <w:ind w:firstLine="0"/>
              <w:jc w:val="left"/>
              <w:rPr>
                <w:sz w:val="20"/>
                <w:lang w:eastAsia="lv-LV"/>
              </w:rPr>
            </w:pPr>
            <w:r w:rsidRPr="00BB02A9">
              <w:rPr>
                <w:sz w:val="20"/>
                <w:lang w:eastAsia="lv-LV"/>
              </w:rPr>
              <w:t>1,0</w:t>
            </w:r>
          </w:p>
        </w:tc>
        <w:tc>
          <w:tcPr>
            <w:tcW w:w="1276" w:type="dxa"/>
            <w:shd w:val="clear" w:color="auto" w:fill="auto"/>
            <w:noWrap/>
            <w:vAlign w:val="bottom"/>
            <w:hideMark/>
          </w:tcPr>
          <w:p w:rsidR="00501C90" w:rsidRPr="00BB02A9" w:rsidRDefault="00501C90" w:rsidP="00A761F0">
            <w:pPr>
              <w:tabs>
                <w:tab w:val="decimal" w:pos="601"/>
              </w:tabs>
              <w:spacing w:after="0"/>
              <w:ind w:firstLine="0"/>
              <w:jc w:val="left"/>
              <w:rPr>
                <w:sz w:val="20"/>
                <w:lang w:eastAsia="lv-LV"/>
              </w:rPr>
            </w:pPr>
            <w:r w:rsidRPr="00BB02A9">
              <w:rPr>
                <w:sz w:val="20"/>
                <w:lang w:eastAsia="lv-LV"/>
              </w:rPr>
              <w:t>25,4</w:t>
            </w:r>
          </w:p>
        </w:tc>
      </w:tr>
      <w:tr w:rsidR="00501C90" w:rsidRPr="00947E6E" w:rsidTr="002A5E83">
        <w:trPr>
          <w:trHeight w:val="240"/>
        </w:trPr>
        <w:tc>
          <w:tcPr>
            <w:tcW w:w="3142" w:type="dxa"/>
            <w:shd w:val="clear" w:color="auto" w:fill="auto"/>
            <w:noWrap/>
            <w:vAlign w:val="bottom"/>
            <w:hideMark/>
          </w:tcPr>
          <w:p w:rsidR="00501C90" w:rsidRPr="0024313F" w:rsidRDefault="00501C90" w:rsidP="00A761F0">
            <w:pPr>
              <w:spacing w:after="0"/>
              <w:ind w:firstLine="0"/>
              <w:jc w:val="left"/>
              <w:rPr>
                <w:sz w:val="20"/>
                <w:lang w:eastAsia="lv-LV"/>
              </w:rPr>
            </w:pPr>
            <w:r w:rsidRPr="0024313F">
              <w:rPr>
                <w:sz w:val="20"/>
                <w:lang w:eastAsia="lv-LV"/>
              </w:rPr>
              <w:t> Elektroenerģijas nodoklis</w:t>
            </w:r>
          </w:p>
        </w:tc>
        <w:tc>
          <w:tcPr>
            <w:tcW w:w="1417" w:type="dxa"/>
            <w:shd w:val="clear" w:color="auto" w:fill="auto"/>
            <w:noWrap/>
            <w:vAlign w:val="bottom"/>
            <w:hideMark/>
          </w:tcPr>
          <w:p w:rsidR="00501C90" w:rsidRPr="0024313F" w:rsidRDefault="00501C90" w:rsidP="00A761F0">
            <w:pPr>
              <w:tabs>
                <w:tab w:val="decimal" w:pos="601"/>
              </w:tabs>
              <w:spacing w:after="0"/>
              <w:ind w:firstLine="0"/>
              <w:jc w:val="left"/>
              <w:rPr>
                <w:sz w:val="20"/>
                <w:lang w:eastAsia="lv-LV"/>
              </w:rPr>
            </w:pPr>
            <w:r w:rsidRPr="0024313F">
              <w:rPr>
                <w:sz w:val="20"/>
                <w:lang w:eastAsia="lv-LV"/>
              </w:rPr>
              <w:t>0,1</w:t>
            </w:r>
          </w:p>
        </w:tc>
        <w:tc>
          <w:tcPr>
            <w:tcW w:w="1276" w:type="dxa"/>
            <w:vAlign w:val="bottom"/>
          </w:tcPr>
          <w:p w:rsidR="00501C90" w:rsidRPr="00947E6E" w:rsidRDefault="00501C90" w:rsidP="00A761F0">
            <w:pPr>
              <w:tabs>
                <w:tab w:val="decimal" w:pos="601"/>
              </w:tabs>
              <w:spacing w:after="0"/>
              <w:ind w:firstLine="0"/>
              <w:jc w:val="left"/>
              <w:rPr>
                <w:sz w:val="20"/>
                <w:highlight w:val="yellow"/>
                <w:lang w:eastAsia="lv-LV"/>
              </w:rPr>
            </w:pPr>
            <w:r w:rsidRPr="0024313F">
              <w:rPr>
                <w:sz w:val="20"/>
                <w:lang w:eastAsia="lv-LV"/>
              </w:rPr>
              <w:t>0,2</w:t>
            </w:r>
          </w:p>
        </w:tc>
        <w:tc>
          <w:tcPr>
            <w:tcW w:w="1276" w:type="dxa"/>
            <w:shd w:val="clear" w:color="auto" w:fill="auto"/>
            <w:noWrap/>
            <w:vAlign w:val="bottom"/>
            <w:hideMark/>
          </w:tcPr>
          <w:p w:rsidR="00501C90" w:rsidRPr="00BB02A9" w:rsidRDefault="00501C90" w:rsidP="00A761F0">
            <w:pPr>
              <w:tabs>
                <w:tab w:val="decimal" w:pos="601"/>
              </w:tabs>
              <w:spacing w:after="0"/>
              <w:ind w:firstLine="0"/>
              <w:jc w:val="left"/>
              <w:rPr>
                <w:sz w:val="20"/>
                <w:lang w:eastAsia="lv-LV"/>
              </w:rPr>
            </w:pPr>
            <w:r w:rsidRPr="00BB02A9">
              <w:rPr>
                <w:sz w:val="20"/>
                <w:lang w:eastAsia="lv-LV"/>
              </w:rPr>
              <w:t>0,1</w:t>
            </w:r>
          </w:p>
        </w:tc>
        <w:tc>
          <w:tcPr>
            <w:tcW w:w="1276" w:type="dxa"/>
            <w:shd w:val="clear" w:color="auto" w:fill="auto"/>
            <w:noWrap/>
            <w:vAlign w:val="bottom"/>
            <w:hideMark/>
          </w:tcPr>
          <w:p w:rsidR="00501C90" w:rsidRPr="00BB02A9" w:rsidRDefault="00501C90" w:rsidP="00A761F0">
            <w:pPr>
              <w:tabs>
                <w:tab w:val="decimal" w:pos="601"/>
              </w:tabs>
              <w:spacing w:after="0"/>
              <w:ind w:firstLine="0"/>
              <w:jc w:val="left"/>
              <w:rPr>
                <w:sz w:val="20"/>
                <w:lang w:eastAsia="lv-LV"/>
              </w:rPr>
            </w:pPr>
            <w:r w:rsidRPr="00BB02A9">
              <w:rPr>
                <w:sz w:val="20"/>
                <w:lang w:eastAsia="lv-LV"/>
              </w:rPr>
              <w:t>203,5</w:t>
            </w:r>
          </w:p>
        </w:tc>
      </w:tr>
      <w:tr w:rsidR="00501C90" w:rsidRPr="00947E6E" w:rsidTr="002A5E83">
        <w:trPr>
          <w:trHeight w:val="240"/>
        </w:trPr>
        <w:tc>
          <w:tcPr>
            <w:tcW w:w="3142" w:type="dxa"/>
            <w:shd w:val="clear" w:color="auto" w:fill="auto"/>
            <w:noWrap/>
            <w:vAlign w:val="bottom"/>
          </w:tcPr>
          <w:p w:rsidR="00501C90" w:rsidRPr="0024313F" w:rsidRDefault="00501C90" w:rsidP="00A761F0">
            <w:pPr>
              <w:spacing w:after="0"/>
              <w:ind w:firstLine="0"/>
              <w:jc w:val="left"/>
              <w:rPr>
                <w:sz w:val="20"/>
                <w:lang w:eastAsia="lv-LV"/>
              </w:rPr>
            </w:pPr>
            <w:r w:rsidRPr="0024313F">
              <w:rPr>
                <w:sz w:val="20"/>
                <w:lang w:eastAsia="lv-LV"/>
              </w:rPr>
              <w:t xml:space="preserve">  Transportlīdzekļu ekspluatācijas nodoklis**</w:t>
            </w:r>
          </w:p>
        </w:tc>
        <w:tc>
          <w:tcPr>
            <w:tcW w:w="1417" w:type="dxa"/>
            <w:shd w:val="clear" w:color="auto" w:fill="auto"/>
            <w:noWrap/>
            <w:vAlign w:val="bottom"/>
          </w:tcPr>
          <w:p w:rsidR="00501C90" w:rsidRPr="0024313F" w:rsidRDefault="00501C90" w:rsidP="00A761F0">
            <w:pPr>
              <w:tabs>
                <w:tab w:val="decimal" w:pos="601"/>
              </w:tabs>
              <w:spacing w:after="0"/>
              <w:ind w:firstLine="0"/>
              <w:jc w:val="left"/>
              <w:rPr>
                <w:sz w:val="20"/>
                <w:lang w:eastAsia="lv-LV"/>
              </w:rPr>
            </w:pPr>
            <w:r w:rsidRPr="0024313F">
              <w:rPr>
                <w:sz w:val="20"/>
                <w:lang w:eastAsia="lv-LV"/>
              </w:rPr>
              <w:t>11,3</w:t>
            </w:r>
          </w:p>
        </w:tc>
        <w:tc>
          <w:tcPr>
            <w:tcW w:w="1276" w:type="dxa"/>
            <w:vAlign w:val="bottom"/>
          </w:tcPr>
          <w:p w:rsidR="00501C90" w:rsidRPr="00947E6E" w:rsidRDefault="00501C90" w:rsidP="00A761F0">
            <w:pPr>
              <w:tabs>
                <w:tab w:val="decimal" w:pos="601"/>
              </w:tabs>
              <w:spacing w:after="0"/>
              <w:ind w:firstLine="0"/>
              <w:jc w:val="left"/>
              <w:rPr>
                <w:sz w:val="20"/>
                <w:highlight w:val="yellow"/>
                <w:lang w:eastAsia="lv-LV"/>
              </w:rPr>
            </w:pPr>
            <w:r w:rsidRPr="0024313F">
              <w:rPr>
                <w:sz w:val="20"/>
                <w:lang w:eastAsia="lv-LV"/>
              </w:rPr>
              <w:t>11,5</w:t>
            </w:r>
          </w:p>
        </w:tc>
        <w:tc>
          <w:tcPr>
            <w:tcW w:w="1276" w:type="dxa"/>
            <w:shd w:val="clear" w:color="auto" w:fill="auto"/>
            <w:noWrap/>
            <w:vAlign w:val="bottom"/>
          </w:tcPr>
          <w:p w:rsidR="00501C90" w:rsidRPr="00BB02A9" w:rsidRDefault="00501C90" w:rsidP="00A761F0">
            <w:pPr>
              <w:tabs>
                <w:tab w:val="decimal" w:pos="601"/>
              </w:tabs>
              <w:spacing w:after="0"/>
              <w:ind w:firstLine="0"/>
              <w:jc w:val="left"/>
              <w:rPr>
                <w:sz w:val="20"/>
                <w:lang w:eastAsia="lv-LV"/>
              </w:rPr>
            </w:pPr>
            <w:r w:rsidRPr="00BB02A9">
              <w:rPr>
                <w:sz w:val="20"/>
                <w:lang w:eastAsia="lv-LV"/>
              </w:rPr>
              <w:t>0,2</w:t>
            </w:r>
          </w:p>
        </w:tc>
        <w:tc>
          <w:tcPr>
            <w:tcW w:w="1276" w:type="dxa"/>
            <w:shd w:val="clear" w:color="auto" w:fill="auto"/>
            <w:noWrap/>
            <w:vAlign w:val="bottom"/>
          </w:tcPr>
          <w:p w:rsidR="00501C90" w:rsidRPr="00BB02A9" w:rsidRDefault="00501C90" w:rsidP="00A761F0">
            <w:pPr>
              <w:tabs>
                <w:tab w:val="decimal" w:pos="601"/>
              </w:tabs>
              <w:spacing w:after="0"/>
              <w:ind w:firstLine="0"/>
              <w:jc w:val="left"/>
              <w:rPr>
                <w:sz w:val="20"/>
                <w:lang w:eastAsia="lv-LV"/>
              </w:rPr>
            </w:pPr>
            <w:r w:rsidRPr="00BB02A9">
              <w:rPr>
                <w:sz w:val="20"/>
                <w:lang w:eastAsia="lv-LV"/>
              </w:rPr>
              <w:t>1,8</w:t>
            </w:r>
          </w:p>
        </w:tc>
      </w:tr>
      <w:tr w:rsidR="00501C90" w:rsidRPr="00947E6E" w:rsidTr="002A5E83">
        <w:trPr>
          <w:trHeight w:val="240"/>
        </w:trPr>
        <w:tc>
          <w:tcPr>
            <w:tcW w:w="3142" w:type="dxa"/>
            <w:shd w:val="clear" w:color="auto" w:fill="auto"/>
            <w:noWrap/>
            <w:vAlign w:val="bottom"/>
          </w:tcPr>
          <w:p w:rsidR="00501C90" w:rsidRPr="0024313F" w:rsidRDefault="00501C90" w:rsidP="00A761F0">
            <w:pPr>
              <w:spacing w:after="0"/>
              <w:ind w:firstLine="0"/>
              <w:jc w:val="left"/>
              <w:rPr>
                <w:sz w:val="20"/>
                <w:lang w:eastAsia="lv-LV"/>
              </w:rPr>
            </w:pPr>
            <w:r w:rsidRPr="0024313F">
              <w:rPr>
                <w:sz w:val="20"/>
                <w:lang w:eastAsia="lv-LV"/>
              </w:rPr>
              <w:t>Uzņēmumu vieglo transportlīdzekļu nodoklis</w:t>
            </w:r>
          </w:p>
        </w:tc>
        <w:tc>
          <w:tcPr>
            <w:tcW w:w="1417" w:type="dxa"/>
            <w:shd w:val="clear" w:color="auto" w:fill="auto"/>
            <w:noWrap/>
            <w:vAlign w:val="bottom"/>
          </w:tcPr>
          <w:p w:rsidR="00501C90" w:rsidRPr="0024313F" w:rsidRDefault="00501C90" w:rsidP="00A761F0">
            <w:pPr>
              <w:tabs>
                <w:tab w:val="decimal" w:pos="601"/>
              </w:tabs>
              <w:spacing w:after="0"/>
              <w:ind w:firstLine="0"/>
              <w:jc w:val="left"/>
              <w:rPr>
                <w:sz w:val="20"/>
                <w:lang w:eastAsia="lv-LV"/>
              </w:rPr>
            </w:pPr>
            <w:r w:rsidRPr="0024313F">
              <w:rPr>
                <w:sz w:val="20"/>
                <w:lang w:eastAsia="lv-LV"/>
              </w:rPr>
              <w:t>1,0</w:t>
            </w:r>
          </w:p>
        </w:tc>
        <w:tc>
          <w:tcPr>
            <w:tcW w:w="1276" w:type="dxa"/>
            <w:vAlign w:val="bottom"/>
          </w:tcPr>
          <w:p w:rsidR="00501C90" w:rsidRPr="00947E6E" w:rsidRDefault="00501C90" w:rsidP="00A761F0">
            <w:pPr>
              <w:tabs>
                <w:tab w:val="decimal" w:pos="601"/>
              </w:tabs>
              <w:spacing w:after="0"/>
              <w:ind w:firstLine="0"/>
              <w:jc w:val="left"/>
              <w:rPr>
                <w:sz w:val="20"/>
                <w:highlight w:val="yellow"/>
                <w:lang w:eastAsia="lv-LV"/>
              </w:rPr>
            </w:pPr>
            <w:r w:rsidRPr="0024313F">
              <w:rPr>
                <w:sz w:val="20"/>
                <w:lang w:eastAsia="lv-LV"/>
              </w:rPr>
              <w:t>1,6</w:t>
            </w:r>
          </w:p>
        </w:tc>
        <w:tc>
          <w:tcPr>
            <w:tcW w:w="1276" w:type="dxa"/>
            <w:shd w:val="clear" w:color="auto" w:fill="auto"/>
            <w:noWrap/>
            <w:vAlign w:val="bottom"/>
          </w:tcPr>
          <w:p w:rsidR="00501C90" w:rsidRPr="00BB02A9" w:rsidRDefault="00501C90" w:rsidP="00A761F0">
            <w:pPr>
              <w:tabs>
                <w:tab w:val="decimal" w:pos="601"/>
              </w:tabs>
              <w:spacing w:after="0"/>
              <w:ind w:firstLine="0"/>
              <w:jc w:val="left"/>
              <w:rPr>
                <w:sz w:val="20"/>
                <w:lang w:eastAsia="lv-LV"/>
              </w:rPr>
            </w:pPr>
            <w:r w:rsidRPr="00BB02A9">
              <w:rPr>
                <w:sz w:val="20"/>
                <w:lang w:eastAsia="lv-LV"/>
              </w:rPr>
              <w:t>0,6</w:t>
            </w:r>
          </w:p>
        </w:tc>
        <w:tc>
          <w:tcPr>
            <w:tcW w:w="1276" w:type="dxa"/>
            <w:shd w:val="clear" w:color="auto" w:fill="auto"/>
            <w:noWrap/>
            <w:vAlign w:val="bottom"/>
          </w:tcPr>
          <w:p w:rsidR="00501C90" w:rsidRPr="00BB02A9" w:rsidRDefault="00501C90" w:rsidP="00A761F0">
            <w:pPr>
              <w:tabs>
                <w:tab w:val="decimal" w:pos="601"/>
              </w:tabs>
              <w:spacing w:after="0"/>
              <w:ind w:firstLine="0"/>
              <w:jc w:val="left"/>
              <w:rPr>
                <w:sz w:val="20"/>
                <w:lang w:eastAsia="lv-LV"/>
              </w:rPr>
            </w:pPr>
            <w:r w:rsidRPr="00BB02A9">
              <w:rPr>
                <w:sz w:val="20"/>
                <w:lang w:eastAsia="lv-LV"/>
              </w:rPr>
              <w:t>61,1</w:t>
            </w:r>
          </w:p>
        </w:tc>
      </w:tr>
      <w:tr w:rsidR="00501C90" w:rsidRPr="00947E6E" w:rsidTr="002A5E83">
        <w:trPr>
          <w:trHeight w:val="255"/>
        </w:trPr>
        <w:tc>
          <w:tcPr>
            <w:tcW w:w="3142" w:type="dxa"/>
            <w:shd w:val="clear" w:color="auto" w:fill="auto"/>
            <w:noWrap/>
            <w:vAlign w:val="bottom"/>
            <w:hideMark/>
          </w:tcPr>
          <w:p w:rsidR="00501C90" w:rsidRPr="0024313F" w:rsidRDefault="00501C90" w:rsidP="00A761F0">
            <w:pPr>
              <w:spacing w:after="0"/>
              <w:ind w:firstLine="0"/>
              <w:jc w:val="left"/>
              <w:rPr>
                <w:b/>
                <w:sz w:val="20"/>
                <w:lang w:eastAsia="lv-LV"/>
              </w:rPr>
            </w:pPr>
            <w:r w:rsidRPr="0024313F">
              <w:rPr>
                <w:b/>
                <w:sz w:val="20"/>
                <w:lang w:eastAsia="lv-LV"/>
              </w:rPr>
              <w:t>Nodokļi kopā</w:t>
            </w:r>
          </w:p>
        </w:tc>
        <w:tc>
          <w:tcPr>
            <w:tcW w:w="1417" w:type="dxa"/>
            <w:shd w:val="clear" w:color="auto" w:fill="auto"/>
            <w:noWrap/>
            <w:vAlign w:val="bottom"/>
            <w:hideMark/>
          </w:tcPr>
          <w:p w:rsidR="00501C90" w:rsidRPr="0024313F" w:rsidRDefault="00501C90" w:rsidP="00A761F0">
            <w:pPr>
              <w:tabs>
                <w:tab w:val="decimal" w:pos="601"/>
              </w:tabs>
              <w:spacing w:after="0"/>
              <w:ind w:firstLine="0"/>
              <w:jc w:val="left"/>
              <w:rPr>
                <w:b/>
                <w:sz w:val="20"/>
                <w:lang w:eastAsia="lv-LV"/>
              </w:rPr>
            </w:pPr>
            <w:r w:rsidRPr="0024313F">
              <w:rPr>
                <w:b/>
                <w:sz w:val="20"/>
                <w:lang w:eastAsia="lv-LV"/>
              </w:rPr>
              <w:t>877,3</w:t>
            </w:r>
          </w:p>
        </w:tc>
        <w:tc>
          <w:tcPr>
            <w:tcW w:w="1276" w:type="dxa"/>
            <w:vAlign w:val="bottom"/>
          </w:tcPr>
          <w:p w:rsidR="00501C90" w:rsidRPr="00947E6E" w:rsidRDefault="00501C90" w:rsidP="00A761F0">
            <w:pPr>
              <w:tabs>
                <w:tab w:val="decimal" w:pos="601"/>
              </w:tabs>
              <w:spacing w:after="0"/>
              <w:ind w:firstLine="0"/>
              <w:jc w:val="left"/>
              <w:rPr>
                <w:b/>
                <w:sz w:val="20"/>
                <w:highlight w:val="yellow"/>
                <w:lang w:eastAsia="lv-LV"/>
              </w:rPr>
            </w:pPr>
            <w:r w:rsidRPr="0024313F">
              <w:rPr>
                <w:b/>
                <w:sz w:val="20"/>
                <w:lang w:eastAsia="lv-LV"/>
              </w:rPr>
              <w:t>1017,6</w:t>
            </w:r>
          </w:p>
        </w:tc>
        <w:tc>
          <w:tcPr>
            <w:tcW w:w="1276" w:type="dxa"/>
            <w:shd w:val="clear" w:color="auto" w:fill="auto"/>
            <w:noWrap/>
            <w:vAlign w:val="bottom"/>
            <w:hideMark/>
          </w:tcPr>
          <w:p w:rsidR="00501C90" w:rsidRPr="00641E9A" w:rsidRDefault="00501C90" w:rsidP="00A761F0">
            <w:pPr>
              <w:tabs>
                <w:tab w:val="decimal" w:pos="601"/>
              </w:tabs>
              <w:spacing w:after="0"/>
              <w:ind w:firstLine="0"/>
              <w:jc w:val="left"/>
              <w:rPr>
                <w:b/>
                <w:sz w:val="20"/>
                <w:lang w:eastAsia="lv-LV"/>
              </w:rPr>
            </w:pPr>
            <w:r w:rsidRPr="00641E9A">
              <w:rPr>
                <w:b/>
                <w:sz w:val="20"/>
                <w:lang w:eastAsia="lv-LV"/>
              </w:rPr>
              <w:t>140,2</w:t>
            </w:r>
          </w:p>
        </w:tc>
        <w:tc>
          <w:tcPr>
            <w:tcW w:w="1276" w:type="dxa"/>
            <w:shd w:val="clear" w:color="auto" w:fill="auto"/>
            <w:noWrap/>
            <w:vAlign w:val="bottom"/>
            <w:hideMark/>
          </w:tcPr>
          <w:p w:rsidR="00501C90" w:rsidRPr="00641E9A" w:rsidRDefault="00501C90" w:rsidP="00A761F0">
            <w:pPr>
              <w:tabs>
                <w:tab w:val="decimal" w:pos="601"/>
              </w:tabs>
              <w:spacing w:after="0"/>
              <w:ind w:firstLine="0"/>
              <w:jc w:val="left"/>
              <w:rPr>
                <w:b/>
                <w:sz w:val="20"/>
                <w:lang w:eastAsia="lv-LV"/>
              </w:rPr>
            </w:pPr>
            <w:r w:rsidRPr="00641E9A">
              <w:rPr>
                <w:b/>
                <w:sz w:val="20"/>
                <w:lang w:eastAsia="lv-LV"/>
              </w:rPr>
              <w:t>16,0</w:t>
            </w:r>
          </w:p>
        </w:tc>
      </w:tr>
    </w:tbl>
    <w:p w:rsidR="00501C90" w:rsidRPr="007B5B55" w:rsidRDefault="00501C90" w:rsidP="00501C90">
      <w:pPr>
        <w:spacing w:after="0"/>
        <w:ind w:left="284" w:hanging="284"/>
        <w:rPr>
          <w:sz w:val="20"/>
        </w:rPr>
      </w:pPr>
      <w:r w:rsidRPr="007B5B55">
        <w:rPr>
          <w:sz w:val="20"/>
        </w:rPr>
        <w:t>*</w:t>
      </w:r>
      <w:r w:rsidRPr="007B5B55">
        <w:rPr>
          <w:sz w:val="20"/>
        </w:rPr>
        <w:tab/>
        <w:t xml:space="preserve">ieskaitot valsts fondēto pensiju shēmas līdzekļus 2012. gada </w:t>
      </w:r>
      <w:proofErr w:type="spellStart"/>
      <w:r w:rsidRPr="007B5B55">
        <w:rPr>
          <w:sz w:val="20"/>
        </w:rPr>
        <w:t>I ceturksnī</w:t>
      </w:r>
      <w:proofErr w:type="spellEnd"/>
      <w:r w:rsidRPr="007B5B55">
        <w:rPr>
          <w:sz w:val="20"/>
        </w:rPr>
        <w:t xml:space="preserve"> 18,1 milj. latu, 2011. gada </w:t>
      </w:r>
      <w:proofErr w:type="spellStart"/>
      <w:r w:rsidRPr="007B5B55">
        <w:rPr>
          <w:sz w:val="20"/>
        </w:rPr>
        <w:t>I ceturksnī</w:t>
      </w:r>
      <w:proofErr w:type="spellEnd"/>
      <w:r w:rsidRPr="007B5B55">
        <w:rPr>
          <w:sz w:val="20"/>
        </w:rPr>
        <w:t xml:space="preserve"> 16,6 milj. latu,</w:t>
      </w:r>
    </w:p>
    <w:p w:rsidR="00501C90" w:rsidRPr="00097D68" w:rsidRDefault="00501C90" w:rsidP="00501C90">
      <w:pPr>
        <w:spacing w:after="0"/>
        <w:ind w:left="284" w:hanging="284"/>
        <w:rPr>
          <w:sz w:val="20"/>
        </w:rPr>
      </w:pPr>
      <w:r w:rsidRPr="007B5B55">
        <w:rPr>
          <w:sz w:val="20"/>
        </w:rPr>
        <w:t>**transportlīdzekļu nodoklis - ieskaitot transportlīdzekļu nodevu, kas tiek maksāta par iepriekšējiem periodiem.</w:t>
      </w:r>
    </w:p>
    <w:p w:rsidR="00501C90" w:rsidRPr="00385D84" w:rsidRDefault="00501C90" w:rsidP="00501C90">
      <w:pPr>
        <w:spacing w:before="120"/>
      </w:pPr>
      <w:bookmarkStart w:id="67" w:name="_Toc261947582"/>
      <w:bookmarkStart w:id="68" w:name="_Toc130004092"/>
      <w:bookmarkEnd w:id="63"/>
      <w:r w:rsidRPr="009369C2">
        <w:rPr>
          <w:b/>
        </w:rPr>
        <w:t xml:space="preserve">Uzņēmumu ienākuma nodokļa ieņēmumi </w:t>
      </w:r>
      <w:r w:rsidRPr="009369C2">
        <w:t xml:space="preserve">(turpmāk </w:t>
      </w:r>
      <w:r w:rsidR="00085E15" w:rsidRPr="00085E15">
        <w:rPr>
          <w:b/>
        </w:rPr>
        <w:t>-</w:t>
      </w:r>
      <w:r w:rsidR="00085E15">
        <w:t xml:space="preserve"> </w:t>
      </w:r>
      <w:r w:rsidRPr="009369C2">
        <w:t>UIN)</w:t>
      </w:r>
      <w:r w:rsidRPr="009369C2">
        <w:rPr>
          <w:b/>
        </w:rPr>
        <w:t xml:space="preserve"> </w:t>
      </w:r>
      <w:r w:rsidRPr="002B68F1">
        <w:t xml:space="preserve">2012. gada pirmajā ceturksnī bija </w:t>
      </w:r>
      <w:r>
        <w:t>4</w:t>
      </w:r>
      <w:r w:rsidRPr="002B68F1">
        <w:t>5,9 milj. latu, kas salīdzinājumā ar 2011. gada pirmo ceturksni ir par 11,6 milj. latu jeb 33,8% vairāk</w:t>
      </w:r>
      <w:r>
        <w:t>.</w:t>
      </w:r>
      <w:r w:rsidRPr="002B68F1">
        <w:t xml:space="preserve"> </w:t>
      </w:r>
    </w:p>
    <w:p w:rsidR="00501C90" w:rsidRPr="00496383" w:rsidRDefault="00501C90" w:rsidP="00501C90">
      <w:r w:rsidRPr="00496383">
        <w:t>2012. gada pirmajā ceturksnī liel</w:t>
      </w:r>
      <w:r>
        <w:t>ie</w:t>
      </w:r>
      <w:r w:rsidRPr="00496383">
        <w:t xml:space="preserve"> nodokļu maksātāj</w:t>
      </w:r>
      <w:r>
        <w:t>i</w:t>
      </w:r>
      <w:r w:rsidRPr="00496383">
        <w:t xml:space="preserve"> veik</w:t>
      </w:r>
      <w:r>
        <w:t>uši</w:t>
      </w:r>
      <w:r w:rsidRPr="00496383">
        <w:t xml:space="preserve"> UIN maksājum</w:t>
      </w:r>
      <w:r>
        <w:t>us</w:t>
      </w:r>
      <w:r w:rsidRPr="00496383">
        <w:t xml:space="preserve"> 29,4 </w:t>
      </w:r>
      <w:proofErr w:type="spellStart"/>
      <w:r w:rsidRPr="00496383">
        <w:t>milj. latu</w:t>
      </w:r>
      <w:proofErr w:type="spellEnd"/>
      <w:r w:rsidRPr="00496383">
        <w:t xml:space="preserve"> apmērā</w:t>
      </w:r>
      <w:r>
        <w:t xml:space="preserve"> jeb 64,1%</w:t>
      </w:r>
      <w:r w:rsidRPr="00585571">
        <w:t xml:space="preserve"> </w:t>
      </w:r>
      <w:r w:rsidRPr="00496383">
        <w:t>no kopējiem UIN ieņēmumiem, pārējo nodokļu maksātāju veiktās UIN iemaksas bija 16,5 milj. latu. Lielo nodokļu maksātāju veiktie UIN maksājumi</w:t>
      </w:r>
      <w:r w:rsidRPr="00585571">
        <w:t xml:space="preserve"> </w:t>
      </w:r>
      <w:r w:rsidRPr="00496383">
        <w:t>ir pieauguši par 8,7 milj. latu jeb 42,3% salīdzinājumā ar iepr</w:t>
      </w:r>
      <w:r>
        <w:t>iekšējā gada attiecīgo periodu.</w:t>
      </w:r>
      <w:r w:rsidRPr="00496383">
        <w:t xml:space="preserve"> </w:t>
      </w:r>
    </w:p>
    <w:p w:rsidR="00501C90" w:rsidRPr="00377A69" w:rsidRDefault="00501C90" w:rsidP="00501C90">
      <w:pPr>
        <w:spacing w:before="240"/>
        <w:ind w:firstLine="0"/>
        <w:jc w:val="center"/>
        <w:rPr>
          <w:highlight w:val="yellow"/>
        </w:rPr>
      </w:pPr>
      <w:r>
        <w:rPr>
          <w:noProof/>
          <w:lang w:eastAsia="lv-LV"/>
        </w:rPr>
        <w:drawing>
          <wp:inline distT="0" distB="0" distL="0" distR="0" wp14:anchorId="2C6B42E0" wp14:editId="29F1522F">
            <wp:extent cx="5266690" cy="2860040"/>
            <wp:effectExtent l="19050" t="19050" r="10160" b="165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l="6458" t="19289" r="1987" b="4568"/>
                    <a:stretch>
                      <a:fillRect/>
                    </a:stretch>
                  </pic:blipFill>
                  <pic:spPr bwMode="auto">
                    <a:xfrm>
                      <a:off x="0" y="0"/>
                      <a:ext cx="5266690" cy="2860040"/>
                    </a:xfrm>
                    <a:prstGeom prst="rect">
                      <a:avLst/>
                    </a:prstGeom>
                    <a:noFill/>
                    <a:ln w="6350" cmpd="sng">
                      <a:solidFill>
                        <a:srgbClr val="000000"/>
                      </a:solidFill>
                      <a:miter lim="800000"/>
                      <a:headEnd/>
                      <a:tailEnd/>
                    </a:ln>
                    <a:effectLst/>
                  </pic:spPr>
                </pic:pic>
              </a:graphicData>
            </a:graphic>
          </wp:inline>
        </w:drawing>
      </w:r>
    </w:p>
    <w:p w:rsidR="00501C90" w:rsidRPr="00496383" w:rsidRDefault="00952906" w:rsidP="00501C90">
      <w:pPr>
        <w:pStyle w:val="Z"/>
      </w:pPr>
      <w:r>
        <w:t xml:space="preserve">25. </w:t>
      </w:r>
      <w:proofErr w:type="spellStart"/>
      <w:r w:rsidR="00501C90" w:rsidRPr="00496383">
        <w:t>att</w:t>
      </w:r>
      <w:proofErr w:type="spellEnd"/>
      <w:r w:rsidR="00501C90" w:rsidRPr="00496383">
        <w:t xml:space="preserve">. Uzņēmumu ienākuma nodokļa ieņēmumi pa ceturkšņiem, </w:t>
      </w:r>
      <w:proofErr w:type="spellStart"/>
      <w:r w:rsidR="00501C90" w:rsidRPr="00496383">
        <w:t>milj. latu</w:t>
      </w:r>
      <w:proofErr w:type="spellEnd"/>
    </w:p>
    <w:p w:rsidR="00501C90" w:rsidRDefault="00501C90" w:rsidP="00501C90">
      <w:r w:rsidRPr="0071165B">
        <w:t xml:space="preserve">UIN ieņēmumu pieaugumu 2012. gada pirmajā ceturksnī ietekmējis avansa maksājumu pieaugums. 2012. gada pirmajā ceturksnī avansa maksājumi tika aprēķināti pēc 2010. gada UIN deklarācijām, kuras norādīja </w:t>
      </w:r>
      <w:r>
        <w:t>augstāku</w:t>
      </w:r>
      <w:r w:rsidRPr="0071165B">
        <w:t xml:space="preserve"> uzņēmumu peļņas </w:t>
      </w:r>
      <w:r>
        <w:t>rādītāju kā 2009. gadā</w:t>
      </w:r>
      <w:r w:rsidRPr="0071165B">
        <w:t xml:space="preserve">, līdz ar to 2012. gada pirmajā ceturksnī avansa maksājumi salīdzinot ar 2011. gada atbilstošo periodu ir pieauguši par </w:t>
      </w:r>
      <w:r w:rsidRPr="0071165B">
        <w:lastRenderedPageBreak/>
        <w:t>8,9 milj. latu jeb 22,0</w:t>
      </w:r>
      <w:r>
        <w:t xml:space="preserve"> </w:t>
      </w:r>
      <w:r w:rsidRPr="0071165B">
        <w:t xml:space="preserve">procentiem. </w:t>
      </w:r>
      <w:r>
        <w:t>Kopējās</w:t>
      </w:r>
      <w:r w:rsidRPr="0071165B">
        <w:t xml:space="preserve"> UIN iemaksas šajā periodā pieaugušas par  11,3 milj. latu jeb 27,4 procentiem. </w:t>
      </w:r>
    </w:p>
    <w:p w:rsidR="00501C90" w:rsidRDefault="00501C90" w:rsidP="00501C90">
      <w:r w:rsidRPr="008B7CDF">
        <w:t>Saskaņā ar Valsts ieņēmumu dienesta informāciju lielāk</w:t>
      </w:r>
      <w:r>
        <w:t>ā</w:t>
      </w:r>
      <w:r w:rsidRPr="008B7CDF">
        <w:t xml:space="preserve">s UIN </w:t>
      </w:r>
      <w:r>
        <w:t>iemaksas</w:t>
      </w:r>
      <w:r w:rsidRPr="008B7CDF">
        <w:t xml:space="preserve"> 2012.</w:t>
      </w:r>
      <w:r>
        <w:t> </w:t>
      </w:r>
      <w:r w:rsidRPr="008B7CDF">
        <w:t>gada pirmajā ceturksnī veica uzņēmumi, kuru pamatdarbības veidi ir sekojoši</w:t>
      </w:r>
      <w:r>
        <w:t>:</w:t>
      </w:r>
    </w:p>
    <w:p w:rsidR="00501C90" w:rsidRDefault="00501C90" w:rsidP="00501C90">
      <w:pPr>
        <w:numPr>
          <w:ilvl w:val="0"/>
          <w:numId w:val="14"/>
        </w:numPr>
        <w:spacing w:after="0"/>
        <w:ind w:left="709" w:hanging="357"/>
      </w:pPr>
      <w:r w:rsidRPr="008B7CDF">
        <w:t>vairumtirdzniecība, izņemot automobiļus</w:t>
      </w:r>
      <w:r>
        <w:t xml:space="preserve"> un motociklus - 6,9 milj. latu;</w:t>
      </w:r>
    </w:p>
    <w:p w:rsidR="00501C90" w:rsidRDefault="00501C90" w:rsidP="00501C90">
      <w:pPr>
        <w:numPr>
          <w:ilvl w:val="0"/>
          <w:numId w:val="14"/>
        </w:numPr>
        <w:spacing w:after="0"/>
        <w:ind w:left="709" w:hanging="357"/>
      </w:pPr>
      <w:r w:rsidRPr="008B7CDF">
        <w:t xml:space="preserve">elektroenerģija, gāzes apgāde, siltumapgāde un gaisa </w:t>
      </w:r>
      <w:r>
        <w:t>kondicionēšana - 5,6 milj. latu;</w:t>
      </w:r>
    </w:p>
    <w:p w:rsidR="00501C90" w:rsidRPr="008B7CDF" w:rsidRDefault="00501C90" w:rsidP="00501C90">
      <w:pPr>
        <w:numPr>
          <w:ilvl w:val="0"/>
          <w:numId w:val="14"/>
        </w:numPr>
        <w:ind w:left="709" w:hanging="357"/>
      </w:pPr>
      <w:r w:rsidRPr="008B7CDF">
        <w:t>mežsaimniecība un kokmateriālu ražošana – 5,4 milj. latu.</w:t>
      </w:r>
    </w:p>
    <w:p w:rsidR="00501C90" w:rsidRPr="00377A69" w:rsidRDefault="00501C90" w:rsidP="00501C90">
      <w:pPr>
        <w:rPr>
          <w:highlight w:val="yellow"/>
        </w:rPr>
      </w:pPr>
      <w:r w:rsidRPr="00FA2AB9">
        <w:t>2012. gada pirmajā ceturksnī UIN atmaksas ir tikai nedaudz samazinājušās. Salīdzinot ar 2011. gada atbilstošo periodu</w:t>
      </w:r>
      <w:r>
        <w:t>,</w:t>
      </w:r>
      <w:r w:rsidRPr="00FA2AB9">
        <w:t xml:space="preserve"> tās ir samazinājušās par 0,3 milj. latu jeb 4,3% un sasniedza 6,6 milj. latu. </w:t>
      </w:r>
    </w:p>
    <w:p w:rsidR="00501C90" w:rsidRPr="002D14DC" w:rsidRDefault="00501C90" w:rsidP="00501C90">
      <w:r w:rsidRPr="002D14DC">
        <w:t>2011. gada pirmajā ceturksnī UIN faktiski iekasētie ieņēmumi nedaudz atpalika no plānotajiem un ieņēmumu plāns tika izpildīts par 97,3 procentiem.</w:t>
      </w:r>
    </w:p>
    <w:p w:rsidR="00501C90" w:rsidRPr="00377A69" w:rsidRDefault="00501C90" w:rsidP="00501C90">
      <w:pPr>
        <w:rPr>
          <w:highlight w:val="yellow"/>
        </w:rPr>
      </w:pPr>
      <w:r w:rsidRPr="004050AD">
        <w:t xml:space="preserve">Kopējie </w:t>
      </w:r>
      <w:r w:rsidRPr="004050AD">
        <w:rPr>
          <w:b/>
        </w:rPr>
        <w:t xml:space="preserve">iedzīvotāju ienākuma nodokļa </w:t>
      </w:r>
      <w:r w:rsidRPr="004050AD">
        <w:t xml:space="preserve">(turpmāk </w:t>
      </w:r>
      <w:r w:rsidR="00085E15" w:rsidRPr="00085E15">
        <w:rPr>
          <w:b/>
        </w:rPr>
        <w:t>-</w:t>
      </w:r>
      <w:r w:rsidRPr="004050AD">
        <w:t xml:space="preserve"> IIN)</w:t>
      </w:r>
      <w:r w:rsidRPr="004050AD">
        <w:rPr>
          <w:b/>
        </w:rPr>
        <w:t xml:space="preserve"> </w:t>
      </w:r>
      <w:r w:rsidRPr="004050AD">
        <w:t>ieņēmumi 201</w:t>
      </w:r>
      <w:r>
        <w:t>2</w:t>
      </w:r>
      <w:r w:rsidRPr="004050AD">
        <w:t>. gada pirmajā ceturksnī bija 205,6 milj. latu, kas salīdzinājumā ar 201</w:t>
      </w:r>
      <w:r>
        <w:t>1</w:t>
      </w:r>
      <w:r w:rsidRPr="004050AD">
        <w:t xml:space="preserve">. gada pirmo ceturksni </w:t>
      </w:r>
      <w:r>
        <w:t>ir</w:t>
      </w:r>
      <w:r w:rsidRPr="004050AD">
        <w:t xml:space="preserve"> par 22,6 milj. latu jeb 12,</w:t>
      </w:r>
      <w:r>
        <w:t>4</w:t>
      </w:r>
      <w:r w:rsidRPr="004050AD">
        <w:t xml:space="preserve">% vairāk. </w:t>
      </w:r>
    </w:p>
    <w:p w:rsidR="00501C90" w:rsidRPr="00377A69" w:rsidRDefault="00501C90" w:rsidP="00501C90">
      <w:pPr>
        <w:pStyle w:val="Z"/>
        <w:spacing w:before="240"/>
        <w:rPr>
          <w:highlight w:val="yellow"/>
        </w:rPr>
      </w:pPr>
      <w:r>
        <w:rPr>
          <w:noProof/>
          <w:lang w:eastAsia="lv-LV"/>
        </w:rPr>
        <w:drawing>
          <wp:inline distT="0" distB="0" distL="0" distR="0" wp14:anchorId="29EAA181" wp14:editId="29428FD5">
            <wp:extent cx="5215890" cy="2896870"/>
            <wp:effectExtent l="19050" t="19050" r="22860" b="177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l="5464" t="18274" r="1987" b="3046"/>
                    <a:stretch>
                      <a:fillRect/>
                    </a:stretch>
                  </pic:blipFill>
                  <pic:spPr bwMode="auto">
                    <a:xfrm>
                      <a:off x="0" y="0"/>
                      <a:ext cx="5215890" cy="2896870"/>
                    </a:xfrm>
                    <a:prstGeom prst="rect">
                      <a:avLst/>
                    </a:prstGeom>
                    <a:noFill/>
                    <a:ln w="6350" cmpd="sng">
                      <a:solidFill>
                        <a:srgbClr val="000000"/>
                      </a:solidFill>
                      <a:miter lim="800000"/>
                      <a:headEnd/>
                      <a:tailEnd/>
                    </a:ln>
                    <a:effectLst/>
                  </pic:spPr>
                </pic:pic>
              </a:graphicData>
            </a:graphic>
          </wp:inline>
        </w:drawing>
      </w:r>
    </w:p>
    <w:p w:rsidR="00501C90" w:rsidRPr="004050AD" w:rsidRDefault="00952906" w:rsidP="00501C90">
      <w:pPr>
        <w:pStyle w:val="Z"/>
      </w:pPr>
      <w:r>
        <w:t xml:space="preserve">26. </w:t>
      </w:r>
      <w:proofErr w:type="spellStart"/>
      <w:r w:rsidR="00501C90" w:rsidRPr="004050AD">
        <w:t>att</w:t>
      </w:r>
      <w:proofErr w:type="spellEnd"/>
      <w:r w:rsidR="00501C90" w:rsidRPr="004050AD">
        <w:t xml:space="preserve">. Iedzīvotāju ienākuma nodokļa ieņēmumi pa ceturkšņiem, </w:t>
      </w:r>
      <w:proofErr w:type="spellStart"/>
      <w:r w:rsidR="00501C90" w:rsidRPr="004050AD">
        <w:t>milj. latu</w:t>
      </w:r>
      <w:proofErr w:type="spellEnd"/>
    </w:p>
    <w:p w:rsidR="00501C90" w:rsidRDefault="00501C90" w:rsidP="00501C90">
      <w:pPr>
        <w:rPr>
          <w:highlight w:val="yellow"/>
        </w:rPr>
      </w:pPr>
      <w:r w:rsidRPr="004050AD">
        <w:t>IIN ieņēmumu pieaugumu 2012. gada pirmajā ceturksnī galvenokārt ietekmēja tautsaimniecībā nodarbināto darba samaksas palielināšanās (saskaņā ar Valsts ieņēmumu dienesta informāciju 2012. gada pirmajā ceturksnī pieaugums par 7,7% pret iepriekšējā gada atbilstošo periodu), darba ņēmēju pieaugums (saskaņā ar Valsts ieņēmumu dienesta informāciju darba ņēmēju skaits 2012. gada februārī, salīdzinot ar 2011. gada atbilstošo periodu, ir palielinājies par 2,</w:t>
      </w:r>
      <w:r w:rsidRPr="00FF43E6">
        <w:t xml:space="preserve">1%), kā arī 2012. gada pirmajā ceturksnī par 2,1% </w:t>
      </w:r>
      <w:r w:rsidRPr="00FF43E6">
        <w:lastRenderedPageBreak/>
        <w:t>salīdzinājumā ar iepriekšējā gada atbilstošo periodu pieaudzis to darba ņēmēju īpatsvars, kuru ienākumi pārsniedz Ls 500.</w:t>
      </w:r>
    </w:p>
    <w:p w:rsidR="00501C90" w:rsidRPr="005C7864" w:rsidRDefault="00501C90" w:rsidP="00501C90">
      <w:r w:rsidRPr="005C7864">
        <w:t>2012. gada pirmajā ceturksnī samazinājies to IIN maksātāju skaits, kuri izmanto likumdošanā paredzētās iespējas saņemt atpakaļ nomaksāto IIN par attaisnotajiem izdevumiem izglītībai un ārstnieciskajiem pakalpojumiem. Saskaņā ar Valsts ieņēmumu dienesta informāciju 2012. gada pirmajā ceturksnī tika atmaksāts 5,5 milj. latu, kas salīdzinājumā ar 2011. gada atbilstošo periodu ir par 13,4% mazāk, tomēr tas skaidrojams arī ar deklarāciju iesniegšanas sākuma termiņu maiņu no gada sākuma uz 1. martu (sākot ar 2012. gadu).</w:t>
      </w:r>
    </w:p>
    <w:p w:rsidR="00501C90" w:rsidRPr="00DE2062" w:rsidRDefault="00501C90" w:rsidP="00501C90">
      <w:r w:rsidRPr="00DE2062">
        <w:t>Tāpat IIN ieņēmumus</w:t>
      </w:r>
      <w:r>
        <w:t xml:space="preserve"> pozitīvi</w:t>
      </w:r>
      <w:r w:rsidRPr="00DE2062">
        <w:t xml:space="preserve"> ietekmē no 2012. gada 1. janvāra spēkā esošās jaunās politikas iniciatīvas:</w:t>
      </w:r>
    </w:p>
    <w:p w:rsidR="00501C90" w:rsidRPr="00DE2062" w:rsidRDefault="00501C90" w:rsidP="00501C90">
      <w:pPr>
        <w:numPr>
          <w:ilvl w:val="0"/>
          <w:numId w:val="1"/>
        </w:numPr>
        <w:spacing w:after="0"/>
        <w:ind w:left="1077" w:hanging="357"/>
      </w:pPr>
      <w:r w:rsidRPr="00DE2062">
        <w:t>iedzīvotāju ienākuma nodokļa samaksas kārtības maiņa metāllūžņiem (ieturēšana izmaksas vietā);</w:t>
      </w:r>
    </w:p>
    <w:p w:rsidR="00501C90" w:rsidRPr="00DE2062" w:rsidRDefault="00501C90" w:rsidP="00501C90">
      <w:pPr>
        <w:numPr>
          <w:ilvl w:val="0"/>
          <w:numId w:val="1"/>
        </w:numPr>
        <w:ind w:left="1077" w:hanging="357"/>
      </w:pPr>
      <w:r w:rsidRPr="00DE2062">
        <w:t xml:space="preserve">mazu un </w:t>
      </w:r>
      <w:proofErr w:type="spellStart"/>
      <w:r w:rsidRPr="00DE2062">
        <w:t>mikrouzņēmumu</w:t>
      </w:r>
      <w:proofErr w:type="spellEnd"/>
      <w:r w:rsidRPr="00DE2062">
        <w:t xml:space="preserve"> administrēšanas stiprināšana, nosakot vispārēju iedzīvotāju ienākuma nodokļa režīmu attiecībā uz pakalpojumu līgumu, uzņēmumu līgumu, darbaspēka nomu </w:t>
      </w:r>
      <w:proofErr w:type="spellStart"/>
      <w:r w:rsidRPr="00DE2062">
        <w:t>u.c</w:t>
      </w:r>
      <w:proofErr w:type="spellEnd"/>
      <w:r w:rsidRPr="00DE2062">
        <w:t xml:space="preserve">. pakalpojumu saņemšanu no </w:t>
      </w:r>
      <w:proofErr w:type="spellStart"/>
      <w:r w:rsidRPr="00DE2062">
        <w:t>mikrouzņēmumiem</w:t>
      </w:r>
      <w:proofErr w:type="spellEnd"/>
      <w:r w:rsidRPr="00DE2062">
        <w:t>.</w:t>
      </w:r>
    </w:p>
    <w:p w:rsidR="00501C90" w:rsidRPr="00C25BA3" w:rsidRDefault="00501C90" w:rsidP="00501C90">
      <w:pPr>
        <w:rPr>
          <w:highlight w:val="yellow"/>
        </w:rPr>
      </w:pPr>
      <w:r w:rsidRPr="00DE2062">
        <w:t xml:space="preserve">IIN ieņēmumi, kas tiek ieskaitīti valsts pamatbudžetā 2012. gada pirmajā ceturksnī bija </w:t>
      </w:r>
      <w:r>
        <w:t>40</w:t>
      </w:r>
      <w:r w:rsidRPr="00DE2062">
        <w:t>,</w:t>
      </w:r>
      <w:r>
        <w:t>4</w:t>
      </w:r>
      <w:r w:rsidRPr="00DE2062">
        <w:t> milj. latu, kas ir par 7,3 milj. latu jeb 22,2% vairāk nekā 2</w:t>
      </w:r>
      <w:r>
        <w:t xml:space="preserve">011. gada atbilstošajā periodā. </w:t>
      </w:r>
      <w:r w:rsidRPr="00DE2062">
        <w:t>Savukārt IIN ieņēmumi pašvaldību pamatbudžetā 2012. gada pirmajā ceturksnī bija 165,2 milj. latu, kas ir par 15,3 milj. latu jeb 10,2% vairāk salīdzinājumā ar 2011. gada atbilstošo periodu.</w:t>
      </w:r>
      <w:r>
        <w:t xml:space="preserve"> Straujāks IIN ieņēmumu pieaugums valsts pamatbudžetā skaidrojams ar IIN ieņēmumu proporcijas maiņu starp valsts un pašvaldību budžetiem. No 2012. gada valsts budžeta IIN ieņēmumu proporcija paaugstināta no 18% uz 20%, savukārt pašvaldību budžeta proporcija samazināta no 82% uz 80 procentiem.</w:t>
      </w:r>
    </w:p>
    <w:p w:rsidR="00501C90" w:rsidRDefault="00501C90" w:rsidP="00501C90">
      <w:r w:rsidRPr="00DE2062">
        <w:t xml:space="preserve">Kopējo IIN ieņēmumu pirmā ceturkšņa </w:t>
      </w:r>
      <w:r>
        <w:t>plāns tika izpildīts par 109,3%.</w:t>
      </w:r>
      <w:r w:rsidRPr="00DE2062">
        <w:t xml:space="preserve"> </w:t>
      </w:r>
    </w:p>
    <w:p w:rsidR="00501C90" w:rsidRPr="00433717" w:rsidRDefault="00501C90" w:rsidP="00501C90">
      <w:r w:rsidRPr="00866ACB">
        <w:rPr>
          <w:b/>
        </w:rPr>
        <w:t>Sociālās apdrošināšanas iemaksas</w:t>
      </w:r>
      <w:r w:rsidRPr="00866ACB">
        <w:rPr>
          <w:rStyle w:val="FootnoteReference"/>
          <w:b/>
        </w:rPr>
        <w:footnoteReference w:id="8"/>
      </w:r>
      <w:r w:rsidRPr="00866ACB">
        <w:t xml:space="preserve"> (turpmāk t</w:t>
      </w:r>
      <w:r w:rsidR="00085E15">
        <w:t xml:space="preserve"> </w:t>
      </w:r>
      <w:r w:rsidR="00085E15" w:rsidRPr="00085E15">
        <w:rPr>
          <w:b/>
        </w:rPr>
        <w:t>-</w:t>
      </w:r>
      <w:r w:rsidRPr="00866ACB">
        <w:t xml:space="preserve"> SOC) 2012. gada pirmajā ceturksnī bija 323,1 milj. latu, kas salīdzinājumā ar 2011. gada pirmo ceturksni </w:t>
      </w:r>
      <w:r>
        <w:t>ir</w:t>
      </w:r>
      <w:r w:rsidRPr="00866ACB">
        <w:t xml:space="preserve"> par 30,3 milj. latu jeb 10,3</w:t>
      </w:r>
      <w:r w:rsidRPr="00433717">
        <w:t>% vairāk. Tai skaitā SOC valsts speciālajā budžetā bija 305,0 milj. latu un iemaksas fondēto pensiju shēmā 18,1 milj. latu. SOC 2012. gada pirmā ceturkšņa plāna izpilde sasniedza 105,9%, tajā skaitā iemaksu sociālās apdrošināšanas budžetā plāna izpilde</w:t>
      </w:r>
      <w:r>
        <w:t xml:space="preserve"> bija </w:t>
      </w:r>
      <w:r w:rsidRPr="00433717">
        <w:t>105,8 procent</w:t>
      </w:r>
      <w:r>
        <w:t>i</w:t>
      </w:r>
      <w:r w:rsidRPr="00433717">
        <w:t>.</w:t>
      </w:r>
    </w:p>
    <w:p w:rsidR="00501C90" w:rsidRPr="00377A69" w:rsidRDefault="00501C90" w:rsidP="00501C90">
      <w:pPr>
        <w:pStyle w:val="Z"/>
        <w:spacing w:before="240"/>
        <w:rPr>
          <w:highlight w:val="yellow"/>
        </w:rPr>
      </w:pPr>
      <w:r>
        <w:rPr>
          <w:noProof/>
          <w:lang w:eastAsia="lv-LV"/>
        </w:rPr>
        <w:lastRenderedPageBreak/>
        <w:drawing>
          <wp:inline distT="0" distB="0" distL="0" distR="0" wp14:anchorId="79949A2B" wp14:editId="54EB61E0">
            <wp:extent cx="5259705" cy="2874645"/>
            <wp:effectExtent l="19050" t="19050" r="17145" b="209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l="4967" t="19797" r="2153" b="2284"/>
                    <a:stretch>
                      <a:fillRect/>
                    </a:stretch>
                  </pic:blipFill>
                  <pic:spPr bwMode="auto">
                    <a:xfrm>
                      <a:off x="0" y="0"/>
                      <a:ext cx="5259705" cy="2874645"/>
                    </a:xfrm>
                    <a:prstGeom prst="rect">
                      <a:avLst/>
                    </a:prstGeom>
                    <a:noFill/>
                    <a:ln w="6350" cmpd="sng">
                      <a:solidFill>
                        <a:srgbClr val="000000"/>
                      </a:solidFill>
                      <a:miter lim="800000"/>
                      <a:headEnd/>
                      <a:tailEnd/>
                    </a:ln>
                    <a:effectLst/>
                  </pic:spPr>
                </pic:pic>
              </a:graphicData>
            </a:graphic>
          </wp:inline>
        </w:drawing>
      </w:r>
    </w:p>
    <w:p w:rsidR="00501C90" w:rsidRPr="00433717" w:rsidRDefault="00952906" w:rsidP="00501C90">
      <w:pPr>
        <w:pStyle w:val="Z"/>
      </w:pPr>
      <w:r>
        <w:t xml:space="preserve">27. </w:t>
      </w:r>
      <w:proofErr w:type="spellStart"/>
      <w:r w:rsidR="00501C90" w:rsidRPr="00433717">
        <w:t>att</w:t>
      </w:r>
      <w:proofErr w:type="spellEnd"/>
      <w:r w:rsidR="00501C90" w:rsidRPr="00433717">
        <w:t xml:space="preserve">. Valsts sociālās apdrošināšanas iemaksas (ieskaitot valsts fondēto pensiju shēmas līdzekļus) pa ceturkšņiem, </w:t>
      </w:r>
      <w:proofErr w:type="spellStart"/>
      <w:r w:rsidR="00501C90" w:rsidRPr="00433717">
        <w:t>milj. latu</w:t>
      </w:r>
      <w:proofErr w:type="spellEnd"/>
    </w:p>
    <w:p w:rsidR="00501C90" w:rsidRPr="00AF213D" w:rsidRDefault="00501C90" w:rsidP="00501C90">
      <w:pPr>
        <w:ind w:firstLine="567"/>
      </w:pPr>
      <w:r w:rsidRPr="00AF213D">
        <w:t xml:space="preserve">SOC ieņēmumus pozitīvi ietekmēja darba samaksas fonda pieaugums. Saskaņā ar Valsts ieņēmumu dienesta informāciju darba ņēmēju skaits 2012. gada februārī, salīdzinot ar 2011. gada atbilstošo periodu, ir pieaudzis par 2,1%. Pēc Valsts ieņēmumu dienesta informācijas nodarbināto ienākumi 2012. gada pirmajā ceturksnī ir pieauguši par 7,7% salīdzinājumā ar iepriekšējā gada atbilstošo periodu. </w:t>
      </w:r>
    </w:p>
    <w:p w:rsidR="00501C90" w:rsidRDefault="00501C90" w:rsidP="00501C90">
      <w:r w:rsidRPr="00433717">
        <w:t>Tāpat SOC ieņēmumus pozitīvi ietekmēja no 2012. gada 1. janvāra spēkā esošās jaunās politikas iniciatīvas:</w:t>
      </w:r>
    </w:p>
    <w:p w:rsidR="00501C90" w:rsidRDefault="00501C90" w:rsidP="00501C90">
      <w:pPr>
        <w:numPr>
          <w:ilvl w:val="0"/>
          <w:numId w:val="13"/>
        </w:numPr>
      </w:pPr>
      <w:r w:rsidRPr="00433717">
        <w:t xml:space="preserve">mazu un </w:t>
      </w:r>
      <w:proofErr w:type="spellStart"/>
      <w:r w:rsidRPr="00433717">
        <w:t>mikrouzņēmumu</w:t>
      </w:r>
      <w:proofErr w:type="spellEnd"/>
      <w:r w:rsidRPr="00433717">
        <w:t xml:space="preserve"> administrēšanas stiprināšana, nosakot vispārēju iedzīvotāju ienākuma nodokļa režīmu attiecībā uz pakalpojumu līgumu, uzņēmumu līgumu, darbaspēka nomu </w:t>
      </w:r>
      <w:proofErr w:type="spellStart"/>
      <w:r w:rsidRPr="00433717">
        <w:t>u.c</w:t>
      </w:r>
      <w:proofErr w:type="spellEnd"/>
      <w:r w:rsidRPr="00433717">
        <w:t xml:space="preserve">. pakalpojumu saņemšanu no </w:t>
      </w:r>
      <w:proofErr w:type="spellStart"/>
      <w:r w:rsidRPr="00433717">
        <w:t>mikrouzņēmumiem</w:t>
      </w:r>
      <w:proofErr w:type="spellEnd"/>
      <w:r>
        <w:t>.</w:t>
      </w:r>
    </w:p>
    <w:p w:rsidR="00501C90" w:rsidRDefault="00501C90" w:rsidP="00501C90">
      <w:pPr>
        <w:ind w:firstLine="567"/>
        <w:rPr>
          <w:highlight w:val="yellow"/>
        </w:rPr>
      </w:pPr>
      <w:r w:rsidRPr="00AF213D">
        <w:t>Vienlaicīgi SOC ietekmē iemaksas, kas tiek veiktas saskaņā ar likumdošanā noteiktajiem likmju atvieglojumiem. 2012. gada divos mēnešos SOC, kas tika maksātas par pazeminātām likmēm, bija 14,5 milj. latu, kas ir par 2,1 milj. latu jeb 40,7% vairāk nekā 2011. gada divos mēnešos.</w:t>
      </w:r>
    </w:p>
    <w:p w:rsidR="00501C90" w:rsidRDefault="00501C90" w:rsidP="00501C90">
      <w:r w:rsidRPr="001D183F">
        <w:rPr>
          <w:b/>
        </w:rPr>
        <w:t xml:space="preserve">Nekustamā īpašuma nodokļa </w:t>
      </w:r>
      <w:r w:rsidRPr="001D183F">
        <w:t xml:space="preserve">(turpmāk </w:t>
      </w:r>
      <w:r w:rsidR="00085E15" w:rsidRPr="00085E15">
        <w:rPr>
          <w:b/>
        </w:rPr>
        <w:t>-</w:t>
      </w:r>
      <w:r w:rsidRPr="001D183F">
        <w:t xml:space="preserve"> NĪN) ieņēmumi (ieskaitot parādu maksājumus) 2012. gada pirmajā ceturksnī bija 35,3 milj. latu, kas ir par 2,0 milj. latu jeb 5,4% mazāk nekā 2011. gada pirmaj</w:t>
      </w:r>
      <w:r>
        <w:t xml:space="preserve">ā ceturksnī, kas </w:t>
      </w:r>
      <w:r w:rsidRPr="001D183F">
        <w:t>daļēji skaidrojams ar iespēju pašvaldībām pašām noteikt piemērošanas nosacījumus pieauguma ierobežojuma apmēram attiecībā uz nekustamā īpašuma nodokli par zemi, grozot saistošos noteikumus, kā rezultātā atsevišķās pašvaldībās aizkavējās maksājumu paziņojumu izsūtīšana un nodokļa samaksas termiņš tika nobīdīts par vienu mēnesi.</w:t>
      </w:r>
    </w:p>
    <w:p w:rsidR="00501C90" w:rsidRPr="00377A69" w:rsidRDefault="00501C90" w:rsidP="00501C90">
      <w:pPr>
        <w:rPr>
          <w:highlight w:val="yellow"/>
        </w:rPr>
      </w:pPr>
      <w:r w:rsidRPr="001D183F">
        <w:lastRenderedPageBreak/>
        <w:t xml:space="preserve">NĪN ieņēmumi par zemi 2012. gada pirmajā ceturksnī bija 19,6 milj. latu, </w:t>
      </w:r>
      <w:r w:rsidRPr="00BC1881">
        <w:t>savukārt NĪN ieņēmumi par ēkām 2012. gada pirmajā ceturksnī bija 15,7 milj. latu, tai skaitā par mājokļiem 6,5 milj. latu.</w:t>
      </w:r>
    </w:p>
    <w:p w:rsidR="00501C90" w:rsidRPr="00F67DFB" w:rsidRDefault="00501C90" w:rsidP="00501C90">
      <w:r w:rsidRPr="00F67DFB">
        <w:t>NĪN ieņēmumus ietekmēja arī veiktās izmaiņas likumdošanā, kas stājās spēkā 2012. gada 1. janvārī:</w:t>
      </w:r>
    </w:p>
    <w:p w:rsidR="00501C90" w:rsidRDefault="00501C90" w:rsidP="00501C90">
      <w:pPr>
        <w:numPr>
          <w:ilvl w:val="0"/>
          <w:numId w:val="13"/>
        </w:numPr>
        <w:spacing w:after="0"/>
        <w:ind w:hanging="357"/>
      </w:pPr>
      <w:r>
        <w:t>dzīvojamo māju palīgēku virs 25 m</w:t>
      </w:r>
      <w:r w:rsidRPr="00473502">
        <w:rPr>
          <w:vertAlign w:val="superscript"/>
        </w:rPr>
        <w:t>2</w:t>
      </w:r>
      <w:r>
        <w:t xml:space="preserve"> aplikšana ar 0,2% likmi, ja pašvaldība savos saistošajos noteikumos nav noteikusi to neaplikšanu ar NĪN;</w:t>
      </w:r>
    </w:p>
    <w:p w:rsidR="00501C90" w:rsidRDefault="00501C90" w:rsidP="00501C90">
      <w:pPr>
        <w:numPr>
          <w:ilvl w:val="0"/>
          <w:numId w:val="13"/>
        </w:numPr>
        <w:spacing w:after="0"/>
        <w:ind w:hanging="357"/>
      </w:pPr>
      <w:r>
        <w:t>reliģiskajām organizācijām piederošo dzīvojamo māju un tām piekritīgās zemes aplikšana attiecīgi ar 0,2% un 1,5% nodokļa likmi;</w:t>
      </w:r>
    </w:p>
    <w:p w:rsidR="00501C90" w:rsidRPr="00F67DFB" w:rsidRDefault="00501C90" w:rsidP="00501C90">
      <w:pPr>
        <w:numPr>
          <w:ilvl w:val="0"/>
          <w:numId w:val="13"/>
        </w:numPr>
        <w:spacing w:after="0"/>
        <w:ind w:hanging="357"/>
      </w:pPr>
      <w:r w:rsidRPr="00F67DFB">
        <w:t xml:space="preserve">inženierbūvju – transportlīdzekļu maksas stāvlaukumu aplikšana ar </w:t>
      </w:r>
      <w:r>
        <w:t xml:space="preserve">nodokļa </w:t>
      </w:r>
      <w:r w:rsidRPr="00F67DFB">
        <w:t>likmi 1,5 procenti;</w:t>
      </w:r>
    </w:p>
    <w:p w:rsidR="00501C90" w:rsidRDefault="00501C90" w:rsidP="00501C90">
      <w:pPr>
        <w:numPr>
          <w:ilvl w:val="0"/>
          <w:numId w:val="13"/>
        </w:numPr>
        <w:ind w:hanging="357"/>
      </w:pPr>
      <w:r w:rsidRPr="00F67DFB">
        <w:t xml:space="preserve">atcelts nodokļa pieauguma ierobežojums 25% apmērā, 2012. gadā pašvaldībām atļaujot saglabāt pieauguma ierobežojumu pēc saviem ieskatiem. </w:t>
      </w:r>
    </w:p>
    <w:p w:rsidR="00501C90" w:rsidRPr="00F67DFB" w:rsidRDefault="00501C90" w:rsidP="00501C90">
      <w:r w:rsidRPr="009D0218">
        <w:t xml:space="preserve">Pēc pašvaldību iesniegtās informācijas par NĪN pieauguma ierobežojuma piemērošanu </w:t>
      </w:r>
      <w:r>
        <w:t>tikai 20 pašvaldības ir izvēlējušās to nepiemērot</w:t>
      </w:r>
      <w:r w:rsidRPr="009D0218">
        <w:t xml:space="preserve">, </w:t>
      </w:r>
      <w:r>
        <w:t xml:space="preserve">taču ir arī </w:t>
      </w:r>
      <w:r w:rsidRPr="009D0218">
        <w:t xml:space="preserve">pašvaldības, kas noteikušas 0% NĪN pieauguma ierobežojumu. </w:t>
      </w:r>
      <w:r>
        <w:t xml:space="preserve">Tādejādi ieņēmumi no šīm likumdošanas izmaiņām būs mazāki par sākotnēji prognozētajiem. </w:t>
      </w:r>
      <w:r w:rsidRPr="009D0218">
        <w:t>Tāpat saskaņā ar pašvaldību iesniegto informāciju lielākā daļa pašvaldību nepiemēro NĪN palīgēkām virs 25 m</w:t>
      </w:r>
      <w:r w:rsidRPr="00085E15">
        <w:rPr>
          <w:vertAlign w:val="superscript"/>
        </w:rPr>
        <w:t>2</w:t>
      </w:r>
      <w:r w:rsidRPr="009D0218">
        <w:t>, līdz ar to arī šīs likumdošanas izmaiņas nesniegs plānoto rezultātu un papildus NĪN ieņēmumi no šīm izmaiņām netiks iekasēti plānotajā apjomā.</w:t>
      </w:r>
    </w:p>
    <w:p w:rsidR="00501C90" w:rsidRPr="00F67DFB" w:rsidRDefault="00501C90" w:rsidP="00501C90">
      <w:r w:rsidRPr="00F67DFB">
        <w:t>NĪN pirmā ceturkšņa ieņēmumu plāns ir izpildīts par 105,9 procentiem.</w:t>
      </w:r>
    </w:p>
    <w:bookmarkEnd w:id="67"/>
    <w:p w:rsidR="00501C90" w:rsidRPr="00F212EE" w:rsidRDefault="00501C90" w:rsidP="00501C90">
      <w:pPr>
        <w:rPr>
          <w:sz w:val="24"/>
          <w:szCs w:val="24"/>
        </w:rPr>
      </w:pPr>
      <w:r w:rsidRPr="00F212EE">
        <w:rPr>
          <w:b/>
        </w:rPr>
        <w:t>Pievienotās vērtības nodokļa</w:t>
      </w:r>
      <w:r w:rsidRPr="00F212EE">
        <w:t xml:space="preserve"> ieņēmumi ir nozīmīgākais valsts pamatbu</w:t>
      </w:r>
      <w:r w:rsidRPr="00F212EE">
        <w:softHyphen/>
        <w:t>džeta ieņēmumu avots, kas 201</w:t>
      </w:r>
      <w:r>
        <w:t>2</w:t>
      </w:r>
      <w:r w:rsidRPr="00F212EE">
        <w:t>. gada pirmajā ceturksnī veidoja 53,0% no valsts pamatbudžeta nodokļu ieņēmumiem.</w:t>
      </w:r>
      <w:r w:rsidRPr="00F212EE">
        <w:rPr>
          <w:sz w:val="24"/>
          <w:szCs w:val="24"/>
        </w:rPr>
        <w:t xml:space="preserve"> </w:t>
      </w:r>
    </w:p>
    <w:p w:rsidR="00501C90" w:rsidRDefault="00501C90" w:rsidP="00501C90">
      <w:r w:rsidRPr="00F212EE">
        <w:t>PVN ieņēmumi 201</w:t>
      </w:r>
      <w:r>
        <w:t>2</w:t>
      </w:r>
      <w:r w:rsidRPr="00F212EE">
        <w:t xml:space="preserve">. gada pirmajā ceturksnī </w:t>
      </w:r>
      <w:r w:rsidRPr="00C64CC2">
        <w:t>bija 260,4 milj. latu, kas, salīdzinot ar 201</w:t>
      </w:r>
      <w:r>
        <w:t>1</w:t>
      </w:r>
      <w:r w:rsidRPr="00C64CC2">
        <w:t xml:space="preserve">. gada pirmo ceturksni, ir par 60,9 milj. latu jeb 30,6% vairāk. Saskaņā ar Valsts ieņēmumu dienesta informāciju </w:t>
      </w:r>
      <w:r>
        <w:t>p</w:t>
      </w:r>
      <w:r w:rsidRPr="006D201A">
        <w:t>ēc apjoma lielākais pievienotās vērtības nodokļa iemaksu pieaugums 2012.</w:t>
      </w:r>
      <w:r>
        <w:t> </w:t>
      </w:r>
      <w:r w:rsidRPr="006D201A">
        <w:t xml:space="preserve">gada </w:t>
      </w:r>
      <w:r>
        <w:t xml:space="preserve">pirmajā </w:t>
      </w:r>
      <w:r w:rsidRPr="006D201A">
        <w:t>ceturksnī, salīdzinot ar 2011.</w:t>
      </w:r>
      <w:r>
        <w:t> </w:t>
      </w:r>
      <w:r w:rsidRPr="006D201A">
        <w:t>gada attiecīgo periodu, ir nodokļu maksātājiem, kuru pamatdarbības veids ir vairumtirdzniecība (izņemot automobiļus un motociklus), par 19,</w:t>
      </w:r>
      <w:r>
        <w:t>5 </w:t>
      </w:r>
      <w:r w:rsidRPr="006D201A">
        <w:t>milj. latu jeb 18,8</w:t>
      </w:r>
      <w:r>
        <w:t> procentiem</w:t>
      </w:r>
      <w:r w:rsidRPr="006D201A">
        <w:t>. Vairumtirdzniecības nozares nodokļu maksātāji ir iemaksājuši 28,0% no kopējās pievienotās vērtības nodokļa iemaksu summas.</w:t>
      </w:r>
      <w:r>
        <w:t xml:space="preserve"> Savukārt l</w:t>
      </w:r>
      <w:r w:rsidRPr="006D201A">
        <w:t>ielākais iemaksu samazinājums ir nodokļu maksātājiem, kuru pamatdarbības veids ir finanšu pakalpojumi – par 1,</w:t>
      </w:r>
      <w:r>
        <w:t>2 </w:t>
      </w:r>
      <w:r w:rsidRPr="006D201A">
        <w:t>milj. latu jeb 22,5</w:t>
      </w:r>
      <w:r>
        <w:t> procentiem</w:t>
      </w:r>
      <w:r w:rsidRPr="006D201A">
        <w:t>. Jāatzīmē, ka šīs nozares nodokļu maksātāju veiktās iemaksas 2012.</w:t>
      </w:r>
      <w:r>
        <w:t> </w:t>
      </w:r>
      <w:r w:rsidRPr="006D201A">
        <w:t xml:space="preserve">gada </w:t>
      </w:r>
      <w:r>
        <w:t xml:space="preserve">pirmajā </w:t>
      </w:r>
      <w:r w:rsidRPr="006D201A">
        <w:t>ceturksnī ir tikai 0,9% no kopējām pievienotās vērtības nodokļa iemaksām.</w:t>
      </w:r>
    </w:p>
    <w:p w:rsidR="00501C90" w:rsidRDefault="00501C90" w:rsidP="00501C90">
      <w:pPr>
        <w:pStyle w:val="Z"/>
        <w:spacing w:before="240"/>
        <w:rPr>
          <w:highlight w:val="yellow"/>
        </w:rPr>
      </w:pPr>
      <w:r>
        <w:rPr>
          <w:noProof/>
          <w:lang w:eastAsia="lv-LV"/>
        </w:rPr>
        <w:lastRenderedPageBreak/>
        <w:drawing>
          <wp:inline distT="0" distB="0" distL="0" distR="0" wp14:anchorId="6516AAC2" wp14:editId="31A1D342">
            <wp:extent cx="5018405" cy="2816225"/>
            <wp:effectExtent l="19050" t="19050" r="10795" b="222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l="5354" t="18135" r="3511" b="3383"/>
                    <a:stretch>
                      <a:fillRect/>
                    </a:stretch>
                  </pic:blipFill>
                  <pic:spPr bwMode="auto">
                    <a:xfrm>
                      <a:off x="0" y="0"/>
                      <a:ext cx="5018405" cy="2816225"/>
                    </a:xfrm>
                    <a:prstGeom prst="rect">
                      <a:avLst/>
                    </a:prstGeom>
                    <a:noFill/>
                    <a:ln w="6350" cmpd="sng">
                      <a:solidFill>
                        <a:srgbClr val="000000"/>
                      </a:solidFill>
                      <a:miter lim="800000"/>
                      <a:headEnd/>
                      <a:tailEnd/>
                    </a:ln>
                    <a:effectLst/>
                  </pic:spPr>
                </pic:pic>
              </a:graphicData>
            </a:graphic>
          </wp:inline>
        </w:drawing>
      </w:r>
    </w:p>
    <w:p w:rsidR="00501C90" w:rsidRPr="004B2705" w:rsidRDefault="00952906" w:rsidP="00501C90">
      <w:pPr>
        <w:pStyle w:val="Z"/>
      </w:pPr>
      <w:r>
        <w:t xml:space="preserve">28. </w:t>
      </w:r>
      <w:proofErr w:type="spellStart"/>
      <w:r w:rsidR="00501C90" w:rsidRPr="004B2705">
        <w:t>att</w:t>
      </w:r>
      <w:proofErr w:type="spellEnd"/>
      <w:r w:rsidR="00501C90" w:rsidRPr="004B2705">
        <w:t xml:space="preserve">. Pievienotās vērtības nodokļa ieņēmumi pa ceturkšņiem, </w:t>
      </w:r>
      <w:proofErr w:type="spellStart"/>
      <w:r w:rsidR="00501C90" w:rsidRPr="004B2705">
        <w:t>milj</w:t>
      </w:r>
      <w:proofErr w:type="spellEnd"/>
      <w:r w:rsidR="00501C90" w:rsidRPr="004B2705">
        <w:t>. latu.</w:t>
      </w:r>
    </w:p>
    <w:p w:rsidR="00501C90" w:rsidRPr="00EE068A" w:rsidRDefault="00501C90" w:rsidP="00501C90">
      <w:pPr>
        <w:ind w:firstLine="720"/>
      </w:pPr>
      <w:r w:rsidRPr="00EE068A">
        <w:t xml:space="preserve">PVN ieņēmumu </w:t>
      </w:r>
      <w:r w:rsidRPr="008E4A82">
        <w:t>pieaugumu 2012.</w:t>
      </w:r>
      <w:r>
        <w:t> </w:t>
      </w:r>
      <w:r w:rsidRPr="008E4A82">
        <w:t xml:space="preserve">gadā </w:t>
      </w:r>
      <w:r w:rsidRPr="00EE068A">
        <w:t>ietekmē mazumtirdzniecības apgrozījuma apjoma izmaiņas. Saskaņā ar Centrālās statistikas pārvaldes informāciju 2012. gada pirmajā ceturksnī, salīdzinot ar 2011. gada atbilstošo periodu, mazumtirdzniecības apgrozījuma apjoms palielinājies par 12,5% (faktiskajās cenās).</w:t>
      </w:r>
    </w:p>
    <w:p w:rsidR="00501C90" w:rsidRPr="00C60C21" w:rsidRDefault="00501C90" w:rsidP="00501C90">
      <w:pPr>
        <w:ind w:firstLine="720"/>
      </w:pPr>
      <w:r w:rsidRPr="00C60C21">
        <w:t>Savukārt saskaņā ar Valsts ieņēmumu dienesta informāciju pēc PVN deklarāciju datiem kopējā darījum</w:t>
      </w:r>
      <w:r>
        <w:t>u</w:t>
      </w:r>
      <w:r w:rsidRPr="00C60C21">
        <w:t xml:space="preserve"> vērtība 2012. gada pirmajā ceturksnī, salīdzinot ar 2011. gada attiecīgo periodu, palielinājusies par 14,5 procentiem.</w:t>
      </w:r>
    </w:p>
    <w:p w:rsidR="00501C90" w:rsidRPr="00AF1378" w:rsidRDefault="00501C90" w:rsidP="00501C90">
      <w:r w:rsidRPr="00AF1378">
        <w:t>2012. gada pirmajā ceturksnī PVN ieņēmumus ietekmēja arī atmaksas, kas salīdzinot ar 2011. gada atbilstošo periodu ir palielinājušās par 9,4 procentiem</w:t>
      </w:r>
      <w:r w:rsidRPr="009D0218">
        <w:t>, ko ietekmēja ne tikai deklarēto atmaksājamo summu pieaugums, bet arī operatīva pārmaksu atmaksa, par ko liecina kopējās pārmaksu summas samazināšanās.</w:t>
      </w:r>
      <w:r w:rsidRPr="00112B9A">
        <w:t xml:space="preserve"> </w:t>
      </w:r>
      <w:r>
        <w:t xml:space="preserve">Turklāt </w:t>
      </w:r>
      <w:r w:rsidRPr="00112B9A">
        <w:t xml:space="preserve">2012.gada </w:t>
      </w:r>
      <w:r>
        <w:t xml:space="preserve">pirmajā </w:t>
      </w:r>
      <w:r w:rsidRPr="00112B9A">
        <w:t>ceturksnī pievienotās vērtības nodokļa pārmaksu atmaksas ir bijušas būtiski zemākā līmenī par iepriekš gaidīto. To lielā mērā noteica V</w:t>
      </w:r>
      <w:r>
        <w:t>alsts ieņēmumu dienesta</w:t>
      </w:r>
      <w:r w:rsidRPr="00112B9A">
        <w:t xml:space="preserve"> veiktās lielās atmaksas 2011.</w:t>
      </w:r>
      <w:r>
        <w:t> </w:t>
      </w:r>
      <w:r w:rsidRPr="00112B9A">
        <w:t>gada decembrī, kas neļāva izpildīt 2011.</w:t>
      </w:r>
      <w:r>
        <w:t> </w:t>
      </w:r>
      <w:r w:rsidRPr="00112B9A">
        <w:t>gada pievienotās vērtības nodokļa ieņēmumu prognozi, bet uzlaboja 2012.</w:t>
      </w:r>
      <w:r>
        <w:t> </w:t>
      </w:r>
      <w:r w:rsidRPr="00112B9A">
        <w:t>gada sākuma rādītājus.</w:t>
      </w:r>
    </w:p>
    <w:p w:rsidR="00501C90" w:rsidRDefault="00501C90" w:rsidP="00501C90">
      <w:r>
        <w:t>Turklāt tika veikti grozījumi likumā „Par pievienotās vērtības nodokli”</w:t>
      </w:r>
      <w:r w:rsidRPr="00FC2AB2">
        <w:t>, kas stājās</w:t>
      </w:r>
      <w:r>
        <w:t xml:space="preserve"> </w:t>
      </w:r>
      <w:r w:rsidRPr="00FC2AB2">
        <w:t>spēkā 2011.gada 1.oktobrī,</w:t>
      </w:r>
      <w:r>
        <w:t xml:space="preserve"> kad tika ieviesta</w:t>
      </w:r>
      <w:r w:rsidRPr="00FC2AB2">
        <w:t xml:space="preserve"> pievienotās vērtības nodokļa reversā maksāšanas kārtība</w:t>
      </w:r>
      <w:r>
        <w:t xml:space="preserve"> </w:t>
      </w:r>
      <w:r w:rsidRPr="00FC2AB2">
        <w:t>(pievienotās vērtības nodokli budžetā maksā preču vai pakalpojumu saņēmējs) darījumiem ar metāllūžņiem, savukārt ar grozījumiem, kas stājās</w:t>
      </w:r>
      <w:r>
        <w:t xml:space="preserve"> </w:t>
      </w:r>
      <w:r w:rsidRPr="00FC2AB2">
        <w:t xml:space="preserve">spēkā 2012.gada 1.janvārī, </w:t>
      </w:r>
      <w:r>
        <w:t xml:space="preserve">reverso maksāšanas kārtību ieviesa </w:t>
      </w:r>
      <w:r w:rsidRPr="00FC2AB2">
        <w:t>arī būvniecības pakalpojumiem.</w:t>
      </w:r>
    </w:p>
    <w:p w:rsidR="00501C90" w:rsidRDefault="00501C90" w:rsidP="00501C90">
      <w:r>
        <w:t>K</w:t>
      </w:r>
      <w:r w:rsidRPr="00AF1378">
        <w:t>opumā PVN ieņēmumu 2012. gada pirmā ceturkšņa plāna izpilde bija 127,8%, ko galvenokārt ietekmēja plāna pārpilde gan janvārī (par 16,4</w:t>
      </w:r>
      <w:r>
        <w:t> </w:t>
      </w:r>
      <w:r w:rsidRPr="00AF1378">
        <w:t xml:space="preserve">milj. latu </w:t>
      </w:r>
      <w:r w:rsidRPr="00AF1378">
        <w:lastRenderedPageBreak/>
        <w:t>jeb 16,6%), gan februārī (par 30,6</w:t>
      </w:r>
      <w:r>
        <w:t> </w:t>
      </w:r>
      <w:r w:rsidRPr="00AF1378">
        <w:t>milj. latu jeb 88,6%), gan martā (par 9,7</w:t>
      </w:r>
      <w:r>
        <w:t> </w:t>
      </w:r>
      <w:r w:rsidRPr="00AF1378">
        <w:t xml:space="preserve">milj. latu jeb 13,8%). </w:t>
      </w:r>
      <w:r w:rsidRPr="004E5C9B">
        <w:t xml:space="preserve"> </w:t>
      </w:r>
    </w:p>
    <w:p w:rsidR="00501C90" w:rsidRDefault="00501C90" w:rsidP="00501C90">
      <w:r w:rsidRPr="00B11B09">
        <w:rPr>
          <w:b/>
        </w:rPr>
        <w:t>Kopējie akcīzes nodokļa</w:t>
      </w:r>
      <w:r w:rsidRPr="009802E5">
        <w:t xml:space="preserve"> </w:t>
      </w:r>
      <w:r w:rsidRPr="00B11B09">
        <w:t>ieņēmumi 20</w:t>
      </w:r>
      <w:r>
        <w:t>12. gad</w:t>
      </w:r>
      <w:r w:rsidRPr="00B11B09">
        <w:t xml:space="preserve">a </w:t>
      </w:r>
      <w:r>
        <w:t xml:space="preserve">pirmajā </w:t>
      </w:r>
      <w:r w:rsidRPr="00B11B09">
        <w:t xml:space="preserve">ceturksnī bija </w:t>
      </w:r>
      <w:r>
        <w:t>118,8 milj. l</w:t>
      </w:r>
      <w:r w:rsidRPr="00B11B09">
        <w:t xml:space="preserve">atu, kas </w:t>
      </w:r>
      <w:r>
        <w:t>salīdzinājumā ar 2011. gad</w:t>
      </w:r>
      <w:r w:rsidRPr="00B11B09">
        <w:t xml:space="preserve">a </w:t>
      </w:r>
      <w:r>
        <w:t xml:space="preserve">pirmo </w:t>
      </w:r>
      <w:r w:rsidRPr="00B11B09">
        <w:t>ceturk</w:t>
      </w:r>
      <w:r>
        <w:t>sni</w:t>
      </w:r>
      <w:r w:rsidRPr="00B11B09">
        <w:t xml:space="preserve"> </w:t>
      </w:r>
      <w:r>
        <w:t>ir par 13,0 milj. latu jeb par 12,2% vairāk</w:t>
      </w:r>
      <w:r w:rsidRPr="00B11B09">
        <w:t>.</w:t>
      </w:r>
      <w:r>
        <w:t xml:space="preserve"> Ieņēmumi ir pieauguši visiem akcīzes veidiem, izņemot akcīzes nodokļa ieņēmumus no tabakas izstrādājumiem, kur ir vērojams samazinājums 0,8 milj. latu apmērā. Būtiskākais pieaugums ir akcīzes nodokļa ieņēmumiem no naftas produktiem 3,9 milj. latu un akcīzes nodokļa ieņēmumiem no alkoholiskajiem dzērieniem 3,1 milj. latu. Akcīzes nodokļa ieņēmumu pieaugumu attiecībā pret iepriekšējā gada pirmo ceturksni veido arī akcīzes nodokļa ieņēmumi no dabasgāzes 6,5 milj. latu apmērā, jo s</w:t>
      </w:r>
      <w:r w:rsidRPr="00FA2BD5">
        <w:t>askaņā ar likumu „Par akcīzes nodokli“ akcīzes nodoklis</w:t>
      </w:r>
      <w:r>
        <w:t xml:space="preserve"> dabasgāzei stājās spēkā 2011. </w:t>
      </w:r>
      <w:r w:rsidRPr="00FA2BD5">
        <w:t>gada 1.</w:t>
      </w:r>
      <w:r>
        <w:t xml:space="preserve"> jūlijā. </w:t>
      </w:r>
      <w:r w:rsidRPr="00B11B09">
        <w:t xml:space="preserve">Akcīzes nodokļa ieņēmumu </w:t>
      </w:r>
      <w:r>
        <w:t xml:space="preserve">pirmā </w:t>
      </w:r>
      <w:r w:rsidRPr="00B11B09">
        <w:t xml:space="preserve">ceturkšņa plāna izpilde bija </w:t>
      </w:r>
      <w:r>
        <w:t>96,5 procenti</w:t>
      </w:r>
      <w:r w:rsidRPr="00B11B09">
        <w:t xml:space="preserve">. </w:t>
      </w:r>
    </w:p>
    <w:p w:rsidR="00501C90" w:rsidRDefault="00501C90" w:rsidP="00501C90">
      <w:r>
        <w:t>Likumā</w:t>
      </w:r>
      <w:r w:rsidRPr="0084068E">
        <w:t xml:space="preserve"> „Par akcīzes nodokli” </w:t>
      </w:r>
      <w:r>
        <w:t xml:space="preserve">ir veikti grozījumi un no 2012. gada 1. janvāra </w:t>
      </w:r>
      <w:r w:rsidRPr="0084068E">
        <w:t xml:space="preserve">akcīzes preču ievešanu neuzskata par komerciālu, ja tā </w:t>
      </w:r>
      <w:r>
        <w:t>notiek</w:t>
      </w:r>
      <w:r w:rsidRPr="0084068E">
        <w:t xml:space="preserve"> ne biežāk kā vienu reizi septiņās dienās līdzšinējo reizi dienā vietā</w:t>
      </w:r>
      <w:r>
        <w:t>. Ietekme no minētajām likumdošanas izmaiņām pamatā gaidāma no aprīļa, kad tiks izlietoti iepriekš ievestie krājumi.</w:t>
      </w:r>
    </w:p>
    <w:p w:rsidR="00501C90" w:rsidRPr="00B11B09" w:rsidRDefault="00501C90" w:rsidP="00501C90">
      <w:pPr>
        <w:pStyle w:val="Z"/>
      </w:pPr>
      <w:r>
        <w:rPr>
          <w:noProof/>
          <w:bdr w:val="single" w:sz="4" w:space="0" w:color="auto"/>
          <w:lang w:eastAsia="lv-LV"/>
        </w:rPr>
        <w:drawing>
          <wp:inline distT="0" distB="0" distL="0" distR="0" wp14:anchorId="28324B57" wp14:editId="2C812392">
            <wp:extent cx="4886325" cy="284543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l="4332" t="18521" r="4332"/>
                    <a:stretch>
                      <a:fillRect/>
                    </a:stretch>
                  </pic:blipFill>
                  <pic:spPr bwMode="auto">
                    <a:xfrm>
                      <a:off x="0" y="0"/>
                      <a:ext cx="4886325" cy="2845435"/>
                    </a:xfrm>
                    <a:prstGeom prst="rect">
                      <a:avLst/>
                    </a:prstGeom>
                    <a:noFill/>
                    <a:ln>
                      <a:noFill/>
                    </a:ln>
                  </pic:spPr>
                </pic:pic>
              </a:graphicData>
            </a:graphic>
          </wp:inline>
        </w:drawing>
      </w:r>
    </w:p>
    <w:p w:rsidR="00501C90" w:rsidRDefault="00952906" w:rsidP="00501C90">
      <w:pPr>
        <w:pStyle w:val="Z"/>
        <w:ind w:firstLine="709"/>
        <w:jc w:val="both"/>
      </w:pPr>
      <w:r>
        <w:t xml:space="preserve">29. </w:t>
      </w:r>
      <w:proofErr w:type="spellStart"/>
      <w:r w:rsidR="00501C90" w:rsidRPr="009541ED">
        <w:t>att</w:t>
      </w:r>
      <w:proofErr w:type="spellEnd"/>
      <w:r w:rsidR="00501C90" w:rsidRPr="009541ED">
        <w:t>. Akcīzes nodokļa ieņēmumi pa ceturkšņiem,</w:t>
      </w:r>
      <w:r w:rsidR="00501C90">
        <w:t xml:space="preserve"> </w:t>
      </w:r>
      <w:proofErr w:type="spellStart"/>
      <w:r w:rsidR="00501C90">
        <w:t>milj</w:t>
      </w:r>
      <w:proofErr w:type="spellEnd"/>
      <w:r w:rsidR="00501C90">
        <w:t>. l</w:t>
      </w:r>
      <w:r w:rsidR="00501C90" w:rsidRPr="009541ED">
        <w:t>atu.</w:t>
      </w:r>
    </w:p>
    <w:p w:rsidR="00501C90" w:rsidRDefault="00501C90" w:rsidP="00501C90">
      <w:pPr>
        <w:rPr>
          <w:u w:val="single"/>
        </w:rPr>
      </w:pPr>
    </w:p>
    <w:p w:rsidR="00501C90" w:rsidRPr="000A2F74" w:rsidRDefault="00501C90" w:rsidP="00501C90">
      <w:pPr>
        <w:rPr>
          <w:u w:val="single"/>
        </w:rPr>
      </w:pPr>
      <w:r w:rsidRPr="000A2F74">
        <w:rPr>
          <w:u w:val="single"/>
        </w:rPr>
        <w:t>Akcīzes nodoklis naftas produktiem</w:t>
      </w:r>
    </w:p>
    <w:p w:rsidR="00501C90" w:rsidRPr="009D0218" w:rsidRDefault="00501C90" w:rsidP="00501C90">
      <w:r w:rsidRPr="00B11B09">
        <w:t>20</w:t>
      </w:r>
      <w:r>
        <w:t>12. gada pirmajā</w:t>
      </w:r>
      <w:r w:rsidRPr="00B11B09">
        <w:t> ceturksnī akcīzes nodokļa ieņēmu</w:t>
      </w:r>
      <w:r>
        <w:softHyphen/>
        <w:t>mi</w:t>
      </w:r>
      <w:r w:rsidRPr="00B11B09">
        <w:t xml:space="preserve"> </w:t>
      </w:r>
      <w:r>
        <w:t xml:space="preserve">no </w:t>
      </w:r>
      <w:r w:rsidRPr="00B11B09">
        <w:t xml:space="preserve">naftas produktiem </w:t>
      </w:r>
      <w:r>
        <w:t>bija 63,8 milj. l</w:t>
      </w:r>
      <w:r w:rsidRPr="00B11B09">
        <w:t xml:space="preserve">atu jeb </w:t>
      </w:r>
      <w:r>
        <w:t>53,7</w:t>
      </w:r>
      <w:r w:rsidRPr="00B11B09">
        <w:t>% no kopējiem akcīzes nodokļa ie</w:t>
      </w:r>
      <w:r>
        <w:t>ņēmumiem, kas, salīdzinot ar 2011. gad</w:t>
      </w:r>
      <w:r w:rsidRPr="00B11B09">
        <w:t xml:space="preserve">a </w:t>
      </w:r>
      <w:r>
        <w:t xml:space="preserve">pirmo </w:t>
      </w:r>
      <w:r w:rsidRPr="00B11B09">
        <w:t xml:space="preserve">ceturksni, ir par </w:t>
      </w:r>
      <w:r>
        <w:t>3,9 milj. l</w:t>
      </w:r>
      <w:r w:rsidRPr="00B11B09">
        <w:t xml:space="preserve">atu </w:t>
      </w:r>
      <w:r w:rsidRPr="00B11B09">
        <w:lastRenderedPageBreak/>
        <w:t xml:space="preserve">jeb </w:t>
      </w:r>
      <w:r>
        <w:t>6</w:t>
      </w:r>
      <w:r w:rsidRPr="00B11B09">
        <w:t>,</w:t>
      </w:r>
      <w:r>
        <w:t>5</w:t>
      </w:r>
      <w:r w:rsidRPr="00B11B09">
        <w:t xml:space="preserve">% </w:t>
      </w:r>
      <w:r>
        <w:t xml:space="preserve">vairāk. </w:t>
      </w:r>
      <w:r w:rsidRPr="00C6452E">
        <w:t>Akcīzes nodokļa ieņēmumu</w:t>
      </w:r>
      <w:r>
        <w:t xml:space="preserve"> no naftas produktiem</w:t>
      </w:r>
      <w:r w:rsidRPr="00C6452E">
        <w:t xml:space="preserve"> pirmā </w:t>
      </w:r>
      <w:r w:rsidRPr="009D0218">
        <w:t>ceturkšņa plāna izpilde bija 99,0 procenti.</w:t>
      </w:r>
    </w:p>
    <w:p w:rsidR="00501C90" w:rsidRPr="009D0218" w:rsidRDefault="00501C90" w:rsidP="00501C90">
      <w:r w:rsidRPr="009D0218">
        <w:t>Akcīzes nodokļa par naftas produktiem ieņēmumus ietekmē naftas cenu kāpums pasaules tirgos, akcīzes nodokļa likmes celšana benzīnam no 2011. gada 1. jūnija, kā arī valsts nodevas par benzīna obligāto valsts rezervju uzglabāšanu iekasēšanas uzsākšana no 2012.gada. Pieaugot naftas produktu cenām, patērētāji izvēlas naftas produktus, kam ir zemāka cena, ko nosaka arī zemākas akcīzes nodokļa likmes. Saskaņā ar Ceļu satiksmes drošības direkcijas datiem 2012.gada 1.aprīlī ,salīdzinot ar pagājušā gada attiecīgo periodu, par 6,6% samazinājies ar benzīna dzinēju reģistrēto transportlīdzekļu skaits, bet par 8,0% pieaudzis transportlīdzekļu skaits ar dīzeļdegvielas dzinēju, veidojot 42,8% no kopējā transportlīdzekļu skaita, un par 21,3% pieaudzis transportlīdzekļu skaits ar gāzes un benzīna dzinēju veidojot 4,5% no kopējā transportlīdzekļu skaita.</w:t>
      </w:r>
    </w:p>
    <w:p w:rsidR="00501C90" w:rsidRPr="009D0218" w:rsidRDefault="00501C90" w:rsidP="00501C90">
      <w:r w:rsidRPr="009D0218">
        <w:t>2012. gada pirmajā ceturksnī salīdzinājumā ar 2011. gada pirmo ceturksni akcīzes nodokļa ieņēmumi no benzīna palielinājās par 0,4 milj. latu jeb 1,9%, kas skaidrojams ar akcīzes nodokļa likmes kāpumu benzīnam sākot no 2011.</w:t>
      </w:r>
      <w:r>
        <w:t> </w:t>
      </w:r>
      <w:r w:rsidRPr="009D0218">
        <w:t>gada 1.</w:t>
      </w:r>
      <w:r>
        <w:t> </w:t>
      </w:r>
      <w:r w:rsidRPr="009D0218">
        <w:t xml:space="preserve">jūnija. Lai gan akcīzes nodokļa ieņēmumi no benzīna ir nedaudz palielinājušies, benzīna patēriņam turpinās tendence samazināties. Šī gada pirmajos divos mēnešos benzīna patēriņš ir samazinājies par 6,1% attiecībā pret iepriekšējā gada atbilstošo periodu, kas </w:t>
      </w:r>
      <w:r w:rsidRPr="009D0218">
        <w:rPr>
          <w:szCs w:val="24"/>
        </w:rPr>
        <w:t>faktiskajos apjomos ir 2,2 tūkst. tonnas.</w:t>
      </w:r>
    </w:p>
    <w:p w:rsidR="00501C90" w:rsidRPr="009D0218" w:rsidRDefault="00501C90" w:rsidP="00501C90">
      <w:r w:rsidRPr="009D0218">
        <w:t>Akcīzes nodokļa ieņēmumi no dīzeļdegvielas 2012. gada pirmajā ceturksnī salīdzinājumā ar 2011. gada pirmo ceturksni palielinājās par 3,4 milj. latu jeb 8,8%, ko ir nodrošinājis dīzeļdegvielas patēriņa pieaugums. Šī gada pirmajos divos mēnešos patēriņš ir palielinājies par 12,3% jeb 12,2 tonnām.</w:t>
      </w:r>
    </w:p>
    <w:p w:rsidR="00501C90" w:rsidRPr="009D0218" w:rsidRDefault="00501C90" w:rsidP="00501C90">
      <w:r w:rsidRPr="009D0218">
        <w:t>Savukārt akcīzes nodokļa ieņēmumi no naftas gāzēm 2012. gada pirmajā ceturksnī salīdzinā</w:t>
      </w:r>
      <w:r w:rsidRPr="009D0218">
        <w:softHyphen/>
        <w:t>jumā ar 2011. gada pirmo ceturksni pieauguši par 0,2 milj. latu jeb 58,6%, ko ir nodrošinājis naftas gāzu patēriņa pieaugums. Šī gada pirmajos divos mēnešos patēriņš ir palielinājies par 49,5% jeb 1,5 tonnām.</w:t>
      </w:r>
    </w:p>
    <w:p w:rsidR="00501C90" w:rsidRPr="009D0218" w:rsidRDefault="00501C90" w:rsidP="00501C90">
      <w:pPr>
        <w:rPr>
          <w:u w:val="single"/>
        </w:rPr>
      </w:pPr>
      <w:r w:rsidRPr="009D0218">
        <w:rPr>
          <w:u w:val="single"/>
        </w:rPr>
        <w:t>Akcīzes nodoklis tabakas izstrādājumiem</w:t>
      </w:r>
    </w:p>
    <w:p w:rsidR="00501C90" w:rsidRPr="009D0218" w:rsidRDefault="00501C90" w:rsidP="00501C90">
      <w:r w:rsidRPr="009D0218">
        <w:t>2012. gada pirmajā ceturksnī akcīzes nodokļa ieņēmumi no tabakas izstrādājumiem bija 21,8 milj. latu, kas</w:t>
      </w:r>
      <w:r>
        <w:t>,</w:t>
      </w:r>
      <w:r w:rsidRPr="009D0218">
        <w:t xml:space="preserve"> salīdzinot ar 2011. gada pirmo ceturksni, ir par 0,8 milj. latu jeb 3,7% mazāk. Akcīzes nodokļa ieņēmumu no tabakas pirmā ceturkšņa plāna izpilde bija 83,2 procenti.</w:t>
      </w:r>
    </w:p>
    <w:p w:rsidR="00501C90" w:rsidRPr="009D0218" w:rsidRDefault="00501C90" w:rsidP="00501C90">
      <w:r w:rsidRPr="009D0218">
        <w:t xml:space="preserve">Akcīzes nodokļa ieņēmumi no cigaretēm, kas 2012. gada pirmajā ceturksnī bija 95,7% no kopējiem akcīzes nodokļa ieņēmumiem no tabakas izstrādājumiem, salīdzinājumā ar 2011. gada pirmo ceturksni samazinājās par 1,0 milj. latu jeb 4,7 procentiem. Saskaņā ar Valsts ieņēmumu dienesta sniegto informāciju cigarešu vidējā svērtā mazumtirdzniecības cena 2012.gada pirmajos divos mēnešos salīdzinājumā ar 2011.gada attiecīgo periodu ir palielinājusies no </w:t>
      </w:r>
      <w:r w:rsidRPr="009D0218">
        <w:lastRenderedPageBreak/>
        <w:t>78,71 Ls par 1000 cigaretēm uz 88,26 Ls par 1000 cigaretēm, kas negatīvi ietekmēja legālo patēriņu.</w:t>
      </w:r>
    </w:p>
    <w:p w:rsidR="00501C90" w:rsidRPr="009D0218" w:rsidRDefault="00501C90" w:rsidP="00501C90">
      <w:r w:rsidRPr="009D0218">
        <w:t>Akcīzes nodokļa ieņēmumi no cigāriem un cigarellām salīdzinā</w:t>
      </w:r>
      <w:r w:rsidRPr="009D0218">
        <w:softHyphen/>
        <w:t>jumā ar 2011. gada pirmo ceturksni palielinājās par 0,1 milj. latu jeb 26,6%, kas skaidrojams akcīzes nodokļa likmju kāpumu no 2011. gada 1. jūlija.</w:t>
      </w:r>
    </w:p>
    <w:p w:rsidR="00501C90" w:rsidRPr="009D0218" w:rsidRDefault="00501C90" w:rsidP="00501C90">
      <w:r w:rsidRPr="009D0218">
        <w:t>Akcīzes nodokļa ieņēmumi no smēķējamās tabakas salīdzinā</w:t>
      </w:r>
      <w:r w:rsidRPr="009D0218">
        <w:softHyphen/>
        <w:t>jumā ar 2011. gada pirmo ceturksni palielinājās par 0,1 milj. latu jeb 26,9%, kas skaidrojams</w:t>
      </w:r>
      <w:r w:rsidR="00916840">
        <w:t xml:space="preserve"> ar </w:t>
      </w:r>
      <w:r w:rsidRPr="009D0218">
        <w:t xml:space="preserve">akcīzes nodokļa likmju kāpumu no 2011. gada 1. jūlija un patēriņa pieaugumu. Šī gada pirmajos divos mēnešos patēriņš ir palielinājies par 50,5 procentiem. </w:t>
      </w:r>
    </w:p>
    <w:p w:rsidR="00501C90" w:rsidRPr="009D0218" w:rsidRDefault="00501C90" w:rsidP="00501C90">
      <w:pPr>
        <w:rPr>
          <w:u w:val="single"/>
        </w:rPr>
      </w:pPr>
      <w:r w:rsidRPr="009D0218">
        <w:rPr>
          <w:u w:val="single"/>
        </w:rPr>
        <w:t>Akcīzes nodoklis alkoholiskajiem dzērieniem un alum</w:t>
      </w:r>
    </w:p>
    <w:p w:rsidR="00501C90" w:rsidRPr="009D0218" w:rsidRDefault="00501C90" w:rsidP="00501C90">
      <w:r w:rsidRPr="009D0218">
        <w:t>2012. gada pirmajā ceturksnī akcīzes nodokļa ieņēmumi no alkoholiskajiem dzērieniem (izņemot alu) bija 21,3 milj. latu, kas</w:t>
      </w:r>
      <w:r>
        <w:t>,</w:t>
      </w:r>
      <w:r w:rsidRPr="009D0218">
        <w:t xml:space="preserve"> salīdzinot ar 2011. gada pirmo ceturksni, ir par 3,1 milj. latu jeb 17,1% vairāk. Akcīzes nodokļa ieņēmumu no alkoholiskajiem dzērieniem pirmā ceturkšņa plāna izpilde bija 105,4 procenti.</w:t>
      </w:r>
    </w:p>
    <w:p w:rsidR="00501C90" w:rsidRPr="009D0218" w:rsidRDefault="00501C90" w:rsidP="00501C90">
      <w:r w:rsidRPr="009D0218">
        <w:t>Lielāko īpatsvaru (86.6%) akcīzes nodokļa ienākumos no alkoholiskajiem dzērieniem (izņemot alu) veido akcīzes nodokļa ieņēmumi no pārējiem alkoholiskajiem dzērieniem</w:t>
      </w:r>
      <w:r>
        <w:rPr>
          <w:rStyle w:val="FootnoteReference"/>
        </w:rPr>
        <w:footnoteReference w:id="9"/>
      </w:r>
      <w:r w:rsidRPr="009D0218">
        <w:t>, kas 2012. gada pirmajā ceturksnī tika iekasēts 18,5 milj. latu apmērā un ir par 2,9 milj. latu jeb 18,4% vairāk, salīdzinot ar 2011. gada attiecīgo periodu. Ieņēmumu pieaugums  veidojies saistībā ar nodokļa likmes palielināšanu no 2011.gada 1. jūnija, kā arī pateicoties lielākam patēriņam nodoto alkoholisko dzērienu daudzumam. Pārējie alkoholiskie dzērieni 2012. gada pirmajos divos mēnešos, salīdzinot ar pagājušā gada attiecīgo periodu, patēriņam nodoti par 10,8 % dekalitru vairāk.</w:t>
      </w:r>
    </w:p>
    <w:p w:rsidR="00501C90" w:rsidRPr="009D0218" w:rsidRDefault="00501C90" w:rsidP="00501C90">
      <w:r w:rsidRPr="009D0218">
        <w:t>2012. gada pirmajā ceturksnī akcīzes nodokļa ieņēmumi no alus salīdzinā</w:t>
      </w:r>
      <w:r w:rsidRPr="009D0218">
        <w:softHyphen/>
        <w:t>jumā ar 2011. gada pirmo ceturksni palielinājās par 0,2 milj. latu jeb 5,4% un bija 3,3 milj. la</w:t>
      </w:r>
      <w:r w:rsidRPr="009D0218">
        <w:softHyphen/>
        <w:t>tu, ko nodrošināja patēriņa pieaugums. 2012. gada pirmajos divos mēnešos patēriņam nodots par 6,4% dekalitru alus vairāk nekā pagājušā gada attiecīgajā periodā. Akcīzes nodokļa ieņēmumu no alus pirmā ceturkšņa plāna izpilde bija 98,7 procenti.</w:t>
      </w:r>
    </w:p>
    <w:p w:rsidR="00501C90" w:rsidRPr="009D0218" w:rsidRDefault="00501C90" w:rsidP="00501C90">
      <w:pPr>
        <w:rPr>
          <w:u w:val="single"/>
        </w:rPr>
      </w:pPr>
      <w:r w:rsidRPr="009D0218">
        <w:rPr>
          <w:u w:val="single"/>
        </w:rPr>
        <w:t>Akcīzes nodoklis pārējām akcīzes precēm</w:t>
      </w:r>
    </w:p>
    <w:p w:rsidR="00501C90" w:rsidRPr="009D0218" w:rsidRDefault="00501C90" w:rsidP="00501C90">
      <w:r w:rsidRPr="009D0218">
        <w:t>2012. gada pirmajā ceturksnī akcīzes nodokļa ieņēmumi no pārējām akcīzes precēm bija 2,1 milj. latu, kas salīdzinājumā ar 2011. gada pirmo ceturksni ir par 0,1 milj. latu jeb 4,0% vairāk, savukārt pirmā ceturkšņa plāna izpilde bija 99,2 procenti.</w:t>
      </w:r>
    </w:p>
    <w:p w:rsidR="00501C90" w:rsidRPr="009D0218" w:rsidRDefault="00501C90" w:rsidP="00501C90">
      <w:r w:rsidRPr="009D0218">
        <w:t xml:space="preserve">Akcīzes nodokļa ieņēmumi no kafijas 2012. gada pirmajā ceturksnī bija 1,1 milj. latu, kas ir par 2,2% mazāk salīdzinājumā ar 2011. gada pirmo </w:t>
      </w:r>
      <w:r w:rsidRPr="009D0218">
        <w:lastRenderedPageBreak/>
        <w:t>ceturksni, kas skaidrojams ar 5,3% mazāku patēriņam nodoto daudzumu šī gada pirmajos divos mēnešos salīdzinājumā ar iepriekšējā gada atbilstošo periodu.</w:t>
      </w:r>
    </w:p>
    <w:p w:rsidR="00501C90" w:rsidRPr="009D0218" w:rsidRDefault="00501C90" w:rsidP="00501C90">
      <w:r w:rsidRPr="009D0218">
        <w:t>Akcīzes no</w:t>
      </w:r>
      <w:r w:rsidRPr="009D0218">
        <w:softHyphen/>
        <w:t>dokļa ieņēmumi no bezalkoholiskajiem dzērieniem salīdzi</w:t>
      </w:r>
      <w:r w:rsidRPr="009D0218">
        <w:softHyphen/>
        <w:t>nājumā ar 2011. gada pirmo ceturksni palielinājās par 0,1 milj. latu jeb 11,8% un bija 1,0 milj. latu, kas skaidrojams ar 10,9% lielāku patēriņam nodoto daudzumu šī gada pirmajos divos mēnešos salīdzinājumā ar iepriekšējā gada atbilstošo periodu.</w:t>
      </w:r>
    </w:p>
    <w:p w:rsidR="00501C90" w:rsidRPr="009D0218" w:rsidRDefault="00501C90" w:rsidP="00501C90">
      <w:r w:rsidRPr="009D0218">
        <w:rPr>
          <w:b/>
        </w:rPr>
        <w:t>Vieglo automobiļu un motociklu nodokļa ieņēmumi</w:t>
      </w:r>
      <w:r w:rsidRPr="009D0218">
        <w:t xml:space="preserve"> 2012. gada pirmajā ceturksnī bija 1,3 milj. latu, kas salīdzinājumā ar 2011. gada pirmo ceturksni ir par 0,3 milj. latu jeb 33,6% vairāk. Vieglo automobiļu un motociklu</w:t>
      </w:r>
      <w:r w:rsidRPr="009D0218">
        <w:rPr>
          <w:b/>
        </w:rPr>
        <w:t xml:space="preserve"> </w:t>
      </w:r>
      <w:r w:rsidRPr="009D0218">
        <w:t>nodokļa ieņēmumu pirmā ceturkšņa plāna izpilde bija 128,1 procenti.</w:t>
      </w:r>
    </w:p>
    <w:p w:rsidR="00501C90" w:rsidRPr="009D0218" w:rsidRDefault="00501C90" w:rsidP="00501C90">
      <w:r w:rsidRPr="009D0218">
        <w:t>Nodokļa ieņēmumu palielināšanās pamatā galvenokārt bija pirmoreiz reģistrēto vieglo automobiļu skaita palielināšanās. Saskaņā ar Ceļu satiksmes drošības direkcijas informāciju 2012. gada pirmajā ceturksnī salīdzinājumā ar 2011. gada pirmo ceturksni pirmoreiz reģistrēto vieglo automobiļu skaits palielinājies par 3051 mašīnām jeb 41,0 procentiem.</w:t>
      </w:r>
    </w:p>
    <w:p w:rsidR="00501C90" w:rsidRPr="009D0218" w:rsidRDefault="00501C90" w:rsidP="00501C90">
      <w:pPr>
        <w:pStyle w:val="Z"/>
        <w:rPr>
          <w:noProof/>
          <w:bdr w:val="single" w:sz="4" w:space="0" w:color="auto"/>
          <w:lang w:eastAsia="lv-LV"/>
        </w:rPr>
      </w:pPr>
      <w:r>
        <w:rPr>
          <w:noProof/>
          <w:lang w:eastAsia="lv-LV"/>
        </w:rPr>
        <w:drawing>
          <wp:inline distT="0" distB="0" distL="0" distR="0" wp14:anchorId="713E5F25" wp14:editId="00D4F6BF">
            <wp:extent cx="4615815" cy="2458085"/>
            <wp:effectExtent l="19050" t="19050" r="13335"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l="9427" t="21823" r="7948" b="10759"/>
                    <a:stretch>
                      <a:fillRect/>
                    </a:stretch>
                  </pic:blipFill>
                  <pic:spPr bwMode="auto">
                    <a:xfrm>
                      <a:off x="0" y="0"/>
                      <a:ext cx="4615815" cy="2458085"/>
                    </a:xfrm>
                    <a:prstGeom prst="rect">
                      <a:avLst/>
                    </a:prstGeom>
                    <a:noFill/>
                    <a:ln w="6350" cmpd="sng">
                      <a:solidFill>
                        <a:srgbClr val="000000"/>
                      </a:solidFill>
                      <a:miter lim="800000"/>
                      <a:headEnd/>
                      <a:tailEnd/>
                    </a:ln>
                    <a:effectLst/>
                  </pic:spPr>
                </pic:pic>
              </a:graphicData>
            </a:graphic>
          </wp:inline>
        </w:drawing>
      </w:r>
    </w:p>
    <w:p w:rsidR="00501C90" w:rsidRPr="009D0218" w:rsidRDefault="00952906" w:rsidP="00501C90">
      <w:pPr>
        <w:pStyle w:val="Z"/>
      </w:pPr>
      <w:r>
        <w:t xml:space="preserve">30. </w:t>
      </w:r>
      <w:proofErr w:type="spellStart"/>
      <w:r w:rsidR="00501C90" w:rsidRPr="009D0218">
        <w:t>att</w:t>
      </w:r>
      <w:proofErr w:type="spellEnd"/>
      <w:r w:rsidR="00501C90" w:rsidRPr="009D0218">
        <w:t xml:space="preserve">. Vieglo automobiļu un motociklu nodokļu ieņēmumi pa ceturkšņiem, </w:t>
      </w:r>
      <w:proofErr w:type="spellStart"/>
      <w:r w:rsidR="00501C90" w:rsidRPr="009D0218">
        <w:t>milj</w:t>
      </w:r>
      <w:proofErr w:type="spellEnd"/>
      <w:r w:rsidR="00501C90" w:rsidRPr="009D0218">
        <w:t>. latu.</w:t>
      </w:r>
    </w:p>
    <w:bookmarkEnd w:id="68"/>
    <w:p w:rsidR="00501C90" w:rsidRPr="009D0218" w:rsidRDefault="00501C90" w:rsidP="00501C90">
      <w:r w:rsidRPr="009D0218">
        <w:t xml:space="preserve">2012. gada pirmajā ceturksnī </w:t>
      </w:r>
      <w:r w:rsidRPr="009D0218">
        <w:rPr>
          <w:b/>
        </w:rPr>
        <w:t>muitas nodokļa</w:t>
      </w:r>
      <w:r w:rsidRPr="009D0218">
        <w:t xml:space="preserve"> ieņēmumi bija 5,9 milj. latu un salīdzinā</w:t>
      </w:r>
      <w:r w:rsidRPr="009D0218">
        <w:softHyphen/>
        <w:t>jumā ar 2011. gada pirmo ceturksni tie ir palielinājušies par 0,8 milj. latu jeb 16,5 procentiem. Muitas nodokļa ieņēmumu pirmā ceturkšņa plāna izpilde bija 107,0 procenti, ko galvenokārt ietekmēja plānoto ieņēmumu pārpilde janvārī un februārī.</w:t>
      </w:r>
    </w:p>
    <w:p w:rsidR="00501C90" w:rsidRPr="009D0218" w:rsidRDefault="00501C90" w:rsidP="00501C90">
      <w:pPr>
        <w:spacing w:after="0"/>
      </w:pPr>
      <w:r w:rsidRPr="009D0218">
        <w:t>Saskaņā ar Centrālās statistikas pārvaldes datiem 2012. gada divos mēnešos salīdzinājumā ar iepriekšējā gada atbilstošo periodu imports no valstīm, kas nav Eiropas Savienības dalībvalstis, palielinājies par 33,4%, ar ko arī skaidrojams muitas nodokļa ieņēmumu pieaugums.</w:t>
      </w:r>
    </w:p>
    <w:p w:rsidR="00501C90" w:rsidRPr="009D0218" w:rsidRDefault="00501C90" w:rsidP="00501C90">
      <w:pPr>
        <w:pStyle w:val="Z"/>
        <w:spacing w:before="240"/>
      </w:pPr>
      <w:r>
        <w:rPr>
          <w:noProof/>
          <w:lang w:eastAsia="lv-LV"/>
        </w:rPr>
        <w:lastRenderedPageBreak/>
        <w:drawing>
          <wp:inline distT="0" distB="0" distL="0" distR="0" wp14:anchorId="050AAADF" wp14:editId="0549EA4F">
            <wp:extent cx="5128260" cy="2816225"/>
            <wp:effectExtent l="19050" t="19050" r="15240" b="222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l="6458" t="19797" r="1822" b="3046"/>
                    <a:stretch>
                      <a:fillRect/>
                    </a:stretch>
                  </pic:blipFill>
                  <pic:spPr bwMode="auto">
                    <a:xfrm>
                      <a:off x="0" y="0"/>
                      <a:ext cx="5128260" cy="2816225"/>
                    </a:xfrm>
                    <a:prstGeom prst="rect">
                      <a:avLst/>
                    </a:prstGeom>
                    <a:noFill/>
                    <a:ln w="6350" cmpd="sng">
                      <a:solidFill>
                        <a:srgbClr val="000000"/>
                      </a:solidFill>
                      <a:miter lim="800000"/>
                      <a:headEnd/>
                      <a:tailEnd/>
                    </a:ln>
                    <a:effectLst/>
                  </pic:spPr>
                </pic:pic>
              </a:graphicData>
            </a:graphic>
          </wp:inline>
        </w:drawing>
      </w:r>
    </w:p>
    <w:p w:rsidR="00501C90" w:rsidRPr="009D0218" w:rsidRDefault="00952906" w:rsidP="00501C90">
      <w:pPr>
        <w:pStyle w:val="Z"/>
      </w:pPr>
      <w:r>
        <w:t xml:space="preserve">31. </w:t>
      </w:r>
      <w:proofErr w:type="spellStart"/>
      <w:r w:rsidR="00501C90" w:rsidRPr="009D0218">
        <w:t>att</w:t>
      </w:r>
      <w:proofErr w:type="spellEnd"/>
      <w:r w:rsidR="00501C90" w:rsidRPr="009D0218">
        <w:t xml:space="preserve">. Muitas nodokļa ieņēmumi pa ceturkšņiem, </w:t>
      </w:r>
      <w:proofErr w:type="spellStart"/>
      <w:r w:rsidR="00501C90" w:rsidRPr="009D0218">
        <w:t>milj</w:t>
      </w:r>
      <w:proofErr w:type="spellEnd"/>
      <w:r w:rsidR="00501C90" w:rsidRPr="009D0218">
        <w:t>. latu.</w:t>
      </w:r>
    </w:p>
    <w:p w:rsidR="00501C90" w:rsidRPr="009D0218" w:rsidRDefault="00501C90" w:rsidP="00501C90">
      <w:pPr>
        <w:pStyle w:val="Default"/>
        <w:spacing w:before="60" w:after="60"/>
        <w:ind w:firstLine="720"/>
        <w:jc w:val="both"/>
        <w:rPr>
          <w:rFonts w:eastAsia="Times New Roman"/>
          <w:color w:val="auto"/>
          <w:sz w:val="28"/>
          <w:szCs w:val="20"/>
          <w:lang w:eastAsia="en-US"/>
        </w:rPr>
      </w:pPr>
      <w:r w:rsidRPr="009D0218">
        <w:rPr>
          <w:rFonts w:eastAsia="Times New Roman"/>
          <w:b/>
          <w:color w:val="auto"/>
          <w:sz w:val="28"/>
          <w:szCs w:val="20"/>
          <w:lang w:eastAsia="en-US"/>
        </w:rPr>
        <w:t>Elektroenerģijas nodokļa</w:t>
      </w:r>
      <w:r w:rsidRPr="009D0218">
        <w:rPr>
          <w:rFonts w:eastAsia="Times New Roman"/>
          <w:color w:val="auto"/>
          <w:sz w:val="28"/>
          <w:szCs w:val="20"/>
          <w:lang w:eastAsia="en-US"/>
        </w:rPr>
        <w:t xml:space="preserve"> ieņēmumi valsts budžetā 2012. gada pirmajā ceturksnī bija 189,</w:t>
      </w:r>
      <w:r w:rsidR="00916840">
        <w:rPr>
          <w:rFonts w:eastAsia="Times New Roman"/>
          <w:color w:val="auto"/>
          <w:sz w:val="28"/>
          <w:szCs w:val="20"/>
          <w:lang w:eastAsia="en-US"/>
        </w:rPr>
        <w:t>6 tūkst. latu, kas salīdzinājumā</w:t>
      </w:r>
      <w:r w:rsidRPr="009D0218">
        <w:rPr>
          <w:rFonts w:eastAsia="Times New Roman"/>
          <w:color w:val="auto"/>
          <w:sz w:val="28"/>
          <w:szCs w:val="20"/>
          <w:lang w:eastAsia="en-US"/>
        </w:rPr>
        <w:t xml:space="preserve"> ar 2011. gada pirmo ceturksni ir par 127,1 tūkst. latu vairāk. </w:t>
      </w:r>
    </w:p>
    <w:p w:rsidR="00501C90" w:rsidRPr="009D0218" w:rsidRDefault="00501C90" w:rsidP="00501C90">
      <w:pPr>
        <w:pStyle w:val="Default"/>
        <w:spacing w:before="60" w:after="60"/>
        <w:ind w:firstLine="720"/>
        <w:jc w:val="both"/>
        <w:rPr>
          <w:sz w:val="28"/>
          <w:szCs w:val="28"/>
        </w:rPr>
      </w:pPr>
      <w:r w:rsidRPr="009D0218">
        <w:rPr>
          <w:b/>
          <w:sz w:val="28"/>
          <w:szCs w:val="28"/>
        </w:rPr>
        <w:t>Transportlīdzekļu ekspluatācijas nodoklis</w:t>
      </w:r>
      <w:r w:rsidRPr="009D0218">
        <w:rPr>
          <w:sz w:val="28"/>
          <w:szCs w:val="28"/>
        </w:rPr>
        <w:t xml:space="preserve"> stājās spēkā 2011. gada 1. janvārī un aizstāj transportlīdzekļa ikgadējo nodevu. Salīdzinot ar transportlīdzekļa ikgadējo nodevu, mainījusies nodokļa aprēķināšanas kārtība un likmes, bet ar nodokli apliekamie objekti palikuši nemainīgi. </w:t>
      </w:r>
    </w:p>
    <w:p w:rsidR="00501C90" w:rsidRPr="009D0218" w:rsidRDefault="00501C90" w:rsidP="00501C90">
      <w:pPr>
        <w:spacing w:before="60" w:after="60"/>
      </w:pPr>
      <w:r w:rsidRPr="009D0218">
        <w:t>2012. gada pirmajā ceturksnī nodokļa ieņēmumi</w:t>
      </w:r>
      <w:r w:rsidRPr="009D0218">
        <w:rPr>
          <w:rStyle w:val="FootnoteReference"/>
        </w:rPr>
        <w:footnoteReference w:id="10"/>
      </w:r>
      <w:r w:rsidRPr="009D0218">
        <w:t xml:space="preserve"> ir 11,5 milj. latu, kas salīdzinājumā ar 2011. gada pirmo ceturksni ir par 0,2 milj. latu jeb 1,8% vairāk. Transportlīdzekļu ekspluatācijas nodokļa ieņēmumu plāns pirmajā ceturksnī izpildīts par 101,9 procentiem.</w:t>
      </w:r>
    </w:p>
    <w:p w:rsidR="00501C90" w:rsidRPr="009D0218" w:rsidRDefault="00501C90" w:rsidP="00501C90">
      <w:pPr>
        <w:spacing w:before="60" w:after="60"/>
      </w:pPr>
      <w:r w:rsidRPr="009D0218">
        <w:t>Saskaņā ar Ceļu satiksmes drošības direkcijas informāciju, transportlīdzekļu skaits, par kuriem ir veikta tehniskā apskate, pirmajā ceturksnī salīdzinājumā ar attiecīgo periodu pērn ir palielinājies par 3,3%, kas arī ietekmē nodokļa izpildi.</w:t>
      </w:r>
    </w:p>
    <w:p w:rsidR="00501C90" w:rsidRPr="009D0218" w:rsidRDefault="00501C90" w:rsidP="00501C90">
      <w:pPr>
        <w:spacing w:before="60" w:after="60"/>
      </w:pPr>
      <w:r w:rsidRPr="009D0218">
        <w:rPr>
          <w:b/>
        </w:rPr>
        <w:t xml:space="preserve">Uzņēmumu vieglo transportlīdzekļu nodoklis </w:t>
      </w:r>
      <w:r w:rsidRPr="009D0218">
        <w:t xml:space="preserve">stājās spēkā sākot ar 2011. gada 1. janvāri, aizstājot nodokļa nomaksu par gūto labumu no darba devējam piederošas automašīnas izmantošanas privātām vajadzībām. </w:t>
      </w:r>
    </w:p>
    <w:p w:rsidR="00501C90" w:rsidRPr="009D0218" w:rsidRDefault="00501C90" w:rsidP="00501C90">
      <w:pPr>
        <w:spacing w:before="60" w:after="60"/>
      </w:pPr>
      <w:r w:rsidRPr="009D0218">
        <w:t>2012. gada pirmajā ceturksnī nodokļa ieņēmumi ir 1,6 milj. latu, kas salīdzinājumā ar 2011. gada pirmo ceturksni ir par 0,6 milj. latu jeb 61,1% vairāk. Uzņēmumu vieglo transportlīdzekļu nodokļa ieņēmumu plāns pirmajā ceturksnī izpildīts par 141,6 procentiem, ko galvenokārt ietekmēja janvāra un februāra plāna pārpilde par 0,5 milj. latu jeb 71,9 procentiem. Nodokļa ieņēmumu pārpilde ir saistīta ar parādu iekasēšanu par 2011.gadu.</w:t>
      </w:r>
    </w:p>
    <w:p w:rsidR="00501C90" w:rsidRPr="009D0218" w:rsidRDefault="00501C90" w:rsidP="00501C90">
      <w:r w:rsidRPr="009D0218">
        <w:lastRenderedPageBreak/>
        <w:t>Kopējie</w:t>
      </w:r>
      <w:r w:rsidRPr="009D0218">
        <w:rPr>
          <w:b/>
        </w:rPr>
        <w:t xml:space="preserve"> dabas resursu nodokļa</w:t>
      </w:r>
      <w:r w:rsidRPr="009D0218">
        <w:t xml:space="preserve"> ieņēmumi valsts pamatbudžetā un paš</w:t>
      </w:r>
      <w:r w:rsidRPr="009D0218">
        <w:softHyphen/>
        <w:t>valdību speciālajā budžetā 2012. gada pirmajā ceturksnī bija 3,3 milj. latu, kas ir par 0,8 milj. latu jeb 30,8% vairāk kā 2011. gada pirmajā ceturksnī. Dabas resursu nodokļa ieņēmumu pieaugumu ietekmē atsevišķu dabas resur</w:t>
      </w:r>
      <w:r w:rsidR="00916840">
        <w:t>su nodokļa likmju paaugstināšana</w:t>
      </w:r>
      <w:r w:rsidRPr="009D0218">
        <w:t xml:space="preserve"> ar 2012. gada 1. janvāri, kas tika pieņemti ar Dabas resursu nodokļa likuma grozījumiem 2009. gadā. Dabas resursu nodokļa ieņēmumu pirmā ceturkšņa plāna izpilde bija 104,8 procenti. </w:t>
      </w:r>
    </w:p>
    <w:p w:rsidR="00501C90" w:rsidRPr="009D0218" w:rsidRDefault="00501C90" w:rsidP="00501C90">
      <w:pPr>
        <w:spacing w:after="0"/>
      </w:pPr>
      <w:bookmarkStart w:id="69" w:name="_Toc167254150"/>
      <w:bookmarkStart w:id="70" w:name="_Toc162076874"/>
      <w:bookmarkStart w:id="71" w:name="_Toc176077653"/>
      <w:bookmarkStart w:id="72" w:name="_Toc208039553"/>
      <w:r w:rsidRPr="009D0218">
        <w:t xml:space="preserve">Kopējie </w:t>
      </w:r>
      <w:r w:rsidRPr="009D0218">
        <w:rPr>
          <w:b/>
        </w:rPr>
        <w:t>izložu un azartspēļu nodokļu</w:t>
      </w:r>
      <w:r w:rsidRPr="009D0218">
        <w:t xml:space="preserve"> ieņēmumi valsts pamatbudžetā un pašvaldību pamatbudžetā 2012. gada pirmajā ceturksnī bija 4,7 milj. latu, kas salīdzinājumā ar 2011. gada pirmo ceturksni ir par 1,0 milj. latu jeb 25,4% vairāk. Izložu un azartspēļu nodokļu ieņēmumu pieaugumu galvenokārt ietekmēja azartspēļu nodokļa likmes paaugstināšana ar 2012. gadu.</w:t>
      </w:r>
      <w:bookmarkEnd w:id="69"/>
      <w:bookmarkEnd w:id="70"/>
      <w:bookmarkEnd w:id="71"/>
      <w:bookmarkEnd w:id="72"/>
      <w:r w:rsidRPr="009D0218">
        <w:t xml:space="preserve"> Izložu un azartspēļu nodokļa pirmā ceturkšņa plāna izpilde bija </w:t>
      </w:r>
      <w:r w:rsidRPr="009D0218">
        <w:rPr>
          <w:bCs/>
          <w:lang w:eastAsia="lv-LV"/>
        </w:rPr>
        <w:t>112,6 procenti.</w:t>
      </w:r>
    </w:p>
    <w:p w:rsidR="00501C90" w:rsidRPr="009D0218" w:rsidRDefault="00501C90" w:rsidP="00501C90">
      <w:pPr>
        <w:pStyle w:val="H3"/>
      </w:pPr>
    </w:p>
    <w:p w:rsidR="006A276C" w:rsidRPr="001E1793" w:rsidRDefault="001E1793" w:rsidP="001E1793">
      <w:pPr>
        <w:pStyle w:val="Heading33"/>
      </w:pPr>
      <w:bookmarkStart w:id="73" w:name="_Toc325101923"/>
      <w:r>
        <w:rPr>
          <w:rStyle w:val="Heading33Char"/>
          <w:b/>
        </w:rPr>
        <w:t>2.2.1</w:t>
      </w:r>
      <w:r w:rsidR="00F53D19" w:rsidRPr="00F53D19">
        <w:rPr>
          <w:rStyle w:val="Heading33Char"/>
          <w:b/>
        </w:rPr>
        <w:t>. </w:t>
      </w:r>
      <w:r w:rsidR="006A276C" w:rsidRPr="00F53D19">
        <w:rPr>
          <w:rStyle w:val="Heading33Char"/>
          <w:b/>
        </w:rPr>
        <w:t>Nodokļu ieņēmumi atbilstoši ekonomikas funkciju sadalījumam</w:t>
      </w:r>
      <w:r w:rsidR="00F53D19">
        <w:rPr>
          <w:rStyle w:val="Heading33Char"/>
        </w:rPr>
        <w:t xml:space="preserve"> </w:t>
      </w:r>
      <w:r w:rsidR="006A276C" w:rsidRPr="00F53D19">
        <w:rPr>
          <w:vertAlign w:val="superscript"/>
        </w:rPr>
        <w:footnoteReference w:id="11"/>
      </w:r>
      <w:bookmarkEnd w:id="64"/>
      <w:bookmarkEnd w:id="65"/>
      <w:bookmarkEnd w:id="73"/>
    </w:p>
    <w:p w:rsidR="00501C90" w:rsidRPr="009D0218" w:rsidRDefault="00501C90" w:rsidP="00916840">
      <w:bookmarkStart w:id="74" w:name="_Toc293496372"/>
      <w:bookmarkStart w:id="75" w:name="_Toc261947585"/>
      <w:r w:rsidRPr="009D0218">
        <w:t>Nodokļu ieņēmumu sadalījums atbilstoši ekonomikas funkcijām atspo</w:t>
      </w:r>
      <w:r w:rsidRPr="009D0218">
        <w:softHyphen/>
        <w:t>guļo noteiktās nodokļu grupas īpatsvaru kopējos nodokļu ieņēmumos, ko samaksā iegādājoties preces un pakalpojumus (patēriņa nodokļi), ko samaksā nodarbinātais no darba samaksas (darba nodokļi) un ko samaksā no iegūtās peļņas (kapitāla nodokļi).</w:t>
      </w:r>
    </w:p>
    <w:p w:rsidR="00501C90" w:rsidRPr="009D0218" w:rsidRDefault="00501C90" w:rsidP="00501C90">
      <w:pPr>
        <w:ind w:firstLine="0"/>
      </w:pPr>
      <w:r>
        <w:rPr>
          <w:noProof/>
          <w:lang w:eastAsia="lv-LV"/>
        </w:rPr>
        <w:drawing>
          <wp:inline distT="0" distB="0" distL="0" distR="0" wp14:anchorId="7FAE87A3" wp14:editId="659683D7">
            <wp:extent cx="4915535" cy="25895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15535" cy="2589530"/>
                    </a:xfrm>
                    <a:prstGeom prst="rect">
                      <a:avLst/>
                    </a:prstGeom>
                    <a:noFill/>
                    <a:ln>
                      <a:noFill/>
                    </a:ln>
                  </pic:spPr>
                </pic:pic>
              </a:graphicData>
            </a:graphic>
          </wp:inline>
        </w:drawing>
      </w:r>
    </w:p>
    <w:p w:rsidR="00501C90" w:rsidRPr="00501C90" w:rsidRDefault="00952906" w:rsidP="005C26D0">
      <w:pPr>
        <w:pStyle w:val="ListParagraph"/>
        <w:ind w:left="360" w:firstLine="0"/>
        <w:jc w:val="center"/>
        <w:rPr>
          <w:b/>
          <w:i/>
        </w:rPr>
      </w:pPr>
      <w:r>
        <w:rPr>
          <w:b/>
          <w:i/>
        </w:rPr>
        <w:t xml:space="preserve">32. </w:t>
      </w:r>
      <w:proofErr w:type="spellStart"/>
      <w:r w:rsidR="00501C90" w:rsidRPr="00501C90">
        <w:rPr>
          <w:b/>
          <w:i/>
        </w:rPr>
        <w:t>att</w:t>
      </w:r>
      <w:proofErr w:type="spellEnd"/>
      <w:r w:rsidR="00501C90" w:rsidRPr="00501C90">
        <w:rPr>
          <w:b/>
          <w:i/>
        </w:rPr>
        <w:t>. Nodokļu ieņēmumu struktūra atbilstoši ekonomikas funkciju sadalījumam, %</w:t>
      </w:r>
      <w:r w:rsidR="00501C90" w:rsidRPr="009D0218">
        <w:rPr>
          <w:rFonts w:ascii="Garamond" w:hAnsi="Garamond"/>
          <w:vertAlign w:val="superscript"/>
        </w:rPr>
        <w:footnoteReference w:id="12"/>
      </w:r>
    </w:p>
    <w:p w:rsidR="00501C90" w:rsidRPr="009D0218" w:rsidRDefault="00501C90" w:rsidP="00916840">
      <w:pPr>
        <w:ind w:firstLine="720"/>
      </w:pPr>
      <w:r w:rsidRPr="009D0218">
        <w:lastRenderedPageBreak/>
        <w:t>Latvijā lielākais īpatsvars kopējos nodokļos ir darba nodokļiem, kas 2012. gada pirmajā ceturksnī bija 51,2 % no kopējiem nodokļiem, kas liecina par to, ka lielākais nodokļu slogs ir nodarbināto darba samaksai. Tomēr jāatzīmē, ka pēdējos gados nodokļu politika ir vērsta uz darba nodokļu īpatsvara samazināšanu, un kā liecina statistika, darba nodokļu īpatsvars samazinājies no 54,8 % 2009. gadā līdz 52,1 % 2011. gadā.</w:t>
      </w:r>
    </w:p>
    <w:p w:rsidR="00501C90" w:rsidRPr="009D0218" w:rsidRDefault="00501C90" w:rsidP="00916840">
      <w:pPr>
        <w:ind w:firstLine="720"/>
      </w:pPr>
      <w:r w:rsidRPr="009D0218">
        <w:t>Patēriņa nodokļu īpatsvars kopējos nodokļu ieņēmumos ir nedaudz ma</w:t>
      </w:r>
      <w:r w:rsidRPr="009D0218">
        <w:softHyphen/>
        <w:t>zāks nekā darba nodokļu īpatsvars. 2012. gada pirmajā ceturksnī patēriņa nodok</w:t>
      </w:r>
      <w:r w:rsidRPr="009D0218">
        <w:softHyphen/>
        <w:t>ļi sastādīja 39,6 % no kopējiem nodokļu ieņēmumiem, kas norāda uz to, ka salīdzinoši lielu daļu no kopējiem nodokļu ieņēmumiem samaksā gan patērētāji, gan uzņēmumi, iegādājoties preces un pakalpojumus. 2012. gada pirmajā ceturksnī patēriņa nodokļu īpatsvars kopējos nodokļu ieņēmumos salīdzinājumā ar 2011. gada pirmo ceturksni ir pieaudzis par 2,4 procentu punktiem.</w:t>
      </w:r>
    </w:p>
    <w:p w:rsidR="00916840" w:rsidRPr="00B66466" w:rsidRDefault="00501C90" w:rsidP="00B66466">
      <w:pPr>
        <w:ind w:firstLine="720"/>
      </w:pPr>
      <w:r w:rsidRPr="009D0218">
        <w:t>2012. gada pirmajā ceturksnī vismazākais īpatsvars kopējos nodokļu ieņēmumos bija kapitāla nodokļiem, kas liecina par to, ka Latvijā iegūtajai peļņai ir salīdzinoši neliels nodokļu slogs. 2012. gada pirmajā ceturksnī kapitāla nodokļi veidoja 9,2 % no kopējiem nodokļu ieņēmumiem un salīdzinājumā ar 2011. gada pirmo ceturksni tie ir samazinājušies par 0,2 p</w:t>
      </w:r>
      <w:r w:rsidR="00B66466">
        <w:t>rocentu punktiem.</w:t>
      </w:r>
    </w:p>
    <w:p w:rsidR="00F53D19" w:rsidRDefault="00F53D19" w:rsidP="00F53D19">
      <w:pPr>
        <w:pStyle w:val="Heading33"/>
      </w:pPr>
    </w:p>
    <w:p w:rsidR="006A276C" w:rsidRPr="003927D1" w:rsidRDefault="001E1793" w:rsidP="00F53D19">
      <w:pPr>
        <w:pStyle w:val="Heading33"/>
      </w:pPr>
      <w:bookmarkStart w:id="76" w:name="_Toc325101924"/>
      <w:r>
        <w:t>2.2.2.</w:t>
      </w:r>
      <w:r w:rsidR="00F53D19">
        <w:t> </w:t>
      </w:r>
      <w:r w:rsidR="006A276C" w:rsidRPr="003927D1">
        <w:t>Kopbudžeta nodokļu maksājumu parādi</w:t>
      </w:r>
      <w:bookmarkEnd w:id="74"/>
      <w:bookmarkEnd w:id="76"/>
    </w:p>
    <w:p w:rsidR="00501C90" w:rsidRPr="009D0218" w:rsidRDefault="00501C90" w:rsidP="00916840">
      <w:pPr>
        <w:ind w:firstLine="720"/>
      </w:pPr>
      <w:r w:rsidRPr="009D0218">
        <w:t>2012. gada 1. aprīlī kopējā nodokļu maksājumu parāda summa kop</w:t>
      </w:r>
      <w:r w:rsidRPr="009D0218">
        <w:softHyphen/>
        <w:t>budžetam bija 975,4 milj. latu, tai skaitā valsts pamatbudžetam – 646,2 milj. latu jeb 66,3% no kopējā parāda, pašvaldību budže</w:t>
      </w:r>
      <w:r w:rsidRPr="009D0218">
        <w:softHyphen/>
        <w:t>tam – 200,5 milj. latu jeb 20,6% no kopējā parāda, sociālās apdrošināšanas budžetam – 128,7 milj. latu jeb 13,2% no kopējā parāda. Kopējā nodokļu maksājumu parādu summa salīdzinājumā ar 2011. gada 1. aprīli ir palielinājusies par 171,9 milj. latu jeb 21,4 procentiem.</w:t>
      </w:r>
    </w:p>
    <w:p w:rsidR="00501C90" w:rsidRPr="009D0218" w:rsidRDefault="00501C90" w:rsidP="00916840">
      <w:pPr>
        <w:ind w:firstLine="720"/>
      </w:pPr>
      <w:r w:rsidRPr="009D0218">
        <w:t>No kopējās parādu summas 201</w:t>
      </w:r>
      <w:r w:rsidR="003910AB">
        <w:t>2</w:t>
      </w:r>
      <w:r w:rsidRPr="009D0218">
        <w:t>. gada 1. aprīlī pamatparāds veidoja 760,3 milj. latu jeb 78,0% un nokavējuma nauda 215,1 milj. latu jeb 22,0 procentu.</w:t>
      </w:r>
    </w:p>
    <w:p w:rsidR="00501C90" w:rsidRPr="009D0218" w:rsidRDefault="00952906" w:rsidP="005C26D0">
      <w:pPr>
        <w:pStyle w:val="tabteksts"/>
        <w:tabs>
          <w:tab w:val="decimal" w:pos="794"/>
        </w:tabs>
        <w:spacing w:after="120"/>
        <w:ind w:left="360"/>
        <w:jc w:val="right"/>
        <w:rPr>
          <w:b/>
          <w:i/>
          <w:sz w:val="28"/>
        </w:rPr>
      </w:pPr>
      <w:r>
        <w:rPr>
          <w:b/>
          <w:i/>
          <w:sz w:val="28"/>
        </w:rPr>
        <w:t>5</w:t>
      </w:r>
      <w:r w:rsidR="00501C90" w:rsidRPr="009D0218">
        <w:rPr>
          <w:b/>
          <w:i/>
          <w:sz w:val="28"/>
        </w:rPr>
        <w:t xml:space="preserve">. tabula. Kopbudžeta nodokļu parādi, </w:t>
      </w:r>
      <w:proofErr w:type="spellStart"/>
      <w:r w:rsidR="00501C90" w:rsidRPr="009D0218">
        <w:rPr>
          <w:b/>
          <w:i/>
          <w:sz w:val="28"/>
        </w:rPr>
        <w:t>milj</w:t>
      </w:r>
      <w:proofErr w:type="spellEnd"/>
      <w:r w:rsidR="00501C90" w:rsidRPr="009D0218">
        <w:rPr>
          <w:b/>
          <w:i/>
          <w:sz w:val="28"/>
        </w:rPr>
        <w:t>. latu</w:t>
      </w:r>
    </w:p>
    <w:tbl>
      <w:tblPr>
        <w:tblW w:w="8397" w:type="dxa"/>
        <w:jc w:val="center"/>
        <w:tblInd w:w="1159" w:type="dxa"/>
        <w:tblBorders>
          <w:top w:val="double" w:sz="6" w:space="0" w:color="auto"/>
          <w:left w:val="double" w:sz="6" w:space="0" w:color="auto"/>
          <w:bottom w:val="double" w:sz="6" w:space="0" w:color="auto"/>
          <w:right w:val="doub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3078"/>
        <w:gridCol w:w="1325"/>
        <w:gridCol w:w="1418"/>
        <w:gridCol w:w="1300"/>
        <w:gridCol w:w="1276"/>
      </w:tblGrid>
      <w:tr w:rsidR="00501C90" w:rsidRPr="009D0218" w:rsidTr="00A761F0">
        <w:trPr>
          <w:cantSplit/>
          <w:jc w:val="center"/>
        </w:trPr>
        <w:tc>
          <w:tcPr>
            <w:tcW w:w="3078" w:type="dxa"/>
            <w:vMerge w:val="restart"/>
            <w:tcBorders>
              <w:top w:val="single" w:sz="4" w:space="0" w:color="auto"/>
              <w:left w:val="single" w:sz="4" w:space="0" w:color="auto"/>
            </w:tcBorders>
          </w:tcPr>
          <w:p w:rsidR="00501C90" w:rsidRPr="009D0218" w:rsidRDefault="00501C90" w:rsidP="00A761F0">
            <w:pPr>
              <w:pStyle w:val="tabteksts"/>
              <w:jc w:val="center"/>
              <w:rPr>
                <w:lang w:eastAsia="lv-LV"/>
              </w:rPr>
            </w:pPr>
          </w:p>
        </w:tc>
        <w:tc>
          <w:tcPr>
            <w:tcW w:w="1325" w:type="dxa"/>
            <w:vMerge w:val="restart"/>
            <w:tcBorders>
              <w:top w:val="single" w:sz="4" w:space="0" w:color="auto"/>
            </w:tcBorders>
            <w:vAlign w:val="center"/>
          </w:tcPr>
          <w:p w:rsidR="00501C90" w:rsidRPr="009D0218" w:rsidRDefault="00501C90" w:rsidP="00A761F0">
            <w:pPr>
              <w:pStyle w:val="tabteksts"/>
              <w:jc w:val="center"/>
              <w:rPr>
                <w:lang w:eastAsia="lv-LV"/>
              </w:rPr>
            </w:pPr>
            <w:r w:rsidRPr="009D0218">
              <w:rPr>
                <w:lang w:eastAsia="lv-LV"/>
              </w:rPr>
              <w:t>2011. gada</w:t>
            </w:r>
          </w:p>
          <w:p w:rsidR="00501C90" w:rsidRPr="009D0218" w:rsidRDefault="00501C90" w:rsidP="00A761F0">
            <w:pPr>
              <w:pStyle w:val="tabteksts"/>
              <w:jc w:val="center"/>
              <w:rPr>
                <w:lang w:eastAsia="lv-LV"/>
              </w:rPr>
            </w:pPr>
            <w:r w:rsidRPr="009D0218">
              <w:rPr>
                <w:lang w:eastAsia="lv-LV"/>
              </w:rPr>
              <w:t>1. aprīlis</w:t>
            </w:r>
          </w:p>
        </w:tc>
        <w:tc>
          <w:tcPr>
            <w:tcW w:w="1418" w:type="dxa"/>
            <w:vMerge w:val="restart"/>
            <w:tcBorders>
              <w:top w:val="single" w:sz="4" w:space="0" w:color="auto"/>
              <w:left w:val="nil"/>
            </w:tcBorders>
            <w:vAlign w:val="center"/>
          </w:tcPr>
          <w:p w:rsidR="00501C90" w:rsidRPr="009D0218" w:rsidRDefault="00501C90" w:rsidP="00A761F0">
            <w:pPr>
              <w:pStyle w:val="tabteksts"/>
              <w:jc w:val="center"/>
              <w:rPr>
                <w:lang w:eastAsia="lv-LV"/>
              </w:rPr>
            </w:pPr>
            <w:r w:rsidRPr="009D0218">
              <w:rPr>
                <w:lang w:eastAsia="lv-LV"/>
              </w:rPr>
              <w:t>2012. gada</w:t>
            </w:r>
          </w:p>
          <w:p w:rsidR="00501C90" w:rsidRPr="009D0218" w:rsidRDefault="00501C90" w:rsidP="00A761F0">
            <w:pPr>
              <w:pStyle w:val="tabteksts"/>
              <w:jc w:val="center"/>
              <w:rPr>
                <w:lang w:eastAsia="lv-LV"/>
              </w:rPr>
            </w:pPr>
            <w:r w:rsidRPr="009D0218">
              <w:rPr>
                <w:lang w:eastAsia="lv-LV"/>
              </w:rPr>
              <w:t>1. aprīlis</w:t>
            </w:r>
          </w:p>
        </w:tc>
        <w:tc>
          <w:tcPr>
            <w:tcW w:w="2576" w:type="dxa"/>
            <w:gridSpan w:val="2"/>
            <w:tcBorders>
              <w:top w:val="single" w:sz="4" w:space="0" w:color="auto"/>
              <w:left w:val="nil"/>
              <w:bottom w:val="single" w:sz="4" w:space="0" w:color="auto"/>
              <w:right w:val="single" w:sz="4" w:space="0" w:color="auto"/>
            </w:tcBorders>
          </w:tcPr>
          <w:p w:rsidR="00501C90" w:rsidRPr="009D0218" w:rsidRDefault="00501C90" w:rsidP="00A761F0">
            <w:pPr>
              <w:pStyle w:val="tabteksts"/>
              <w:jc w:val="center"/>
              <w:rPr>
                <w:lang w:eastAsia="lv-LV"/>
              </w:rPr>
            </w:pPr>
            <w:r w:rsidRPr="009D0218">
              <w:rPr>
                <w:lang w:eastAsia="lv-LV"/>
              </w:rPr>
              <w:t>Izmaiņas</w:t>
            </w:r>
            <w:r w:rsidRPr="009D0218">
              <w:rPr>
                <w:lang w:eastAsia="lv-LV"/>
              </w:rPr>
              <w:br/>
              <w:t>(2012.g. 1. aprīlis/</w:t>
            </w:r>
          </w:p>
          <w:p w:rsidR="00501C90" w:rsidRPr="009D0218" w:rsidRDefault="00501C90" w:rsidP="00A761F0">
            <w:pPr>
              <w:pStyle w:val="tabteksts"/>
              <w:jc w:val="center"/>
              <w:rPr>
                <w:lang w:eastAsia="lv-LV"/>
              </w:rPr>
            </w:pPr>
            <w:r w:rsidRPr="009D0218">
              <w:rPr>
                <w:lang w:eastAsia="lv-LV"/>
              </w:rPr>
              <w:t>2011.g. 1. aprīlis)</w:t>
            </w:r>
          </w:p>
        </w:tc>
      </w:tr>
      <w:tr w:rsidR="00501C90" w:rsidRPr="009D0218" w:rsidTr="00A761F0">
        <w:trPr>
          <w:cantSplit/>
          <w:jc w:val="center"/>
        </w:trPr>
        <w:tc>
          <w:tcPr>
            <w:tcW w:w="3078" w:type="dxa"/>
            <w:vMerge/>
            <w:tcBorders>
              <w:left w:val="single" w:sz="4" w:space="0" w:color="auto"/>
              <w:bottom w:val="single" w:sz="4" w:space="0" w:color="auto"/>
            </w:tcBorders>
          </w:tcPr>
          <w:p w:rsidR="00501C90" w:rsidRPr="009D0218" w:rsidRDefault="00501C90" w:rsidP="00A761F0">
            <w:pPr>
              <w:pStyle w:val="tabteksts"/>
              <w:jc w:val="center"/>
              <w:rPr>
                <w:lang w:eastAsia="lv-LV"/>
              </w:rPr>
            </w:pPr>
          </w:p>
        </w:tc>
        <w:tc>
          <w:tcPr>
            <w:tcW w:w="1325" w:type="dxa"/>
            <w:vMerge/>
            <w:tcBorders>
              <w:bottom w:val="single" w:sz="4" w:space="0" w:color="auto"/>
            </w:tcBorders>
          </w:tcPr>
          <w:p w:rsidR="00501C90" w:rsidRPr="009D0218" w:rsidRDefault="00501C90" w:rsidP="00A761F0">
            <w:pPr>
              <w:pStyle w:val="tabteksts"/>
              <w:jc w:val="center"/>
              <w:rPr>
                <w:lang w:eastAsia="lv-LV"/>
              </w:rPr>
            </w:pPr>
          </w:p>
        </w:tc>
        <w:tc>
          <w:tcPr>
            <w:tcW w:w="1418" w:type="dxa"/>
            <w:vMerge/>
            <w:tcBorders>
              <w:left w:val="nil"/>
              <w:bottom w:val="single" w:sz="4" w:space="0" w:color="auto"/>
            </w:tcBorders>
          </w:tcPr>
          <w:p w:rsidR="00501C90" w:rsidRPr="009D0218" w:rsidRDefault="00501C90" w:rsidP="00A761F0">
            <w:pPr>
              <w:pStyle w:val="tabteksts"/>
              <w:jc w:val="center"/>
              <w:rPr>
                <w:lang w:eastAsia="lv-LV"/>
              </w:rPr>
            </w:pPr>
          </w:p>
        </w:tc>
        <w:tc>
          <w:tcPr>
            <w:tcW w:w="1300" w:type="dxa"/>
            <w:tcBorders>
              <w:top w:val="single" w:sz="4" w:space="0" w:color="auto"/>
              <w:left w:val="nil"/>
              <w:bottom w:val="single" w:sz="4" w:space="0" w:color="auto"/>
              <w:right w:val="single" w:sz="4" w:space="0" w:color="auto"/>
            </w:tcBorders>
          </w:tcPr>
          <w:p w:rsidR="00501C90" w:rsidRPr="009D0218" w:rsidRDefault="00501C90" w:rsidP="00A761F0">
            <w:pPr>
              <w:pStyle w:val="tabteksts"/>
              <w:jc w:val="center"/>
              <w:rPr>
                <w:lang w:eastAsia="lv-LV"/>
              </w:rPr>
            </w:pPr>
            <w:proofErr w:type="spellStart"/>
            <w:r w:rsidRPr="009D0218">
              <w:rPr>
                <w:lang w:eastAsia="lv-LV"/>
              </w:rPr>
              <w:t>milj</w:t>
            </w:r>
            <w:proofErr w:type="spellEnd"/>
            <w:r w:rsidRPr="009D0218">
              <w:rPr>
                <w:lang w:eastAsia="lv-LV"/>
              </w:rPr>
              <w:t>. latu</w:t>
            </w:r>
          </w:p>
        </w:tc>
        <w:tc>
          <w:tcPr>
            <w:tcW w:w="1276" w:type="dxa"/>
            <w:tcBorders>
              <w:top w:val="single" w:sz="4" w:space="0" w:color="auto"/>
              <w:left w:val="nil"/>
              <w:bottom w:val="single" w:sz="4" w:space="0" w:color="auto"/>
              <w:right w:val="single" w:sz="4" w:space="0" w:color="auto"/>
            </w:tcBorders>
          </w:tcPr>
          <w:p w:rsidR="00501C90" w:rsidRPr="009D0218" w:rsidRDefault="00501C90" w:rsidP="00A761F0">
            <w:pPr>
              <w:pStyle w:val="tabteksts"/>
              <w:jc w:val="center"/>
              <w:rPr>
                <w:lang w:eastAsia="lv-LV"/>
              </w:rPr>
            </w:pPr>
            <w:r w:rsidRPr="009D0218">
              <w:rPr>
                <w:lang w:eastAsia="lv-LV"/>
              </w:rPr>
              <w:t>%</w:t>
            </w:r>
          </w:p>
        </w:tc>
      </w:tr>
      <w:tr w:rsidR="00501C90" w:rsidRPr="009D0218" w:rsidTr="00A761F0">
        <w:trPr>
          <w:cantSplit/>
          <w:jc w:val="center"/>
        </w:trPr>
        <w:tc>
          <w:tcPr>
            <w:tcW w:w="3078" w:type="dxa"/>
            <w:tcBorders>
              <w:top w:val="single" w:sz="4" w:space="0" w:color="auto"/>
              <w:left w:val="single" w:sz="4" w:space="0" w:color="auto"/>
              <w:bottom w:val="nil"/>
            </w:tcBorders>
          </w:tcPr>
          <w:p w:rsidR="00501C90" w:rsidRPr="009D0218" w:rsidRDefault="00501C90" w:rsidP="00A761F0">
            <w:pPr>
              <w:pStyle w:val="tabteksts"/>
              <w:rPr>
                <w:lang w:eastAsia="lv-LV"/>
              </w:rPr>
            </w:pPr>
            <w:r w:rsidRPr="009D0218">
              <w:rPr>
                <w:lang w:eastAsia="lv-LV"/>
              </w:rPr>
              <w:t>Valsts pamatbudžetam</w:t>
            </w:r>
          </w:p>
        </w:tc>
        <w:tc>
          <w:tcPr>
            <w:tcW w:w="1325" w:type="dxa"/>
            <w:tcBorders>
              <w:top w:val="single" w:sz="4" w:space="0" w:color="auto"/>
              <w:bottom w:val="nil"/>
            </w:tcBorders>
            <w:vAlign w:val="bottom"/>
          </w:tcPr>
          <w:p w:rsidR="00501C90" w:rsidRPr="009D0218" w:rsidRDefault="00501C90" w:rsidP="00A761F0">
            <w:pPr>
              <w:pStyle w:val="tabteksts"/>
              <w:tabs>
                <w:tab w:val="decimal" w:pos="794"/>
              </w:tabs>
              <w:rPr>
                <w:lang w:eastAsia="lv-LV"/>
              </w:rPr>
            </w:pPr>
            <w:r w:rsidRPr="009D0218">
              <w:rPr>
                <w:lang w:eastAsia="lv-LV"/>
              </w:rPr>
              <w:t>483,3</w:t>
            </w:r>
          </w:p>
        </w:tc>
        <w:tc>
          <w:tcPr>
            <w:tcW w:w="1418" w:type="dxa"/>
            <w:tcBorders>
              <w:top w:val="single" w:sz="4" w:space="0" w:color="auto"/>
              <w:left w:val="nil"/>
              <w:bottom w:val="nil"/>
            </w:tcBorders>
            <w:vAlign w:val="center"/>
          </w:tcPr>
          <w:p w:rsidR="00501C90" w:rsidRPr="009D0218" w:rsidRDefault="00501C90" w:rsidP="00A761F0">
            <w:pPr>
              <w:pStyle w:val="tabteksts"/>
              <w:tabs>
                <w:tab w:val="decimal" w:pos="794"/>
              </w:tabs>
              <w:rPr>
                <w:lang w:eastAsia="lv-LV"/>
              </w:rPr>
            </w:pPr>
            <w:r w:rsidRPr="009D0218">
              <w:rPr>
                <w:lang w:eastAsia="lv-LV"/>
              </w:rPr>
              <w:t>646,2</w:t>
            </w:r>
          </w:p>
        </w:tc>
        <w:tc>
          <w:tcPr>
            <w:tcW w:w="1300" w:type="dxa"/>
            <w:tcBorders>
              <w:top w:val="single" w:sz="4" w:space="0" w:color="auto"/>
              <w:left w:val="nil"/>
              <w:bottom w:val="nil"/>
            </w:tcBorders>
            <w:vAlign w:val="bottom"/>
          </w:tcPr>
          <w:p w:rsidR="00501C90" w:rsidRPr="009D0218" w:rsidRDefault="00501C90" w:rsidP="00A761F0">
            <w:pPr>
              <w:pStyle w:val="tabteksts"/>
              <w:tabs>
                <w:tab w:val="decimal" w:pos="794"/>
              </w:tabs>
              <w:rPr>
                <w:lang w:eastAsia="lv-LV"/>
              </w:rPr>
            </w:pPr>
            <w:r w:rsidRPr="009D0218">
              <w:rPr>
                <w:lang w:eastAsia="lv-LV"/>
              </w:rPr>
              <w:t>162,9</w:t>
            </w:r>
          </w:p>
        </w:tc>
        <w:tc>
          <w:tcPr>
            <w:tcW w:w="1276" w:type="dxa"/>
            <w:tcBorders>
              <w:top w:val="single" w:sz="4" w:space="0" w:color="auto"/>
              <w:left w:val="nil"/>
              <w:bottom w:val="nil"/>
              <w:right w:val="single" w:sz="4" w:space="0" w:color="auto"/>
            </w:tcBorders>
            <w:vAlign w:val="bottom"/>
          </w:tcPr>
          <w:p w:rsidR="00501C90" w:rsidRPr="009D0218" w:rsidRDefault="00501C90" w:rsidP="00A761F0">
            <w:pPr>
              <w:pStyle w:val="tabteksts"/>
              <w:tabs>
                <w:tab w:val="decimal" w:pos="586"/>
              </w:tabs>
              <w:rPr>
                <w:lang w:eastAsia="lv-LV"/>
              </w:rPr>
            </w:pPr>
            <w:r w:rsidRPr="009D0218">
              <w:rPr>
                <w:lang w:eastAsia="lv-LV"/>
              </w:rPr>
              <w:t>33,7%</w:t>
            </w:r>
          </w:p>
        </w:tc>
      </w:tr>
      <w:tr w:rsidR="00501C90" w:rsidRPr="009D0218" w:rsidTr="00A761F0">
        <w:trPr>
          <w:cantSplit/>
          <w:jc w:val="center"/>
        </w:trPr>
        <w:tc>
          <w:tcPr>
            <w:tcW w:w="3078" w:type="dxa"/>
            <w:tcBorders>
              <w:top w:val="nil"/>
              <w:left w:val="single" w:sz="4" w:space="0" w:color="auto"/>
              <w:bottom w:val="nil"/>
            </w:tcBorders>
          </w:tcPr>
          <w:p w:rsidR="00501C90" w:rsidRPr="009D0218" w:rsidRDefault="00501C90" w:rsidP="00A761F0">
            <w:pPr>
              <w:pStyle w:val="tabteksts"/>
              <w:rPr>
                <w:i/>
                <w:lang w:eastAsia="lv-LV"/>
              </w:rPr>
            </w:pPr>
            <w:proofErr w:type="spellStart"/>
            <w:r w:rsidRPr="009D0218">
              <w:rPr>
                <w:i/>
                <w:lang w:eastAsia="lv-LV"/>
              </w:rPr>
              <w:t>t. sk</w:t>
            </w:r>
            <w:proofErr w:type="spellEnd"/>
            <w:r w:rsidRPr="009D0218">
              <w:rPr>
                <w:i/>
                <w:lang w:eastAsia="lv-LV"/>
              </w:rPr>
              <w:t>. aktuālais parāds</w:t>
            </w:r>
          </w:p>
        </w:tc>
        <w:tc>
          <w:tcPr>
            <w:tcW w:w="1325" w:type="dxa"/>
            <w:tcBorders>
              <w:top w:val="nil"/>
              <w:bottom w:val="nil"/>
            </w:tcBorders>
            <w:vAlign w:val="bottom"/>
          </w:tcPr>
          <w:p w:rsidR="00501C90" w:rsidRPr="009D0218" w:rsidRDefault="00501C90" w:rsidP="00A761F0">
            <w:pPr>
              <w:pStyle w:val="tabteksts"/>
              <w:tabs>
                <w:tab w:val="decimal" w:pos="794"/>
              </w:tabs>
              <w:rPr>
                <w:i/>
                <w:lang w:eastAsia="lv-LV"/>
              </w:rPr>
            </w:pPr>
            <w:r w:rsidRPr="009D0218">
              <w:rPr>
                <w:i/>
                <w:lang w:eastAsia="lv-LV"/>
              </w:rPr>
              <w:t>255,4</w:t>
            </w:r>
          </w:p>
        </w:tc>
        <w:tc>
          <w:tcPr>
            <w:tcW w:w="1418" w:type="dxa"/>
            <w:tcBorders>
              <w:top w:val="nil"/>
              <w:left w:val="nil"/>
              <w:bottom w:val="nil"/>
            </w:tcBorders>
            <w:vAlign w:val="bottom"/>
          </w:tcPr>
          <w:p w:rsidR="00501C90" w:rsidRPr="009D0218" w:rsidRDefault="00501C90" w:rsidP="00A761F0">
            <w:pPr>
              <w:pStyle w:val="tabteksts"/>
              <w:tabs>
                <w:tab w:val="decimal" w:pos="794"/>
              </w:tabs>
              <w:rPr>
                <w:i/>
                <w:lang w:eastAsia="lv-LV"/>
              </w:rPr>
            </w:pPr>
            <w:r w:rsidRPr="009D0218">
              <w:rPr>
                <w:i/>
                <w:lang w:eastAsia="lv-LV"/>
              </w:rPr>
              <w:t>326,3</w:t>
            </w:r>
          </w:p>
        </w:tc>
        <w:tc>
          <w:tcPr>
            <w:tcW w:w="1300" w:type="dxa"/>
            <w:tcBorders>
              <w:top w:val="nil"/>
              <w:left w:val="nil"/>
              <w:bottom w:val="nil"/>
            </w:tcBorders>
            <w:vAlign w:val="bottom"/>
          </w:tcPr>
          <w:p w:rsidR="00501C90" w:rsidRPr="009D0218" w:rsidRDefault="00501C90" w:rsidP="00A761F0">
            <w:pPr>
              <w:pStyle w:val="tabteksts"/>
              <w:tabs>
                <w:tab w:val="decimal" w:pos="794"/>
              </w:tabs>
              <w:rPr>
                <w:i/>
                <w:lang w:eastAsia="lv-LV"/>
              </w:rPr>
            </w:pPr>
            <w:r w:rsidRPr="009D0218">
              <w:rPr>
                <w:i/>
                <w:lang w:eastAsia="lv-LV"/>
              </w:rPr>
              <w:t>71,0</w:t>
            </w:r>
          </w:p>
        </w:tc>
        <w:tc>
          <w:tcPr>
            <w:tcW w:w="1276" w:type="dxa"/>
            <w:tcBorders>
              <w:top w:val="nil"/>
              <w:left w:val="nil"/>
              <w:bottom w:val="nil"/>
              <w:right w:val="single" w:sz="4" w:space="0" w:color="auto"/>
            </w:tcBorders>
            <w:vAlign w:val="center"/>
          </w:tcPr>
          <w:p w:rsidR="00501C90" w:rsidRPr="009D0218" w:rsidRDefault="00501C90" w:rsidP="00A761F0">
            <w:pPr>
              <w:pStyle w:val="tabteksts"/>
              <w:tabs>
                <w:tab w:val="decimal" w:pos="586"/>
              </w:tabs>
              <w:rPr>
                <w:i/>
                <w:lang w:eastAsia="lv-LV"/>
              </w:rPr>
            </w:pPr>
            <w:r w:rsidRPr="009D0218">
              <w:rPr>
                <w:i/>
                <w:lang w:eastAsia="lv-LV"/>
              </w:rPr>
              <w:t>27,8%</w:t>
            </w:r>
          </w:p>
        </w:tc>
      </w:tr>
      <w:tr w:rsidR="00501C90" w:rsidRPr="009D0218" w:rsidTr="00A761F0">
        <w:trPr>
          <w:cantSplit/>
          <w:jc w:val="center"/>
        </w:trPr>
        <w:tc>
          <w:tcPr>
            <w:tcW w:w="3078" w:type="dxa"/>
            <w:tcBorders>
              <w:top w:val="nil"/>
              <w:left w:val="single" w:sz="4" w:space="0" w:color="auto"/>
              <w:bottom w:val="nil"/>
            </w:tcBorders>
          </w:tcPr>
          <w:p w:rsidR="00501C90" w:rsidRPr="009D0218" w:rsidRDefault="00501C90" w:rsidP="00A761F0">
            <w:pPr>
              <w:pStyle w:val="tabteksts"/>
              <w:rPr>
                <w:lang w:eastAsia="lv-LV"/>
              </w:rPr>
            </w:pPr>
            <w:r w:rsidRPr="009D0218">
              <w:rPr>
                <w:lang w:eastAsia="lv-LV"/>
              </w:rPr>
              <w:t>Pievienotās vērtības nodoklis</w:t>
            </w:r>
          </w:p>
        </w:tc>
        <w:tc>
          <w:tcPr>
            <w:tcW w:w="1325" w:type="dxa"/>
            <w:tcBorders>
              <w:top w:val="nil"/>
              <w:bottom w:val="nil"/>
            </w:tcBorders>
            <w:vAlign w:val="bottom"/>
          </w:tcPr>
          <w:p w:rsidR="00501C90" w:rsidRPr="009D0218" w:rsidRDefault="00501C90" w:rsidP="00A761F0">
            <w:pPr>
              <w:pStyle w:val="tabteksts"/>
              <w:tabs>
                <w:tab w:val="decimal" w:pos="794"/>
              </w:tabs>
              <w:rPr>
                <w:lang w:eastAsia="lv-LV"/>
              </w:rPr>
            </w:pPr>
            <w:r w:rsidRPr="009D0218">
              <w:rPr>
                <w:lang w:eastAsia="lv-LV"/>
              </w:rPr>
              <w:t>410,6</w:t>
            </w:r>
          </w:p>
        </w:tc>
        <w:tc>
          <w:tcPr>
            <w:tcW w:w="1418" w:type="dxa"/>
            <w:tcBorders>
              <w:top w:val="nil"/>
              <w:left w:val="nil"/>
              <w:bottom w:val="nil"/>
            </w:tcBorders>
            <w:vAlign w:val="bottom"/>
          </w:tcPr>
          <w:p w:rsidR="00501C90" w:rsidRPr="009D0218" w:rsidRDefault="00501C90" w:rsidP="00A761F0">
            <w:pPr>
              <w:pStyle w:val="tabteksts"/>
              <w:tabs>
                <w:tab w:val="decimal" w:pos="794"/>
              </w:tabs>
              <w:rPr>
                <w:lang w:eastAsia="lv-LV"/>
              </w:rPr>
            </w:pPr>
            <w:r w:rsidRPr="009D0218">
              <w:rPr>
                <w:lang w:eastAsia="lv-LV"/>
              </w:rPr>
              <w:t>559,3</w:t>
            </w:r>
          </w:p>
        </w:tc>
        <w:tc>
          <w:tcPr>
            <w:tcW w:w="1300" w:type="dxa"/>
            <w:tcBorders>
              <w:top w:val="nil"/>
              <w:left w:val="nil"/>
              <w:bottom w:val="nil"/>
            </w:tcBorders>
            <w:vAlign w:val="bottom"/>
          </w:tcPr>
          <w:p w:rsidR="00501C90" w:rsidRPr="009D0218" w:rsidRDefault="00501C90" w:rsidP="00A761F0">
            <w:pPr>
              <w:pStyle w:val="tabteksts"/>
              <w:tabs>
                <w:tab w:val="decimal" w:pos="794"/>
              </w:tabs>
              <w:rPr>
                <w:lang w:eastAsia="lv-LV"/>
              </w:rPr>
            </w:pPr>
            <w:r w:rsidRPr="009D0218">
              <w:rPr>
                <w:lang w:eastAsia="lv-LV"/>
              </w:rPr>
              <w:t>148,7</w:t>
            </w:r>
          </w:p>
        </w:tc>
        <w:tc>
          <w:tcPr>
            <w:tcW w:w="1276" w:type="dxa"/>
            <w:tcBorders>
              <w:top w:val="nil"/>
              <w:left w:val="nil"/>
              <w:bottom w:val="nil"/>
              <w:right w:val="single" w:sz="4" w:space="0" w:color="auto"/>
            </w:tcBorders>
            <w:vAlign w:val="center"/>
          </w:tcPr>
          <w:p w:rsidR="00501C90" w:rsidRPr="009D0218" w:rsidRDefault="00501C90" w:rsidP="00A761F0">
            <w:pPr>
              <w:pStyle w:val="tabteksts"/>
              <w:tabs>
                <w:tab w:val="decimal" w:pos="586"/>
              </w:tabs>
              <w:rPr>
                <w:lang w:eastAsia="lv-LV"/>
              </w:rPr>
            </w:pPr>
            <w:r w:rsidRPr="009D0218">
              <w:rPr>
                <w:lang w:eastAsia="lv-LV"/>
              </w:rPr>
              <w:t>36,2%</w:t>
            </w:r>
          </w:p>
        </w:tc>
      </w:tr>
      <w:tr w:rsidR="00501C90" w:rsidRPr="009D0218" w:rsidTr="00A761F0">
        <w:trPr>
          <w:cantSplit/>
          <w:jc w:val="center"/>
        </w:trPr>
        <w:tc>
          <w:tcPr>
            <w:tcW w:w="3078" w:type="dxa"/>
            <w:tcBorders>
              <w:top w:val="nil"/>
              <w:left w:val="single" w:sz="4" w:space="0" w:color="auto"/>
              <w:bottom w:val="nil"/>
            </w:tcBorders>
          </w:tcPr>
          <w:p w:rsidR="00501C90" w:rsidRPr="009D0218" w:rsidRDefault="00501C90" w:rsidP="00A761F0">
            <w:pPr>
              <w:pStyle w:val="tabteksts"/>
              <w:rPr>
                <w:lang w:eastAsia="lv-LV"/>
              </w:rPr>
            </w:pPr>
            <w:r w:rsidRPr="009D0218">
              <w:rPr>
                <w:lang w:eastAsia="lv-LV"/>
              </w:rPr>
              <w:lastRenderedPageBreak/>
              <w:t>Akcīzes nodoklis</w:t>
            </w:r>
          </w:p>
        </w:tc>
        <w:tc>
          <w:tcPr>
            <w:tcW w:w="1325" w:type="dxa"/>
            <w:tcBorders>
              <w:top w:val="nil"/>
              <w:bottom w:val="nil"/>
            </w:tcBorders>
            <w:vAlign w:val="bottom"/>
          </w:tcPr>
          <w:p w:rsidR="00501C90" w:rsidRPr="009D0218" w:rsidRDefault="00501C90" w:rsidP="00A761F0">
            <w:pPr>
              <w:pStyle w:val="tabteksts"/>
              <w:tabs>
                <w:tab w:val="decimal" w:pos="794"/>
              </w:tabs>
              <w:rPr>
                <w:lang w:eastAsia="lv-LV"/>
              </w:rPr>
            </w:pPr>
            <w:r w:rsidRPr="009D0218">
              <w:rPr>
                <w:lang w:eastAsia="lv-LV"/>
              </w:rPr>
              <w:t>11,8</w:t>
            </w:r>
          </w:p>
        </w:tc>
        <w:tc>
          <w:tcPr>
            <w:tcW w:w="1418" w:type="dxa"/>
            <w:tcBorders>
              <w:top w:val="nil"/>
              <w:left w:val="nil"/>
              <w:bottom w:val="nil"/>
            </w:tcBorders>
            <w:vAlign w:val="bottom"/>
          </w:tcPr>
          <w:p w:rsidR="00501C90" w:rsidRPr="009D0218" w:rsidRDefault="00501C90" w:rsidP="00A761F0">
            <w:pPr>
              <w:pStyle w:val="tabteksts"/>
              <w:tabs>
                <w:tab w:val="decimal" w:pos="794"/>
              </w:tabs>
              <w:rPr>
                <w:lang w:eastAsia="lv-LV"/>
              </w:rPr>
            </w:pPr>
            <w:r w:rsidRPr="009D0218">
              <w:rPr>
                <w:lang w:eastAsia="lv-LV"/>
              </w:rPr>
              <w:t>18,4</w:t>
            </w:r>
          </w:p>
        </w:tc>
        <w:tc>
          <w:tcPr>
            <w:tcW w:w="1300" w:type="dxa"/>
            <w:tcBorders>
              <w:top w:val="nil"/>
              <w:left w:val="nil"/>
              <w:bottom w:val="nil"/>
            </w:tcBorders>
            <w:vAlign w:val="bottom"/>
          </w:tcPr>
          <w:p w:rsidR="00501C90" w:rsidRPr="009D0218" w:rsidRDefault="00501C90" w:rsidP="00A761F0">
            <w:pPr>
              <w:pStyle w:val="tabteksts"/>
              <w:tabs>
                <w:tab w:val="decimal" w:pos="794"/>
              </w:tabs>
              <w:rPr>
                <w:lang w:eastAsia="lv-LV"/>
              </w:rPr>
            </w:pPr>
            <w:r w:rsidRPr="009D0218">
              <w:rPr>
                <w:lang w:eastAsia="lv-LV"/>
              </w:rPr>
              <w:t>6,6</w:t>
            </w:r>
          </w:p>
        </w:tc>
        <w:tc>
          <w:tcPr>
            <w:tcW w:w="1276" w:type="dxa"/>
            <w:tcBorders>
              <w:top w:val="nil"/>
              <w:left w:val="nil"/>
              <w:bottom w:val="nil"/>
              <w:right w:val="single" w:sz="4" w:space="0" w:color="auto"/>
            </w:tcBorders>
            <w:vAlign w:val="center"/>
          </w:tcPr>
          <w:p w:rsidR="00501C90" w:rsidRPr="009D0218" w:rsidRDefault="00501C90" w:rsidP="00A761F0">
            <w:pPr>
              <w:pStyle w:val="tabteksts"/>
              <w:tabs>
                <w:tab w:val="decimal" w:pos="586"/>
              </w:tabs>
              <w:rPr>
                <w:lang w:eastAsia="lv-LV"/>
              </w:rPr>
            </w:pPr>
            <w:r w:rsidRPr="009D0218">
              <w:rPr>
                <w:lang w:eastAsia="lv-LV"/>
              </w:rPr>
              <w:t>55,7%</w:t>
            </w:r>
          </w:p>
        </w:tc>
      </w:tr>
      <w:tr w:rsidR="00501C90" w:rsidRPr="009D0218" w:rsidTr="00A761F0">
        <w:trPr>
          <w:cantSplit/>
          <w:jc w:val="center"/>
        </w:trPr>
        <w:tc>
          <w:tcPr>
            <w:tcW w:w="3078" w:type="dxa"/>
            <w:tcBorders>
              <w:top w:val="nil"/>
              <w:left w:val="single" w:sz="4" w:space="0" w:color="auto"/>
            </w:tcBorders>
          </w:tcPr>
          <w:p w:rsidR="00501C90" w:rsidRPr="009D0218" w:rsidRDefault="00501C90" w:rsidP="00A761F0">
            <w:pPr>
              <w:pStyle w:val="tabteksts"/>
              <w:rPr>
                <w:lang w:eastAsia="lv-LV"/>
              </w:rPr>
            </w:pPr>
            <w:r w:rsidRPr="009D0218">
              <w:rPr>
                <w:lang w:eastAsia="lv-LV"/>
              </w:rPr>
              <w:t>Uzņēmumu ienākuma nodoklis</w:t>
            </w:r>
          </w:p>
        </w:tc>
        <w:tc>
          <w:tcPr>
            <w:tcW w:w="1325" w:type="dxa"/>
            <w:tcBorders>
              <w:top w:val="nil"/>
            </w:tcBorders>
            <w:vAlign w:val="bottom"/>
          </w:tcPr>
          <w:p w:rsidR="00501C90" w:rsidRPr="009D0218" w:rsidRDefault="00501C90" w:rsidP="00A761F0">
            <w:pPr>
              <w:pStyle w:val="tabteksts"/>
              <w:tabs>
                <w:tab w:val="decimal" w:pos="794"/>
              </w:tabs>
              <w:rPr>
                <w:lang w:eastAsia="lv-LV"/>
              </w:rPr>
            </w:pPr>
            <w:r w:rsidRPr="009D0218">
              <w:rPr>
                <w:lang w:eastAsia="lv-LV"/>
              </w:rPr>
              <w:t>55,5</w:t>
            </w:r>
          </w:p>
        </w:tc>
        <w:tc>
          <w:tcPr>
            <w:tcW w:w="1418" w:type="dxa"/>
            <w:tcBorders>
              <w:top w:val="nil"/>
              <w:left w:val="nil"/>
            </w:tcBorders>
            <w:vAlign w:val="bottom"/>
          </w:tcPr>
          <w:p w:rsidR="00501C90" w:rsidRPr="009D0218" w:rsidRDefault="00501C90" w:rsidP="00A761F0">
            <w:pPr>
              <w:pStyle w:val="tabteksts"/>
              <w:tabs>
                <w:tab w:val="decimal" w:pos="794"/>
              </w:tabs>
              <w:rPr>
                <w:lang w:eastAsia="lv-LV"/>
              </w:rPr>
            </w:pPr>
            <w:r w:rsidRPr="009D0218">
              <w:rPr>
                <w:lang w:eastAsia="lv-LV"/>
              </w:rPr>
              <w:t>63,5</w:t>
            </w:r>
          </w:p>
        </w:tc>
        <w:tc>
          <w:tcPr>
            <w:tcW w:w="1300" w:type="dxa"/>
            <w:tcBorders>
              <w:top w:val="nil"/>
              <w:left w:val="nil"/>
            </w:tcBorders>
            <w:vAlign w:val="bottom"/>
          </w:tcPr>
          <w:p w:rsidR="00501C90" w:rsidRPr="009D0218" w:rsidRDefault="00501C90" w:rsidP="00A761F0">
            <w:pPr>
              <w:pStyle w:val="tabteksts"/>
              <w:tabs>
                <w:tab w:val="decimal" w:pos="794"/>
              </w:tabs>
              <w:rPr>
                <w:lang w:eastAsia="lv-LV"/>
              </w:rPr>
            </w:pPr>
            <w:r w:rsidRPr="009D0218">
              <w:rPr>
                <w:lang w:eastAsia="lv-LV"/>
              </w:rPr>
              <w:t>8,0</w:t>
            </w:r>
          </w:p>
        </w:tc>
        <w:tc>
          <w:tcPr>
            <w:tcW w:w="1276" w:type="dxa"/>
            <w:tcBorders>
              <w:top w:val="nil"/>
              <w:left w:val="nil"/>
              <w:right w:val="single" w:sz="4" w:space="0" w:color="auto"/>
            </w:tcBorders>
            <w:vAlign w:val="center"/>
          </w:tcPr>
          <w:p w:rsidR="00501C90" w:rsidRPr="009D0218" w:rsidRDefault="00501C90" w:rsidP="00A761F0">
            <w:pPr>
              <w:pStyle w:val="tabteksts"/>
              <w:tabs>
                <w:tab w:val="decimal" w:pos="586"/>
              </w:tabs>
              <w:rPr>
                <w:lang w:eastAsia="lv-LV"/>
              </w:rPr>
            </w:pPr>
            <w:r w:rsidRPr="009D0218">
              <w:rPr>
                <w:lang w:eastAsia="lv-LV"/>
              </w:rPr>
              <w:t>14,4%</w:t>
            </w:r>
          </w:p>
        </w:tc>
      </w:tr>
      <w:tr w:rsidR="00501C90" w:rsidRPr="009D0218" w:rsidTr="00A761F0">
        <w:trPr>
          <w:cantSplit/>
          <w:jc w:val="center"/>
        </w:trPr>
        <w:tc>
          <w:tcPr>
            <w:tcW w:w="3078" w:type="dxa"/>
            <w:tcBorders>
              <w:top w:val="nil"/>
              <w:left w:val="single" w:sz="4" w:space="0" w:color="auto"/>
            </w:tcBorders>
          </w:tcPr>
          <w:p w:rsidR="00501C90" w:rsidRPr="009D0218" w:rsidRDefault="00501C90" w:rsidP="00A761F0">
            <w:pPr>
              <w:pStyle w:val="tabteksts"/>
              <w:rPr>
                <w:lang w:eastAsia="lv-LV"/>
              </w:rPr>
            </w:pPr>
            <w:r w:rsidRPr="009D0218">
              <w:rPr>
                <w:lang w:eastAsia="lv-LV"/>
              </w:rPr>
              <w:t>Pārējie nodokļi</w:t>
            </w:r>
          </w:p>
        </w:tc>
        <w:tc>
          <w:tcPr>
            <w:tcW w:w="1325" w:type="dxa"/>
            <w:tcBorders>
              <w:top w:val="nil"/>
            </w:tcBorders>
            <w:vAlign w:val="bottom"/>
          </w:tcPr>
          <w:p w:rsidR="00501C90" w:rsidRPr="009D0218" w:rsidRDefault="00501C90" w:rsidP="00A761F0">
            <w:pPr>
              <w:pStyle w:val="tabteksts"/>
              <w:tabs>
                <w:tab w:val="decimal" w:pos="794"/>
              </w:tabs>
              <w:rPr>
                <w:lang w:eastAsia="lv-LV"/>
              </w:rPr>
            </w:pPr>
            <w:r w:rsidRPr="009D0218">
              <w:rPr>
                <w:lang w:eastAsia="lv-LV"/>
              </w:rPr>
              <w:t>3,8</w:t>
            </w:r>
          </w:p>
        </w:tc>
        <w:tc>
          <w:tcPr>
            <w:tcW w:w="1418" w:type="dxa"/>
            <w:tcBorders>
              <w:top w:val="nil"/>
              <w:left w:val="nil"/>
            </w:tcBorders>
            <w:vAlign w:val="bottom"/>
          </w:tcPr>
          <w:p w:rsidR="00501C90" w:rsidRPr="009D0218" w:rsidRDefault="00501C90" w:rsidP="00A761F0">
            <w:pPr>
              <w:pStyle w:val="tabteksts"/>
              <w:tabs>
                <w:tab w:val="decimal" w:pos="794"/>
              </w:tabs>
              <w:rPr>
                <w:lang w:eastAsia="lv-LV"/>
              </w:rPr>
            </w:pPr>
            <w:r w:rsidRPr="009D0218">
              <w:rPr>
                <w:lang w:eastAsia="lv-LV"/>
              </w:rPr>
              <w:t>4,6</w:t>
            </w:r>
          </w:p>
        </w:tc>
        <w:tc>
          <w:tcPr>
            <w:tcW w:w="1300" w:type="dxa"/>
            <w:tcBorders>
              <w:top w:val="nil"/>
              <w:left w:val="nil"/>
            </w:tcBorders>
            <w:vAlign w:val="bottom"/>
          </w:tcPr>
          <w:p w:rsidR="00501C90" w:rsidRPr="009D0218" w:rsidRDefault="00501C90" w:rsidP="00A761F0">
            <w:pPr>
              <w:pStyle w:val="tabteksts"/>
              <w:tabs>
                <w:tab w:val="decimal" w:pos="794"/>
              </w:tabs>
              <w:rPr>
                <w:lang w:eastAsia="lv-LV"/>
              </w:rPr>
            </w:pPr>
            <w:r w:rsidRPr="009D0218">
              <w:rPr>
                <w:lang w:eastAsia="lv-LV"/>
              </w:rPr>
              <w:t>0,7</w:t>
            </w:r>
          </w:p>
        </w:tc>
        <w:tc>
          <w:tcPr>
            <w:tcW w:w="1276" w:type="dxa"/>
            <w:tcBorders>
              <w:top w:val="nil"/>
              <w:left w:val="nil"/>
              <w:right w:val="single" w:sz="4" w:space="0" w:color="auto"/>
            </w:tcBorders>
            <w:vAlign w:val="center"/>
          </w:tcPr>
          <w:p w:rsidR="00501C90" w:rsidRPr="009D0218" w:rsidRDefault="00501C90" w:rsidP="00A761F0">
            <w:pPr>
              <w:pStyle w:val="tabteksts"/>
              <w:tabs>
                <w:tab w:val="decimal" w:pos="586"/>
              </w:tabs>
              <w:rPr>
                <w:lang w:eastAsia="lv-LV"/>
              </w:rPr>
            </w:pPr>
            <w:r w:rsidRPr="009D0218">
              <w:rPr>
                <w:lang w:eastAsia="lv-LV"/>
              </w:rPr>
              <w:t>18,6%</w:t>
            </w:r>
          </w:p>
        </w:tc>
      </w:tr>
      <w:tr w:rsidR="00501C90" w:rsidRPr="009D0218" w:rsidTr="00A761F0">
        <w:trPr>
          <w:cantSplit/>
          <w:jc w:val="center"/>
        </w:trPr>
        <w:tc>
          <w:tcPr>
            <w:tcW w:w="3078" w:type="dxa"/>
            <w:tcBorders>
              <w:left w:val="single" w:sz="4" w:space="0" w:color="auto"/>
            </w:tcBorders>
          </w:tcPr>
          <w:p w:rsidR="00501C90" w:rsidRPr="009D0218" w:rsidRDefault="00501C90" w:rsidP="00A761F0">
            <w:pPr>
              <w:pStyle w:val="tabteksts"/>
              <w:rPr>
                <w:lang w:eastAsia="lv-LV"/>
              </w:rPr>
            </w:pPr>
            <w:r w:rsidRPr="009D0218">
              <w:rPr>
                <w:lang w:eastAsia="lv-LV"/>
              </w:rPr>
              <w:t>Sociālās apdrošināšanas budžetam</w:t>
            </w:r>
          </w:p>
        </w:tc>
        <w:tc>
          <w:tcPr>
            <w:tcW w:w="1325" w:type="dxa"/>
            <w:vAlign w:val="bottom"/>
          </w:tcPr>
          <w:p w:rsidR="00501C90" w:rsidRPr="009D0218" w:rsidRDefault="00501C90" w:rsidP="00A761F0">
            <w:pPr>
              <w:pStyle w:val="tabteksts"/>
              <w:tabs>
                <w:tab w:val="decimal" w:pos="794"/>
              </w:tabs>
              <w:rPr>
                <w:lang w:eastAsia="lv-LV"/>
              </w:rPr>
            </w:pPr>
            <w:r w:rsidRPr="009D0218">
              <w:rPr>
                <w:lang w:eastAsia="lv-LV"/>
              </w:rPr>
              <w:t>124,6</w:t>
            </w:r>
          </w:p>
        </w:tc>
        <w:tc>
          <w:tcPr>
            <w:tcW w:w="1418" w:type="dxa"/>
            <w:tcBorders>
              <w:left w:val="nil"/>
            </w:tcBorders>
            <w:vAlign w:val="center"/>
          </w:tcPr>
          <w:p w:rsidR="00501C90" w:rsidRPr="009D0218" w:rsidRDefault="00501C90" w:rsidP="00A761F0">
            <w:pPr>
              <w:pStyle w:val="tabteksts"/>
              <w:tabs>
                <w:tab w:val="decimal" w:pos="794"/>
              </w:tabs>
              <w:rPr>
                <w:lang w:eastAsia="lv-LV"/>
              </w:rPr>
            </w:pPr>
            <w:r w:rsidRPr="009D0218">
              <w:rPr>
                <w:lang w:eastAsia="lv-LV"/>
              </w:rPr>
              <w:t>128,7</w:t>
            </w:r>
          </w:p>
        </w:tc>
        <w:tc>
          <w:tcPr>
            <w:tcW w:w="1300" w:type="dxa"/>
            <w:tcBorders>
              <w:left w:val="nil"/>
            </w:tcBorders>
            <w:vAlign w:val="bottom"/>
          </w:tcPr>
          <w:p w:rsidR="00501C90" w:rsidRPr="009D0218" w:rsidRDefault="00501C90" w:rsidP="00A761F0">
            <w:pPr>
              <w:pStyle w:val="tabteksts"/>
              <w:tabs>
                <w:tab w:val="decimal" w:pos="794"/>
              </w:tabs>
              <w:rPr>
                <w:lang w:eastAsia="lv-LV"/>
              </w:rPr>
            </w:pPr>
            <w:r w:rsidRPr="009D0218">
              <w:rPr>
                <w:lang w:eastAsia="lv-LV"/>
              </w:rPr>
              <w:t>4,1</w:t>
            </w:r>
          </w:p>
        </w:tc>
        <w:tc>
          <w:tcPr>
            <w:tcW w:w="1276" w:type="dxa"/>
            <w:tcBorders>
              <w:left w:val="nil"/>
              <w:right w:val="single" w:sz="4" w:space="0" w:color="auto"/>
            </w:tcBorders>
            <w:vAlign w:val="bottom"/>
          </w:tcPr>
          <w:p w:rsidR="00501C90" w:rsidRPr="009D0218" w:rsidRDefault="00501C90" w:rsidP="00A761F0">
            <w:pPr>
              <w:pStyle w:val="tabteksts"/>
              <w:tabs>
                <w:tab w:val="decimal" w:pos="586"/>
              </w:tabs>
              <w:rPr>
                <w:lang w:eastAsia="lv-LV"/>
              </w:rPr>
            </w:pPr>
            <w:r w:rsidRPr="009D0218">
              <w:rPr>
                <w:lang w:eastAsia="lv-LV"/>
              </w:rPr>
              <w:t>3,3%</w:t>
            </w:r>
          </w:p>
        </w:tc>
      </w:tr>
      <w:tr w:rsidR="00501C90" w:rsidRPr="009D0218" w:rsidTr="00A761F0">
        <w:trPr>
          <w:cantSplit/>
          <w:jc w:val="center"/>
        </w:trPr>
        <w:tc>
          <w:tcPr>
            <w:tcW w:w="3078" w:type="dxa"/>
            <w:tcBorders>
              <w:left w:val="single" w:sz="4" w:space="0" w:color="auto"/>
            </w:tcBorders>
          </w:tcPr>
          <w:p w:rsidR="00501C90" w:rsidRPr="009D0218" w:rsidRDefault="00501C90" w:rsidP="00A761F0">
            <w:pPr>
              <w:pStyle w:val="tabteksts"/>
              <w:rPr>
                <w:i/>
                <w:lang w:eastAsia="lv-LV"/>
              </w:rPr>
            </w:pPr>
            <w:proofErr w:type="spellStart"/>
            <w:r w:rsidRPr="009D0218">
              <w:rPr>
                <w:i/>
                <w:lang w:eastAsia="lv-LV"/>
              </w:rPr>
              <w:t>t. sk</w:t>
            </w:r>
            <w:proofErr w:type="spellEnd"/>
            <w:r w:rsidRPr="009D0218">
              <w:rPr>
                <w:i/>
                <w:lang w:eastAsia="lv-LV"/>
              </w:rPr>
              <w:t>. aktuālais parāds</w:t>
            </w:r>
          </w:p>
        </w:tc>
        <w:tc>
          <w:tcPr>
            <w:tcW w:w="1325" w:type="dxa"/>
            <w:vAlign w:val="bottom"/>
          </w:tcPr>
          <w:p w:rsidR="00501C90" w:rsidRPr="009D0218" w:rsidRDefault="00501C90" w:rsidP="00A761F0">
            <w:pPr>
              <w:pStyle w:val="tabteksts"/>
              <w:tabs>
                <w:tab w:val="decimal" w:pos="794"/>
              </w:tabs>
              <w:rPr>
                <w:i/>
                <w:lang w:eastAsia="lv-LV"/>
              </w:rPr>
            </w:pPr>
            <w:r w:rsidRPr="009D0218">
              <w:rPr>
                <w:i/>
                <w:lang w:eastAsia="lv-LV"/>
              </w:rPr>
              <w:t>67,9</w:t>
            </w:r>
          </w:p>
        </w:tc>
        <w:tc>
          <w:tcPr>
            <w:tcW w:w="1418" w:type="dxa"/>
            <w:tcBorders>
              <w:left w:val="nil"/>
            </w:tcBorders>
            <w:vAlign w:val="bottom"/>
          </w:tcPr>
          <w:p w:rsidR="00501C90" w:rsidRPr="009D0218" w:rsidRDefault="00501C90" w:rsidP="00A761F0">
            <w:pPr>
              <w:pStyle w:val="tabteksts"/>
              <w:tabs>
                <w:tab w:val="decimal" w:pos="794"/>
              </w:tabs>
              <w:rPr>
                <w:i/>
                <w:lang w:eastAsia="lv-LV"/>
              </w:rPr>
            </w:pPr>
            <w:r w:rsidRPr="009D0218">
              <w:rPr>
                <w:i/>
                <w:lang w:eastAsia="lv-LV"/>
              </w:rPr>
              <w:t>73,6</w:t>
            </w:r>
          </w:p>
        </w:tc>
        <w:tc>
          <w:tcPr>
            <w:tcW w:w="1300" w:type="dxa"/>
            <w:tcBorders>
              <w:left w:val="nil"/>
            </w:tcBorders>
            <w:vAlign w:val="bottom"/>
          </w:tcPr>
          <w:p w:rsidR="00501C90" w:rsidRPr="009D0218" w:rsidRDefault="00501C90" w:rsidP="00A761F0">
            <w:pPr>
              <w:pStyle w:val="tabteksts"/>
              <w:tabs>
                <w:tab w:val="decimal" w:pos="794"/>
              </w:tabs>
              <w:rPr>
                <w:i/>
                <w:lang w:eastAsia="lv-LV"/>
              </w:rPr>
            </w:pPr>
            <w:r w:rsidRPr="009D0218">
              <w:rPr>
                <w:i/>
                <w:lang w:eastAsia="lv-LV"/>
              </w:rPr>
              <w:t>5,7</w:t>
            </w:r>
          </w:p>
        </w:tc>
        <w:tc>
          <w:tcPr>
            <w:tcW w:w="1276" w:type="dxa"/>
            <w:tcBorders>
              <w:left w:val="nil"/>
              <w:right w:val="single" w:sz="4" w:space="0" w:color="auto"/>
            </w:tcBorders>
            <w:vAlign w:val="center"/>
          </w:tcPr>
          <w:p w:rsidR="00501C90" w:rsidRPr="009D0218" w:rsidRDefault="00501C90" w:rsidP="00A761F0">
            <w:pPr>
              <w:pStyle w:val="tabteksts"/>
              <w:tabs>
                <w:tab w:val="decimal" w:pos="586"/>
              </w:tabs>
              <w:rPr>
                <w:i/>
                <w:lang w:eastAsia="lv-LV"/>
              </w:rPr>
            </w:pPr>
            <w:r w:rsidRPr="009D0218">
              <w:rPr>
                <w:i/>
                <w:lang w:eastAsia="lv-LV"/>
              </w:rPr>
              <w:t>8,5%</w:t>
            </w:r>
          </w:p>
        </w:tc>
      </w:tr>
      <w:tr w:rsidR="00501C90" w:rsidRPr="009D0218" w:rsidTr="00A761F0">
        <w:trPr>
          <w:cantSplit/>
          <w:jc w:val="center"/>
        </w:trPr>
        <w:tc>
          <w:tcPr>
            <w:tcW w:w="3078" w:type="dxa"/>
            <w:tcBorders>
              <w:left w:val="single" w:sz="4" w:space="0" w:color="auto"/>
            </w:tcBorders>
          </w:tcPr>
          <w:p w:rsidR="00501C90" w:rsidRPr="009D0218" w:rsidRDefault="00501C90" w:rsidP="00A761F0">
            <w:pPr>
              <w:pStyle w:val="tabteksts"/>
              <w:rPr>
                <w:lang w:eastAsia="lv-LV"/>
              </w:rPr>
            </w:pPr>
            <w:r w:rsidRPr="009D0218">
              <w:rPr>
                <w:lang w:eastAsia="lv-LV"/>
              </w:rPr>
              <w:t>Pašvaldību budžetam</w:t>
            </w:r>
          </w:p>
        </w:tc>
        <w:tc>
          <w:tcPr>
            <w:tcW w:w="1325" w:type="dxa"/>
            <w:vAlign w:val="bottom"/>
          </w:tcPr>
          <w:p w:rsidR="00501C90" w:rsidRPr="009D0218" w:rsidRDefault="00501C90" w:rsidP="00A761F0">
            <w:pPr>
              <w:pStyle w:val="tabteksts"/>
              <w:tabs>
                <w:tab w:val="decimal" w:pos="794"/>
              </w:tabs>
              <w:rPr>
                <w:lang w:eastAsia="lv-LV"/>
              </w:rPr>
            </w:pPr>
            <w:r w:rsidRPr="009D0218">
              <w:rPr>
                <w:lang w:eastAsia="lv-LV"/>
              </w:rPr>
              <w:t>195,6</w:t>
            </w:r>
          </w:p>
        </w:tc>
        <w:tc>
          <w:tcPr>
            <w:tcW w:w="1418" w:type="dxa"/>
            <w:tcBorders>
              <w:left w:val="nil"/>
            </w:tcBorders>
            <w:vAlign w:val="center"/>
          </w:tcPr>
          <w:p w:rsidR="00501C90" w:rsidRPr="009D0218" w:rsidRDefault="00501C90" w:rsidP="00A761F0">
            <w:pPr>
              <w:pStyle w:val="tabteksts"/>
              <w:tabs>
                <w:tab w:val="decimal" w:pos="794"/>
              </w:tabs>
              <w:rPr>
                <w:lang w:eastAsia="lv-LV"/>
              </w:rPr>
            </w:pPr>
            <w:r w:rsidRPr="009D0218">
              <w:rPr>
                <w:lang w:eastAsia="lv-LV"/>
              </w:rPr>
              <w:t>200,5</w:t>
            </w:r>
          </w:p>
        </w:tc>
        <w:tc>
          <w:tcPr>
            <w:tcW w:w="1300" w:type="dxa"/>
            <w:tcBorders>
              <w:left w:val="nil"/>
            </w:tcBorders>
            <w:vAlign w:val="bottom"/>
          </w:tcPr>
          <w:p w:rsidR="00501C90" w:rsidRPr="009D0218" w:rsidRDefault="00501C90" w:rsidP="00A761F0">
            <w:pPr>
              <w:pStyle w:val="tabteksts"/>
              <w:tabs>
                <w:tab w:val="decimal" w:pos="794"/>
              </w:tabs>
              <w:rPr>
                <w:lang w:eastAsia="lv-LV"/>
              </w:rPr>
            </w:pPr>
            <w:r w:rsidRPr="009D0218">
              <w:rPr>
                <w:lang w:eastAsia="lv-LV"/>
              </w:rPr>
              <w:t>4,9</w:t>
            </w:r>
          </w:p>
        </w:tc>
        <w:tc>
          <w:tcPr>
            <w:tcW w:w="1276" w:type="dxa"/>
            <w:tcBorders>
              <w:left w:val="nil"/>
              <w:right w:val="single" w:sz="4" w:space="0" w:color="auto"/>
            </w:tcBorders>
            <w:vAlign w:val="bottom"/>
          </w:tcPr>
          <w:p w:rsidR="00501C90" w:rsidRPr="009D0218" w:rsidRDefault="00501C90" w:rsidP="00A761F0">
            <w:pPr>
              <w:pStyle w:val="tabteksts"/>
              <w:tabs>
                <w:tab w:val="decimal" w:pos="586"/>
              </w:tabs>
              <w:rPr>
                <w:lang w:eastAsia="lv-LV"/>
              </w:rPr>
            </w:pPr>
            <w:r w:rsidRPr="009D0218">
              <w:rPr>
                <w:lang w:eastAsia="lv-LV"/>
              </w:rPr>
              <w:t>2,5%</w:t>
            </w:r>
          </w:p>
        </w:tc>
      </w:tr>
      <w:tr w:rsidR="00501C90" w:rsidRPr="009D0218" w:rsidTr="00A761F0">
        <w:trPr>
          <w:cantSplit/>
          <w:jc w:val="center"/>
        </w:trPr>
        <w:tc>
          <w:tcPr>
            <w:tcW w:w="3078" w:type="dxa"/>
            <w:tcBorders>
              <w:left w:val="single" w:sz="4" w:space="0" w:color="auto"/>
              <w:bottom w:val="nil"/>
            </w:tcBorders>
          </w:tcPr>
          <w:p w:rsidR="00501C90" w:rsidRPr="009D0218" w:rsidRDefault="00501C90" w:rsidP="00A761F0">
            <w:pPr>
              <w:pStyle w:val="tabteksts"/>
              <w:rPr>
                <w:i/>
                <w:lang w:eastAsia="lv-LV"/>
              </w:rPr>
            </w:pPr>
            <w:proofErr w:type="spellStart"/>
            <w:r w:rsidRPr="009D0218">
              <w:rPr>
                <w:i/>
                <w:lang w:eastAsia="lv-LV"/>
              </w:rPr>
              <w:t>t. sk</w:t>
            </w:r>
            <w:proofErr w:type="spellEnd"/>
            <w:r w:rsidRPr="009D0218">
              <w:rPr>
                <w:i/>
                <w:lang w:eastAsia="lv-LV"/>
              </w:rPr>
              <w:t>. aktuālais parāds</w:t>
            </w:r>
          </w:p>
        </w:tc>
        <w:tc>
          <w:tcPr>
            <w:tcW w:w="1325" w:type="dxa"/>
            <w:tcBorders>
              <w:bottom w:val="nil"/>
            </w:tcBorders>
            <w:vAlign w:val="bottom"/>
          </w:tcPr>
          <w:p w:rsidR="00501C90" w:rsidRPr="009D0218" w:rsidRDefault="00501C90" w:rsidP="00A761F0">
            <w:pPr>
              <w:pStyle w:val="tabteksts"/>
              <w:tabs>
                <w:tab w:val="decimal" w:pos="794"/>
              </w:tabs>
              <w:rPr>
                <w:i/>
                <w:lang w:eastAsia="lv-LV"/>
              </w:rPr>
            </w:pPr>
            <w:r w:rsidRPr="009D0218">
              <w:rPr>
                <w:i/>
                <w:lang w:eastAsia="lv-LV"/>
              </w:rPr>
              <w:t>153,0</w:t>
            </w:r>
          </w:p>
        </w:tc>
        <w:tc>
          <w:tcPr>
            <w:tcW w:w="1418" w:type="dxa"/>
            <w:tcBorders>
              <w:left w:val="nil"/>
              <w:bottom w:val="nil"/>
            </w:tcBorders>
            <w:vAlign w:val="bottom"/>
          </w:tcPr>
          <w:p w:rsidR="00501C90" w:rsidRPr="009D0218" w:rsidRDefault="00501C90" w:rsidP="00A761F0">
            <w:pPr>
              <w:pStyle w:val="tabteksts"/>
              <w:tabs>
                <w:tab w:val="decimal" w:pos="794"/>
              </w:tabs>
              <w:rPr>
                <w:i/>
                <w:lang w:eastAsia="lv-LV"/>
              </w:rPr>
            </w:pPr>
            <w:r w:rsidRPr="009D0218">
              <w:rPr>
                <w:i/>
                <w:lang w:eastAsia="lv-LV"/>
              </w:rPr>
              <w:t>138,6</w:t>
            </w:r>
          </w:p>
        </w:tc>
        <w:tc>
          <w:tcPr>
            <w:tcW w:w="1300" w:type="dxa"/>
            <w:tcBorders>
              <w:left w:val="nil"/>
              <w:bottom w:val="nil"/>
            </w:tcBorders>
            <w:vAlign w:val="bottom"/>
          </w:tcPr>
          <w:p w:rsidR="00501C90" w:rsidRPr="009D0218" w:rsidRDefault="00501C90" w:rsidP="00A761F0">
            <w:pPr>
              <w:pStyle w:val="tabteksts"/>
              <w:tabs>
                <w:tab w:val="decimal" w:pos="794"/>
              </w:tabs>
              <w:rPr>
                <w:i/>
                <w:lang w:eastAsia="lv-LV"/>
              </w:rPr>
            </w:pPr>
            <w:r w:rsidRPr="009D0218">
              <w:rPr>
                <w:i/>
                <w:lang w:eastAsia="lv-LV"/>
              </w:rPr>
              <w:t>-14,4</w:t>
            </w:r>
          </w:p>
        </w:tc>
        <w:tc>
          <w:tcPr>
            <w:tcW w:w="1276" w:type="dxa"/>
            <w:tcBorders>
              <w:left w:val="nil"/>
              <w:bottom w:val="nil"/>
              <w:right w:val="single" w:sz="4" w:space="0" w:color="auto"/>
            </w:tcBorders>
            <w:vAlign w:val="center"/>
          </w:tcPr>
          <w:p w:rsidR="00501C90" w:rsidRPr="009D0218" w:rsidRDefault="00501C90" w:rsidP="00A761F0">
            <w:pPr>
              <w:pStyle w:val="tabteksts"/>
              <w:tabs>
                <w:tab w:val="decimal" w:pos="586"/>
              </w:tabs>
              <w:rPr>
                <w:i/>
                <w:lang w:eastAsia="lv-LV"/>
              </w:rPr>
            </w:pPr>
            <w:r w:rsidRPr="009D0218">
              <w:rPr>
                <w:i/>
                <w:lang w:eastAsia="lv-LV"/>
              </w:rPr>
              <w:t>-9,4%</w:t>
            </w:r>
          </w:p>
        </w:tc>
      </w:tr>
      <w:tr w:rsidR="00501C90" w:rsidRPr="009D0218" w:rsidTr="00A761F0">
        <w:trPr>
          <w:cantSplit/>
          <w:jc w:val="center"/>
        </w:trPr>
        <w:tc>
          <w:tcPr>
            <w:tcW w:w="3078" w:type="dxa"/>
            <w:tcBorders>
              <w:top w:val="single" w:sz="6" w:space="0" w:color="auto"/>
              <w:left w:val="single" w:sz="4" w:space="0" w:color="auto"/>
              <w:bottom w:val="nil"/>
            </w:tcBorders>
          </w:tcPr>
          <w:p w:rsidR="00501C90" w:rsidRPr="009D0218" w:rsidRDefault="00501C90" w:rsidP="00A761F0">
            <w:pPr>
              <w:pStyle w:val="tabteksts"/>
              <w:rPr>
                <w:b/>
                <w:lang w:eastAsia="lv-LV"/>
              </w:rPr>
            </w:pPr>
            <w:r w:rsidRPr="009D0218">
              <w:rPr>
                <w:b/>
                <w:lang w:eastAsia="lv-LV"/>
              </w:rPr>
              <w:t>Kopā kopbudžetam</w:t>
            </w:r>
          </w:p>
        </w:tc>
        <w:tc>
          <w:tcPr>
            <w:tcW w:w="1325" w:type="dxa"/>
            <w:tcBorders>
              <w:top w:val="single" w:sz="6" w:space="0" w:color="auto"/>
              <w:bottom w:val="nil"/>
            </w:tcBorders>
            <w:vAlign w:val="bottom"/>
          </w:tcPr>
          <w:p w:rsidR="00501C90" w:rsidRPr="009D0218" w:rsidRDefault="00501C90" w:rsidP="00A761F0">
            <w:pPr>
              <w:pStyle w:val="tabteksts"/>
              <w:tabs>
                <w:tab w:val="decimal" w:pos="794"/>
              </w:tabs>
              <w:rPr>
                <w:b/>
                <w:lang w:eastAsia="lv-LV"/>
              </w:rPr>
            </w:pPr>
            <w:r w:rsidRPr="009D0218">
              <w:rPr>
                <w:b/>
                <w:lang w:eastAsia="lv-LV"/>
              </w:rPr>
              <w:t>803,5</w:t>
            </w:r>
          </w:p>
        </w:tc>
        <w:tc>
          <w:tcPr>
            <w:tcW w:w="1418" w:type="dxa"/>
            <w:tcBorders>
              <w:top w:val="single" w:sz="6" w:space="0" w:color="auto"/>
              <w:left w:val="nil"/>
              <w:bottom w:val="nil"/>
            </w:tcBorders>
            <w:vAlign w:val="bottom"/>
          </w:tcPr>
          <w:p w:rsidR="00501C90" w:rsidRPr="009D0218" w:rsidRDefault="00501C90" w:rsidP="00A761F0">
            <w:pPr>
              <w:pStyle w:val="tabteksts"/>
              <w:tabs>
                <w:tab w:val="decimal" w:pos="794"/>
              </w:tabs>
              <w:rPr>
                <w:b/>
                <w:lang w:eastAsia="lv-LV"/>
              </w:rPr>
            </w:pPr>
            <w:r w:rsidRPr="009D0218">
              <w:rPr>
                <w:b/>
                <w:lang w:eastAsia="lv-LV"/>
              </w:rPr>
              <w:t>975,4</w:t>
            </w:r>
          </w:p>
        </w:tc>
        <w:tc>
          <w:tcPr>
            <w:tcW w:w="1300" w:type="dxa"/>
            <w:tcBorders>
              <w:top w:val="single" w:sz="6" w:space="0" w:color="auto"/>
              <w:left w:val="nil"/>
              <w:bottom w:val="nil"/>
            </w:tcBorders>
            <w:vAlign w:val="bottom"/>
          </w:tcPr>
          <w:p w:rsidR="00501C90" w:rsidRPr="009D0218" w:rsidRDefault="00501C90" w:rsidP="00A761F0">
            <w:pPr>
              <w:pStyle w:val="tabteksts"/>
              <w:tabs>
                <w:tab w:val="decimal" w:pos="794"/>
              </w:tabs>
              <w:rPr>
                <w:b/>
                <w:lang w:eastAsia="lv-LV"/>
              </w:rPr>
            </w:pPr>
            <w:r w:rsidRPr="009D0218">
              <w:rPr>
                <w:b/>
                <w:lang w:eastAsia="lv-LV"/>
              </w:rPr>
              <w:t>171,9</w:t>
            </w:r>
          </w:p>
        </w:tc>
        <w:tc>
          <w:tcPr>
            <w:tcW w:w="1276" w:type="dxa"/>
            <w:tcBorders>
              <w:top w:val="single" w:sz="6" w:space="0" w:color="auto"/>
              <w:left w:val="nil"/>
              <w:bottom w:val="nil"/>
              <w:right w:val="single" w:sz="4" w:space="0" w:color="auto"/>
            </w:tcBorders>
            <w:vAlign w:val="center"/>
          </w:tcPr>
          <w:p w:rsidR="00501C90" w:rsidRPr="009D0218" w:rsidRDefault="00501C90" w:rsidP="00A761F0">
            <w:pPr>
              <w:pStyle w:val="tabteksts"/>
              <w:tabs>
                <w:tab w:val="decimal" w:pos="586"/>
              </w:tabs>
              <w:rPr>
                <w:b/>
                <w:lang w:eastAsia="lv-LV"/>
              </w:rPr>
            </w:pPr>
            <w:r w:rsidRPr="009D0218">
              <w:rPr>
                <w:b/>
                <w:lang w:eastAsia="lv-LV"/>
              </w:rPr>
              <w:t>21,4%</w:t>
            </w:r>
          </w:p>
        </w:tc>
      </w:tr>
      <w:tr w:rsidR="00501C90" w:rsidRPr="009D0218" w:rsidTr="00A761F0">
        <w:trPr>
          <w:cantSplit/>
          <w:trHeight w:val="80"/>
          <w:jc w:val="center"/>
        </w:trPr>
        <w:tc>
          <w:tcPr>
            <w:tcW w:w="3078" w:type="dxa"/>
            <w:tcBorders>
              <w:top w:val="nil"/>
              <w:left w:val="single" w:sz="4" w:space="0" w:color="auto"/>
              <w:bottom w:val="single" w:sz="4" w:space="0" w:color="auto"/>
            </w:tcBorders>
          </w:tcPr>
          <w:p w:rsidR="00501C90" w:rsidRPr="009D0218" w:rsidRDefault="00501C90" w:rsidP="00A761F0">
            <w:pPr>
              <w:pStyle w:val="tabteksts"/>
              <w:rPr>
                <w:b/>
                <w:i/>
                <w:lang w:eastAsia="lv-LV"/>
              </w:rPr>
            </w:pPr>
            <w:proofErr w:type="spellStart"/>
            <w:r w:rsidRPr="009D0218">
              <w:rPr>
                <w:b/>
                <w:i/>
                <w:lang w:eastAsia="lv-LV"/>
              </w:rPr>
              <w:t>t. sk</w:t>
            </w:r>
            <w:proofErr w:type="spellEnd"/>
            <w:r w:rsidRPr="009D0218">
              <w:rPr>
                <w:b/>
                <w:i/>
                <w:lang w:eastAsia="lv-LV"/>
              </w:rPr>
              <w:t>. aktuālais parāds</w:t>
            </w:r>
          </w:p>
        </w:tc>
        <w:tc>
          <w:tcPr>
            <w:tcW w:w="1325" w:type="dxa"/>
            <w:tcBorders>
              <w:top w:val="nil"/>
              <w:bottom w:val="single" w:sz="4" w:space="0" w:color="auto"/>
            </w:tcBorders>
            <w:vAlign w:val="bottom"/>
          </w:tcPr>
          <w:p w:rsidR="00501C90" w:rsidRPr="009D0218" w:rsidRDefault="00501C90" w:rsidP="00A761F0">
            <w:pPr>
              <w:pStyle w:val="tabteksts"/>
              <w:tabs>
                <w:tab w:val="decimal" w:pos="794"/>
              </w:tabs>
              <w:rPr>
                <w:b/>
                <w:i/>
                <w:lang w:eastAsia="lv-LV"/>
              </w:rPr>
            </w:pPr>
            <w:r w:rsidRPr="009D0218">
              <w:rPr>
                <w:b/>
                <w:i/>
                <w:lang w:eastAsia="lv-LV"/>
              </w:rPr>
              <w:t>476,3</w:t>
            </w:r>
          </w:p>
        </w:tc>
        <w:tc>
          <w:tcPr>
            <w:tcW w:w="1418" w:type="dxa"/>
            <w:tcBorders>
              <w:top w:val="nil"/>
              <w:left w:val="nil"/>
              <w:bottom w:val="single" w:sz="4" w:space="0" w:color="auto"/>
            </w:tcBorders>
            <w:vAlign w:val="bottom"/>
          </w:tcPr>
          <w:p w:rsidR="00501C90" w:rsidRPr="009D0218" w:rsidRDefault="00501C90" w:rsidP="00A761F0">
            <w:pPr>
              <w:pStyle w:val="tabteksts"/>
              <w:tabs>
                <w:tab w:val="decimal" w:pos="794"/>
              </w:tabs>
              <w:rPr>
                <w:b/>
                <w:i/>
                <w:lang w:eastAsia="lv-LV"/>
              </w:rPr>
            </w:pPr>
            <w:r w:rsidRPr="009D0218">
              <w:rPr>
                <w:b/>
                <w:i/>
                <w:lang w:eastAsia="lv-LV"/>
              </w:rPr>
              <w:t>538,6</w:t>
            </w:r>
          </w:p>
        </w:tc>
        <w:tc>
          <w:tcPr>
            <w:tcW w:w="1300" w:type="dxa"/>
            <w:tcBorders>
              <w:top w:val="nil"/>
              <w:left w:val="nil"/>
              <w:bottom w:val="single" w:sz="4" w:space="0" w:color="auto"/>
            </w:tcBorders>
            <w:vAlign w:val="bottom"/>
          </w:tcPr>
          <w:p w:rsidR="00501C90" w:rsidRPr="009D0218" w:rsidRDefault="00501C90" w:rsidP="00A761F0">
            <w:pPr>
              <w:pStyle w:val="tabteksts"/>
              <w:tabs>
                <w:tab w:val="decimal" w:pos="794"/>
              </w:tabs>
              <w:rPr>
                <w:b/>
                <w:i/>
                <w:lang w:eastAsia="lv-LV"/>
              </w:rPr>
            </w:pPr>
            <w:r w:rsidRPr="009D0218">
              <w:rPr>
                <w:b/>
                <w:i/>
                <w:lang w:eastAsia="lv-LV"/>
              </w:rPr>
              <w:t>62,3</w:t>
            </w:r>
          </w:p>
        </w:tc>
        <w:tc>
          <w:tcPr>
            <w:tcW w:w="1276" w:type="dxa"/>
            <w:tcBorders>
              <w:top w:val="nil"/>
              <w:left w:val="nil"/>
              <w:bottom w:val="single" w:sz="4" w:space="0" w:color="auto"/>
              <w:right w:val="single" w:sz="4" w:space="0" w:color="auto"/>
            </w:tcBorders>
            <w:vAlign w:val="center"/>
          </w:tcPr>
          <w:p w:rsidR="00501C90" w:rsidRPr="009D0218" w:rsidRDefault="00501C90" w:rsidP="00A761F0">
            <w:pPr>
              <w:pStyle w:val="tabteksts"/>
              <w:tabs>
                <w:tab w:val="decimal" w:pos="586"/>
              </w:tabs>
              <w:rPr>
                <w:b/>
                <w:i/>
                <w:lang w:eastAsia="lv-LV"/>
              </w:rPr>
            </w:pPr>
            <w:r w:rsidRPr="009D0218">
              <w:rPr>
                <w:b/>
                <w:i/>
                <w:lang w:eastAsia="lv-LV"/>
              </w:rPr>
              <w:t>13,1%</w:t>
            </w:r>
          </w:p>
        </w:tc>
      </w:tr>
    </w:tbl>
    <w:p w:rsidR="00501C90" w:rsidRPr="009D0218" w:rsidRDefault="00501C90" w:rsidP="00501C90">
      <w:pPr>
        <w:ind w:firstLine="0"/>
      </w:pPr>
    </w:p>
    <w:p w:rsidR="00501C90" w:rsidRPr="009D0218" w:rsidRDefault="00501C90" w:rsidP="00916840">
      <w:pPr>
        <w:ind w:firstLine="720"/>
      </w:pPr>
      <w:r w:rsidRPr="009D0218">
        <w:t xml:space="preserve">2012. gada 1. aprīlī </w:t>
      </w:r>
      <w:r w:rsidRPr="00501C90">
        <w:rPr>
          <w:b/>
        </w:rPr>
        <w:t xml:space="preserve">kopējais nodokļu parāds valsts pamatbudžetam </w:t>
      </w:r>
      <w:r w:rsidRPr="009D0218">
        <w:t>bija 646,2 milj. latu, tai skaitā pievienotās vērtības nodokļa, uzņēmumu ienākuma nodokļa un akcīzes nodokļa parādi attiecīgi 559,3 milj. latu, 63,5 milj. latu un 18,4 milj. latu. Salī</w:t>
      </w:r>
      <w:r w:rsidRPr="009D0218">
        <w:softHyphen/>
        <w:t>dzinot ar da</w:t>
      </w:r>
      <w:r w:rsidRPr="009D0218">
        <w:softHyphen/>
        <w:t>tiem uz 2011. gada 1. aprīli, kopējā parādu summa valsts pamatbudžetam ir palielinājusies par 162,9 milj. latu jeb par 33,7 procentiem. Kopējie pievienotās vērtības nodokļa parādi, salīdzinot ar 2011. gada 1. aprīli, ir palielinā</w:t>
      </w:r>
      <w:r w:rsidRPr="009D0218">
        <w:softHyphen/>
        <w:t>jušies par 148,7 milj. latu jeb 36,2 procentiem. Valsts ieņēmumu dienests piedziņas darba rezultātā 2012. gada pirmajā ceturksnī pievienotās vērtības nodoklī kopā iekasēja 21,3 milj. latu. Uzņēmumu ienākuma nodokļa parādi salīdzinā</w:t>
      </w:r>
      <w:r w:rsidRPr="009D0218">
        <w:softHyphen/>
        <w:t>jumā ar 2011. gada 1. aprīli ir palielinājušies par 8,0 milj. latu jeb 14,4 procentiem. Valsts ieņēmumu dienests piedziņas darbību rezultātā 2012. gada pirmajā ceturksnī uzņēmumu ienākuma nodoklī iekasēja 2,4 milj. latu. Akcīzes nodokļa pa</w:t>
      </w:r>
      <w:r w:rsidRPr="009D0218">
        <w:softHyphen/>
        <w:t>rādi salīdzinājumā ar 2011. gada 1. aprīli ir palielinājušies par 6,6 milj. latu jeb 55,7 procentiem. Valsts ieņēmumu dienests piedziņas darbību rezultātā 2012. gada pirmajā ceturksnī akcīzes nodoklī iekasēja 0,9 milj. latu.</w:t>
      </w:r>
    </w:p>
    <w:p w:rsidR="00501C90" w:rsidRPr="009D0218" w:rsidRDefault="00501C90" w:rsidP="00916840">
      <w:pPr>
        <w:ind w:firstLine="720"/>
      </w:pPr>
      <w:r w:rsidRPr="009D0218">
        <w:t>2012. gada 1. aprīlī reāli piedzenamo parādu apjoms veidoja 107,1 milj. latu jeb 16,6% no kopējā parāda valsts pamatbudžetam un salīdzinājumā ar 2011. gada 1. aprīli palielinājās par 27,8 milj. latu.</w:t>
      </w:r>
    </w:p>
    <w:p w:rsidR="00501C90" w:rsidRPr="00501C90" w:rsidRDefault="00501C90" w:rsidP="00916840">
      <w:pPr>
        <w:ind w:firstLine="720"/>
        <w:rPr>
          <w:b/>
        </w:rPr>
      </w:pPr>
      <w:r w:rsidRPr="00501C90">
        <w:rPr>
          <w:b/>
        </w:rPr>
        <w:t>Kopējais nodokļu parāds pašvaldību budžetam</w:t>
      </w:r>
      <w:r w:rsidRPr="009D0218">
        <w:t xml:space="preserve"> 2012. gada 1. aprīlī bija 200,5 milj. latu. Šo parādu veidoja īpašuma nodokļa parāds un iedzīvotāju ienā</w:t>
      </w:r>
      <w:r w:rsidRPr="009D0218">
        <w:softHyphen/>
        <w:t>kuma nodokļa parāds attiecīgi 1,2 milj. latu un 199,3 milj. latu apmērā. Salīdzinot ar 2011. gada 1. aprīli, parādu summa pašvaldību budžetam ir palielinājusies par 4,9 milj. latu jeb 2,5%</w:t>
      </w:r>
      <w:r w:rsidRPr="00501C90">
        <w:rPr>
          <w:b/>
        </w:rPr>
        <w:t xml:space="preserve">, </w:t>
      </w:r>
      <w:r w:rsidRPr="009D0218">
        <w:t>aktuālo parādu summa ir samazinājusies par 14,4 milj. latu jeb 9,4 procentiem.</w:t>
      </w:r>
      <w:r w:rsidRPr="00501C90">
        <w:rPr>
          <w:b/>
        </w:rPr>
        <w:t xml:space="preserve"> </w:t>
      </w:r>
    </w:p>
    <w:p w:rsidR="00501C90" w:rsidRPr="009D0218" w:rsidRDefault="00501C90" w:rsidP="00916840">
      <w:pPr>
        <w:ind w:firstLine="720"/>
      </w:pPr>
      <w:r w:rsidRPr="00501C90">
        <w:rPr>
          <w:b/>
        </w:rPr>
        <w:t>Parādu summa sociālās apdrošināšanas budžetam</w:t>
      </w:r>
      <w:r w:rsidRPr="009D0218">
        <w:t xml:space="preserve"> 2012. gada 1. aprīlī bija 128,7 milj. latu, tai skaitā sociālā nodokļa parādi 4,7 milj. latu un sociālās apdrošināšanas iemaksu parādi 124,0 milj. latu. Salīdzinājumā ar 2011. gada 1. aprīli parādu summa sociālās apdrošināšanas budže</w:t>
      </w:r>
      <w:r w:rsidRPr="009D0218">
        <w:softHyphen/>
        <w:t>tam ir palielinājusies par 4,1 milj. latu jeb 3,3%, tai skaitā aktuālo parādu summa ir palielinājusies par 5,7 milj. latu jeb 8,5 procentiem. Valsts sociālās apdro</w:t>
      </w:r>
      <w:r w:rsidRPr="009D0218">
        <w:softHyphen/>
        <w:t>šināšanas obligāto ie</w:t>
      </w:r>
      <w:r w:rsidRPr="009D0218">
        <w:softHyphen/>
        <w:t>maksu parāds salīdzinājumā ar 2011. gada 1. aprīli ir palielinājies par 4,6 milj. latu jeb 3,9 procentiem.</w:t>
      </w:r>
    </w:p>
    <w:p w:rsidR="006A276C" w:rsidRPr="003927D1" w:rsidRDefault="006A276C" w:rsidP="005C26D0">
      <w:pPr>
        <w:pStyle w:val="H3"/>
        <w:jc w:val="both"/>
        <w:rPr>
          <w:b w:val="0"/>
        </w:rPr>
      </w:pPr>
    </w:p>
    <w:p w:rsidR="00501C90" w:rsidRPr="009D0218" w:rsidRDefault="00501C90" w:rsidP="00501C90">
      <w:pPr>
        <w:pStyle w:val="H3"/>
      </w:pPr>
      <w:bookmarkStart w:id="77" w:name="_Toc325101925"/>
      <w:bookmarkEnd w:id="66"/>
      <w:bookmarkEnd w:id="75"/>
      <w:r>
        <w:lastRenderedPageBreak/>
        <w:t>2</w:t>
      </w:r>
      <w:r w:rsidRPr="009D0218">
        <w:t>.</w:t>
      </w:r>
      <w:r w:rsidR="001E1793">
        <w:t>3</w:t>
      </w:r>
      <w:r w:rsidRPr="009D0218">
        <w:t xml:space="preserve">. </w:t>
      </w:r>
      <w:r>
        <w:t>Nenodokļu ieņēmumu</w:t>
      </w:r>
      <w:r w:rsidRPr="009D0218">
        <w:t xml:space="preserve"> izpilde</w:t>
      </w:r>
      <w:bookmarkEnd w:id="77"/>
    </w:p>
    <w:p w:rsidR="00501C90" w:rsidRPr="009D0218" w:rsidRDefault="00501C90" w:rsidP="00501C90">
      <w:r w:rsidRPr="009D0218">
        <w:rPr>
          <w:b/>
        </w:rPr>
        <w:t>Nenodokļu ieņēmumi</w:t>
      </w:r>
      <w:r w:rsidRPr="009D0218">
        <w:rPr>
          <w:rStyle w:val="FootnoteReference"/>
          <w:b/>
        </w:rPr>
        <w:footnoteReference w:id="13"/>
      </w:r>
      <w:r w:rsidRPr="009D0218">
        <w:t xml:space="preserve"> 2012. gada pirmajā ceturksnī bija 70,4 milj. latu, kas ir par 32,1 milj. latu vairāk nekā 2011. gada pirmajā ceturksnī, ko galvenokārt ietekmēja maksājums no budžeta iestāžu saņemto un iepriekšējos gados neizlietoto budžeta līdzekļu atmaksāšanas. Nenodokļu ieņēmumu pirmā ceturkšņa plāna izpilde bija 197,0 procenti.</w:t>
      </w:r>
    </w:p>
    <w:p w:rsidR="00501C90" w:rsidRPr="009D0218" w:rsidRDefault="00501C90" w:rsidP="00501C90">
      <w:r w:rsidRPr="009D0218">
        <w:t>2012. gada pirmajā ceturksnī lielākais īpatsvars valsts pamatbudžeta nenodokļu ieņēmumos bija:</w:t>
      </w:r>
    </w:p>
    <w:p w:rsidR="00501C90" w:rsidRPr="009D0218" w:rsidRDefault="00501C90" w:rsidP="00501C90">
      <w:pPr>
        <w:numPr>
          <w:ilvl w:val="0"/>
          <w:numId w:val="1"/>
        </w:numPr>
        <w:ind w:left="1134" w:hanging="425"/>
      </w:pPr>
      <w:r w:rsidRPr="009D0218">
        <w:t>pārējie nenodokļu ieņēmumi sasniedza 31,8 milj. latu, no kuriem lielākos ieņēmumus veidoja maksājumi no budžeta iestāžu saņemto un iepriekšējos gados neizlietoto budžeta līdzekļu atmaksāšanas 24,8 milj. latu;</w:t>
      </w:r>
    </w:p>
    <w:p w:rsidR="00501C90" w:rsidRPr="009D0218" w:rsidRDefault="00501C90" w:rsidP="00501C90">
      <w:pPr>
        <w:numPr>
          <w:ilvl w:val="0"/>
          <w:numId w:val="1"/>
        </w:numPr>
        <w:ind w:left="1080"/>
      </w:pPr>
      <w:r w:rsidRPr="009D0218">
        <w:t xml:space="preserve">ieņēmumi no valsts nodevām par valsts sniegto nodrošinājumu un juridiskajiem un citiem pakalpojumiem sasniedza 12,8 milj. latu, </w:t>
      </w:r>
      <w:proofErr w:type="spellStart"/>
      <w:r w:rsidRPr="009D0218">
        <w:t>t.i</w:t>
      </w:r>
      <w:proofErr w:type="spellEnd"/>
      <w:r w:rsidRPr="009D0218">
        <w:t>., par 1,8 milj. latu vairāk nekā 2011. gada pirmajā ceturksnī, un lielākos ieņēmumus veidoja ieņēmumi no nodevas par īpašuma tiesību un ķīlas tiesību nostiprināšanu zemesgrāmatā 6,7 milj. latu, nodevas par juridiskiem pakalpojumiem tiesu iestādēs 2,5 milj. latu un nodeva par konsulāro amatpersonu sniegtajiem pakalpojumiem 0,8 milj. latu. Savukārt ieņēmumu no valsts nodevām par valsts sniegto nodrošinājumu un juridiskajiem un citiem pakalpojumiem pirmā ceturkšņa plāns tika pārsniegts par 1,1 milj. latu;</w:t>
      </w:r>
    </w:p>
    <w:p w:rsidR="00501C90" w:rsidRPr="009D0218" w:rsidRDefault="00501C90" w:rsidP="00501C90">
      <w:pPr>
        <w:numPr>
          <w:ilvl w:val="0"/>
          <w:numId w:val="1"/>
        </w:numPr>
        <w:ind w:left="1080"/>
      </w:pPr>
      <w:r w:rsidRPr="009D0218">
        <w:t xml:space="preserve">procentu ieņēmumi par aizdevumiem nacionālajā un ārvalstu valūtā bija 6,7 milj. latu, </w:t>
      </w:r>
      <w:proofErr w:type="spellStart"/>
      <w:r w:rsidRPr="009D0218">
        <w:t>t.i</w:t>
      </w:r>
      <w:proofErr w:type="spellEnd"/>
      <w:r w:rsidRPr="009D0218">
        <w:t xml:space="preserve">., par 0,1 milj. latu vairāk nekā 2011. gada pirmajā ceturksnī. Pirmā ceturkšņa plāns tika pārsniegts par 0,8 milj. latu; </w:t>
      </w:r>
    </w:p>
    <w:p w:rsidR="00501C90" w:rsidRPr="009D0218" w:rsidRDefault="00501C90" w:rsidP="00501C90">
      <w:pPr>
        <w:numPr>
          <w:ilvl w:val="0"/>
          <w:numId w:val="1"/>
        </w:numPr>
        <w:ind w:left="1080"/>
      </w:pPr>
      <w:r w:rsidRPr="009D0218">
        <w:t>procentu ieņēmumi no depozītiem un kontu atlikumiem bija 4,1 milj. latu, kas ir par 1,6 milj. latu vairāk kā 2011. gada pirmajā ceturksnī.</w:t>
      </w:r>
    </w:p>
    <w:p w:rsidR="00501C90" w:rsidRPr="009D0218" w:rsidRDefault="00501C90" w:rsidP="00501C90">
      <w:r w:rsidRPr="009D0218">
        <w:t xml:space="preserve">Lielākās </w:t>
      </w:r>
      <w:r>
        <w:t xml:space="preserve">plāna </w:t>
      </w:r>
      <w:r w:rsidRPr="009D0218">
        <w:t>neizpildes pirmajā ceturksnī bija:</w:t>
      </w:r>
    </w:p>
    <w:p w:rsidR="00501C90" w:rsidRPr="009D0218" w:rsidRDefault="00501C90" w:rsidP="00501C90">
      <w:pPr>
        <w:numPr>
          <w:ilvl w:val="0"/>
          <w:numId w:val="1"/>
        </w:numPr>
        <w:ind w:left="1080"/>
      </w:pPr>
      <w:r w:rsidRPr="009D0218">
        <w:t>Procentu ieņēmumi no depozītiem un kontu atlikumiem -1,0 milj. latu. Neizpilde izveidojusies galvenokārt divu iemeslu dēļ: (1) veicot valsts sniegtā atbalsta formas maiņu no depozītiem uz slēgtu emisiju obligācijām, 2011. gada beigās, no AS „Parex banka” tika saņemti aprēķinātie uzkrātie procenti uz gada beigām, kas iepriekš tika plānoti 2012. gada sākumā; (2) februārī AS „Citadele banka” veica  pirmstermiņa depozīta atmaksu, kā rezultāta tika saņemti mazāki procentu ieņēmumi;</w:t>
      </w:r>
    </w:p>
    <w:p w:rsidR="00501C90" w:rsidRPr="009D0218" w:rsidRDefault="00501C90" w:rsidP="00501C90">
      <w:pPr>
        <w:numPr>
          <w:ilvl w:val="0"/>
          <w:numId w:val="1"/>
        </w:numPr>
        <w:ind w:left="1080"/>
      </w:pPr>
      <w:r w:rsidRPr="009D0218">
        <w:lastRenderedPageBreak/>
        <w:t>Naudas sodi un sankcijas -</w:t>
      </w:r>
      <w:r w:rsidR="00CF27A4">
        <w:t xml:space="preserve"> </w:t>
      </w:r>
      <w:r w:rsidRPr="009D0218">
        <w:t>0,8 milj. latu, ko ietekmē mazāki ieņēmumi nekā plānots naudas sodos par pārkāpumiem ceļu satiksmē – no gada plāna (9,7 milj. latu) pirmajā ceturksnī iekasēti 1,2 milj. latu jeb 12,2 procenti.</w:t>
      </w:r>
    </w:p>
    <w:p w:rsidR="00501C90" w:rsidRPr="009D0218" w:rsidRDefault="00501C90" w:rsidP="00501C90">
      <w:pPr>
        <w:ind w:left="1080" w:firstLine="0"/>
      </w:pPr>
    </w:p>
    <w:p w:rsidR="00501C90" w:rsidRPr="009D0218" w:rsidRDefault="00501C90" w:rsidP="00501C90">
      <w:pPr>
        <w:ind w:firstLine="360"/>
      </w:pPr>
      <w:r w:rsidRPr="009D0218">
        <w:t>Ar 2012. gadu veiktas izmaiņas šādos nodevu veidos:</w:t>
      </w:r>
    </w:p>
    <w:p w:rsidR="00501C90" w:rsidRPr="009D0218" w:rsidRDefault="00501C90" w:rsidP="00501C90">
      <w:pPr>
        <w:numPr>
          <w:ilvl w:val="0"/>
          <w:numId w:val="15"/>
        </w:numPr>
      </w:pPr>
      <w:r w:rsidRPr="009D0218">
        <w:t>saskaņā ar grozījumiem likumā „Finanšu stabilitātes nodevas likums” dubultota Finanšu stabilitātes nodevas likme (no 0,036 procentiem uz 0,072 procentiem gadā);</w:t>
      </w:r>
    </w:p>
    <w:p w:rsidR="00501C90" w:rsidRPr="009D0218" w:rsidRDefault="00501C90" w:rsidP="00501C90">
      <w:pPr>
        <w:numPr>
          <w:ilvl w:val="0"/>
          <w:numId w:val="15"/>
        </w:numPr>
      </w:pPr>
      <w:r w:rsidRPr="009D0218">
        <w:t>azartspēļu un izložu nodevu un nodokļu reforma;</w:t>
      </w:r>
    </w:p>
    <w:p w:rsidR="00501C90" w:rsidRPr="009D0218" w:rsidRDefault="00501C90" w:rsidP="00501C90">
      <w:pPr>
        <w:numPr>
          <w:ilvl w:val="0"/>
          <w:numId w:val="15"/>
        </w:numPr>
      </w:pPr>
      <w:r w:rsidRPr="009D0218">
        <w:t>saskaņā ar 2011. gada 27. decembra Ministru kabineta noteikumiem Nr.1023 „Grozījumi Ministru kabineta 2011. gada 14. jūnija noteikumos Nr.450 "Noteikumi par valsts naftas produktu rezervju apmēru, kādā maksājama valsts nodeva par drošības rezervju uzturēšanu, kā arī tās aprēķināšanas, maksāšanas un administrēšanas kārtību", tiek pilnveidota naftas produktu rezervju izveides un uzglabāšanas kārtība, paplašinot valsts nodevas par drošības rezervju uzturēšanu bāzi, no 2012. gada ieviešot nodevu arī par benzīna rezervju uzturēšanu.</w:t>
      </w:r>
    </w:p>
    <w:p w:rsidR="00146F66" w:rsidRPr="003927D1" w:rsidRDefault="00146F66">
      <w:pPr>
        <w:spacing w:after="0"/>
        <w:ind w:firstLine="0"/>
        <w:jc w:val="left"/>
        <w:rPr>
          <w:rFonts w:cs="Times New Roman"/>
          <w:b/>
          <w:sz w:val="36"/>
        </w:rPr>
      </w:pPr>
      <w:r w:rsidRPr="003927D1">
        <w:rPr>
          <w:rFonts w:cs="Times New Roman"/>
        </w:rPr>
        <w:br w:type="page"/>
      </w:r>
    </w:p>
    <w:p w:rsidR="00007150" w:rsidRPr="00CF27A4" w:rsidRDefault="00952906" w:rsidP="001E1793">
      <w:pPr>
        <w:pStyle w:val="Heading2"/>
        <w:ind w:left="792" w:firstLine="0"/>
        <w:rPr>
          <w:rFonts w:cs="Times New Roman"/>
          <w:szCs w:val="36"/>
        </w:rPr>
      </w:pPr>
      <w:bookmarkStart w:id="78" w:name="_Toc325101926"/>
      <w:bookmarkStart w:id="79" w:name="_Toc167254154"/>
      <w:bookmarkStart w:id="80" w:name="_Toc226433821"/>
      <w:bookmarkEnd w:id="53"/>
      <w:bookmarkEnd w:id="54"/>
      <w:bookmarkEnd w:id="55"/>
      <w:bookmarkEnd w:id="56"/>
      <w:bookmarkEnd w:id="57"/>
      <w:bookmarkEnd w:id="58"/>
      <w:bookmarkEnd w:id="59"/>
      <w:bookmarkEnd w:id="60"/>
      <w:r>
        <w:rPr>
          <w:rFonts w:cs="Times New Roman"/>
          <w:szCs w:val="36"/>
        </w:rPr>
        <w:lastRenderedPageBreak/>
        <w:t>2.4</w:t>
      </w:r>
      <w:r w:rsidR="001E1793">
        <w:rPr>
          <w:rFonts w:cs="Times New Roman"/>
          <w:szCs w:val="36"/>
        </w:rPr>
        <w:t xml:space="preserve">. </w:t>
      </w:r>
      <w:r w:rsidR="00007150" w:rsidRPr="005C26D0">
        <w:rPr>
          <w:rFonts w:cs="Times New Roman"/>
          <w:szCs w:val="36"/>
        </w:rPr>
        <w:t>Valsts konsolidētā budžeta izpilde</w:t>
      </w:r>
      <w:bookmarkEnd w:id="78"/>
    </w:p>
    <w:p w:rsidR="00007150" w:rsidRDefault="00007150" w:rsidP="00007150">
      <w:pPr>
        <w:rPr>
          <w:rFonts w:cs="Times New Roman"/>
        </w:rPr>
      </w:pPr>
      <w:r w:rsidRPr="00A80E74">
        <w:rPr>
          <w:rFonts w:cs="Times New Roman"/>
        </w:rPr>
        <w:t xml:space="preserve">Ņemot vērā labos tautsaimniecības rādītājus šā gada </w:t>
      </w:r>
      <w:r>
        <w:rPr>
          <w:rFonts w:cs="Times New Roman"/>
        </w:rPr>
        <w:t>pirmajā ceturksnī</w:t>
      </w:r>
      <w:r w:rsidRPr="00A80E74">
        <w:rPr>
          <w:rFonts w:cs="Times New Roman"/>
        </w:rPr>
        <w:t>, sekmīga valsts</w:t>
      </w:r>
      <w:r>
        <w:rPr>
          <w:rFonts w:cs="Times New Roman"/>
        </w:rPr>
        <w:t xml:space="preserve"> konsolidētā</w:t>
      </w:r>
      <w:r w:rsidRPr="00A80E74">
        <w:rPr>
          <w:rFonts w:cs="Times New Roman"/>
        </w:rPr>
        <w:t xml:space="preserve"> budžeta ieņēmumu izpilde t</w:t>
      </w:r>
      <w:r>
        <w:rPr>
          <w:rFonts w:cs="Times New Roman"/>
        </w:rPr>
        <w:t>urpinās. Salīdzinājumā ar 2011. </w:t>
      </w:r>
      <w:r w:rsidRPr="00A80E74">
        <w:rPr>
          <w:rFonts w:cs="Times New Roman"/>
        </w:rPr>
        <w:t>gad</w:t>
      </w:r>
      <w:r>
        <w:rPr>
          <w:rFonts w:cs="Times New Roman"/>
        </w:rPr>
        <w:t xml:space="preserve">a atbilstošo periodu pieauga </w:t>
      </w:r>
      <w:r w:rsidRPr="00A80E74">
        <w:rPr>
          <w:rFonts w:cs="Times New Roman"/>
        </w:rPr>
        <w:t xml:space="preserve">nodokļu ieņēmumi, </w:t>
      </w:r>
      <w:r>
        <w:rPr>
          <w:rFonts w:cs="Times New Roman"/>
        </w:rPr>
        <w:t>kas ietekmēja būtisku valsts konsolidētā budžeta deficīta samazināšanos</w:t>
      </w:r>
      <w:r w:rsidRPr="00A80E74">
        <w:rPr>
          <w:rFonts w:cs="Times New Roman"/>
        </w:rPr>
        <w:t>.</w:t>
      </w:r>
      <w:r>
        <w:rPr>
          <w:rFonts w:cs="Times New Roman"/>
        </w:rPr>
        <w:t xml:space="preserve"> </w:t>
      </w:r>
      <w:r w:rsidRPr="00D1679F">
        <w:rPr>
          <w:rFonts w:cs="Times New Roman"/>
        </w:rPr>
        <w:t xml:space="preserve">Valsts kases dati liecina par valsts </w:t>
      </w:r>
      <w:r>
        <w:rPr>
          <w:rFonts w:cs="Times New Roman"/>
        </w:rPr>
        <w:t xml:space="preserve">konsolidētā </w:t>
      </w:r>
      <w:r w:rsidRPr="00D1679F">
        <w:rPr>
          <w:rFonts w:cs="Times New Roman"/>
        </w:rPr>
        <w:t xml:space="preserve">budžeta </w:t>
      </w:r>
      <w:r>
        <w:rPr>
          <w:rFonts w:cs="Times New Roman"/>
        </w:rPr>
        <w:t>deficīta samazināšanos no 230,3 milj. </w:t>
      </w:r>
      <w:r w:rsidRPr="00D1679F">
        <w:rPr>
          <w:rFonts w:cs="Times New Roman"/>
        </w:rPr>
        <w:t xml:space="preserve">latu 2011. gada </w:t>
      </w:r>
      <w:r>
        <w:rPr>
          <w:rFonts w:cs="Times New Roman"/>
        </w:rPr>
        <w:t>pirmajā ceturksnī līdz 108,6 milj. </w:t>
      </w:r>
      <w:r w:rsidRPr="00D1679F">
        <w:rPr>
          <w:rFonts w:cs="Times New Roman"/>
        </w:rPr>
        <w:t xml:space="preserve">latu šā gada </w:t>
      </w:r>
      <w:r>
        <w:rPr>
          <w:rFonts w:cs="Times New Roman"/>
        </w:rPr>
        <w:t>trijos</w:t>
      </w:r>
      <w:r w:rsidRPr="00D1679F">
        <w:rPr>
          <w:rFonts w:cs="Times New Roman"/>
        </w:rPr>
        <w:t xml:space="preserve"> mēnešos, sevišķi būtiski samazinoties deficītam valsts pamatbudžetā. </w:t>
      </w:r>
    </w:p>
    <w:p w:rsidR="00007150" w:rsidRDefault="00007150" w:rsidP="00007150">
      <w:pPr>
        <w:ind w:firstLine="0"/>
        <w:rPr>
          <w:rFonts w:cs="Times New Roman"/>
        </w:rPr>
      </w:pPr>
      <w:r w:rsidRPr="0044749C">
        <w:rPr>
          <w:noProof/>
          <w:lang w:eastAsia="lv-LV"/>
        </w:rPr>
        <w:drawing>
          <wp:inline distT="0" distB="0" distL="0" distR="0" wp14:anchorId="5A4CCEDB" wp14:editId="4FA89C25">
            <wp:extent cx="5274310" cy="3090109"/>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4310" cy="3090109"/>
                    </a:xfrm>
                    <a:prstGeom prst="rect">
                      <a:avLst/>
                    </a:prstGeom>
                    <a:noFill/>
                    <a:ln>
                      <a:noFill/>
                    </a:ln>
                  </pic:spPr>
                </pic:pic>
              </a:graphicData>
            </a:graphic>
          </wp:inline>
        </w:drawing>
      </w:r>
    </w:p>
    <w:p w:rsidR="00007150" w:rsidRDefault="00007150" w:rsidP="00007150">
      <w:r w:rsidRPr="00D1679F">
        <w:t>2012. gada pirmajā ceturksnī valsts kons</w:t>
      </w:r>
      <w:r>
        <w:t xml:space="preserve">olidētā budžeta ieņēmumi bija </w:t>
      </w:r>
      <w:r w:rsidRPr="000151A5">
        <w:t>1 016,5</w:t>
      </w:r>
      <w:r w:rsidRPr="00D1679F">
        <w:t xml:space="preserve"> </w:t>
      </w:r>
      <w:proofErr w:type="spellStart"/>
      <w:r w:rsidRPr="00D1679F">
        <w:t>milj</w:t>
      </w:r>
      <w:proofErr w:type="spellEnd"/>
      <w:r w:rsidRPr="00D1679F">
        <w:t>. latu un, salīdzinot ar pagājušā gada atbilstošo periodu, pieauga par 162,7</w:t>
      </w:r>
      <w:r>
        <w:t> milj. latu jeb 19,1 </w:t>
      </w:r>
      <w:r w:rsidRPr="00D1679F">
        <w:t xml:space="preserve">procentu. </w:t>
      </w:r>
      <w:r>
        <w:t>Pieaugumu</w:t>
      </w:r>
      <w:r w:rsidRPr="00257785">
        <w:t xml:space="preserve"> </w:t>
      </w:r>
      <w:r w:rsidRPr="00EC103F">
        <w:t xml:space="preserve">galvenokārt ietekmēja ieņēmumu kāpums </w:t>
      </w:r>
      <w:r w:rsidRPr="00124296">
        <w:t xml:space="preserve">valsts pamatbudžetā </w:t>
      </w:r>
      <w:r>
        <w:t xml:space="preserve">par 134,0 milj. latu jeb 24,1%, kopā veidojot 689,9 milj. latu. Tas </w:t>
      </w:r>
      <w:r w:rsidRPr="00EC103F">
        <w:t xml:space="preserve">skaidrojams ar valsts pamatbudžeta nodokļu </w:t>
      </w:r>
      <w:r>
        <w:t>ieņēmumu palielinājumu par 98,6 milj. latu.</w:t>
      </w:r>
    </w:p>
    <w:p w:rsidR="00007150" w:rsidRDefault="00007150" w:rsidP="00007150">
      <w:r w:rsidRPr="00D1679F">
        <w:t>Nodokļu i</w:t>
      </w:r>
      <w:r>
        <w:t xml:space="preserve">eņēmumi valsts pamatbudžetā veidoja </w:t>
      </w:r>
      <w:r w:rsidRPr="00D1679F">
        <w:t>71</w:t>
      </w:r>
      <w:r>
        <w:t>,4</w:t>
      </w:r>
      <w:r w:rsidRPr="00D1679F">
        <w:t>% no kopējiem</w:t>
      </w:r>
      <w:r>
        <w:t xml:space="preserve"> valsts pamatbudžeta ieņēmumiem un</w:t>
      </w:r>
      <w:r w:rsidRPr="00D1679F">
        <w:t xml:space="preserve"> šā gada </w:t>
      </w:r>
      <w:r>
        <w:t xml:space="preserve">pirmajā ceturksnī </w:t>
      </w:r>
      <w:r w:rsidRPr="00D1679F">
        <w:t>bija</w:t>
      </w:r>
      <w:r>
        <w:t xml:space="preserve"> 492,9 milj. latu, kas ir par 25,0% vairāk nekā 2011. </w:t>
      </w:r>
      <w:r w:rsidRPr="00D1679F">
        <w:t xml:space="preserve">gada atbilstošajā periodā, tai skaitā pievienotās vērtības nodokļa ieņēmumi pieauga par </w:t>
      </w:r>
      <w:r>
        <w:t>30,6</w:t>
      </w:r>
      <w:r w:rsidRPr="00D1679F">
        <w:t>%, akc</w:t>
      </w:r>
      <w:r>
        <w:t>īzes nodokļa ieņēmumi par 12,2</w:t>
      </w:r>
      <w:r w:rsidRPr="00D1679F">
        <w:t>% un uzņēmumu ie</w:t>
      </w:r>
      <w:r>
        <w:t>nākuma nodokļa ieņēmumi par 33,8 procentiem</w:t>
      </w:r>
      <w:r w:rsidRPr="00D1679F">
        <w:t>.</w:t>
      </w:r>
      <w:r w:rsidRPr="005A2009">
        <w:t xml:space="preserve"> </w:t>
      </w:r>
    </w:p>
    <w:p w:rsidR="00007150" w:rsidRPr="0044749C" w:rsidRDefault="00007150" w:rsidP="00007150">
      <w:r w:rsidRPr="005A2009">
        <w:t xml:space="preserve">Savukārt, valsts pamatbudžeta nenodokļu ieņēmumi šā gada </w:t>
      </w:r>
      <w:r>
        <w:t>trijos</w:t>
      </w:r>
      <w:r w:rsidRPr="005A2009">
        <w:t xml:space="preserve"> mēnešos bija </w:t>
      </w:r>
      <w:r>
        <w:t>70,5 milj. </w:t>
      </w:r>
      <w:r w:rsidRPr="005A2009">
        <w:t>latu</w:t>
      </w:r>
      <w:r>
        <w:t>, kas ir par 30,8 milj. latu vairāk nekā 2011. gada pirmajā ceturksnī.</w:t>
      </w:r>
      <w:r w:rsidRPr="00103870">
        <w:t xml:space="preserve"> </w:t>
      </w:r>
      <w:r>
        <w:t>Pieaugumu galvenokārt veidoja kāpums pārējo nenodokļu ieņēmumos par 22,1 milj. latu, salīdzinot ar pagājušā gada trijiem mēnešiem. 2012. </w:t>
      </w:r>
      <w:r w:rsidRPr="00103870">
        <w:t xml:space="preserve">gada </w:t>
      </w:r>
      <w:r>
        <w:t>pirmajā ceturksnī</w:t>
      </w:r>
      <w:r w:rsidRPr="00103870">
        <w:t xml:space="preserve"> </w:t>
      </w:r>
      <w:r>
        <w:t xml:space="preserve">valsts pamatbudžetā tika saņemti maksājumi par </w:t>
      </w:r>
      <w:r w:rsidRPr="00103870">
        <w:lastRenderedPageBreak/>
        <w:t>valstij</w:t>
      </w:r>
      <w:r>
        <w:t xml:space="preserve"> piederošo siltumnīcefekta gāzu emisijas vienību tirdzniecību 5,5 milj. latu apmērā. </w:t>
      </w:r>
    </w:p>
    <w:p w:rsidR="00007150" w:rsidRDefault="00007150" w:rsidP="00007150">
      <w:pPr>
        <w:rPr>
          <w:rFonts w:cs="Times New Roman"/>
        </w:rPr>
      </w:pPr>
      <w:r w:rsidRPr="00445B56">
        <w:rPr>
          <w:rFonts w:cs="Times New Roman"/>
        </w:rPr>
        <w:t xml:space="preserve">Sociālās apdrošināšanas iemaksu ieņēmumu pieaugums </w:t>
      </w:r>
      <w:r>
        <w:rPr>
          <w:rFonts w:cs="Times New Roman"/>
        </w:rPr>
        <w:t>par 28,1 milj. </w:t>
      </w:r>
      <w:r w:rsidRPr="006047B8">
        <w:rPr>
          <w:rFonts w:cs="Times New Roman"/>
        </w:rPr>
        <w:t>latu jeb 10,1</w:t>
      </w:r>
      <w:r>
        <w:rPr>
          <w:rFonts w:cs="Times New Roman"/>
        </w:rPr>
        <w:t xml:space="preserve">% </w:t>
      </w:r>
      <w:r w:rsidRPr="00445B56">
        <w:rPr>
          <w:rFonts w:cs="Times New Roman"/>
        </w:rPr>
        <w:t xml:space="preserve">šā gada </w:t>
      </w:r>
      <w:r>
        <w:rPr>
          <w:rFonts w:cs="Times New Roman"/>
        </w:rPr>
        <w:t>pirmajā ceturksnī</w:t>
      </w:r>
      <w:r w:rsidRPr="00445B56">
        <w:rPr>
          <w:rFonts w:cs="Times New Roman"/>
        </w:rPr>
        <w:t xml:space="preserve"> sekmēja </w:t>
      </w:r>
      <w:r>
        <w:rPr>
          <w:rFonts w:cs="Times New Roman"/>
        </w:rPr>
        <w:t>v</w:t>
      </w:r>
      <w:r w:rsidRPr="006047B8">
        <w:rPr>
          <w:rFonts w:cs="Times New Roman"/>
        </w:rPr>
        <w:t>alsts speciālā budžeta ieņēmum</w:t>
      </w:r>
      <w:r>
        <w:rPr>
          <w:rFonts w:cs="Times New Roman"/>
        </w:rPr>
        <w:t>u izpildi</w:t>
      </w:r>
      <w:r w:rsidRPr="006047B8">
        <w:rPr>
          <w:rFonts w:cs="Times New Roman"/>
        </w:rPr>
        <w:t xml:space="preserve"> </w:t>
      </w:r>
      <w:r>
        <w:rPr>
          <w:rFonts w:cs="Times New Roman"/>
        </w:rPr>
        <w:t>(311,2 milj. latu), kas pieauga par 29,5 milj. </w:t>
      </w:r>
      <w:r w:rsidRPr="006047B8">
        <w:rPr>
          <w:rFonts w:cs="Times New Roman"/>
        </w:rPr>
        <w:t xml:space="preserve">latu jeb 10,5% </w:t>
      </w:r>
      <w:r>
        <w:rPr>
          <w:rFonts w:cs="Times New Roman"/>
        </w:rPr>
        <w:t>salīdzinājumā ar 2011. gada trijiem mēnešiem. Ieņēmumu pieaugums</w:t>
      </w:r>
      <w:r w:rsidRPr="006047B8">
        <w:rPr>
          <w:rFonts w:cs="Times New Roman"/>
        </w:rPr>
        <w:t xml:space="preserve"> </w:t>
      </w:r>
      <w:r>
        <w:rPr>
          <w:rFonts w:cs="Times New Roman"/>
        </w:rPr>
        <w:t xml:space="preserve">ietekmēja valsts speciāla budžeta </w:t>
      </w:r>
      <w:r w:rsidRPr="00445B56">
        <w:rPr>
          <w:rFonts w:cs="Times New Roman"/>
        </w:rPr>
        <w:t>deficīta</w:t>
      </w:r>
      <w:r>
        <w:rPr>
          <w:rFonts w:cs="Times New Roman"/>
        </w:rPr>
        <w:t xml:space="preserve"> (58,3 milj. latu)</w:t>
      </w:r>
      <w:r w:rsidRPr="00445B56">
        <w:rPr>
          <w:rFonts w:cs="Times New Roman"/>
        </w:rPr>
        <w:t xml:space="preserve"> samazināšanos par </w:t>
      </w:r>
      <w:r>
        <w:rPr>
          <w:rFonts w:cs="Times New Roman"/>
        </w:rPr>
        <w:t>6,5 milj. latiem</w:t>
      </w:r>
      <w:r w:rsidRPr="00445B56">
        <w:rPr>
          <w:rFonts w:cs="Times New Roman"/>
        </w:rPr>
        <w:t xml:space="preserve">. Tomēr salīdzinājumā ar pagājušā gada </w:t>
      </w:r>
      <w:r>
        <w:rPr>
          <w:rFonts w:cs="Times New Roman"/>
        </w:rPr>
        <w:t>trijiem</w:t>
      </w:r>
      <w:r w:rsidRPr="00445B56">
        <w:rPr>
          <w:rFonts w:cs="Times New Roman"/>
        </w:rPr>
        <w:t xml:space="preserve"> mēnešiem deficīta samazinājums nav liels, ņemot vērā izdevumu pieaugumu, galvenokārt, valsts pensijām. </w:t>
      </w:r>
    </w:p>
    <w:p w:rsidR="00007150" w:rsidRDefault="00007150" w:rsidP="00007150">
      <w:pPr>
        <w:rPr>
          <w:rFonts w:cs="Times New Roman"/>
        </w:rPr>
      </w:pPr>
      <w:r w:rsidRPr="00257785">
        <w:rPr>
          <w:rFonts w:cs="Times New Roman"/>
        </w:rPr>
        <w:t>Val</w:t>
      </w:r>
      <w:r>
        <w:rPr>
          <w:rFonts w:cs="Times New Roman"/>
        </w:rPr>
        <w:t xml:space="preserve">sts konsolidētā budžeta izdevumi </w:t>
      </w:r>
      <w:r w:rsidRPr="00F16E64">
        <w:rPr>
          <w:rFonts w:cs="Times New Roman"/>
        </w:rPr>
        <w:t>2</w:t>
      </w:r>
      <w:r>
        <w:rPr>
          <w:rFonts w:cs="Times New Roman"/>
        </w:rPr>
        <w:t>012. </w:t>
      </w:r>
      <w:r w:rsidRPr="00F16E64">
        <w:rPr>
          <w:rFonts w:cs="Times New Roman"/>
        </w:rPr>
        <w:t>gada pirmajā ceturksnī</w:t>
      </w:r>
      <w:r>
        <w:rPr>
          <w:rFonts w:cs="Times New Roman"/>
        </w:rPr>
        <w:t xml:space="preserve"> bija 1 125,1 milj. latu un salīdzinot ar pagājušā gada atbilstošo periodu pieauga par 41,0 milj. latu jeb 3,8 procentiem. Konsolidētā budžeta izdevumu pieaugumu </w:t>
      </w:r>
      <w:r w:rsidRPr="00EC103F">
        <w:rPr>
          <w:rFonts w:cs="Times New Roman"/>
        </w:rPr>
        <w:t xml:space="preserve">galvenokārt ietekmēja izdevumu </w:t>
      </w:r>
      <w:r>
        <w:rPr>
          <w:rFonts w:cs="Times New Roman"/>
        </w:rPr>
        <w:t>kāpums</w:t>
      </w:r>
      <w:r w:rsidRPr="00EC103F">
        <w:rPr>
          <w:rFonts w:cs="Times New Roman"/>
        </w:rPr>
        <w:t xml:space="preserve"> </w:t>
      </w:r>
      <w:r w:rsidRPr="00124296">
        <w:rPr>
          <w:rFonts w:cs="Times New Roman"/>
        </w:rPr>
        <w:t>valsts speciālajā</w:t>
      </w:r>
      <w:r>
        <w:rPr>
          <w:rFonts w:cs="Times New Roman"/>
        </w:rPr>
        <w:t xml:space="preserve"> budžetā.</w:t>
      </w:r>
    </w:p>
    <w:p w:rsidR="00007150" w:rsidRDefault="00007150" w:rsidP="00007150">
      <w:r>
        <w:t>V</w:t>
      </w:r>
      <w:r w:rsidRPr="009169CD">
        <w:t xml:space="preserve">alsts pamatbudžeta </w:t>
      </w:r>
      <w:r>
        <w:t>izdevumi bija 743,9 </w:t>
      </w:r>
      <w:r w:rsidRPr="009169CD">
        <w:t>milj</w:t>
      </w:r>
      <w:r>
        <w:t>. latu un, salīdzinot</w:t>
      </w:r>
      <w:r w:rsidRPr="009169CD">
        <w:t xml:space="preserve"> ar 2011.</w:t>
      </w:r>
      <w:r>
        <w:t> </w:t>
      </w:r>
      <w:r w:rsidRPr="009169CD">
        <w:t>gada pirmo ceturksn</w:t>
      </w:r>
      <w:r>
        <w:t>i, pieauga nebūtiski - par 13,2 milj. latu jeb 1,8 procentiem.  Valsts pamatbudžeta izdevumu pieaugumu ietekmēja izdevumu kāpums</w:t>
      </w:r>
      <w:r w:rsidRPr="009169CD">
        <w:t xml:space="preserve"> subsīdijām un dotācijām pa</w:t>
      </w:r>
      <w:r>
        <w:t>r 29,6 milj. latu jeb 15,6%, turpretī kapitālie izdevumi šā gada pirmajā ceturksnī</w:t>
      </w:r>
      <w:r w:rsidRPr="009169CD">
        <w:t xml:space="preserve"> samazinājās par 0,8</w:t>
      </w:r>
      <w:r>
        <w:t> milj. latu jeb 1,6% salīdzinājumā ar pagājušā gada atbilstošo periodu.</w:t>
      </w:r>
    </w:p>
    <w:p w:rsidR="00007150" w:rsidRDefault="00007150" w:rsidP="00007150">
      <w:pPr>
        <w:rPr>
          <w:rFonts w:cs="Times New Roman"/>
        </w:rPr>
      </w:pPr>
      <w:r>
        <w:rPr>
          <w:rFonts w:cs="Times New Roman"/>
        </w:rPr>
        <w:t xml:space="preserve">Valsts speciālā budžeta izdevumi 2012. gada pirmajā ceturksnī bija </w:t>
      </w:r>
      <w:r w:rsidRPr="006D7888">
        <w:rPr>
          <w:rFonts w:cs="Times New Roman"/>
        </w:rPr>
        <w:t>369,5 milj. latu,</w:t>
      </w:r>
      <w:r>
        <w:rPr>
          <w:rFonts w:cs="Times New Roman"/>
        </w:rPr>
        <w:t xml:space="preserve"> kas ir par 23,0 milj. latu jeb 6,6% vairāk nekā pagājušā gada atbilstošajā periodā</w:t>
      </w:r>
      <w:r w:rsidRPr="00EC103F">
        <w:rPr>
          <w:rFonts w:cs="Times New Roman"/>
        </w:rPr>
        <w:t xml:space="preserve">. </w:t>
      </w:r>
      <w:r w:rsidRPr="00445B56">
        <w:rPr>
          <w:rFonts w:cs="Times New Roman"/>
        </w:rPr>
        <w:t xml:space="preserve">Izdevumi valsts pensijām (vecuma, invaliditātes, apgādnieka zaudējuma gadījumā </w:t>
      </w:r>
      <w:proofErr w:type="spellStart"/>
      <w:r w:rsidRPr="00445B56">
        <w:rPr>
          <w:rFonts w:cs="Times New Roman"/>
        </w:rPr>
        <w:t>u.c</w:t>
      </w:r>
      <w:proofErr w:type="spellEnd"/>
      <w:r w:rsidRPr="00445B56">
        <w:rPr>
          <w:rFonts w:cs="Times New Roman"/>
        </w:rPr>
        <w:t xml:space="preserve">.) šā gada </w:t>
      </w:r>
      <w:r>
        <w:rPr>
          <w:rFonts w:cs="Times New Roman"/>
        </w:rPr>
        <w:t>pirmajā ceturksnī</w:t>
      </w:r>
      <w:r w:rsidRPr="00445B56">
        <w:rPr>
          <w:rFonts w:cs="Times New Roman"/>
        </w:rPr>
        <w:t xml:space="preserve"> bija </w:t>
      </w:r>
      <w:r>
        <w:rPr>
          <w:rFonts w:cs="Times New Roman"/>
        </w:rPr>
        <w:t>320,8 milj. latu, kas ir par 9,7</w:t>
      </w:r>
      <w:r w:rsidRPr="00445B56">
        <w:rPr>
          <w:rFonts w:cs="Times New Roman"/>
        </w:rPr>
        <w:t>% vairāk nekā 2011.</w:t>
      </w:r>
      <w:r>
        <w:rPr>
          <w:rFonts w:cs="Times New Roman"/>
        </w:rPr>
        <w:t> </w:t>
      </w:r>
      <w:r w:rsidRPr="00445B56">
        <w:rPr>
          <w:rFonts w:cs="Times New Roman"/>
        </w:rPr>
        <w:t xml:space="preserve">gada </w:t>
      </w:r>
      <w:r>
        <w:rPr>
          <w:rFonts w:cs="Times New Roman"/>
        </w:rPr>
        <w:t>atbilstošajā periodā</w:t>
      </w:r>
      <w:r w:rsidRPr="00445B56">
        <w:rPr>
          <w:rFonts w:cs="Times New Roman"/>
        </w:rPr>
        <w:t>. Izdevumu pieaugumu pensijām pamatā noteica izdevumu palielinājums vecuma pensiju izmaksai, jo saskaņā ar Valsts sociālās apdrošināšanas aģentūras datiem šā ga</w:t>
      </w:r>
      <w:r>
        <w:rPr>
          <w:rFonts w:cs="Times New Roman"/>
        </w:rPr>
        <w:t>da martā salīdzinājumā ar 2011. </w:t>
      </w:r>
      <w:r w:rsidRPr="00445B56">
        <w:rPr>
          <w:rFonts w:cs="Times New Roman"/>
        </w:rPr>
        <w:t xml:space="preserve">gada martu vecuma pensiju saņēmēju skaits ir </w:t>
      </w:r>
      <w:r>
        <w:rPr>
          <w:rFonts w:cs="Times New Roman"/>
        </w:rPr>
        <w:t>pieaudzis par 3,2 tūkst. cilvēku</w:t>
      </w:r>
      <w:r w:rsidRPr="00445B56">
        <w:rPr>
          <w:rFonts w:cs="Times New Roman"/>
        </w:rPr>
        <w:t xml:space="preserve"> un vidējā piešķirtā vecuma pensija ir pieaugusi no 184,2 līdz 186,3 latiem</w:t>
      </w:r>
      <w:r>
        <w:rPr>
          <w:rFonts w:cs="Times New Roman"/>
        </w:rPr>
        <w:t xml:space="preserve">. </w:t>
      </w:r>
    </w:p>
    <w:p w:rsidR="006F4788" w:rsidRPr="006F4788" w:rsidRDefault="006F4788" w:rsidP="00521652">
      <w:pPr>
        <w:ind w:firstLine="0"/>
      </w:pPr>
      <w:bookmarkStart w:id="81" w:name="_Toc293496375"/>
    </w:p>
    <w:p w:rsidR="00F67BDF" w:rsidRDefault="00F67BDF" w:rsidP="00F67BDF">
      <w:pPr>
        <w:pStyle w:val="Heading33"/>
        <w:ind w:firstLine="0"/>
        <w:jc w:val="both"/>
      </w:pPr>
    </w:p>
    <w:p w:rsidR="00F67BDF" w:rsidRDefault="00F67BDF" w:rsidP="00F53D19">
      <w:pPr>
        <w:pStyle w:val="Heading33"/>
      </w:pPr>
    </w:p>
    <w:p w:rsidR="00F67BDF" w:rsidRDefault="00F67BDF" w:rsidP="00F53D19">
      <w:pPr>
        <w:pStyle w:val="Heading33"/>
      </w:pPr>
    </w:p>
    <w:p w:rsidR="00F67BDF" w:rsidRDefault="00F67BDF" w:rsidP="00F53D19">
      <w:pPr>
        <w:pStyle w:val="Heading33"/>
      </w:pPr>
    </w:p>
    <w:p w:rsidR="00322AE6" w:rsidRPr="00AA1204" w:rsidRDefault="00322AE6" w:rsidP="00493FC5">
      <w:pPr>
        <w:ind w:firstLine="0"/>
        <w:rPr>
          <w:rFonts w:eastAsia="Times New Roman"/>
          <w:b/>
          <w:i/>
          <w:szCs w:val="20"/>
        </w:rPr>
      </w:pPr>
      <w:bookmarkStart w:id="82" w:name="_Toc160359668"/>
      <w:bookmarkStart w:id="83" w:name="_Toc167254153"/>
      <w:bookmarkStart w:id="84" w:name="_Toc226433820"/>
      <w:bookmarkStart w:id="85" w:name="_Toc230678042"/>
      <w:bookmarkEnd w:id="81"/>
    </w:p>
    <w:p w:rsidR="00F67BDF" w:rsidRDefault="00F67BDF" w:rsidP="00F67BDF">
      <w:pPr>
        <w:pStyle w:val="ListParagraph"/>
        <w:ind w:firstLine="0"/>
        <w:jc w:val="right"/>
        <w:rPr>
          <w:rFonts w:eastAsia="Times New Roman"/>
          <w:b/>
          <w:i/>
          <w:szCs w:val="20"/>
        </w:rPr>
      </w:pPr>
    </w:p>
    <w:p w:rsidR="00F67BDF" w:rsidRPr="005C26D0" w:rsidRDefault="00F67BDF" w:rsidP="00F67BDF">
      <w:pPr>
        <w:pStyle w:val="Heading33"/>
      </w:pPr>
      <w:bookmarkStart w:id="86" w:name="_Toc325101927"/>
      <w:r>
        <w:lastRenderedPageBreak/>
        <w:t>2.4.1. </w:t>
      </w:r>
      <w:r w:rsidRPr="005C26D0">
        <w:t>Valsts pamatbudžeta izpilde</w:t>
      </w:r>
      <w:bookmarkEnd w:id="86"/>
    </w:p>
    <w:p w:rsidR="00F67BDF" w:rsidRDefault="00F67BDF" w:rsidP="00F67BDF">
      <w:pPr>
        <w:pStyle w:val="ListParagraph"/>
        <w:ind w:firstLine="0"/>
        <w:jc w:val="right"/>
        <w:rPr>
          <w:rFonts w:eastAsia="Times New Roman"/>
          <w:b/>
          <w:i/>
          <w:szCs w:val="20"/>
        </w:rPr>
      </w:pPr>
    </w:p>
    <w:p w:rsidR="00322AE6" w:rsidRPr="00952906" w:rsidRDefault="00F67BDF" w:rsidP="00F67BDF">
      <w:pPr>
        <w:pStyle w:val="ListParagraph"/>
        <w:ind w:firstLine="0"/>
        <w:jc w:val="right"/>
        <w:rPr>
          <w:rFonts w:eastAsia="Times New Roman"/>
          <w:b/>
          <w:i/>
          <w:szCs w:val="20"/>
        </w:rPr>
      </w:pPr>
      <w:r>
        <w:rPr>
          <w:rFonts w:eastAsia="Times New Roman"/>
          <w:b/>
          <w:i/>
          <w:szCs w:val="20"/>
        </w:rPr>
        <w:t xml:space="preserve">6. </w:t>
      </w:r>
      <w:r w:rsidR="00322AE6" w:rsidRPr="00952906">
        <w:rPr>
          <w:rFonts w:eastAsia="Times New Roman"/>
          <w:b/>
          <w:i/>
          <w:szCs w:val="20"/>
        </w:rPr>
        <w:t xml:space="preserve">tabula. Valsts pamatbudžeta izdevumi pēc ekonomiskās </w:t>
      </w:r>
      <w:proofErr w:type="spellStart"/>
      <w:r w:rsidR="00322AE6" w:rsidRPr="00952906">
        <w:rPr>
          <w:rFonts w:eastAsia="Times New Roman"/>
          <w:b/>
          <w:i/>
          <w:szCs w:val="20"/>
        </w:rPr>
        <w:t>klasifikācijas, tūkst</w:t>
      </w:r>
      <w:proofErr w:type="spellEnd"/>
      <w:r w:rsidR="00322AE6" w:rsidRPr="00952906">
        <w:rPr>
          <w:rFonts w:eastAsia="Times New Roman"/>
          <w:b/>
          <w:i/>
          <w:szCs w:val="20"/>
        </w:rPr>
        <w:t>. latu</w:t>
      </w:r>
    </w:p>
    <w:p w:rsidR="000151A5" w:rsidRPr="000151A5" w:rsidRDefault="000151A5" w:rsidP="000151A5">
      <w:pPr>
        <w:ind w:firstLine="0"/>
        <w:rPr>
          <w:rFonts w:eastAsia="Times New Roman"/>
          <w:szCs w:val="20"/>
        </w:rPr>
      </w:pPr>
    </w:p>
    <w:tbl>
      <w:tblPr>
        <w:tblW w:w="9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977"/>
        <w:gridCol w:w="992"/>
        <w:gridCol w:w="993"/>
        <w:gridCol w:w="992"/>
        <w:gridCol w:w="992"/>
        <w:gridCol w:w="992"/>
        <w:gridCol w:w="923"/>
        <w:gridCol w:w="958"/>
      </w:tblGrid>
      <w:tr w:rsidR="000151A5" w:rsidRPr="00AA1204" w:rsidTr="000151A5">
        <w:trPr>
          <w:cantSplit/>
          <w:tblHeader/>
          <w:jc w:val="center"/>
        </w:trPr>
        <w:tc>
          <w:tcPr>
            <w:tcW w:w="2977" w:type="dxa"/>
            <w:tcBorders>
              <w:top w:val="single" w:sz="4" w:space="0" w:color="auto"/>
              <w:left w:val="single" w:sz="4" w:space="0" w:color="auto"/>
            </w:tcBorders>
          </w:tcPr>
          <w:p w:rsidR="000151A5" w:rsidRPr="00AA1204" w:rsidRDefault="000151A5" w:rsidP="000151A5">
            <w:pPr>
              <w:spacing w:after="0"/>
              <w:ind w:firstLine="0"/>
              <w:rPr>
                <w:rFonts w:eastAsia="Times New Roman"/>
                <w:snapToGrid w:val="0"/>
                <w:sz w:val="20"/>
                <w:szCs w:val="20"/>
              </w:rPr>
            </w:pPr>
            <w:r w:rsidRPr="00AA1204">
              <w:rPr>
                <w:rFonts w:eastAsia="Times New Roman"/>
                <w:snapToGrid w:val="0"/>
                <w:sz w:val="20"/>
                <w:szCs w:val="20"/>
              </w:rPr>
              <w:t>Rādītāji</w:t>
            </w:r>
          </w:p>
        </w:tc>
        <w:tc>
          <w:tcPr>
            <w:tcW w:w="992" w:type="dxa"/>
            <w:tcBorders>
              <w:top w:val="single" w:sz="4" w:space="0" w:color="auto"/>
            </w:tcBorders>
          </w:tcPr>
          <w:p w:rsidR="000151A5" w:rsidRPr="00FD1A0F" w:rsidRDefault="000151A5" w:rsidP="000151A5">
            <w:pPr>
              <w:spacing w:after="0"/>
              <w:ind w:firstLine="0"/>
              <w:jc w:val="center"/>
              <w:rPr>
                <w:rFonts w:eastAsia="Times New Roman"/>
                <w:snapToGrid w:val="0"/>
                <w:sz w:val="20"/>
                <w:szCs w:val="20"/>
              </w:rPr>
            </w:pPr>
            <w:r w:rsidRPr="00FD1A0F">
              <w:rPr>
                <w:rFonts w:eastAsia="Times New Roman"/>
                <w:snapToGrid w:val="0"/>
                <w:sz w:val="20"/>
                <w:szCs w:val="20"/>
              </w:rPr>
              <w:t>2011.g.</w:t>
            </w:r>
          </w:p>
          <w:p w:rsidR="000151A5" w:rsidRPr="00FD1A0F" w:rsidRDefault="000151A5" w:rsidP="000151A5">
            <w:pPr>
              <w:spacing w:after="0"/>
              <w:ind w:firstLine="0"/>
              <w:jc w:val="center"/>
              <w:rPr>
                <w:rFonts w:eastAsia="Times New Roman"/>
                <w:snapToGrid w:val="0"/>
                <w:sz w:val="20"/>
                <w:szCs w:val="20"/>
              </w:rPr>
            </w:pPr>
            <w:r w:rsidRPr="00FD1A0F">
              <w:rPr>
                <w:rFonts w:eastAsia="Times New Roman"/>
                <w:snapToGrid w:val="0"/>
                <w:sz w:val="20"/>
                <w:szCs w:val="20"/>
              </w:rPr>
              <w:t>3 mēnešu</w:t>
            </w:r>
          </w:p>
          <w:p w:rsidR="000151A5" w:rsidRPr="00FD1A0F" w:rsidRDefault="000151A5" w:rsidP="000151A5">
            <w:pPr>
              <w:spacing w:after="0"/>
              <w:ind w:firstLine="0"/>
              <w:jc w:val="center"/>
              <w:rPr>
                <w:rFonts w:eastAsia="Times New Roman"/>
                <w:snapToGrid w:val="0"/>
                <w:sz w:val="20"/>
                <w:szCs w:val="20"/>
              </w:rPr>
            </w:pPr>
            <w:r w:rsidRPr="00FD1A0F">
              <w:rPr>
                <w:rFonts w:eastAsia="Times New Roman"/>
                <w:snapToGrid w:val="0"/>
                <w:sz w:val="20"/>
                <w:szCs w:val="20"/>
              </w:rPr>
              <w:t>izpilde</w:t>
            </w:r>
          </w:p>
        </w:tc>
        <w:tc>
          <w:tcPr>
            <w:tcW w:w="993" w:type="dxa"/>
            <w:tcBorders>
              <w:top w:val="single" w:sz="4" w:space="0" w:color="auto"/>
            </w:tcBorders>
          </w:tcPr>
          <w:p w:rsidR="000151A5" w:rsidRPr="0052448B" w:rsidRDefault="000151A5" w:rsidP="000151A5">
            <w:pPr>
              <w:spacing w:after="0"/>
              <w:ind w:firstLine="0"/>
              <w:jc w:val="center"/>
              <w:rPr>
                <w:rFonts w:eastAsia="Times New Roman"/>
                <w:snapToGrid w:val="0"/>
                <w:sz w:val="20"/>
                <w:szCs w:val="20"/>
              </w:rPr>
            </w:pPr>
            <w:r w:rsidRPr="0052448B">
              <w:rPr>
                <w:rFonts w:eastAsia="Times New Roman"/>
                <w:snapToGrid w:val="0"/>
                <w:sz w:val="20"/>
                <w:szCs w:val="20"/>
              </w:rPr>
              <w:t>2012.g.</w:t>
            </w:r>
          </w:p>
          <w:p w:rsidR="000151A5" w:rsidRPr="0052448B" w:rsidRDefault="000151A5" w:rsidP="000151A5">
            <w:pPr>
              <w:spacing w:after="0"/>
              <w:ind w:firstLine="0"/>
              <w:jc w:val="center"/>
              <w:rPr>
                <w:rFonts w:eastAsia="Times New Roman"/>
                <w:snapToGrid w:val="0"/>
                <w:sz w:val="20"/>
                <w:szCs w:val="20"/>
              </w:rPr>
            </w:pPr>
            <w:r w:rsidRPr="0052448B">
              <w:rPr>
                <w:rFonts w:eastAsia="Times New Roman"/>
                <w:snapToGrid w:val="0"/>
                <w:sz w:val="20"/>
                <w:szCs w:val="20"/>
              </w:rPr>
              <w:t>3 mēnešu</w:t>
            </w:r>
          </w:p>
          <w:p w:rsidR="000151A5" w:rsidRPr="00AA1204" w:rsidRDefault="000151A5" w:rsidP="000151A5">
            <w:pPr>
              <w:spacing w:after="0"/>
              <w:ind w:firstLine="0"/>
              <w:jc w:val="center"/>
              <w:rPr>
                <w:rFonts w:eastAsia="Times New Roman"/>
                <w:snapToGrid w:val="0"/>
                <w:sz w:val="20"/>
                <w:szCs w:val="20"/>
                <w:highlight w:val="yellow"/>
              </w:rPr>
            </w:pPr>
            <w:r w:rsidRPr="0052448B">
              <w:rPr>
                <w:rFonts w:eastAsia="Times New Roman"/>
                <w:snapToGrid w:val="0"/>
                <w:sz w:val="20"/>
                <w:szCs w:val="20"/>
              </w:rPr>
              <w:t>plāns</w:t>
            </w:r>
          </w:p>
        </w:tc>
        <w:tc>
          <w:tcPr>
            <w:tcW w:w="992" w:type="dxa"/>
            <w:tcBorders>
              <w:top w:val="single" w:sz="4" w:space="0" w:color="auto"/>
            </w:tcBorders>
          </w:tcPr>
          <w:p w:rsidR="000151A5" w:rsidRPr="0052448B" w:rsidRDefault="000151A5" w:rsidP="000151A5">
            <w:pPr>
              <w:spacing w:after="0"/>
              <w:ind w:firstLine="0"/>
              <w:jc w:val="center"/>
              <w:rPr>
                <w:rFonts w:eastAsia="Times New Roman"/>
                <w:snapToGrid w:val="0"/>
                <w:sz w:val="20"/>
                <w:szCs w:val="20"/>
              </w:rPr>
            </w:pPr>
            <w:r w:rsidRPr="0052448B">
              <w:rPr>
                <w:rFonts w:eastAsia="Times New Roman"/>
                <w:snapToGrid w:val="0"/>
                <w:sz w:val="20"/>
                <w:szCs w:val="20"/>
              </w:rPr>
              <w:t>2012.g.</w:t>
            </w:r>
          </w:p>
          <w:p w:rsidR="000151A5" w:rsidRPr="0052448B" w:rsidRDefault="000151A5" w:rsidP="000151A5">
            <w:pPr>
              <w:spacing w:after="0"/>
              <w:ind w:firstLine="0"/>
              <w:jc w:val="center"/>
              <w:rPr>
                <w:rFonts w:eastAsia="Times New Roman"/>
                <w:snapToGrid w:val="0"/>
                <w:sz w:val="20"/>
                <w:szCs w:val="20"/>
              </w:rPr>
            </w:pPr>
            <w:r w:rsidRPr="0052448B">
              <w:rPr>
                <w:rFonts w:eastAsia="Times New Roman"/>
                <w:snapToGrid w:val="0"/>
                <w:sz w:val="20"/>
                <w:szCs w:val="20"/>
              </w:rPr>
              <w:t>3 mēnešu</w:t>
            </w:r>
          </w:p>
          <w:p w:rsidR="000151A5" w:rsidRPr="00AA1204" w:rsidRDefault="000151A5" w:rsidP="000151A5">
            <w:pPr>
              <w:spacing w:after="0"/>
              <w:ind w:firstLine="0"/>
              <w:jc w:val="center"/>
              <w:rPr>
                <w:rFonts w:eastAsia="Times New Roman"/>
                <w:snapToGrid w:val="0"/>
                <w:sz w:val="20"/>
                <w:szCs w:val="20"/>
                <w:highlight w:val="yellow"/>
              </w:rPr>
            </w:pPr>
            <w:r w:rsidRPr="0052448B">
              <w:rPr>
                <w:rFonts w:eastAsia="Times New Roman"/>
                <w:snapToGrid w:val="0"/>
                <w:sz w:val="20"/>
                <w:szCs w:val="20"/>
              </w:rPr>
              <w:t>izpilde</w:t>
            </w:r>
          </w:p>
        </w:tc>
        <w:tc>
          <w:tcPr>
            <w:tcW w:w="992" w:type="dxa"/>
            <w:tcBorders>
              <w:top w:val="single" w:sz="4" w:space="0" w:color="auto"/>
            </w:tcBorders>
          </w:tcPr>
          <w:p w:rsidR="000151A5" w:rsidRPr="00AA1204" w:rsidRDefault="000151A5" w:rsidP="000151A5">
            <w:pPr>
              <w:spacing w:after="0"/>
              <w:ind w:firstLine="0"/>
              <w:jc w:val="center"/>
              <w:rPr>
                <w:rFonts w:eastAsia="Times New Roman"/>
                <w:snapToGrid w:val="0"/>
                <w:sz w:val="20"/>
                <w:szCs w:val="20"/>
                <w:highlight w:val="yellow"/>
              </w:rPr>
            </w:pPr>
            <w:r w:rsidRPr="0052448B">
              <w:rPr>
                <w:rFonts w:eastAsia="Times New Roman"/>
                <w:snapToGrid w:val="0"/>
                <w:sz w:val="20"/>
                <w:szCs w:val="20"/>
              </w:rPr>
              <w:t>Likumā apstipri</w:t>
            </w:r>
            <w:r w:rsidRPr="0052448B">
              <w:rPr>
                <w:rFonts w:eastAsia="Times New Roman"/>
                <w:snapToGrid w:val="0"/>
                <w:sz w:val="20"/>
                <w:szCs w:val="20"/>
              </w:rPr>
              <w:softHyphen/>
              <w:t>nā</w:t>
            </w:r>
            <w:r w:rsidRPr="0052448B">
              <w:rPr>
                <w:rFonts w:eastAsia="Times New Roman"/>
                <w:snapToGrid w:val="0"/>
                <w:sz w:val="20"/>
                <w:szCs w:val="20"/>
              </w:rPr>
              <w:softHyphen/>
              <w:t>tais 2012.g. plāns *</w:t>
            </w:r>
          </w:p>
        </w:tc>
        <w:tc>
          <w:tcPr>
            <w:tcW w:w="992" w:type="dxa"/>
            <w:tcBorders>
              <w:top w:val="single" w:sz="4" w:space="0" w:color="auto"/>
            </w:tcBorders>
          </w:tcPr>
          <w:p w:rsidR="000151A5" w:rsidRPr="0052448B" w:rsidRDefault="000151A5" w:rsidP="000151A5">
            <w:pPr>
              <w:spacing w:after="0"/>
              <w:ind w:firstLine="0"/>
              <w:jc w:val="center"/>
              <w:rPr>
                <w:rFonts w:eastAsia="Times New Roman"/>
                <w:snapToGrid w:val="0"/>
                <w:sz w:val="20"/>
                <w:szCs w:val="20"/>
              </w:rPr>
            </w:pPr>
            <w:r w:rsidRPr="0052448B">
              <w:rPr>
                <w:rFonts w:eastAsia="Times New Roman"/>
                <w:snapToGrid w:val="0"/>
                <w:sz w:val="20"/>
                <w:szCs w:val="20"/>
              </w:rPr>
              <w:t>2012.g.</w:t>
            </w:r>
          </w:p>
          <w:p w:rsidR="000151A5" w:rsidRPr="0052448B" w:rsidRDefault="000151A5" w:rsidP="000151A5">
            <w:pPr>
              <w:spacing w:after="0"/>
              <w:ind w:firstLine="0"/>
              <w:jc w:val="center"/>
              <w:rPr>
                <w:rFonts w:eastAsia="Times New Roman"/>
                <w:snapToGrid w:val="0"/>
                <w:sz w:val="20"/>
                <w:szCs w:val="20"/>
              </w:rPr>
            </w:pPr>
            <w:r w:rsidRPr="0052448B">
              <w:rPr>
                <w:rFonts w:eastAsia="Times New Roman"/>
                <w:snapToGrid w:val="0"/>
                <w:sz w:val="20"/>
                <w:szCs w:val="20"/>
              </w:rPr>
              <w:t xml:space="preserve">3 mēnešu izpilde salīdzinot ar 2011.g. </w:t>
            </w:r>
          </w:p>
          <w:p w:rsidR="000151A5" w:rsidRPr="0052448B" w:rsidRDefault="000151A5" w:rsidP="000151A5">
            <w:pPr>
              <w:spacing w:after="0"/>
              <w:ind w:firstLine="0"/>
              <w:jc w:val="center"/>
              <w:rPr>
                <w:rFonts w:eastAsia="Times New Roman"/>
                <w:snapToGrid w:val="0"/>
                <w:sz w:val="20"/>
                <w:szCs w:val="20"/>
              </w:rPr>
            </w:pPr>
            <w:r w:rsidRPr="0052448B">
              <w:rPr>
                <w:rFonts w:eastAsia="Times New Roman"/>
                <w:snapToGrid w:val="0"/>
                <w:sz w:val="20"/>
                <w:szCs w:val="20"/>
              </w:rPr>
              <w:t>3 mēnešu</w:t>
            </w:r>
          </w:p>
          <w:p w:rsidR="000151A5" w:rsidRPr="00AA1204" w:rsidRDefault="000151A5" w:rsidP="000151A5">
            <w:pPr>
              <w:spacing w:after="0"/>
              <w:ind w:firstLine="0"/>
              <w:jc w:val="center"/>
              <w:rPr>
                <w:rFonts w:eastAsia="Times New Roman"/>
                <w:snapToGrid w:val="0"/>
                <w:sz w:val="20"/>
                <w:szCs w:val="20"/>
                <w:highlight w:val="yellow"/>
              </w:rPr>
            </w:pPr>
            <w:r w:rsidRPr="0052448B">
              <w:rPr>
                <w:rFonts w:eastAsia="Times New Roman"/>
                <w:snapToGrid w:val="0"/>
                <w:sz w:val="20"/>
                <w:szCs w:val="20"/>
              </w:rPr>
              <w:t>izpildi %</w:t>
            </w:r>
          </w:p>
        </w:tc>
        <w:tc>
          <w:tcPr>
            <w:tcW w:w="923" w:type="dxa"/>
            <w:tcBorders>
              <w:top w:val="single" w:sz="4" w:space="0" w:color="auto"/>
            </w:tcBorders>
          </w:tcPr>
          <w:p w:rsidR="000151A5" w:rsidRPr="0052448B" w:rsidRDefault="000151A5" w:rsidP="000151A5">
            <w:pPr>
              <w:spacing w:after="0"/>
              <w:ind w:firstLine="0"/>
              <w:jc w:val="center"/>
              <w:rPr>
                <w:rFonts w:eastAsia="Times New Roman"/>
                <w:snapToGrid w:val="0"/>
                <w:sz w:val="20"/>
                <w:szCs w:val="20"/>
              </w:rPr>
            </w:pPr>
            <w:r w:rsidRPr="0052448B">
              <w:rPr>
                <w:rFonts w:eastAsia="Times New Roman"/>
                <w:snapToGrid w:val="0"/>
                <w:sz w:val="20"/>
                <w:szCs w:val="20"/>
              </w:rPr>
              <w:t>2012.g.</w:t>
            </w:r>
          </w:p>
          <w:p w:rsidR="000151A5" w:rsidRPr="0052448B" w:rsidRDefault="000151A5" w:rsidP="000151A5">
            <w:pPr>
              <w:spacing w:after="0"/>
              <w:ind w:firstLine="0"/>
              <w:jc w:val="center"/>
              <w:rPr>
                <w:rFonts w:eastAsia="Times New Roman"/>
                <w:snapToGrid w:val="0"/>
                <w:sz w:val="20"/>
                <w:szCs w:val="20"/>
              </w:rPr>
            </w:pPr>
            <w:r w:rsidRPr="0052448B">
              <w:rPr>
                <w:rFonts w:eastAsia="Times New Roman"/>
                <w:snapToGrid w:val="0"/>
                <w:sz w:val="20"/>
                <w:szCs w:val="20"/>
              </w:rPr>
              <w:t>3 mēnešu izpilde</w:t>
            </w:r>
          </w:p>
          <w:p w:rsidR="000151A5" w:rsidRPr="0052448B" w:rsidRDefault="000151A5" w:rsidP="000151A5">
            <w:pPr>
              <w:spacing w:after="0"/>
              <w:ind w:firstLine="0"/>
              <w:jc w:val="center"/>
              <w:rPr>
                <w:rFonts w:eastAsia="Times New Roman"/>
                <w:snapToGrid w:val="0"/>
                <w:sz w:val="20"/>
                <w:szCs w:val="20"/>
              </w:rPr>
            </w:pPr>
            <w:r w:rsidRPr="0052448B">
              <w:rPr>
                <w:rFonts w:eastAsia="Times New Roman"/>
                <w:snapToGrid w:val="0"/>
                <w:sz w:val="20"/>
                <w:szCs w:val="20"/>
              </w:rPr>
              <w:t>no           3 mēnešu</w:t>
            </w:r>
          </w:p>
          <w:p w:rsidR="000151A5" w:rsidRPr="00AA1204" w:rsidRDefault="000151A5" w:rsidP="000151A5">
            <w:pPr>
              <w:spacing w:after="0"/>
              <w:ind w:firstLine="0"/>
              <w:jc w:val="center"/>
              <w:rPr>
                <w:rFonts w:eastAsia="Times New Roman"/>
                <w:snapToGrid w:val="0"/>
                <w:sz w:val="20"/>
                <w:szCs w:val="20"/>
                <w:highlight w:val="yellow"/>
              </w:rPr>
            </w:pPr>
            <w:r w:rsidRPr="0052448B">
              <w:rPr>
                <w:rFonts w:eastAsia="Times New Roman"/>
                <w:snapToGrid w:val="0"/>
                <w:sz w:val="20"/>
                <w:szCs w:val="20"/>
              </w:rPr>
              <w:t>plāna %</w:t>
            </w:r>
          </w:p>
        </w:tc>
        <w:tc>
          <w:tcPr>
            <w:tcW w:w="958" w:type="dxa"/>
            <w:tcBorders>
              <w:top w:val="single" w:sz="4" w:space="0" w:color="auto"/>
              <w:right w:val="single" w:sz="4" w:space="0" w:color="auto"/>
            </w:tcBorders>
          </w:tcPr>
          <w:p w:rsidR="000151A5" w:rsidRPr="0052448B" w:rsidRDefault="000151A5" w:rsidP="000151A5">
            <w:pPr>
              <w:spacing w:after="0"/>
              <w:ind w:firstLine="0"/>
              <w:jc w:val="center"/>
              <w:rPr>
                <w:rFonts w:eastAsia="Times New Roman"/>
                <w:snapToGrid w:val="0"/>
                <w:sz w:val="20"/>
                <w:szCs w:val="20"/>
              </w:rPr>
            </w:pPr>
            <w:r w:rsidRPr="0052448B">
              <w:rPr>
                <w:rFonts w:eastAsia="Times New Roman"/>
                <w:snapToGrid w:val="0"/>
                <w:sz w:val="20"/>
                <w:szCs w:val="20"/>
              </w:rPr>
              <w:t xml:space="preserve">2012.g. </w:t>
            </w:r>
          </w:p>
          <w:p w:rsidR="000151A5" w:rsidRPr="0052448B" w:rsidRDefault="000151A5" w:rsidP="000151A5">
            <w:pPr>
              <w:spacing w:after="0"/>
              <w:ind w:firstLine="0"/>
              <w:jc w:val="center"/>
              <w:rPr>
                <w:rFonts w:eastAsia="Times New Roman"/>
                <w:snapToGrid w:val="0"/>
                <w:sz w:val="20"/>
                <w:szCs w:val="20"/>
              </w:rPr>
            </w:pPr>
            <w:r w:rsidRPr="0052448B">
              <w:rPr>
                <w:rFonts w:eastAsia="Times New Roman"/>
                <w:snapToGrid w:val="0"/>
                <w:sz w:val="20"/>
                <w:szCs w:val="20"/>
              </w:rPr>
              <w:t>3 mēnešu</w:t>
            </w:r>
          </w:p>
          <w:p w:rsidR="000151A5" w:rsidRPr="0052448B" w:rsidRDefault="000151A5" w:rsidP="000151A5">
            <w:pPr>
              <w:spacing w:after="0"/>
              <w:ind w:firstLine="0"/>
              <w:jc w:val="center"/>
              <w:rPr>
                <w:rFonts w:eastAsia="Times New Roman"/>
                <w:snapToGrid w:val="0"/>
                <w:sz w:val="20"/>
                <w:szCs w:val="20"/>
              </w:rPr>
            </w:pPr>
            <w:r w:rsidRPr="0052448B">
              <w:rPr>
                <w:rFonts w:eastAsia="Times New Roman"/>
                <w:snapToGrid w:val="0"/>
                <w:sz w:val="20"/>
                <w:szCs w:val="20"/>
              </w:rPr>
              <w:t>izpilde</w:t>
            </w:r>
          </w:p>
          <w:p w:rsidR="000151A5" w:rsidRPr="0052448B" w:rsidRDefault="000151A5" w:rsidP="000151A5">
            <w:pPr>
              <w:spacing w:after="0"/>
              <w:ind w:firstLine="0"/>
              <w:jc w:val="center"/>
              <w:rPr>
                <w:rFonts w:eastAsia="Times New Roman"/>
                <w:snapToGrid w:val="0"/>
                <w:sz w:val="20"/>
                <w:szCs w:val="20"/>
              </w:rPr>
            </w:pPr>
            <w:r w:rsidRPr="0052448B">
              <w:rPr>
                <w:rFonts w:eastAsia="Times New Roman"/>
                <w:snapToGrid w:val="0"/>
                <w:sz w:val="20"/>
                <w:szCs w:val="20"/>
              </w:rPr>
              <w:t>no gada*</w:t>
            </w:r>
          </w:p>
          <w:p w:rsidR="000151A5" w:rsidRPr="0052448B" w:rsidRDefault="000151A5" w:rsidP="000151A5">
            <w:pPr>
              <w:spacing w:after="0"/>
              <w:ind w:firstLine="0"/>
              <w:jc w:val="center"/>
              <w:rPr>
                <w:rFonts w:eastAsia="Times New Roman"/>
                <w:snapToGrid w:val="0"/>
                <w:sz w:val="20"/>
                <w:szCs w:val="20"/>
              </w:rPr>
            </w:pPr>
            <w:r w:rsidRPr="0052448B">
              <w:rPr>
                <w:rFonts w:eastAsia="Times New Roman"/>
                <w:snapToGrid w:val="0"/>
                <w:sz w:val="20"/>
                <w:szCs w:val="20"/>
              </w:rPr>
              <w:t>plāna %</w:t>
            </w:r>
          </w:p>
        </w:tc>
      </w:tr>
      <w:tr w:rsidR="000151A5" w:rsidRPr="00AA1204" w:rsidTr="000151A5">
        <w:trPr>
          <w:cantSplit/>
          <w:jc w:val="center"/>
        </w:trPr>
        <w:tc>
          <w:tcPr>
            <w:tcW w:w="2977" w:type="dxa"/>
            <w:tcBorders>
              <w:left w:val="single" w:sz="4" w:space="0" w:color="auto"/>
            </w:tcBorders>
          </w:tcPr>
          <w:p w:rsidR="000151A5" w:rsidRPr="00AA1204" w:rsidRDefault="000151A5" w:rsidP="000151A5">
            <w:pPr>
              <w:spacing w:after="0"/>
              <w:ind w:firstLine="0"/>
              <w:rPr>
                <w:rFonts w:eastAsia="Times New Roman"/>
                <w:snapToGrid w:val="0"/>
                <w:sz w:val="20"/>
                <w:szCs w:val="20"/>
              </w:rPr>
            </w:pPr>
            <w:r w:rsidRPr="00AA1204">
              <w:rPr>
                <w:rFonts w:eastAsia="Times New Roman"/>
                <w:b/>
                <w:snapToGrid w:val="0"/>
                <w:sz w:val="20"/>
                <w:szCs w:val="20"/>
              </w:rPr>
              <w:t>1. Izdevumi — kopā (1.1.+1.2.)</w:t>
            </w:r>
          </w:p>
        </w:tc>
        <w:tc>
          <w:tcPr>
            <w:tcW w:w="992" w:type="dxa"/>
          </w:tcPr>
          <w:p w:rsidR="000151A5" w:rsidRPr="00FD1A0F" w:rsidRDefault="000151A5" w:rsidP="000151A5">
            <w:pPr>
              <w:tabs>
                <w:tab w:val="decimal" w:pos="794"/>
              </w:tabs>
              <w:spacing w:after="0"/>
              <w:ind w:firstLine="0"/>
              <w:rPr>
                <w:rFonts w:eastAsia="Arial Unicode MS"/>
                <w:sz w:val="20"/>
                <w:szCs w:val="20"/>
              </w:rPr>
            </w:pPr>
            <w:r w:rsidRPr="00FD1A0F">
              <w:rPr>
                <w:rFonts w:eastAsia="Times New Roman"/>
                <w:b/>
                <w:sz w:val="20"/>
                <w:szCs w:val="20"/>
              </w:rPr>
              <w:t>730 653</w:t>
            </w:r>
          </w:p>
        </w:tc>
        <w:tc>
          <w:tcPr>
            <w:tcW w:w="993" w:type="dxa"/>
          </w:tcPr>
          <w:p w:rsidR="000151A5" w:rsidRPr="00AA1204" w:rsidRDefault="000151A5" w:rsidP="000151A5">
            <w:pPr>
              <w:tabs>
                <w:tab w:val="decimal" w:pos="794"/>
              </w:tabs>
              <w:spacing w:after="0"/>
              <w:ind w:firstLine="0"/>
              <w:rPr>
                <w:rFonts w:eastAsia="Times New Roman"/>
                <w:b/>
                <w:sz w:val="20"/>
                <w:szCs w:val="20"/>
                <w:highlight w:val="yellow"/>
              </w:rPr>
            </w:pPr>
            <w:r w:rsidRPr="00CC2A5E">
              <w:rPr>
                <w:rFonts w:eastAsia="Times New Roman"/>
                <w:b/>
                <w:sz w:val="20"/>
                <w:szCs w:val="20"/>
              </w:rPr>
              <w:t>771 479</w:t>
            </w:r>
          </w:p>
        </w:tc>
        <w:tc>
          <w:tcPr>
            <w:tcW w:w="992" w:type="dxa"/>
          </w:tcPr>
          <w:p w:rsidR="000151A5" w:rsidRPr="00AA1204" w:rsidRDefault="000151A5" w:rsidP="000151A5">
            <w:pPr>
              <w:tabs>
                <w:tab w:val="decimal" w:pos="794"/>
              </w:tabs>
              <w:spacing w:after="0"/>
              <w:ind w:firstLine="0"/>
              <w:rPr>
                <w:rFonts w:eastAsia="Arial Unicode MS"/>
                <w:sz w:val="20"/>
                <w:szCs w:val="20"/>
                <w:highlight w:val="yellow"/>
              </w:rPr>
            </w:pPr>
            <w:r w:rsidRPr="00CC2A5E">
              <w:rPr>
                <w:rFonts w:eastAsia="Times New Roman"/>
                <w:b/>
                <w:sz w:val="20"/>
                <w:szCs w:val="20"/>
              </w:rPr>
              <w:t>743 884</w:t>
            </w:r>
          </w:p>
        </w:tc>
        <w:tc>
          <w:tcPr>
            <w:tcW w:w="992" w:type="dxa"/>
          </w:tcPr>
          <w:p w:rsidR="000151A5" w:rsidRPr="00E44888" w:rsidRDefault="000151A5" w:rsidP="000151A5">
            <w:pPr>
              <w:tabs>
                <w:tab w:val="decimal" w:pos="794"/>
              </w:tabs>
              <w:spacing w:after="0"/>
              <w:ind w:firstLine="0"/>
              <w:rPr>
                <w:rFonts w:eastAsia="Arial Unicode MS"/>
                <w:sz w:val="20"/>
                <w:szCs w:val="20"/>
              </w:rPr>
            </w:pPr>
            <w:bookmarkStart w:id="87" w:name="OLE_LINK3"/>
            <w:r w:rsidRPr="00E44888">
              <w:rPr>
                <w:rFonts w:eastAsia="Times New Roman"/>
                <w:b/>
                <w:sz w:val="20"/>
                <w:szCs w:val="20"/>
              </w:rPr>
              <w:t xml:space="preserve">3 272 </w:t>
            </w:r>
            <w:bookmarkEnd w:id="87"/>
            <w:r w:rsidRPr="00E44888">
              <w:rPr>
                <w:rFonts w:eastAsia="Times New Roman"/>
                <w:b/>
                <w:sz w:val="20"/>
                <w:szCs w:val="20"/>
              </w:rPr>
              <w:t>895</w:t>
            </w:r>
          </w:p>
        </w:tc>
        <w:tc>
          <w:tcPr>
            <w:tcW w:w="992" w:type="dxa"/>
          </w:tcPr>
          <w:p w:rsidR="000151A5" w:rsidRPr="00DC1B74" w:rsidRDefault="000151A5" w:rsidP="000151A5">
            <w:pPr>
              <w:tabs>
                <w:tab w:val="decimal" w:pos="512"/>
              </w:tabs>
              <w:spacing w:after="0"/>
              <w:ind w:firstLine="0"/>
              <w:rPr>
                <w:rFonts w:eastAsia="Times New Roman"/>
                <w:b/>
                <w:sz w:val="20"/>
                <w:szCs w:val="20"/>
              </w:rPr>
            </w:pPr>
            <w:r w:rsidRPr="00DC1B74">
              <w:rPr>
                <w:rFonts w:eastAsia="Times New Roman"/>
                <w:b/>
                <w:sz w:val="20"/>
                <w:szCs w:val="20"/>
              </w:rPr>
              <w:t xml:space="preserve">101,8      </w:t>
            </w:r>
          </w:p>
        </w:tc>
        <w:tc>
          <w:tcPr>
            <w:tcW w:w="923" w:type="dxa"/>
          </w:tcPr>
          <w:p w:rsidR="000151A5" w:rsidRPr="00B407BA" w:rsidRDefault="000151A5" w:rsidP="000151A5">
            <w:pPr>
              <w:tabs>
                <w:tab w:val="decimal" w:pos="450"/>
              </w:tabs>
              <w:spacing w:after="0"/>
              <w:ind w:firstLine="0"/>
              <w:rPr>
                <w:rFonts w:eastAsia="Times New Roman"/>
                <w:b/>
                <w:sz w:val="20"/>
                <w:szCs w:val="20"/>
              </w:rPr>
            </w:pPr>
            <w:r w:rsidRPr="00B407BA">
              <w:rPr>
                <w:rFonts w:eastAsia="Times New Roman"/>
                <w:b/>
                <w:sz w:val="20"/>
                <w:szCs w:val="20"/>
              </w:rPr>
              <w:t xml:space="preserve">96,4  </w:t>
            </w:r>
          </w:p>
        </w:tc>
        <w:tc>
          <w:tcPr>
            <w:tcW w:w="958" w:type="dxa"/>
            <w:tcBorders>
              <w:right w:val="single" w:sz="4" w:space="0" w:color="auto"/>
            </w:tcBorders>
          </w:tcPr>
          <w:p w:rsidR="000151A5" w:rsidRPr="00826171" w:rsidRDefault="000151A5" w:rsidP="000151A5">
            <w:pPr>
              <w:tabs>
                <w:tab w:val="decimal" w:pos="451"/>
              </w:tabs>
              <w:spacing w:after="0"/>
              <w:ind w:firstLine="0"/>
              <w:rPr>
                <w:rFonts w:eastAsia="Arial Unicode MS"/>
                <w:sz w:val="20"/>
                <w:szCs w:val="20"/>
              </w:rPr>
            </w:pPr>
            <w:r w:rsidRPr="00826171">
              <w:rPr>
                <w:rFonts w:eastAsia="Times New Roman"/>
                <w:b/>
                <w:sz w:val="20"/>
                <w:szCs w:val="20"/>
              </w:rPr>
              <w:t>22,7</w:t>
            </w:r>
          </w:p>
        </w:tc>
      </w:tr>
      <w:tr w:rsidR="000151A5" w:rsidRPr="00AA1204" w:rsidTr="000151A5">
        <w:trPr>
          <w:cantSplit/>
          <w:jc w:val="center"/>
        </w:trPr>
        <w:tc>
          <w:tcPr>
            <w:tcW w:w="2977" w:type="dxa"/>
            <w:tcBorders>
              <w:left w:val="single" w:sz="4" w:space="0" w:color="auto"/>
              <w:bottom w:val="nil"/>
            </w:tcBorders>
          </w:tcPr>
          <w:p w:rsidR="000151A5" w:rsidRPr="00AA1204" w:rsidRDefault="000151A5" w:rsidP="000151A5">
            <w:pPr>
              <w:spacing w:after="0"/>
              <w:ind w:firstLine="0"/>
              <w:rPr>
                <w:rFonts w:eastAsia="Times New Roman"/>
                <w:snapToGrid w:val="0"/>
                <w:sz w:val="20"/>
                <w:szCs w:val="20"/>
              </w:rPr>
            </w:pPr>
            <w:r w:rsidRPr="00AA1204">
              <w:rPr>
                <w:rFonts w:eastAsia="Times New Roman"/>
                <w:b/>
                <w:snapToGrid w:val="0"/>
                <w:sz w:val="20"/>
                <w:szCs w:val="20"/>
              </w:rPr>
              <w:t>1.1. Uzturēšanas izdevumi</w:t>
            </w:r>
          </w:p>
        </w:tc>
        <w:tc>
          <w:tcPr>
            <w:tcW w:w="992" w:type="dxa"/>
            <w:tcBorders>
              <w:bottom w:val="nil"/>
            </w:tcBorders>
          </w:tcPr>
          <w:p w:rsidR="000151A5" w:rsidRPr="00FD1A0F" w:rsidRDefault="000151A5" w:rsidP="000151A5">
            <w:pPr>
              <w:tabs>
                <w:tab w:val="decimal" w:pos="794"/>
              </w:tabs>
              <w:spacing w:after="0"/>
              <w:ind w:firstLine="0"/>
              <w:rPr>
                <w:rFonts w:eastAsia="Arial Unicode MS"/>
                <w:sz w:val="20"/>
                <w:szCs w:val="20"/>
              </w:rPr>
            </w:pPr>
            <w:r w:rsidRPr="00FD1A0F">
              <w:rPr>
                <w:rFonts w:eastAsia="Times New Roman"/>
                <w:b/>
                <w:sz w:val="20"/>
                <w:szCs w:val="20"/>
              </w:rPr>
              <w:t>680 364</w:t>
            </w:r>
          </w:p>
        </w:tc>
        <w:tc>
          <w:tcPr>
            <w:tcW w:w="993" w:type="dxa"/>
            <w:tcBorders>
              <w:bottom w:val="nil"/>
            </w:tcBorders>
          </w:tcPr>
          <w:p w:rsidR="000151A5" w:rsidRPr="00CC2A5E" w:rsidRDefault="000151A5" w:rsidP="000151A5">
            <w:pPr>
              <w:tabs>
                <w:tab w:val="decimal" w:pos="794"/>
              </w:tabs>
              <w:spacing w:after="0"/>
              <w:ind w:firstLine="0"/>
              <w:rPr>
                <w:rFonts w:eastAsia="Times New Roman"/>
                <w:b/>
                <w:sz w:val="20"/>
                <w:szCs w:val="20"/>
              </w:rPr>
            </w:pPr>
            <w:r w:rsidRPr="00CC2A5E">
              <w:rPr>
                <w:rFonts w:eastAsia="Times New Roman"/>
                <w:b/>
                <w:sz w:val="20"/>
                <w:szCs w:val="20"/>
              </w:rPr>
              <w:t>718 278</w:t>
            </w:r>
          </w:p>
        </w:tc>
        <w:tc>
          <w:tcPr>
            <w:tcW w:w="992" w:type="dxa"/>
            <w:tcBorders>
              <w:bottom w:val="nil"/>
            </w:tcBorders>
          </w:tcPr>
          <w:p w:rsidR="000151A5" w:rsidRPr="00CC2A5E" w:rsidRDefault="000151A5" w:rsidP="000151A5">
            <w:pPr>
              <w:tabs>
                <w:tab w:val="decimal" w:pos="794"/>
              </w:tabs>
              <w:spacing w:after="0"/>
              <w:ind w:firstLine="0"/>
              <w:rPr>
                <w:rFonts w:eastAsia="Arial Unicode MS"/>
                <w:sz w:val="20"/>
                <w:szCs w:val="20"/>
              </w:rPr>
            </w:pPr>
            <w:r w:rsidRPr="00CC2A5E">
              <w:rPr>
                <w:rFonts w:eastAsia="Times New Roman"/>
                <w:b/>
                <w:sz w:val="20"/>
                <w:szCs w:val="20"/>
              </w:rPr>
              <w:t>694 378</w:t>
            </w:r>
          </w:p>
        </w:tc>
        <w:tc>
          <w:tcPr>
            <w:tcW w:w="992" w:type="dxa"/>
            <w:tcBorders>
              <w:bottom w:val="nil"/>
            </w:tcBorders>
          </w:tcPr>
          <w:p w:rsidR="000151A5" w:rsidRPr="00AA1204" w:rsidRDefault="000151A5" w:rsidP="000151A5">
            <w:pPr>
              <w:tabs>
                <w:tab w:val="decimal" w:pos="794"/>
              </w:tabs>
              <w:spacing w:after="0"/>
              <w:ind w:firstLine="0"/>
              <w:rPr>
                <w:rFonts w:eastAsia="Arial Unicode MS"/>
                <w:sz w:val="20"/>
                <w:szCs w:val="20"/>
                <w:highlight w:val="yellow"/>
              </w:rPr>
            </w:pPr>
            <w:r w:rsidRPr="00E44888">
              <w:rPr>
                <w:rFonts w:eastAsia="Times New Roman"/>
                <w:b/>
                <w:sz w:val="20"/>
                <w:szCs w:val="20"/>
              </w:rPr>
              <w:t>2 910 553</w:t>
            </w:r>
          </w:p>
        </w:tc>
        <w:tc>
          <w:tcPr>
            <w:tcW w:w="992" w:type="dxa"/>
            <w:tcBorders>
              <w:bottom w:val="nil"/>
            </w:tcBorders>
          </w:tcPr>
          <w:p w:rsidR="000151A5" w:rsidRPr="00DC1B74" w:rsidRDefault="000151A5" w:rsidP="000151A5">
            <w:pPr>
              <w:tabs>
                <w:tab w:val="decimal" w:pos="512"/>
              </w:tabs>
              <w:spacing w:after="0"/>
              <w:ind w:firstLine="0"/>
              <w:rPr>
                <w:rFonts w:eastAsia="Times New Roman"/>
                <w:b/>
                <w:sz w:val="20"/>
                <w:szCs w:val="20"/>
              </w:rPr>
            </w:pPr>
            <w:r w:rsidRPr="00DC1B74">
              <w:rPr>
                <w:rFonts w:eastAsia="Times New Roman"/>
                <w:b/>
                <w:sz w:val="20"/>
                <w:szCs w:val="20"/>
              </w:rPr>
              <w:t>102,1</w:t>
            </w:r>
          </w:p>
        </w:tc>
        <w:tc>
          <w:tcPr>
            <w:tcW w:w="923" w:type="dxa"/>
            <w:tcBorders>
              <w:bottom w:val="nil"/>
            </w:tcBorders>
          </w:tcPr>
          <w:p w:rsidR="000151A5" w:rsidRPr="00B407BA" w:rsidRDefault="000151A5" w:rsidP="000151A5">
            <w:pPr>
              <w:tabs>
                <w:tab w:val="decimal" w:pos="450"/>
              </w:tabs>
              <w:spacing w:after="0"/>
              <w:ind w:firstLine="0"/>
              <w:rPr>
                <w:rFonts w:eastAsia="Times New Roman"/>
                <w:b/>
                <w:sz w:val="20"/>
                <w:szCs w:val="20"/>
              </w:rPr>
            </w:pPr>
            <w:r w:rsidRPr="00B407BA">
              <w:rPr>
                <w:rFonts w:eastAsia="Times New Roman"/>
                <w:b/>
                <w:sz w:val="20"/>
                <w:szCs w:val="20"/>
              </w:rPr>
              <w:t>96,7</w:t>
            </w:r>
          </w:p>
        </w:tc>
        <w:tc>
          <w:tcPr>
            <w:tcW w:w="958" w:type="dxa"/>
            <w:tcBorders>
              <w:bottom w:val="nil"/>
              <w:right w:val="single" w:sz="4" w:space="0" w:color="auto"/>
            </w:tcBorders>
          </w:tcPr>
          <w:p w:rsidR="000151A5" w:rsidRPr="00826171" w:rsidRDefault="000151A5" w:rsidP="000151A5">
            <w:pPr>
              <w:tabs>
                <w:tab w:val="decimal" w:pos="451"/>
              </w:tabs>
              <w:spacing w:after="0"/>
              <w:ind w:firstLine="0"/>
              <w:rPr>
                <w:rFonts w:eastAsia="Arial Unicode MS"/>
                <w:sz w:val="20"/>
                <w:szCs w:val="20"/>
              </w:rPr>
            </w:pPr>
            <w:r w:rsidRPr="00826171">
              <w:rPr>
                <w:rFonts w:eastAsia="Times New Roman"/>
                <w:b/>
                <w:sz w:val="20"/>
                <w:szCs w:val="20"/>
              </w:rPr>
              <w:t>23,9</w:t>
            </w:r>
          </w:p>
        </w:tc>
      </w:tr>
      <w:tr w:rsidR="000151A5" w:rsidRPr="00AA1204" w:rsidTr="000151A5">
        <w:trPr>
          <w:cantSplit/>
          <w:jc w:val="center"/>
        </w:trPr>
        <w:tc>
          <w:tcPr>
            <w:tcW w:w="2977" w:type="dxa"/>
            <w:tcBorders>
              <w:left w:val="single" w:sz="4" w:space="0" w:color="auto"/>
              <w:bottom w:val="nil"/>
            </w:tcBorders>
          </w:tcPr>
          <w:p w:rsidR="000151A5" w:rsidRPr="00AA1204" w:rsidRDefault="000151A5" w:rsidP="000151A5">
            <w:pPr>
              <w:spacing w:after="0"/>
              <w:ind w:firstLine="0"/>
              <w:rPr>
                <w:rFonts w:eastAsia="Times New Roman"/>
                <w:b/>
                <w:snapToGrid w:val="0"/>
                <w:sz w:val="20"/>
                <w:szCs w:val="20"/>
              </w:rPr>
            </w:pPr>
            <w:r w:rsidRPr="00AA1204">
              <w:rPr>
                <w:rFonts w:eastAsia="Times New Roman"/>
                <w:b/>
                <w:snapToGrid w:val="0"/>
                <w:sz w:val="20"/>
                <w:szCs w:val="20"/>
              </w:rPr>
              <w:t>Kārtējie izdevumi</w:t>
            </w:r>
          </w:p>
          <w:p w:rsidR="000151A5" w:rsidRPr="00AA1204" w:rsidRDefault="000151A5" w:rsidP="000151A5">
            <w:pPr>
              <w:spacing w:after="0"/>
              <w:ind w:firstLine="0"/>
              <w:rPr>
                <w:rFonts w:eastAsia="Times New Roman"/>
                <w:snapToGrid w:val="0"/>
                <w:sz w:val="20"/>
                <w:szCs w:val="20"/>
              </w:rPr>
            </w:pPr>
            <w:r w:rsidRPr="00AA1204">
              <w:rPr>
                <w:rFonts w:eastAsia="Times New Roman"/>
                <w:snapToGrid w:val="0"/>
                <w:sz w:val="20"/>
                <w:szCs w:val="20"/>
              </w:rPr>
              <w:t>Atlīdzība</w:t>
            </w:r>
          </w:p>
        </w:tc>
        <w:tc>
          <w:tcPr>
            <w:tcW w:w="992" w:type="dxa"/>
            <w:tcBorders>
              <w:bottom w:val="nil"/>
            </w:tcBorders>
          </w:tcPr>
          <w:p w:rsidR="000151A5" w:rsidRPr="00FD1A0F" w:rsidRDefault="000151A5" w:rsidP="000151A5">
            <w:pPr>
              <w:tabs>
                <w:tab w:val="decimal" w:pos="794"/>
              </w:tabs>
              <w:spacing w:after="0"/>
              <w:ind w:firstLine="0"/>
              <w:rPr>
                <w:rFonts w:eastAsia="Times New Roman"/>
                <w:b/>
                <w:sz w:val="20"/>
                <w:szCs w:val="20"/>
              </w:rPr>
            </w:pPr>
            <w:r w:rsidRPr="00FD1A0F">
              <w:rPr>
                <w:rFonts w:eastAsia="Times New Roman"/>
                <w:b/>
                <w:sz w:val="20"/>
                <w:szCs w:val="20"/>
              </w:rPr>
              <w:t>183 573</w:t>
            </w:r>
          </w:p>
          <w:p w:rsidR="000151A5" w:rsidRPr="00FD1A0F" w:rsidRDefault="000151A5" w:rsidP="000151A5">
            <w:pPr>
              <w:tabs>
                <w:tab w:val="decimal" w:pos="794"/>
              </w:tabs>
              <w:spacing w:after="0"/>
              <w:ind w:firstLine="0"/>
              <w:rPr>
                <w:rFonts w:eastAsia="Arial Unicode MS"/>
                <w:sz w:val="20"/>
                <w:szCs w:val="20"/>
              </w:rPr>
            </w:pPr>
            <w:r w:rsidRPr="00FD1A0F">
              <w:rPr>
                <w:rFonts w:eastAsia="Times New Roman"/>
                <w:sz w:val="20"/>
                <w:szCs w:val="20"/>
              </w:rPr>
              <w:t>102 419</w:t>
            </w:r>
          </w:p>
        </w:tc>
        <w:tc>
          <w:tcPr>
            <w:tcW w:w="993" w:type="dxa"/>
            <w:tcBorders>
              <w:bottom w:val="nil"/>
            </w:tcBorders>
          </w:tcPr>
          <w:p w:rsidR="000151A5" w:rsidRPr="00CC2A5E" w:rsidRDefault="000151A5" w:rsidP="000151A5">
            <w:pPr>
              <w:tabs>
                <w:tab w:val="decimal" w:pos="794"/>
              </w:tabs>
              <w:spacing w:after="0"/>
              <w:ind w:firstLine="0"/>
              <w:rPr>
                <w:rFonts w:eastAsia="Times New Roman"/>
                <w:b/>
                <w:sz w:val="20"/>
                <w:szCs w:val="20"/>
              </w:rPr>
            </w:pPr>
            <w:r w:rsidRPr="00CC2A5E">
              <w:rPr>
                <w:rFonts w:eastAsia="Times New Roman"/>
                <w:b/>
                <w:sz w:val="20"/>
                <w:szCs w:val="20"/>
              </w:rPr>
              <w:t>192 294</w:t>
            </w:r>
          </w:p>
          <w:p w:rsidR="000151A5" w:rsidRPr="00CC2A5E" w:rsidRDefault="000151A5" w:rsidP="000151A5">
            <w:pPr>
              <w:tabs>
                <w:tab w:val="decimal" w:pos="794"/>
              </w:tabs>
              <w:spacing w:after="0"/>
              <w:ind w:firstLine="0"/>
              <w:rPr>
                <w:rFonts w:eastAsia="Times New Roman"/>
                <w:sz w:val="20"/>
                <w:szCs w:val="20"/>
              </w:rPr>
            </w:pPr>
            <w:r w:rsidRPr="00CC2A5E">
              <w:rPr>
                <w:rFonts w:eastAsia="Times New Roman"/>
                <w:sz w:val="20"/>
                <w:szCs w:val="20"/>
              </w:rPr>
              <w:t>10</w:t>
            </w:r>
            <w:r>
              <w:rPr>
                <w:rFonts w:eastAsia="Times New Roman"/>
                <w:sz w:val="20"/>
                <w:szCs w:val="20"/>
              </w:rPr>
              <w:t>7</w:t>
            </w:r>
            <w:r w:rsidRPr="00CC2A5E">
              <w:rPr>
                <w:rFonts w:eastAsia="Times New Roman"/>
                <w:sz w:val="20"/>
                <w:szCs w:val="20"/>
              </w:rPr>
              <w:t xml:space="preserve"> 305</w:t>
            </w:r>
          </w:p>
        </w:tc>
        <w:tc>
          <w:tcPr>
            <w:tcW w:w="992" w:type="dxa"/>
            <w:tcBorders>
              <w:bottom w:val="nil"/>
            </w:tcBorders>
          </w:tcPr>
          <w:p w:rsidR="000151A5" w:rsidRPr="00CC2A5E" w:rsidRDefault="000151A5" w:rsidP="000151A5">
            <w:pPr>
              <w:tabs>
                <w:tab w:val="decimal" w:pos="794"/>
              </w:tabs>
              <w:spacing w:after="0"/>
              <w:ind w:firstLine="0"/>
              <w:rPr>
                <w:rFonts w:eastAsia="Times New Roman"/>
                <w:b/>
                <w:sz w:val="20"/>
                <w:szCs w:val="20"/>
              </w:rPr>
            </w:pPr>
            <w:r w:rsidRPr="00CC2A5E">
              <w:rPr>
                <w:rFonts w:eastAsia="Times New Roman"/>
                <w:b/>
                <w:sz w:val="20"/>
                <w:szCs w:val="20"/>
              </w:rPr>
              <w:t>183 504</w:t>
            </w:r>
          </w:p>
          <w:p w:rsidR="000151A5" w:rsidRPr="00CC2A5E" w:rsidRDefault="000151A5" w:rsidP="000151A5">
            <w:pPr>
              <w:tabs>
                <w:tab w:val="decimal" w:pos="794"/>
              </w:tabs>
              <w:spacing w:after="0"/>
              <w:ind w:firstLine="0"/>
              <w:rPr>
                <w:rFonts w:eastAsia="Arial Unicode MS"/>
                <w:sz w:val="20"/>
                <w:szCs w:val="20"/>
              </w:rPr>
            </w:pPr>
            <w:r w:rsidRPr="00CC2A5E">
              <w:rPr>
                <w:rFonts w:eastAsia="Times New Roman"/>
                <w:sz w:val="20"/>
                <w:szCs w:val="20"/>
              </w:rPr>
              <w:t>103 665</w:t>
            </w:r>
          </w:p>
        </w:tc>
        <w:tc>
          <w:tcPr>
            <w:tcW w:w="992" w:type="dxa"/>
            <w:tcBorders>
              <w:bottom w:val="nil"/>
            </w:tcBorders>
          </w:tcPr>
          <w:p w:rsidR="000151A5" w:rsidRPr="00E44888" w:rsidRDefault="000151A5" w:rsidP="000151A5">
            <w:pPr>
              <w:tabs>
                <w:tab w:val="decimal" w:pos="794"/>
              </w:tabs>
              <w:spacing w:after="0"/>
              <w:ind w:firstLine="0"/>
              <w:rPr>
                <w:rFonts w:eastAsia="Times New Roman"/>
                <w:b/>
                <w:sz w:val="20"/>
                <w:szCs w:val="20"/>
              </w:rPr>
            </w:pPr>
            <w:r w:rsidRPr="00E44888">
              <w:rPr>
                <w:rFonts w:eastAsia="Times New Roman"/>
                <w:b/>
                <w:sz w:val="20"/>
                <w:szCs w:val="20"/>
              </w:rPr>
              <w:t>830 512</w:t>
            </w:r>
          </w:p>
          <w:p w:rsidR="000151A5" w:rsidRPr="00E44888" w:rsidRDefault="000151A5" w:rsidP="000151A5">
            <w:pPr>
              <w:tabs>
                <w:tab w:val="decimal" w:pos="794"/>
              </w:tabs>
              <w:spacing w:after="0"/>
              <w:ind w:firstLine="0"/>
              <w:rPr>
                <w:rFonts w:eastAsia="Arial Unicode MS"/>
                <w:sz w:val="20"/>
                <w:szCs w:val="20"/>
              </w:rPr>
            </w:pPr>
            <w:r w:rsidRPr="00E44888">
              <w:rPr>
                <w:rFonts w:eastAsia="Times New Roman"/>
                <w:sz w:val="20"/>
                <w:szCs w:val="20"/>
              </w:rPr>
              <w:t>476 475</w:t>
            </w:r>
          </w:p>
        </w:tc>
        <w:tc>
          <w:tcPr>
            <w:tcW w:w="992" w:type="dxa"/>
            <w:tcBorders>
              <w:bottom w:val="nil"/>
            </w:tcBorders>
          </w:tcPr>
          <w:p w:rsidR="000151A5" w:rsidRPr="00DC1B74" w:rsidRDefault="000151A5" w:rsidP="000151A5">
            <w:pPr>
              <w:tabs>
                <w:tab w:val="decimal" w:pos="512"/>
              </w:tabs>
              <w:spacing w:after="0"/>
              <w:ind w:firstLine="0"/>
              <w:rPr>
                <w:rFonts w:eastAsia="Times New Roman"/>
                <w:b/>
                <w:sz w:val="20"/>
                <w:szCs w:val="20"/>
              </w:rPr>
            </w:pPr>
            <w:r w:rsidRPr="00DC1B74">
              <w:rPr>
                <w:rFonts w:eastAsia="Times New Roman"/>
                <w:b/>
                <w:sz w:val="20"/>
                <w:szCs w:val="20"/>
              </w:rPr>
              <w:t>100,0</w:t>
            </w:r>
          </w:p>
          <w:p w:rsidR="000151A5" w:rsidRPr="00DC1B74" w:rsidRDefault="000151A5" w:rsidP="000151A5">
            <w:pPr>
              <w:tabs>
                <w:tab w:val="decimal" w:pos="512"/>
              </w:tabs>
              <w:spacing w:after="0"/>
              <w:ind w:firstLine="0"/>
              <w:rPr>
                <w:rFonts w:eastAsia="Times New Roman"/>
                <w:sz w:val="20"/>
                <w:szCs w:val="20"/>
              </w:rPr>
            </w:pPr>
            <w:r w:rsidRPr="00DC1B74">
              <w:rPr>
                <w:rFonts w:eastAsia="Times New Roman"/>
                <w:sz w:val="20"/>
                <w:szCs w:val="20"/>
              </w:rPr>
              <w:t>101,2</w:t>
            </w:r>
          </w:p>
        </w:tc>
        <w:tc>
          <w:tcPr>
            <w:tcW w:w="923" w:type="dxa"/>
            <w:tcBorders>
              <w:bottom w:val="nil"/>
            </w:tcBorders>
          </w:tcPr>
          <w:p w:rsidR="000151A5" w:rsidRPr="00B407BA" w:rsidRDefault="000151A5" w:rsidP="000151A5">
            <w:pPr>
              <w:tabs>
                <w:tab w:val="decimal" w:pos="450"/>
              </w:tabs>
              <w:spacing w:after="0"/>
              <w:ind w:firstLine="0"/>
              <w:rPr>
                <w:rFonts w:eastAsia="Times New Roman"/>
                <w:b/>
                <w:sz w:val="20"/>
                <w:szCs w:val="20"/>
              </w:rPr>
            </w:pPr>
            <w:r w:rsidRPr="00B407BA">
              <w:rPr>
                <w:rFonts w:eastAsia="Times New Roman"/>
                <w:b/>
                <w:sz w:val="20"/>
                <w:szCs w:val="20"/>
              </w:rPr>
              <w:t>95,4</w:t>
            </w:r>
          </w:p>
          <w:p w:rsidR="000151A5" w:rsidRPr="00B407BA" w:rsidRDefault="000151A5" w:rsidP="000151A5">
            <w:pPr>
              <w:tabs>
                <w:tab w:val="decimal" w:pos="450"/>
              </w:tabs>
              <w:spacing w:after="0"/>
              <w:ind w:firstLine="0"/>
              <w:rPr>
                <w:rFonts w:eastAsia="Times New Roman"/>
                <w:sz w:val="20"/>
                <w:szCs w:val="20"/>
              </w:rPr>
            </w:pPr>
            <w:r w:rsidRPr="00B407BA">
              <w:rPr>
                <w:rFonts w:eastAsia="Times New Roman"/>
                <w:sz w:val="20"/>
                <w:szCs w:val="20"/>
              </w:rPr>
              <w:t>96,6</w:t>
            </w:r>
          </w:p>
        </w:tc>
        <w:tc>
          <w:tcPr>
            <w:tcW w:w="958" w:type="dxa"/>
            <w:tcBorders>
              <w:bottom w:val="nil"/>
              <w:right w:val="single" w:sz="4" w:space="0" w:color="auto"/>
            </w:tcBorders>
          </w:tcPr>
          <w:p w:rsidR="000151A5" w:rsidRPr="00826171" w:rsidRDefault="000151A5" w:rsidP="000151A5">
            <w:pPr>
              <w:tabs>
                <w:tab w:val="decimal" w:pos="451"/>
              </w:tabs>
              <w:spacing w:after="0"/>
              <w:ind w:firstLine="0"/>
              <w:rPr>
                <w:rFonts w:eastAsia="Times New Roman"/>
                <w:b/>
                <w:sz w:val="20"/>
                <w:szCs w:val="20"/>
              </w:rPr>
            </w:pPr>
            <w:r w:rsidRPr="00826171">
              <w:rPr>
                <w:rFonts w:eastAsia="Times New Roman"/>
                <w:b/>
                <w:sz w:val="20"/>
                <w:szCs w:val="20"/>
              </w:rPr>
              <w:t>21,1</w:t>
            </w:r>
          </w:p>
          <w:p w:rsidR="000151A5" w:rsidRPr="00826171" w:rsidRDefault="000151A5" w:rsidP="000151A5">
            <w:pPr>
              <w:tabs>
                <w:tab w:val="decimal" w:pos="451"/>
              </w:tabs>
              <w:spacing w:after="0"/>
              <w:ind w:firstLine="0"/>
              <w:rPr>
                <w:rFonts w:eastAsia="Arial Unicode MS"/>
                <w:sz w:val="20"/>
                <w:szCs w:val="20"/>
              </w:rPr>
            </w:pPr>
            <w:r w:rsidRPr="00826171">
              <w:rPr>
                <w:rFonts w:eastAsia="Times New Roman"/>
                <w:sz w:val="20"/>
                <w:szCs w:val="20"/>
              </w:rPr>
              <w:t>21,8</w:t>
            </w:r>
          </w:p>
        </w:tc>
      </w:tr>
      <w:tr w:rsidR="000151A5" w:rsidRPr="00AA1204" w:rsidTr="000151A5">
        <w:trPr>
          <w:cantSplit/>
          <w:jc w:val="center"/>
        </w:trPr>
        <w:tc>
          <w:tcPr>
            <w:tcW w:w="2977" w:type="dxa"/>
            <w:tcBorders>
              <w:top w:val="nil"/>
              <w:left w:val="single" w:sz="4" w:space="0" w:color="auto"/>
              <w:bottom w:val="nil"/>
            </w:tcBorders>
          </w:tcPr>
          <w:p w:rsidR="000151A5" w:rsidRPr="00AA1204" w:rsidRDefault="000151A5" w:rsidP="000151A5">
            <w:pPr>
              <w:spacing w:after="0"/>
              <w:ind w:firstLine="0"/>
              <w:rPr>
                <w:rFonts w:eastAsia="Times New Roman"/>
                <w:i/>
                <w:snapToGrid w:val="0"/>
                <w:sz w:val="20"/>
                <w:szCs w:val="20"/>
              </w:rPr>
            </w:pPr>
            <w:r w:rsidRPr="00AA1204">
              <w:rPr>
                <w:rFonts w:eastAsia="Times New Roman"/>
                <w:i/>
                <w:snapToGrid w:val="0"/>
                <w:sz w:val="20"/>
                <w:szCs w:val="20"/>
              </w:rPr>
              <w:t xml:space="preserve">  Atalgojums</w:t>
            </w:r>
          </w:p>
        </w:tc>
        <w:tc>
          <w:tcPr>
            <w:tcW w:w="992" w:type="dxa"/>
            <w:tcBorders>
              <w:top w:val="nil"/>
              <w:bottom w:val="nil"/>
            </w:tcBorders>
          </w:tcPr>
          <w:p w:rsidR="000151A5" w:rsidRPr="00FD1A0F" w:rsidRDefault="000151A5" w:rsidP="000151A5">
            <w:pPr>
              <w:tabs>
                <w:tab w:val="decimal" w:pos="794"/>
              </w:tabs>
              <w:spacing w:after="0"/>
              <w:ind w:firstLine="0"/>
              <w:rPr>
                <w:rFonts w:eastAsia="Arial Unicode MS"/>
                <w:i/>
                <w:sz w:val="20"/>
                <w:szCs w:val="20"/>
              </w:rPr>
            </w:pPr>
            <w:r w:rsidRPr="00FD1A0F">
              <w:rPr>
                <w:rFonts w:eastAsia="Times New Roman"/>
                <w:i/>
                <w:sz w:val="20"/>
                <w:szCs w:val="20"/>
              </w:rPr>
              <w:t>77 642</w:t>
            </w:r>
          </w:p>
        </w:tc>
        <w:tc>
          <w:tcPr>
            <w:tcW w:w="993" w:type="dxa"/>
            <w:tcBorders>
              <w:top w:val="nil"/>
              <w:bottom w:val="nil"/>
            </w:tcBorders>
          </w:tcPr>
          <w:p w:rsidR="000151A5" w:rsidRPr="00CC2A5E" w:rsidRDefault="000151A5" w:rsidP="000151A5">
            <w:pPr>
              <w:tabs>
                <w:tab w:val="decimal" w:pos="794"/>
              </w:tabs>
              <w:spacing w:after="0"/>
              <w:ind w:firstLine="0"/>
              <w:rPr>
                <w:rFonts w:eastAsia="Times New Roman"/>
                <w:i/>
                <w:sz w:val="20"/>
                <w:szCs w:val="20"/>
              </w:rPr>
            </w:pPr>
            <w:r w:rsidRPr="00CC2A5E">
              <w:rPr>
                <w:rFonts w:eastAsia="Times New Roman"/>
                <w:i/>
                <w:sz w:val="20"/>
                <w:szCs w:val="20"/>
              </w:rPr>
              <w:t>80 746</w:t>
            </w:r>
          </w:p>
        </w:tc>
        <w:tc>
          <w:tcPr>
            <w:tcW w:w="992" w:type="dxa"/>
            <w:tcBorders>
              <w:top w:val="nil"/>
              <w:bottom w:val="nil"/>
            </w:tcBorders>
          </w:tcPr>
          <w:p w:rsidR="000151A5" w:rsidRPr="00CC2A5E" w:rsidRDefault="000151A5" w:rsidP="000151A5">
            <w:pPr>
              <w:tabs>
                <w:tab w:val="decimal" w:pos="794"/>
              </w:tabs>
              <w:spacing w:after="0"/>
              <w:ind w:firstLine="0"/>
              <w:rPr>
                <w:rFonts w:eastAsia="Arial Unicode MS"/>
                <w:i/>
                <w:sz w:val="20"/>
                <w:szCs w:val="20"/>
              </w:rPr>
            </w:pPr>
            <w:r w:rsidRPr="00CC2A5E">
              <w:rPr>
                <w:rFonts w:eastAsia="Times New Roman"/>
                <w:i/>
                <w:sz w:val="20"/>
                <w:szCs w:val="20"/>
              </w:rPr>
              <w:t>78 251</w:t>
            </w:r>
          </w:p>
        </w:tc>
        <w:tc>
          <w:tcPr>
            <w:tcW w:w="992" w:type="dxa"/>
            <w:tcBorders>
              <w:top w:val="nil"/>
              <w:bottom w:val="nil"/>
            </w:tcBorders>
          </w:tcPr>
          <w:p w:rsidR="000151A5" w:rsidRPr="00E44888" w:rsidRDefault="000151A5" w:rsidP="000151A5">
            <w:pPr>
              <w:tabs>
                <w:tab w:val="decimal" w:pos="794"/>
              </w:tabs>
              <w:spacing w:after="0"/>
              <w:ind w:firstLine="0"/>
              <w:rPr>
                <w:rFonts w:eastAsia="Arial Unicode MS"/>
                <w:i/>
                <w:sz w:val="20"/>
                <w:szCs w:val="20"/>
              </w:rPr>
            </w:pPr>
            <w:r w:rsidRPr="00E44888">
              <w:rPr>
                <w:rFonts w:eastAsia="Times New Roman"/>
                <w:i/>
                <w:sz w:val="20"/>
                <w:szCs w:val="20"/>
              </w:rPr>
              <w:t>357 523</w:t>
            </w:r>
          </w:p>
        </w:tc>
        <w:tc>
          <w:tcPr>
            <w:tcW w:w="992" w:type="dxa"/>
            <w:tcBorders>
              <w:top w:val="nil"/>
              <w:bottom w:val="nil"/>
            </w:tcBorders>
          </w:tcPr>
          <w:p w:rsidR="000151A5" w:rsidRPr="00DC1B74" w:rsidRDefault="000151A5" w:rsidP="000151A5">
            <w:pPr>
              <w:tabs>
                <w:tab w:val="decimal" w:pos="512"/>
              </w:tabs>
              <w:spacing w:after="0"/>
              <w:ind w:firstLine="0"/>
              <w:rPr>
                <w:rFonts w:eastAsia="Times New Roman"/>
                <w:i/>
                <w:sz w:val="20"/>
                <w:szCs w:val="20"/>
              </w:rPr>
            </w:pPr>
            <w:r w:rsidRPr="00DC1B74">
              <w:rPr>
                <w:rFonts w:eastAsia="Times New Roman"/>
                <w:i/>
                <w:sz w:val="20"/>
                <w:szCs w:val="20"/>
              </w:rPr>
              <w:t>100,8</w:t>
            </w:r>
          </w:p>
        </w:tc>
        <w:tc>
          <w:tcPr>
            <w:tcW w:w="923" w:type="dxa"/>
            <w:tcBorders>
              <w:top w:val="nil"/>
              <w:bottom w:val="nil"/>
            </w:tcBorders>
          </w:tcPr>
          <w:p w:rsidR="000151A5" w:rsidRPr="00B407BA" w:rsidRDefault="000151A5" w:rsidP="000151A5">
            <w:pPr>
              <w:tabs>
                <w:tab w:val="decimal" w:pos="450"/>
              </w:tabs>
              <w:spacing w:after="0"/>
              <w:ind w:firstLine="0"/>
              <w:rPr>
                <w:rFonts w:eastAsia="Times New Roman"/>
                <w:i/>
                <w:sz w:val="20"/>
                <w:szCs w:val="20"/>
              </w:rPr>
            </w:pPr>
            <w:r w:rsidRPr="00B407BA">
              <w:rPr>
                <w:rFonts w:eastAsia="Times New Roman"/>
                <w:i/>
                <w:sz w:val="20"/>
                <w:szCs w:val="20"/>
              </w:rPr>
              <w:t>96,9</w:t>
            </w:r>
          </w:p>
        </w:tc>
        <w:tc>
          <w:tcPr>
            <w:tcW w:w="958" w:type="dxa"/>
            <w:tcBorders>
              <w:top w:val="nil"/>
              <w:bottom w:val="nil"/>
              <w:right w:val="single" w:sz="4" w:space="0" w:color="auto"/>
            </w:tcBorders>
          </w:tcPr>
          <w:p w:rsidR="000151A5" w:rsidRPr="00826171" w:rsidRDefault="000151A5" w:rsidP="000151A5">
            <w:pPr>
              <w:tabs>
                <w:tab w:val="decimal" w:pos="451"/>
              </w:tabs>
              <w:spacing w:after="0"/>
              <w:ind w:firstLine="0"/>
              <w:rPr>
                <w:rFonts w:eastAsia="Arial Unicode MS"/>
                <w:i/>
                <w:sz w:val="20"/>
                <w:szCs w:val="20"/>
              </w:rPr>
            </w:pPr>
            <w:r w:rsidRPr="00826171">
              <w:rPr>
                <w:rFonts w:eastAsia="Times New Roman"/>
                <w:i/>
                <w:sz w:val="20"/>
                <w:szCs w:val="20"/>
              </w:rPr>
              <w:t>21,9</w:t>
            </w:r>
          </w:p>
        </w:tc>
      </w:tr>
      <w:tr w:rsidR="000151A5" w:rsidRPr="00AA1204" w:rsidTr="000151A5">
        <w:trPr>
          <w:cantSplit/>
          <w:jc w:val="center"/>
        </w:trPr>
        <w:tc>
          <w:tcPr>
            <w:tcW w:w="2977" w:type="dxa"/>
            <w:tcBorders>
              <w:top w:val="nil"/>
              <w:left w:val="single" w:sz="4" w:space="0" w:color="auto"/>
              <w:bottom w:val="nil"/>
            </w:tcBorders>
          </w:tcPr>
          <w:p w:rsidR="000151A5" w:rsidRPr="00AA1204" w:rsidRDefault="000151A5" w:rsidP="000151A5">
            <w:pPr>
              <w:spacing w:after="0"/>
              <w:ind w:firstLine="0"/>
              <w:rPr>
                <w:rFonts w:eastAsia="Times New Roman"/>
                <w:i/>
                <w:snapToGrid w:val="0"/>
                <w:sz w:val="20"/>
                <w:szCs w:val="20"/>
              </w:rPr>
            </w:pPr>
            <w:r w:rsidRPr="00AA1204">
              <w:rPr>
                <w:rFonts w:eastAsia="Times New Roman"/>
                <w:i/>
                <w:snapToGrid w:val="0"/>
                <w:sz w:val="20"/>
                <w:szCs w:val="20"/>
              </w:rPr>
              <w:t xml:space="preserve">  Valsts sociālās apdrošināša</w:t>
            </w:r>
            <w:r w:rsidRPr="00AA1204">
              <w:rPr>
                <w:rFonts w:eastAsia="Times New Roman"/>
                <w:i/>
                <w:snapToGrid w:val="0"/>
                <w:sz w:val="20"/>
                <w:szCs w:val="20"/>
              </w:rPr>
              <w:softHyphen/>
              <w:t>nas obligātās iemaksas, sociāla rakstura pabalsti un kompensācijas</w:t>
            </w:r>
          </w:p>
        </w:tc>
        <w:tc>
          <w:tcPr>
            <w:tcW w:w="992" w:type="dxa"/>
            <w:tcBorders>
              <w:top w:val="nil"/>
              <w:bottom w:val="nil"/>
            </w:tcBorders>
          </w:tcPr>
          <w:p w:rsidR="000151A5" w:rsidRPr="00FD1A0F" w:rsidRDefault="000151A5" w:rsidP="000151A5">
            <w:pPr>
              <w:tabs>
                <w:tab w:val="decimal" w:pos="794"/>
              </w:tabs>
              <w:spacing w:after="0"/>
              <w:ind w:firstLine="0"/>
              <w:rPr>
                <w:rFonts w:eastAsia="Arial Unicode MS"/>
                <w:i/>
                <w:sz w:val="20"/>
                <w:szCs w:val="20"/>
              </w:rPr>
            </w:pPr>
            <w:r w:rsidRPr="00FD1A0F">
              <w:rPr>
                <w:rFonts w:eastAsia="Arial Unicode MS"/>
                <w:i/>
                <w:sz w:val="20"/>
                <w:szCs w:val="20"/>
              </w:rPr>
              <w:t>24 777</w:t>
            </w:r>
          </w:p>
        </w:tc>
        <w:tc>
          <w:tcPr>
            <w:tcW w:w="993" w:type="dxa"/>
            <w:tcBorders>
              <w:top w:val="nil"/>
              <w:bottom w:val="nil"/>
            </w:tcBorders>
          </w:tcPr>
          <w:p w:rsidR="000151A5" w:rsidRPr="00CC2A5E" w:rsidRDefault="000151A5" w:rsidP="000151A5">
            <w:pPr>
              <w:tabs>
                <w:tab w:val="decimal" w:pos="794"/>
              </w:tabs>
              <w:spacing w:after="0"/>
              <w:ind w:firstLine="0"/>
              <w:rPr>
                <w:rFonts w:eastAsia="Arial Unicode MS"/>
                <w:i/>
                <w:sz w:val="20"/>
                <w:szCs w:val="20"/>
              </w:rPr>
            </w:pPr>
          </w:p>
        </w:tc>
        <w:tc>
          <w:tcPr>
            <w:tcW w:w="992" w:type="dxa"/>
            <w:tcBorders>
              <w:top w:val="nil"/>
              <w:bottom w:val="nil"/>
            </w:tcBorders>
          </w:tcPr>
          <w:p w:rsidR="000151A5" w:rsidRPr="00CC2A5E" w:rsidRDefault="000151A5" w:rsidP="000151A5">
            <w:pPr>
              <w:tabs>
                <w:tab w:val="decimal" w:pos="794"/>
              </w:tabs>
              <w:spacing w:after="0"/>
              <w:ind w:firstLine="0"/>
              <w:rPr>
                <w:rFonts w:eastAsia="Arial Unicode MS"/>
                <w:i/>
                <w:sz w:val="20"/>
                <w:szCs w:val="20"/>
              </w:rPr>
            </w:pPr>
            <w:r w:rsidRPr="00CC2A5E">
              <w:rPr>
                <w:rFonts w:eastAsia="Arial Unicode MS"/>
                <w:i/>
                <w:sz w:val="20"/>
                <w:szCs w:val="20"/>
              </w:rPr>
              <w:t>25 414</w:t>
            </w:r>
          </w:p>
        </w:tc>
        <w:tc>
          <w:tcPr>
            <w:tcW w:w="992" w:type="dxa"/>
            <w:tcBorders>
              <w:top w:val="nil"/>
              <w:bottom w:val="nil"/>
            </w:tcBorders>
          </w:tcPr>
          <w:p w:rsidR="000151A5" w:rsidRPr="00E44888" w:rsidRDefault="000151A5" w:rsidP="000151A5">
            <w:pPr>
              <w:tabs>
                <w:tab w:val="decimal" w:pos="794"/>
              </w:tabs>
              <w:spacing w:after="0"/>
              <w:ind w:firstLine="0"/>
              <w:rPr>
                <w:rFonts w:eastAsia="Arial Unicode MS"/>
                <w:i/>
                <w:sz w:val="20"/>
                <w:szCs w:val="20"/>
              </w:rPr>
            </w:pPr>
          </w:p>
        </w:tc>
        <w:tc>
          <w:tcPr>
            <w:tcW w:w="992" w:type="dxa"/>
            <w:tcBorders>
              <w:top w:val="nil"/>
              <w:bottom w:val="nil"/>
            </w:tcBorders>
          </w:tcPr>
          <w:p w:rsidR="000151A5" w:rsidRPr="00DC1B74" w:rsidRDefault="000151A5" w:rsidP="000151A5">
            <w:pPr>
              <w:tabs>
                <w:tab w:val="decimal" w:pos="512"/>
              </w:tabs>
              <w:spacing w:after="0"/>
              <w:ind w:firstLine="0"/>
              <w:rPr>
                <w:rFonts w:eastAsia="Times New Roman"/>
                <w:i/>
                <w:sz w:val="20"/>
                <w:szCs w:val="20"/>
              </w:rPr>
            </w:pPr>
            <w:r w:rsidRPr="00DC1B74">
              <w:rPr>
                <w:rFonts w:eastAsia="Times New Roman"/>
                <w:i/>
                <w:sz w:val="20"/>
                <w:szCs w:val="20"/>
              </w:rPr>
              <w:t>102,6</w:t>
            </w:r>
          </w:p>
        </w:tc>
        <w:tc>
          <w:tcPr>
            <w:tcW w:w="923" w:type="dxa"/>
            <w:tcBorders>
              <w:top w:val="nil"/>
              <w:bottom w:val="nil"/>
            </w:tcBorders>
          </w:tcPr>
          <w:p w:rsidR="000151A5" w:rsidRPr="00B407BA" w:rsidRDefault="000151A5" w:rsidP="000151A5">
            <w:pPr>
              <w:tabs>
                <w:tab w:val="decimal" w:pos="450"/>
              </w:tabs>
              <w:spacing w:after="0"/>
              <w:ind w:firstLine="0"/>
              <w:rPr>
                <w:rFonts w:eastAsia="Times New Roman"/>
                <w:i/>
                <w:sz w:val="20"/>
                <w:szCs w:val="20"/>
              </w:rPr>
            </w:pPr>
          </w:p>
        </w:tc>
        <w:tc>
          <w:tcPr>
            <w:tcW w:w="958" w:type="dxa"/>
            <w:tcBorders>
              <w:top w:val="nil"/>
              <w:bottom w:val="nil"/>
              <w:right w:val="single" w:sz="4" w:space="0" w:color="auto"/>
            </w:tcBorders>
          </w:tcPr>
          <w:p w:rsidR="000151A5" w:rsidRPr="00826171" w:rsidRDefault="000151A5" w:rsidP="000151A5">
            <w:pPr>
              <w:tabs>
                <w:tab w:val="decimal" w:pos="451"/>
              </w:tabs>
              <w:spacing w:after="0"/>
              <w:ind w:firstLine="0"/>
              <w:rPr>
                <w:rFonts w:eastAsia="Arial Unicode MS"/>
                <w:i/>
                <w:sz w:val="20"/>
                <w:szCs w:val="20"/>
              </w:rPr>
            </w:pPr>
          </w:p>
        </w:tc>
      </w:tr>
      <w:tr w:rsidR="000151A5" w:rsidRPr="00AA1204" w:rsidTr="000151A5">
        <w:trPr>
          <w:cantSplit/>
          <w:jc w:val="center"/>
        </w:trPr>
        <w:tc>
          <w:tcPr>
            <w:tcW w:w="2977" w:type="dxa"/>
            <w:tcBorders>
              <w:top w:val="nil"/>
              <w:left w:val="single" w:sz="4" w:space="0" w:color="auto"/>
              <w:bottom w:val="nil"/>
            </w:tcBorders>
          </w:tcPr>
          <w:p w:rsidR="000151A5" w:rsidRPr="00AA1204" w:rsidRDefault="000151A5" w:rsidP="000151A5">
            <w:pPr>
              <w:spacing w:after="0"/>
              <w:ind w:firstLine="0"/>
              <w:rPr>
                <w:rFonts w:eastAsia="Times New Roman"/>
                <w:snapToGrid w:val="0"/>
                <w:sz w:val="20"/>
                <w:szCs w:val="20"/>
              </w:rPr>
            </w:pPr>
            <w:r w:rsidRPr="00AA1204">
              <w:rPr>
                <w:rFonts w:eastAsia="Times New Roman"/>
                <w:snapToGrid w:val="0"/>
                <w:sz w:val="20"/>
                <w:szCs w:val="20"/>
              </w:rPr>
              <w:t xml:space="preserve"> Preces un pakalpojumi</w:t>
            </w:r>
          </w:p>
        </w:tc>
        <w:tc>
          <w:tcPr>
            <w:tcW w:w="992" w:type="dxa"/>
            <w:tcBorders>
              <w:top w:val="nil"/>
              <w:bottom w:val="nil"/>
            </w:tcBorders>
          </w:tcPr>
          <w:p w:rsidR="000151A5" w:rsidRPr="00FD1A0F" w:rsidRDefault="000151A5" w:rsidP="000151A5">
            <w:pPr>
              <w:tabs>
                <w:tab w:val="decimal" w:pos="794"/>
              </w:tabs>
              <w:spacing w:after="0"/>
              <w:ind w:firstLine="0"/>
              <w:rPr>
                <w:rFonts w:eastAsia="Arial Unicode MS"/>
                <w:sz w:val="20"/>
                <w:szCs w:val="20"/>
              </w:rPr>
            </w:pPr>
            <w:r w:rsidRPr="00FD1A0F">
              <w:rPr>
                <w:rFonts w:eastAsia="Arial Unicode MS"/>
                <w:sz w:val="20"/>
                <w:szCs w:val="20"/>
              </w:rPr>
              <w:t>81 154</w:t>
            </w:r>
          </w:p>
        </w:tc>
        <w:tc>
          <w:tcPr>
            <w:tcW w:w="993" w:type="dxa"/>
            <w:tcBorders>
              <w:top w:val="nil"/>
              <w:bottom w:val="nil"/>
            </w:tcBorders>
          </w:tcPr>
          <w:p w:rsidR="000151A5" w:rsidRPr="00AB22FB" w:rsidRDefault="000151A5" w:rsidP="000151A5">
            <w:pPr>
              <w:tabs>
                <w:tab w:val="decimal" w:pos="794"/>
              </w:tabs>
              <w:spacing w:after="0"/>
              <w:ind w:firstLine="0"/>
              <w:rPr>
                <w:rFonts w:eastAsia="Arial Unicode MS"/>
                <w:sz w:val="20"/>
                <w:szCs w:val="20"/>
              </w:rPr>
            </w:pPr>
            <w:r w:rsidRPr="00AB22FB">
              <w:rPr>
                <w:rFonts w:eastAsia="Arial Unicode MS"/>
                <w:sz w:val="20"/>
                <w:szCs w:val="20"/>
              </w:rPr>
              <w:t>84 989</w:t>
            </w:r>
          </w:p>
        </w:tc>
        <w:tc>
          <w:tcPr>
            <w:tcW w:w="992" w:type="dxa"/>
            <w:tcBorders>
              <w:top w:val="nil"/>
              <w:bottom w:val="nil"/>
            </w:tcBorders>
          </w:tcPr>
          <w:p w:rsidR="000151A5" w:rsidRPr="00AB22FB" w:rsidRDefault="000151A5" w:rsidP="000151A5">
            <w:pPr>
              <w:tabs>
                <w:tab w:val="decimal" w:pos="794"/>
              </w:tabs>
              <w:spacing w:after="0"/>
              <w:ind w:firstLine="0"/>
              <w:rPr>
                <w:rFonts w:eastAsia="Arial Unicode MS"/>
                <w:sz w:val="20"/>
                <w:szCs w:val="20"/>
              </w:rPr>
            </w:pPr>
            <w:r w:rsidRPr="00AB22FB">
              <w:rPr>
                <w:rFonts w:eastAsia="Arial Unicode MS"/>
                <w:sz w:val="20"/>
                <w:szCs w:val="20"/>
              </w:rPr>
              <w:t>79 839</w:t>
            </w:r>
          </w:p>
        </w:tc>
        <w:tc>
          <w:tcPr>
            <w:tcW w:w="992" w:type="dxa"/>
            <w:tcBorders>
              <w:top w:val="nil"/>
              <w:bottom w:val="nil"/>
            </w:tcBorders>
          </w:tcPr>
          <w:p w:rsidR="000151A5" w:rsidRPr="00E44888" w:rsidRDefault="000151A5" w:rsidP="000151A5">
            <w:pPr>
              <w:tabs>
                <w:tab w:val="decimal" w:pos="794"/>
              </w:tabs>
              <w:spacing w:after="0"/>
              <w:ind w:firstLine="0"/>
              <w:rPr>
                <w:rFonts w:eastAsia="Arial Unicode MS"/>
                <w:sz w:val="20"/>
                <w:szCs w:val="20"/>
              </w:rPr>
            </w:pPr>
            <w:r w:rsidRPr="00E44888">
              <w:rPr>
                <w:rFonts w:eastAsia="Times New Roman"/>
                <w:sz w:val="20"/>
                <w:szCs w:val="20"/>
              </w:rPr>
              <w:t> 354 037</w:t>
            </w:r>
          </w:p>
        </w:tc>
        <w:tc>
          <w:tcPr>
            <w:tcW w:w="992" w:type="dxa"/>
            <w:tcBorders>
              <w:top w:val="nil"/>
              <w:bottom w:val="nil"/>
            </w:tcBorders>
          </w:tcPr>
          <w:p w:rsidR="000151A5" w:rsidRPr="00DC1B74" w:rsidRDefault="000151A5" w:rsidP="000151A5">
            <w:pPr>
              <w:tabs>
                <w:tab w:val="decimal" w:pos="512"/>
              </w:tabs>
              <w:spacing w:after="0"/>
              <w:ind w:firstLine="0"/>
              <w:rPr>
                <w:rFonts w:eastAsia="Times New Roman"/>
                <w:sz w:val="20"/>
                <w:szCs w:val="20"/>
              </w:rPr>
            </w:pPr>
            <w:r w:rsidRPr="00DC1B74">
              <w:rPr>
                <w:rFonts w:eastAsia="Times New Roman"/>
                <w:sz w:val="20"/>
                <w:szCs w:val="20"/>
              </w:rPr>
              <w:t>98,4</w:t>
            </w:r>
          </w:p>
        </w:tc>
        <w:tc>
          <w:tcPr>
            <w:tcW w:w="923" w:type="dxa"/>
            <w:tcBorders>
              <w:top w:val="nil"/>
              <w:bottom w:val="nil"/>
            </w:tcBorders>
          </w:tcPr>
          <w:p w:rsidR="000151A5" w:rsidRPr="00B407BA" w:rsidRDefault="000151A5" w:rsidP="000151A5">
            <w:pPr>
              <w:tabs>
                <w:tab w:val="decimal" w:pos="450"/>
              </w:tabs>
              <w:spacing w:after="0"/>
              <w:ind w:firstLine="0"/>
              <w:rPr>
                <w:rFonts w:eastAsia="Times New Roman"/>
                <w:sz w:val="20"/>
                <w:szCs w:val="20"/>
              </w:rPr>
            </w:pPr>
            <w:r w:rsidRPr="00B407BA">
              <w:rPr>
                <w:rFonts w:eastAsia="Times New Roman"/>
                <w:sz w:val="20"/>
                <w:szCs w:val="20"/>
              </w:rPr>
              <w:t>93,9</w:t>
            </w:r>
          </w:p>
        </w:tc>
        <w:tc>
          <w:tcPr>
            <w:tcW w:w="958" w:type="dxa"/>
            <w:tcBorders>
              <w:top w:val="nil"/>
              <w:bottom w:val="nil"/>
              <w:right w:val="single" w:sz="4" w:space="0" w:color="auto"/>
            </w:tcBorders>
          </w:tcPr>
          <w:p w:rsidR="000151A5" w:rsidRPr="00826171" w:rsidRDefault="000151A5" w:rsidP="000151A5">
            <w:pPr>
              <w:tabs>
                <w:tab w:val="decimal" w:pos="451"/>
              </w:tabs>
              <w:spacing w:after="0"/>
              <w:ind w:firstLine="0"/>
              <w:rPr>
                <w:rFonts w:eastAsia="Arial Unicode MS"/>
                <w:sz w:val="20"/>
                <w:szCs w:val="20"/>
              </w:rPr>
            </w:pPr>
            <w:r w:rsidRPr="00826171">
              <w:rPr>
                <w:rFonts w:eastAsia="Times New Roman"/>
                <w:sz w:val="20"/>
                <w:szCs w:val="20"/>
              </w:rPr>
              <w:t>22,6 </w:t>
            </w:r>
          </w:p>
        </w:tc>
      </w:tr>
      <w:tr w:rsidR="000151A5" w:rsidRPr="00AA1204" w:rsidTr="000151A5">
        <w:trPr>
          <w:cantSplit/>
          <w:jc w:val="center"/>
        </w:trPr>
        <w:tc>
          <w:tcPr>
            <w:tcW w:w="2977" w:type="dxa"/>
            <w:tcBorders>
              <w:left w:val="single" w:sz="4" w:space="0" w:color="auto"/>
              <w:bottom w:val="nil"/>
            </w:tcBorders>
          </w:tcPr>
          <w:p w:rsidR="000151A5" w:rsidRPr="00AA1204" w:rsidRDefault="000151A5" w:rsidP="000151A5">
            <w:pPr>
              <w:spacing w:after="0"/>
              <w:ind w:firstLine="0"/>
              <w:rPr>
                <w:rFonts w:eastAsia="Times New Roman"/>
                <w:b/>
                <w:i/>
                <w:snapToGrid w:val="0"/>
                <w:sz w:val="20"/>
                <w:szCs w:val="20"/>
              </w:rPr>
            </w:pPr>
            <w:r w:rsidRPr="00AA1204">
              <w:rPr>
                <w:rFonts w:eastAsia="Times New Roman"/>
                <w:b/>
                <w:snapToGrid w:val="0"/>
                <w:sz w:val="20"/>
                <w:szCs w:val="20"/>
              </w:rPr>
              <w:t>Procentu  izdevumi</w:t>
            </w:r>
          </w:p>
          <w:p w:rsidR="000151A5" w:rsidRPr="00AA1204" w:rsidRDefault="000151A5" w:rsidP="000151A5">
            <w:pPr>
              <w:spacing w:after="0"/>
              <w:ind w:firstLine="0"/>
              <w:rPr>
                <w:rFonts w:eastAsia="Times New Roman"/>
                <w:i/>
                <w:snapToGrid w:val="0"/>
                <w:sz w:val="20"/>
                <w:szCs w:val="20"/>
              </w:rPr>
            </w:pPr>
            <w:r w:rsidRPr="00AA1204">
              <w:rPr>
                <w:rFonts w:eastAsia="Times New Roman"/>
                <w:i/>
                <w:snapToGrid w:val="0"/>
                <w:sz w:val="20"/>
                <w:szCs w:val="20"/>
              </w:rPr>
              <w:t xml:space="preserve">  Procentu maksājumi ārvalstu un starptautiskajām finanšu institūcijām</w:t>
            </w:r>
          </w:p>
        </w:tc>
        <w:tc>
          <w:tcPr>
            <w:tcW w:w="992" w:type="dxa"/>
            <w:tcBorders>
              <w:bottom w:val="nil"/>
            </w:tcBorders>
          </w:tcPr>
          <w:p w:rsidR="000151A5" w:rsidRPr="00FD1A0F" w:rsidRDefault="000151A5" w:rsidP="000151A5">
            <w:pPr>
              <w:tabs>
                <w:tab w:val="decimal" w:pos="794"/>
              </w:tabs>
              <w:spacing w:after="0"/>
              <w:ind w:firstLine="0"/>
              <w:rPr>
                <w:rFonts w:eastAsia="Times New Roman"/>
                <w:b/>
                <w:i/>
                <w:sz w:val="20"/>
                <w:szCs w:val="20"/>
              </w:rPr>
            </w:pPr>
            <w:r w:rsidRPr="00FD1A0F">
              <w:rPr>
                <w:rFonts w:eastAsia="Times New Roman"/>
                <w:b/>
                <w:sz w:val="20"/>
                <w:szCs w:val="20"/>
              </w:rPr>
              <w:t>93 325</w:t>
            </w:r>
          </w:p>
          <w:p w:rsidR="000151A5" w:rsidRPr="00FD1A0F" w:rsidRDefault="000151A5" w:rsidP="000151A5">
            <w:pPr>
              <w:tabs>
                <w:tab w:val="decimal" w:pos="794"/>
              </w:tabs>
              <w:spacing w:after="0"/>
              <w:ind w:firstLine="0"/>
              <w:rPr>
                <w:rFonts w:eastAsia="Arial Unicode MS"/>
                <w:i/>
                <w:sz w:val="20"/>
                <w:szCs w:val="20"/>
              </w:rPr>
            </w:pPr>
            <w:r w:rsidRPr="00FD1A0F">
              <w:rPr>
                <w:rFonts w:eastAsia="Times New Roman"/>
                <w:i/>
                <w:sz w:val="20"/>
                <w:szCs w:val="20"/>
              </w:rPr>
              <w:t>74 732</w:t>
            </w:r>
          </w:p>
        </w:tc>
        <w:tc>
          <w:tcPr>
            <w:tcW w:w="993" w:type="dxa"/>
            <w:tcBorders>
              <w:bottom w:val="nil"/>
            </w:tcBorders>
          </w:tcPr>
          <w:p w:rsidR="000151A5" w:rsidRPr="00336D0E" w:rsidRDefault="000151A5" w:rsidP="000151A5">
            <w:pPr>
              <w:tabs>
                <w:tab w:val="decimal" w:pos="794"/>
              </w:tabs>
              <w:spacing w:after="0"/>
              <w:ind w:firstLine="0"/>
              <w:rPr>
                <w:rFonts w:eastAsia="Times New Roman"/>
                <w:b/>
                <w:sz w:val="20"/>
                <w:szCs w:val="20"/>
              </w:rPr>
            </w:pPr>
            <w:r w:rsidRPr="00336D0E">
              <w:rPr>
                <w:rFonts w:eastAsia="Times New Roman"/>
                <w:b/>
                <w:sz w:val="20"/>
                <w:szCs w:val="20"/>
              </w:rPr>
              <w:t>93 296</w:t>
            </w:r>
          </w:p>
        </w:tc>
        <w:tc>
          <w:tcPr>
            <w:tcW w:w="992" w:type="dxa"/>
            <w:tcBorders>
              <w:bottom w:val="nil"/>
            </w:tcBorders>
          </w:tcPr>
          <w:p w:rsidR="000151A5" w:rsidRPr="00336D0E" w:rsidRDefault="000151A5" w:rsidP="000151A5">
            <w:pPr>
              <w:tabs>
                <w:tab w:val="decimal" w:pos="794"/>
              </w:tabs>
              <w:spacing w:after="0"/>
              <w:ind w:firstLine="0"/>
              <w:rPr>
                <w:rFonts w:eastAsia="Times New Roman"/>
                <w:b/>
                <w:i/>
                <w:sz w:val="20"/>
                <w:szCs w:val="20"/>
              </w:rPr>
            </w:pPr>
            <w:r w:rsidRPr="00336D0E">
              <w:rPr>
                <w:rFonts w:eastAsia="Times New Roman"/>
                <w:b/>
                <w:sz w:val="20"/>
                <w:szCs w:val="20"/>
              </w:rPr>
              <w:t>93 276</w:t>
            </w:r>
          </w:p>
          <w:p w:rsidR="000151A5" w:rsidRPr="00336D0E" w:rsidRDefault="000151A5" w:rsidP="000151A5">
            <w:pPr>
              <w:tabs>
                <w:tab w:val="decimal" w:pos="794"/>
              </w:tabs>
              <w:spacing w:after="0"/>
              <w:ind w:firstLine="0"/>
              <w:rPr>
                <w:rFonts w:eastAsia="Arial Unicode MS"/>
                <w:i/>
                <w:sz w:val="20"/>
                <w:szCs w:val="20"/>
              </w:rPr>
            </w:pPr>
            <w:r w:rsidRPr="00336D0E">
              <w:rPr>
                <w:rFonts w:eastAsia="Times New Roman"/>
                <w:i/>
                <w:sz w:val="20"/>
                <w:szCs w:val="20"/>
              </w:rPr>
              <w:t>74 677</w:t>
            </w:r>
          </w:p>
        </w:tc>
        <w:tc>
          <w:tcPr>
            <w:tcW w:w="992" w:type="dxa"/>
            <w:tcBorders>
              <w:bottom w:val="nil"/>
            </w:tcBorders>
          </w:tcPr>
          <w:p w:rsidR="000151A5" w:rsidRPr="00E44888" w:rsidRDefault="000151A5" w:rsidP="000151A5">
            <w:pPr>
              <w:tabs>
                <w:tab w:val="decimal" w:pos="794"/>
              </w:tabs>
              <w:spacing w:after="0"/>
              <w:ind w:firstLine="0"/>
              <w:rPr>
                <w:rFonts w:eastAsia="Times New Roman"/>
                <w:b/>
                <w:i/>
                <w:sz w:val="20"/>
                <w:szCs w:val="20"/>
              </w:rPr>
            </w:pPr>
            <w:r w:rsidRPr="00E44888">
              <w:rPr>
                <w:rFonts w:eastAsia="Times New Roman"/>
                <w:b/>
                <w:sz w:val="20"/>
                <w:szCs w:val="20"/>
              </w:rPr>
              <w:t>233 125</w:t>
            </w:r>
          </w:p>
          <w:p w:rsidR="000151A5" w:rsidRPr="00E44888" w:rsidRDefault="000151A5" w:rsidP="000151A5">
            <w:pPr>
              <w:tabs>
                <w:tab w:val="decimal" w:pos="794"/>
              </w:tabs>
              <w:spacing w:after="0"/>
              <w:ind w:firstLine="0"/>
              <w:rPr>
                <w:rFonts w:eastAsia="Arial Unicode MS"/>
                <w:i/>
                <w:sz w:val="20"/>
                <w:szCs w:val="20"/>
              </w:rPr>
            </w:pPr>
          </w:p>
        </w:tc>
        <w:tc>
          <w:tcPr>
            <w:tcW w:w="992" w:type="dxa"/>
            <w:tcBorders>
              <w:bottom w:val="nil"/>
            </w:tcBorders>
          </w:tcPr>
          <w:p w:rsidR="000151A5" w:rsidRPr="00DC1B74" w:rsidRDefault="000151A5" w:rsidP="000151A5">
            <w:pPr>
              <w:tabs>
                <w:tab w:val="decimal" w:pos="512"/>
              </w:tabs>
              <w:spacing w:after="0"/>
              <w:ind w:firstLine="0"/>
              <w:rPr>
                <w:rFonts w:eastAsia="Times New Roman"/>
                <w:b/>
                <w:sz w:val="20"/>
                <w:szCs w:val="20"/>
              </w:rPr>
            </w:pPr>
            <w:r w:rsidRPr="00DC1B74">
              <w:rPr>
                <w:rFonts w:eastAsia="Times New Roman"/>
                <w:b/>
                <w:sz w:val="20"/>
                <w:szCs w:val="20"/>
              </w:rPr>
              <w:t>99,9</w:t>
            </w:r>
          </w:p>
          <w:p w:rsidR="000151A5" w:rsidRPr="00DC1B74" w:rsidRDefault="000151A5" w:rsidP="000151A5">
            <w:pPr>
              <w:tabs>
                <w:tab w:val="decimal" w:pos="512"/>
              </w:tabs>
              <w:spacing w:after="0"/>
              <w:ind w:firstLine="0"/>
              <w:rPr>
                <w:rFonts w:eastAsia="Times New Roman"/>
                <w:i/>
                <w:sz w:val="20"/>
                <w:szCs w:val="20"/>
              </w:rPr>
            </w:pPr>
            <w:r w:rsidRPr="00DC1B74">
              <w:rPr>
                <w:rFonts w:eastAsia="Times New Roman"/>
                <w:i/>
                <w:sz w:val="20"/>
                <w:szCs w:val="20"/>
              </w:rPr>
              <w:t>99,9</w:t>
            </w:r>
          </w:p>
        </w:tc>
        <w:tc>
          <w:tcPr>
            <w:tcW w:w="923" w:type="dxa"/>
            <w:tcBorders>
              <w:bottom w:val="nil"/>
            </w:tcBorders>
          </w:tcPr>
          <w:p w:rsidR="000151A5" w:rsidRPr="00B407BA" w:rsidRDefault="000151A5" w:rsidP="000151A5">
            <w:pPr>
              <w:tabs>
                <w:tab w:val="decimal" w:pos="450"/>
              </w:tabs>
              <w:spacing w:after="0"/>
              <w:ind w:firstLine="0"/>
              <w:rPr>
                <w:rFonts w:eastAsia="Times New Roman"/>
                <w:b/>
                <w:i/>
                <w:sz w:val="20"/>
                <w:szCs w:val="20"/>
              </w:rPr>
            </w:pPr>
            <w:r w:rsidRPr="00B407BA">
              <w:rPr>
                <w:rFonts w:eastAsia="Times New Roman"/>
                <w:b/>
                <w:sz w:val="20"/>
                <w:szCs w:val="20"/>
              </w:rPr>
              <w:t>100,0</w:t>
            </w:r>
          </w:p>
        </w:tc>
        <w:tc>
          <w:tcPr>
            <w:tcW w:w="958" w:type="dxa"/>
            <w:tcBorders>
              <w:bottom w:val="nil"/>
              <w:right w:val="single" w:sz="4" w:space="0" w:color="auto"/>
            </w:tcBorders>
          </w:tcPr>
          <w:p w:rsidR="000151A5" w:rsidRPr="00826171" w:rsidRDefault="000151A5" w:rsidP="000151A5">
            <w:pPr>
              <w:tabs>
                <w:tab w:val="decimal" w:pos="451"/>
              </w:tabs>
              <w:spacing w:after="0"/>
              <w:ind w:firstLine="0"/>
              <w:rPr>
                <w:rFonts w:eastAsia="Times New Roman"/>
                <w:b/>
                <w:i/>
                <w:sz w:val="20"/>
                <w:szCs w:val="20"/>
              </w:rPr>
            </w:pPr>
            <w:r w:rsidRPr="00826171">
              <w:rPr>
                <w:rFonts w:eastAsia="Times New Roman"/>
                <w:b/>
                <w:sz w:val="20"/>
                <w:szCs w:val="20"/>
              </w:rPr>
              <w:t>41,6</w:t>
            </w:r>
          </w:p>
          <w:p w:rsidR="000151A5" w:rsidRPr="00826171" w:rsidRDefault="000151A5" w:rsidP="000151A5">
            <w:pPr>
              <w:tabs>
                <w:tab w:val="decimal" w:pos="451"/>
              </w:tabs>
              <w:spacing w:after="0"/>
              <w:ind w:firstLine="0"/>
              <w:rPr>
                <w:rFonts w:eastAsia="Arial Unicode MS"/>
                <w:i/>
                <w:sz w:val="20"/>
                <w:szCs w:val="20"/>
              </w:rPr>
            </w:pPr>
          </w:p>
        </w:tc>
      </w:tr>
      <w:tr w:rsidR="000151A5" w:rsidRPr="00AA1204" w:rsidTr="000151A5">
        <w:trPr>
          <w:cantSplit/>
          <w:jc w:val="center"/>
        </w:trPr>
        <w:tc>
          <w:tcPr>
            <w:tcW w:w="2977" w:type="dxa"/>
            <w:tcBorders>
              <w:top w:val="nil"/>
              <w:left w:val="single" w:sz="4" w:space="0" w:color="auto"/>
              <w:bottom w:val="nil"/>
            </w:tcBorders>
          </w:tcPr>
          <w:p w:rsidR="000151A5" w:rsidRPr="00AA1204" w:rsidRDefault="000151A5" w:rsidP="000151A5">
            <w:pPr>
              <w:spacing w:after="0"/>
              <w:ind w:firstLine="0"/>
              <w:rPr>
                <w:rFonts w:eastAsia="Times New Roman"/>
                <w:i/>
                <w:snapToGrid w:val="0"/>
                <w:sz w:val="20"/>
                <w:szCs w:val="20"/>
              </w:rPr>
            </w:pPr>
            <w:r w:rsidRPr="00AA1204">
              <w:rPr>
                <w:rFonts w:eastAsia="Times New Roman"/>
                <w:i/>
                <w:snapToGrid w:val="0"/>
                <w:sz w:val="20"/>
                <w:szCs w:val="20"/>
              </w:rPr>
              <w:t xml:space="preserve">   Procentu maksājumi iekšzemes kredītiestādēm </w:t>
            </w:r>
          </w:p>
        </w:tc>
        <w:tc>
          <w:tcPr>
            <w:tcW w:w="992" w:type="dxa"/>
            <w:tcBorders>
              <w:top w:val="nil"/>
              <w:bottom w:val="nil"/>
            </w:tcBorders>
          </w:tcPr>
          <w:p w:rsidR="000151A5" w:rsidRPr="00FD1A0F" w:rsidRDefault="000151A5" w:rsidP="000151A5">
            <w:pPr>
              <w:tabs>
                <w:tab w:val="decimal" w:pos="794"/>
              </w:tabs>
              <w:spacing w:after="0"/>
              <w:ind w:firstLine="0"/>
              <w:rPr>
                <w:rFonts w:eastAsia="Arial Unicode MS"/>
                <w:i/>
                <w:sz w:val="20"/>
                <w:szCs w:val="20"/>
              </w:rPr>
            </w:pPr>
            <w:r w:rsidRPr="00FD1A0F">
              <w:rPr>
                <w:rFonts w:eastAsia="Arial Unicode MS"/>
                <w:i/>
                <w:sz w:val="20"/>
                <w:szCs w:val="20"/>
              </w:rPr>
              <w:t>16 932</w:t>
            </w:r>
          </w:p>
        </w:tc>
        <w:tc>
          <w:tcPr>
            <w:tcW w:w="993" w:type="dxa"/>
            <w:tcBorders>
              <w:top w:val="nil"/>
              <w:bottom w:val="nil"/>
            </w:tcBorders>
          </w:tcPr>
          <w:p w:rsidR="000151A5" w:rsidRPr="00336D0E" w:rsidRDefault="000151A5" w:rsidP="000151A5">
            <w:pPr>
              <w:tabs>
                <w:tab w:val="decimal" w:pos="794"/>
              </w:tabs>
              <w:spacing w:after="0"/>
              <w:ind w:firstLine="0"/>
              <w:rPr>
                <w:rFonts w:eastAsia="Arial Unicode MS"/>
                <w:i/>
                <w:sz w:val="20"/>
                <w:szCs w:val="20"/>
              </w:rPr>
            </w:pPr>
          </w:p>
        </w:tc>
        <w:tc>
          <w:tcPr>
            <w:tcW w:w="992" w:type="dxa"/>
            <w:tcBorders>
              <w:top w:val="nil"/>
              <w:bottom w:val="nil"/>
            </w:tcBorders>
          </w:tcPr>
          <w:p w:rsidR="000151A5" w:rsidRPr="00336D0E" w:rsidRDefault="000151A5" w:rsidP="000151A5">
            <w:pPr>
              <w:tabs>
                <w:tab w:val="decimal" w:pos="794"/>
              </w:tabs>
              <w:spacing w:after="0"/>
              <w:ind w:firstLine="0"/>
              <w:rPr>
                <w:rFonts w:eastAsia="Arial Unicode MS"/>
                <w:i/>
                <w:sz w:val="20"/>
                <w:szCs w:val="20"/>
              </w:rPr>
            </w:pPr>
            <w:r w:rsidRPr="00336D0E">
              <w:rPr>
                <w:rFonts w:eastAsia="Arial Unicode MS"/>
                <w:i/>
                <w:sz w:val="20"/>
                <w:szCs w:val="20"/>
              </w:rPr>
              <w:t>17 659</w:t>
            </w:r>
          </w:p>
        </w:tc>
        <w:tc>
          <w:tcPr>
            <w:tcW w:w="992" w:type="dxa"/>
            <w:tcBorders>
              <w:top w:val="nil"/>
              <w:bottom w:val="nil"/>
            </w:tcBorders>
          </w:tcPr>
          <w:p w:rsidR="000151A5" w:rsidRPr="00E44888" w:rsidRDefault="000151A5" w:rsidP="000151A5">
            <w:pPr>
              <w:tabs>
                <w:tab w:val="decimal" w:pos="794"/>
              </w:tabs>
              <w:spacing w:after="0"/>
              <w:ind w:firstLine="0"/>
              <w:rPr>
                <w:rFonts w:eastAsia="Arial Unicode MS"/>
                <w:i/>
                <w:sz w:val="20"/>
                <w:szCs w:val="20"/>
              </w:rPr>
            </w:pPr>
            <w:r w:rsidRPr="00E44888">
              <w:rPr>
                <w:rFonts w:eastAsia="Times New Roman"/>
                <w:i/>
                <w:sz w:val="20"/>
                <w:szCs w:val="20"/>
              </w:rPr>
              <w:t> </w:t>
            </w:r>
          </w:p>
        </w:tc>
        <w:tc>
          <w:tcPr>
            <w:tcW w:w="992" w:type="dxa"/>
            <w:tcBorders>
              <w:top w:val="nil"/>
              <w:bottom w:val="nil"/>
            </w:tcBorders>
          </w:tcPr>
          <w:p w:rsidR="000151A5" w:rsidRPr="00DC1B74" w:rsidRDefault="000151A5" w:rsidP="000151A5">
            <w:pPr>
              <w:tabs>
                <w:tab w:val="decimal" w:pos="512"/>
              </w:tabs>
              <w:spacing w:after="0"/>
              <w:ind w:firstLine="0"/>
              <w:rPr>
                <w:rFonts w:eastAsia="Times New Roman"/>
                <w:i/>
                <w:sz w:val="20"/>
                <w:szCs w:val="20"/>
              </w:rPr>
            </w:pPr>
            <w:r w:rsidRPr="00DC1B74">
              <w:rPr>
                <w:rFonts w:eastAsia="Times New Roman"/>
                <w:i/>
                <w:sz w:val="20"/>
                <w:szCs w:val="20"/>
              </w:rPr>
              <w:t>104,3</w:t>
            </w:r>
          </w:p>
        </w:tc>
        <w:tc>
          <w:tcPr>
            <w:tcW w:w="923" w:type="dxa"/>
            <w:tcBorders>
              <w:top w:val="nil"/>
              <w:bottom w:val="nil"/>
            </w:tcBorders>
          </w:tcPr>
          <w:p w:rsidR="000151A5" w:rsidRPr="00AA1204" w:rsidRDefault="000151A5" w:rsidP="000151A5">
            <w:pPr>
              <w:tabs>
                <w:tab w:val="decimal" w:pos="450"/>
              </w:tabs>
              <w:spacing w:after="0"/>
              <w:ind w:firstLine="0"/>
              <w:rPr>
                <w:rFonts w:eastAsia="Times New Roman"/>
                <w:i/>
                <w:sz w:val="20"/>
                <w:szCs w:val="20"/>
                <w:highlight w:val="yellow"/>
              </w:rPr>
            </w:pPr>
          </w:p>
        </w:tc>
        <w:tc>
          <w:tcPr>
            <w:tcW w:w="958" w:type="dxa"/>
            <w:tcBorders>
              <w:top w:val="nil"/>
              <w:bottom w:val="nil"/>
              <w:right w:val="single" w:sz="4" w:space="0" w:color="auto"/>
            </w:tcBorders>
          </w:tcPr>
          <w:p w:rsidR="000151A5" w:rsidRPr="00826171" w:rsidRDefault="000151A5" w:rsidP="000151A5">
            <w:pPr>
              <w:tabs>
                <w:tab w:val="decimal" w:pos="451"/>
              </w:tabs>
              <w:spacing w:after="0"/>
              <w:ind w:firstLine="0"/>
              <w:rPr>
                <w:rFonts w:eastAsia="Arial Unicode MS"/>
                <w:i/>
                <w:sz w:val="20"/>
                <w:szCs w:val="20"/>
              </w:rPr>
            </w:pPr>
            <w:r w:rsidRPr="00826171">
              <w:rPr>
                <w:rFonts w:eastAsia="Times New Roman"/>
                <w:i/>
                <w:sz w:val="20"/>
                <w:szCs w:val="20"/>
              </w:rPr>
              <w:t> </w:t>
            </w:r>
          </w:p>
        </w:tc>
      </w:tr>
      <w:tr w:rsidR="000151A5" w:rsidRPr="00AA1204" w:rsidTr="000151A5">
        <w:trPr>
          <w:cantSplit/>
          <w:jc w:val="center"/>
        </w:trPr>
        <w:tc>
          <w:tcPr>
            <w:tcW w:w="2977" w:type="dxa"/>
            <w:tcBorders>
              <w:top w:val="nil"/>
              <w:left w:val="single" w:sz="4" w:space="0" w:color="auto"/>
              <w:bottom w:val="nil"/>
            </w:tcBorders>
          </w:tcPr>
          <w:p w:rsidR="000151A5" w:rsidRPr="00AA1204" w:rsidRDefault="000151A5" w:rsidP="000151A5">
            <w:pPr>
              <w:spacing w:after="0"/>
              <w:ind w:firstLine="0"/>
              <w:rPr>
                <w:rFonts w:eastAsia="Times New Roman"/>
                <w:i/>
                <w:snapToGrid w:val="0"/>
                <w:sz w:val="20"/>
                <w:szCs w:val="20"/>
              </w:rPr>
            </w:pPr>
            <w:r w:rsidRPr="00AA1204">
              <w:rPr>
                <w:rFonts w:eastAsia="Times New Roman"/>
                <w:i/>
                <w:snapToGrid w:val="0"/>
                <w:sz w:val="20"/>
                <w:szCs w:val="20"/>
              </w:rPr>
              <w:t xml:space="preserve">   Pārējie procentu maksājumi</w:t>
            </w:r>
          </w:p>
        </w:tc>
        <w:tc>
          <w:tcPr>
            <w:tcW w:w="992" w:type="dxa"/>
            <w:tcBorders>
              <w:top w:val="nil"/>
              <w:bottom w:val="nil"/>
            </w:tcBorders>
          </w:tcPr>
          <w:p w:rsidR="000151A5" w:rsidRPr="00FD1A0F" w:rsidRDefault="000151A5" w:rsidP="000151A5">
            <w:pPr>
              <w:tabs>
                <w:tab w:val="decimal" w:pos="794"/>
              </w:tabs>
              <w:spacing w:after="0"/>
              <w:ind w:firstLine="0"/>
              <w:rPr>
                <w:rFonts w:eastAsia="Arial Unicode MS"/>
                <w:i/>
                <w:sz w:val="20"/>
                <w:szCs w:val="20"/>
              </w:rPr>
            </w:pPr>
            <w:r w:rsidRPr="00FD1A0F">
              <w:rPr>
                <w:rFonts w:eastAsia="Arial Unicode MS"/>
                <w:i/>
                <w:sz w:val="20"/>
                <w:szCs w:val="20"/>
              </w:rPr>
              <w:t>1 661</w:t>
            </w:r>
          </w:p>
        </w:tc>
        <w:tc>
          <w:tcPr>
            <w:tcW w:w="993" w:type="dxa"/>
            <w:tcBorders>
              <w:top w:val="nil"/>
              <w:bottom w:val="nil"/>
            </w:tcBorders>
          </w:tcPr>
          <w:p w:rsidR="000151A5" w:rsidRPr="00336D0E" w:rsidRDefault="000151A5" w:rsidP="000151A5">
            <w:pPr>
              <w:tabs>
                <w:tab w:val="decimal" w:pos="794"/>
              </w:tabs>
              <w:spacing w:after="0"/>
              <w:ind w:firstLine="0"/>
              <w:rPr>
                <w:rFonts w:eastAsia="Arial Unicode MS"/>
                <w:i/>
                <w:sz w:val="20"/>
                <w:szCs w:val="20"/>
              </w:rPr>
            </w:pPr>
          </w:p>
        </w:tc>
        <w:tc>
          <w:tcPr>
            <w:tcW w:w="992" w:type="dxa"/>
            <w:tcBorders>
              <w:top w:val="nil"/>
              <w:bottom w:val="nil"/>
            </w:tcBorders>
          </w:tcPr>
          <w:p w:rsidR="000151A5" w:rsidRPr="00336D0E" w:rsidRDefault="000151A5" w:rsidP="000151A5">
            <w:pPr>
              <w:tabs>
                <w:tab w:val="decimal" w:pos="794"/>
              </w:tabs>
              <w:spacing w:after="0"/>
              <w:ind w:firstLine="0"/>
              <w:rPr>
                <w:rFonts w:eastAsia="Arial Unicode MS"/>
                <w:i/>
                <w:sz w:val="20"/>
                <w:szCs w:val="20"/>
              </w:rPr>
            </w:pPr>
            <w:r w:rsidRPr="00336D0E">
              <w:rPr>
                <w:rFonts w:eastAsia="Arial Unicode MS"/>
                <w:i/>
                <w:sz w:val="20"/>
                <w:szCs w:val="20"/>
              </w:rPr>
              <w:t>940</w:t>
            </w:r>
          </w:p>
        </w:tc>
        <w:tc>
          <w:tcPr>
            <w:tcW w:w="992" w:type="dxa"/>
            <w:tcBorders>
              <w:top w:val="nil"/>
              <w:bottom w:val="nil"/>
            </w:tcBorders>
          </w:tcPr>
          <w:p w:rsidR="000151A5" w:rsidRPr="00E44888" w:rsidRDefault="000151A5" w:rsidP="000151A5">
            <w:pPr>
              <w:tabs>
                <w:tab w:val="decimal" w:pos="794"/>
              </w:tabs>
              <w:spacing w:after="0"/>
              <w:ind w:firstLine="0"/>
              <w:rPr>
                <w:rFonts w:eastAsia="Arial Unicode MS"/>
                <w:i/>
                <w:sz w:val="20"/>
                <w:szCs w:val="20"/>
              </w:rPr>
            </w:pPr>
            <w:r w:rsidRPr="00E44888">
              <w:rPr>
                <w:rFonts w:eastAsia="Times New Roman"/>
                <w:i/>
                <w:sz w:val="20"/>
                <w:szCs w:val="20"/>
              </w:rPr>
              <w:t> </w:t>
            </w:r>
          </w:p>
        </w:tc>
        <w:tc>
          <w:tcPr>
            <w:tcW w:w="992" w:type="dxa"/>
            <w:tcBorders>
              <w:top w:val="nil"/>
              <w:bottom w:val="nil"/>
            </w:tcBorders>
          </w:tcPr>
          <w:p w:rsidR="000151A5" w:rsidRPr="00DC1B74" w:rsidRDefault="000151A5" w:rsidP="000151A5">
            <w:pPr>
              <w:tabs>
                <w:tab w:val="decimal" w:pos="512"/>
              </w:tabs>
              <w:spacing w:after="0"/>
              <w:ind w:firstLine="0"/>
              <w:rPr>
                <w:rFonts w:eastAsia="Times New Roman"/>
                <w:i/>
                <w:sz w:val="20"/>
                <w:szCs w:val="20"/>
              </w:rPr>
            </w:pPr>
            <w:r w:rsidRPr="00DC1B74">
              <w:rPr>
                <w:rFonts w:eastAsia="Times New Roman"/>
                <w:i/>
                <w:sz w:val="20"/>
                <w:szCs w:val="20"/>
              </w:rPr>
              <w:t>56,6</w:t>
            </w:r>
          </w:p>
        </w:tc>
        <w:tc>
          <w:tcPr>
            <w:tcW w:w="923" w:type="dxa"/>
            <w:tcBorders>
              <w:top w:val="nil"/>
              <w:bottom w:val="nil"/>
            </w:tcBorders>
          </w:tcPr>
          <w:p w:rsidR="000151A5" w:rsidRPr="00AA1204" w:rsidRDefault="000151A5" w:rsidP="000151A5">
            <w:pPr>
              <w:tabs>
                <w:tab w:val="decimal" w:pos="450"/>
              </w:tabs>
              <w:spacing w:after="0"/>
              <w:ind w:firstLine="0"/>
              <w:rPr>
                <w:rFonts w:eastAsia="Times New Roman"/>
                <w:i/>
                <w:sz w:val="20"/>
                <w:szCs w:val="20"/>
                <w:highlight w:val="yellow"/>
              </w:rPr>
            </w:pPr>
          </w:p>
        </w:tc>
        <w:tc>
          <w:tcPr>
            <w:tcW w:w="958" w:type="dxa"/>
            <w:tcBorders>
              <w:top w:val="nil"/>
              <w:bottom w:val="nil"/>
              <w:right w:val="single" w:sz="4" w:space="0" w:color="auto"/>
            </w:tcBorders>
          </w:tcPr>
          <w:p w:rsidR="000151A5" w:rsidRPr="00826171" w:rsidRDefault="000151A5" w:rsidP="000151A5">
            <w:pPr>
              <w:tabs>
                <w:tab w:val="decimal" w:pos="451"/>
              </w:tabs>
              <w:spacing w:after="0"/>
              <w:ind w:firstLine="0"/>
              <w:rPr>
                <w:rFonts w:eastAsia="Arial Unicode MS"/>
                <w:i/>
                <w:sz w:val="20"/>
                <w:szCs w:val="20"/>
              </w:rPr>
            </w:pPr>
            <w:r w:rsidRPr="00826171">
              <w:rPr>
                <w:rFonts w:eastAsia="Times New Roman"/>
                <w:i/>
                <w:sz w:val="20"/>
                <w:szCs w:val="20"/>
              </w:rPr>
              <w:t> </w:t>
            </w:r>
          </w:p>
        </w:tc>
      </w:tr>
      <w:tr w:rsidR="000151A5" w:rsidRPr="00AA1204" w:rsidTr="000151A5">
        <w:trPr>
          <w:cantSplit/>
          <w:jc w:val="center"/>
        </w:trPr>
        <w:tc>
          <w:tcPr>
            <w:tcW w:w="2977" w:type="dxa"/>
            <w:tcBorders>
              <w:left w:val="single" w:sz="4" w:space="0" w:color="auto"/>
              <w:bottom w:val="nil"/>
            </w:tcBorders>
          </w:tcPr>
          <w:p w:rsidR="000151A5" w:rsidRPr="00AA1204" w:rsidRDefault="000151A5" w:rsidP="000151A5">
            <w:pPr>
              <w:spacing w:after="0"/>
              <w:ind w:firstLine="0"/>
              <w:rPr>
                <w:rFonts w:eastAsia="Times New Roman"/>
                <w:b/>
                <w:snapToGrid w:val="0"/>
                <w:sz w:val="20"/>
                <w:szCs w:val="20"/>
              </w:rPr>
            </w:pPr>
            <w:r w:rsidRPr="00AA1204">
              <w:rPr>
                <w:rFonts w:eastAsia="Times New Roman"/>
                <w:b/>
                <w:snapToGrid w:val="0"/>
                <w:sz w:val="20"/>
                <w:szCs w:val="20"/>
              </w:rPr>
              <w:t>Subsīdijas, dotācijas un sociālie pabalsti</w:t>
            </w:r>
          </w:p>
        </w:tc>
        <w:tc>
          <w:tcPr>
            <w:tcW w:w="992" w:type="dxa"/>
            <w:tcBorders>
              <w:bottom w:val="nil"/>
            </w:tcBorders>
          </w:tcPr>
          <w:p w:rsidR="000151A5" w:rsidRPr="00FD1A0F" w:rsidRDefault="000151A5" w:rsidP="000151A5">
            <w:pPr>
              <w:tabs>
                <w:tab w:val="decimal" w:pos="794"/>
              </w:tabs>
              <w:spacing w:after="0"/>
              <w:ind w:firstLine="0"/>
              <w:rPr>
                <w:rFonts w:eastAsia="Arial Unicode MS"/>
                <w:b/>
                <w:sz w:val="20"/>
                <w:szCs w:val="20"/>
              </w:rPr>
            </w:pPr>
            <w:r w:rsidRPr="00FD1A0F">
              <w:rPr>
                <w:rFonts w:eastAsia="Times New Roman"/>
                <w:b/>
                <w:sz w:val="20"/>
                <w:szCs w:val="20"/>
              </w:rPr>
              <w:t>222 960</w:t>
            </w:r>
          </w:p>
        </w:tc>
        <w:tc>
          <w:tcPr>
            <w:tcW w:w="993" w:type="dxa"/>
            <w:tcBorders>
              <w:bottom w:val="nil"/>
            </w:tcBorders>
          </w:tcPr>
          <w:p w:rsidR="000151A5" w:rsidRPr="009C3F25" w:rsidRDefault="000151A5" w:rsidP="000151A5">
            <w:pPr>
              <w:tabs>
                <w:tab w:val="decimal" w:pos="794"/>
              </w:tabs>
              <w:spacing w:after="0"/>
              <w:ind w:firstLine="0"/>
              <w:rPr>
                <w:rFonts w:eastAsia="Times New Roman"/>
                <w:b/>
                <w:sz w:val="20"/>
                <w:szCs w:val="20"/>
              </w:rPr>
            </w:pPr>
            <w:r w:rsidRPr="009C3F25">
              <w:rPr>
                <w:rFonts w:eastAsia="Times New Roman"/>
                <w:b/>
                <w:sz w:val="20"/>
                <w:szCs w:val="20"/>
              </w:rPr>
              <w:t>264 759</w:t>
            </w:r>
          </w:p>
        </w:tc>
        <w:tc>
          <w:tcPr>
            <w:tcW w:w="992" w:type="dxa"/>
            <w:tcBorders>
              <w:bottom w:val="nil"/>
            </w:tcBorders>
          </w:tcPr>
          <w:p w:rsidR="000151A5" w:rsidRPr="009C3F25" w:rsidRDefault="000151A5" w:rsidP="000151A5">
            <w:pPr>
              <w:tabs>
                <w:tab w:val="decimal" w:pos="794"/>
              </w:tabs>
              <w:spacing w:after="0"/>
              <w:ind w:firstLine="0"/>
              <w:rPr>
                <w:rFonts w:eastAsia="Arial Unicode MS"/>
                <w:b/>
                <w:sz w:val="20"/>
                <w:szCs w:val="20"/>
              </w:rPr>
            </w:pPr>
            <w:r w:rsidRPr="009C3F25">
              <w:rPr>
                <w:rFonts w:eastAsia="Times New Roman"/>
                <w:b/>
                <w:sz w:val="20"/>
                <w:szCs w:val="20"/>
              </w:rPr>
              <w:t>252 949</w:t>
            </w:r>
          </w:p>
        </w:tc>
        <w:tc>
          <w:tcPr>
            <w:tcW w:w="992" w:type="dxa"/>
            <w:tcBorders>
              <w:bottom w:val="nil"/>
            </w:tcBorders>
          </w:tcPr>
          <w:p w:rsidR="000151A5" w:rsidRPr="00E44888" w:rsidRDefault="000151A5" w:rsidP="000151A5">
            <w:pPr>
              <w:tabs>
                <w:tab w:val="decimal" w:pos="794"/>
              </w:tabs>
              <w:spacing w:after="0"/>
              <w:ind w:firstLine="0"/>
              <w:rPr>
                <w:rFonts w:eastAsia="Arial Unicode MS"/>
                <w:b/>
                <w:sz w:val="20"/>
                <w:szCs w:val="20"/>
              </w:rPr>
            </w:pPr>
            <w:r w:rsidRPr="00E44888">
              <w:rPr>
                <w:rFonts w:eastAsia="Times New Roman"/>
                <w:b/>
                <w:sz w:val="20"/>
                <w:szCs w:val="20"/>
              </w:rPr>
              <w:t>1 211 258</w:t>
            </w:r>
          </w:p>
        </w:tc>
        <w:tc>
          <w:tcPr>
            <w:tcW w:w="992" w:type="dxa"/>
            <w:tcBorders>
              <w:bottom w:val="nil"/>
            </w:tcBorders>
          </w:tcPr>
          <w:p w:rsidR="000151A5" w:rsidRPr="00DC1B74" w:rsidRDefault="000151A5" w:rsidP="000151A5">
            <w:pPr>
              <w:tabs>
                <w:tab w:val="decimal" w:pos="512"/>
              </w:tabs>
              <w:spacing w:after="0"/>
              <w:ind w:firstLine="0"/>
              <w:rPr>
                <w:rFonts w:eastAsia="Times New Roman"/>
                <w:b/>
                <w:sz w:val="20"/>
                <w:szCs w:val="20"/>
              </w:rPr>
            </w:pPr>
            <w:r w:rsidRPr="00DC1B74">
              <w:rPr>
                <w:rFonts w:eastAsia="Times New Roman"/>
                <w:b/>
                <w:sz w:val="20"/>
                <w:szCs w:val="20"/>
              </w:rPr>
              <w:t>113,5</w:t>
            </w:r>
          </w:p>
        </w:tc>
        <w:tc>
          <w:tcPr>
            <w:tcW w:w="923" w:type="dxa"/>
            <w:tcBorders>
              <w:bottom w:val="nil"/>
            </w:tcBorders>
          </w:tcPr>
          <w:p w:rsidR="000151A5" w:rsidRPr="00B407BA" w:rsidRDefault="000151A5" w:rsidP="000151A5">
            <w:pPr>
              <w:tabs>
                <w:tab w:val="decimal" w:pos="450"/>
              </w:tabs>
              <w:spacing w:after="0"/>
              <w:ind w:firstLine="0"/>
              <w:rPr>
                <w:rFonts w:eastAsia="Times New Roman"/>
                <w:b/>
                <w:sz w:val="20"/>
                <w:szCs w:val="20"/>
              </w:rPr>
            </w:pPr>
            <w:r w:rsidRPr="00B407BA">
              <w:rPr>
                <w:rFonts w:eastAsia="Times New Roman"/>
                <w:b/>
                <w:sz w:val="20"/>
                <w:szCs w:val="20"/>
              </w:rPr>
              <w:t>95,5</w:t>
            </w:r>
          </w:p>
        </w:tc>
        <w:tc>
          <w:tcPr>
            <w:tcW w:w="958" w:type="dxa"/>
            <w:tcBorders>
              <w:bottom w:val="nil"/>
              <w:right w:val="single" w:sz="4" w:space="0" w:color="auto"/>
            </w:tcBorders>
          </w:tcPr>
          <w:p w:rsidR="000151A5" w:rsidRPr="00826171" w:rsidRDefault="000151A5" w:rsidP="000151A5">
            <w:pPr>
              <w:tabs>
                <w:tab w:val="decimal" w:pos="451"/>
              </w:tabs>
              <w:spacing w:after="0"/>
              <w:ind w:firstLine="0"/>
              <w:rPr>
                <w:rFonts w:eastAsia="Arial Unicode MS"/>
                <w:b/>
                <w:sz w:val="20"/>
                <w:szCs w:val="20"/>
              </w:rPr>
            </w:pPr>
            <w:r w:rsidRPr="00826171">
              <w:rPr>
                <w:rFonts w:eastAsia="Times New Roman"/>
                <w:b/>
                <w:sz w:val="20"/>
                <w:szCs w:val="20"/>
              </w:rPr>
              <w:t>20,9</w:t>
            </w:r>
          </w:p>
        </w:tc>
      </w:tr>
      <w:tr w:rsidR="000151A5" w:rsidRPr="00AA1204" w:rsidTr="000151A5">
        <w:trPr>
          <w:cantSplit/>
          <w:jc w:val="center"/>
        </w:trPr>
        <w:tc>
          <w:tcPr>
            <w:tcW w:w="2977" w:type="dxa"/>
            <w:tcBorders>
              <w:top w:val="nil"/>
              <w:left w:val="single" w:sz="4" w:space="0" w:color="auto"/>
              <w:bottom w:val="single" w:sz="4" w:space="0" w:color="auto"/>
            </w:tcBorders>
          </w:tcPr>
          <w:p w:rsidR="000151A5" w:rsidRPr="00AA1204" w:rsidRDefault="000151A5" w:rsidP="000151A5">
            <w:pPr>
              <w:spacing w:after="0"/>
              <w:ind w:firstLine="0"/>
              <w:rPr>
                <w:rFonts w:eastAsia="Times New Roman"/>
                <w:i/>
                <w:snapToGrid w:val="0"/>
                <w:sz w:val="20"/>
                <w:szCs w:val="20"/>
              </w:rPr>
            </w:pPr>
            <w:r w:rsidRPr="00AA1204">
              <w:rPr>
                <w:rFonts w:eastAsia="Times New Roman"/>
                <w:snapToGrid w:val="0"/>
                <w:sz w:val="20"/>
                <w:szCs w:val="20"/>
              </w:rPr>
              <w:t xml:space="preserve">   </w:t>
            </w:r>
            <w:r w:rsidRPr="00AA1204">
              <w:rPr>
                <w:rFonts w:eastAsia="Times New Roman"/>
                <w:i/>
                <w:snapToGrid w:val="0"/>
                <w:sz w:val="20"/>
                <w:szCs w:val="20"/>
              </w:rPr>
              <w:t>Subsīdijas un dotācijas</w:t>
            </w:r>
          </w:p>
          <w:p w:rsidR="000151A5" w:rsidRPr="00AA1204" w:rsidRDefault="000151A5" w:rsidP="000151A5">
            <w:pPr>
              <w:spacing w:after="0"/>
              <w:ind w:firstLine="0"/>
              <w:rPr>
                <w:rFonts w:eastAsia="Times New Roman"/>
                <w:i/>
                <w:snapToGrid w:val="0"/>
                <w:sz w:val="20"/>
                <w:szCs w:val="20"/>
              </w:rPr>
            </w:pPr>
            <w:r w:rsidRPr="00AA1204">
              <w:rPr>
                <w:rFonts w:eastAsia="Times New Roman"/>
                <w:i/>
                <w:snapToGrid w:val="0"/>
                <w:sz w:val="20"/>
                <w:szCs w:val="20"/>
              </w:rPr>
              <w:t xml:space="preserve">   Sociālie pabalsti</w:t>
            </w:r>
          </w:p>
        </w:tc>
        <w:tc>
          <w:tcPr>
            <w:tcW w:w="992" w:type="dxa"/>
            <w:tcBorders>
              <w:top w:val="nil"/>
              <w:bottom w:val="single" w:sz="4" w:space="0" w:color="auto"/>
            </w:tcBorders>
          </w:tcPr>
          <w:p w:rsidR="000151A5" w:rsidRPr="00FD1A0F" w:rsidRDefault="000151A5" w:rsidP="000151A5">
            <w:pPr>
              <w:tabs>
                <w:tab w:val="decimal" w:pos="794"/>
              </w:tabs>
              <w:spacing w:after="0"/>
              <w:ind w:firstLine="0"/>
              <w:rPr>
                <w:rFonts w:eastAsia="Arial Unicode MS"/>
                <w:i/>
                <w:sz w:val="20"/>
                <w:szCs w:val="20"/>
              </w:rPr>
            </w:pPr>
            <w:r w:rsidRPr="00FD1A0F">
              <w:rPr>
                <w:rFonts w:eastAsia="Arial Unicode MS"/>
                <w:i/>
                <w:sz w:val="20"/>
                <w:szCs w:val="20"/>
              </w:rPr>
              <w:t>188 871</w:t>
            </w:r>
          </w:p>
          <w:p w:rsidR="000151A5" w:rsidRPr="00FD1A0F" w:rsidRDefault="000151A5" w:rsidP="000151A5">
            <w:pPr>
              <w:tabs>
                <w:tab w:val="decimal" w:pos="794"/>
              </w:tabs>
              <w:spacing w:after="0"/>
              <w:ind w:firstLine="0"/>
              <w:rPr>
                <w:rFonts w:eastAsia="Arial Unicode MS"/>
                <w:i/>
                <w:sz w:val="20"/>
                <w:szCs w:val="20"/>
              </w:rPr>
            </w:pPr>
            <w:r w:rsidRPr="00FD1A0F">
              <w:rPr>
                <w:rFonts w:eastAsia="Arial Unicode MS"/>
                <w:i/>
                <w:sz w:val="20"/>
                <w:szCs w:val="20"/>
              </w:rPr>
              <w:t>34 089</w:t>
            </w:r>
          </w:p>
        </w:tc>
        <w:tc>
          <w:tcPr>
            <w:tcW w:w="993" w:type="dxa"/>
            <w:tcBorders>
              <w:top w:val="nil"/>
              <w:bottom w:val="single" w:sz="4" w:space="0" w:color="auto"/>
            </w:tcBorders>
          </w:tcPr>
          <w:p w:rsidR="000151A5" w:rsidRPr="009C3F25" w:rsidRDefault="000151A5" w:rsidP="000151A5">
            <w:pPr>
              <w:tabs>
                <w:tab w:val="decimal" w:pos="794"/>
              </w:tabs>
              <w:spacing w:after="0"/>
              <w:ind w:firstLine="0"/>
              <w:rPr>
                <w:rFonts w:eastAsia="Arial Unicode MS"/>
                <w:i/>
                <w:sz w:val="20"/>
                <w:szCs w:val="20"/>
              </w:rPr>
            </w:pPr>
            <w:r w:rsidRPr="009C3F25">
              <w:rPr>
                <w:rFonts w:eastAsia="Arial Unicode MS"/>
                <w:i/>
                <w:sz w:val="20"/>
                <w:szCs w:val="20"/>
              </w:rPr>
              <w:t>229 615</w:t>
            </w:r>
          </w:p>
          <w:p w:rsidR="000151A5" w:rsidRPr="009C3F25" w:rsidRDefault="000151A5" w:rsidP="000151A5">
            <w:pPr>
              <w:tabs>
                <w:tab w:val="decimal" w:pos="794"/>
              </w:tabs>
              <w:spacing w:after="0"/>
              <w:ind w:firstLine="0"/>
              <w:rPr>
                <w:rFonts w:eastAsia="Arial Unicode MS"/>
                <w:i/>
                <w:sz w:val="20"/>
                <w:szCs w:val="20"/>
              </w:rPr>
            </w:pPr>
            <w:r w:rsidRPr="009C3F25">
              <w:rPr>
                <w:rFonts w:eastAsia="Arial Unicode MS"/>
                <w:i/>
                <w:sz w:val="20"/>
                <w:szCs w:val="20"/>
              </w:rPr>
              <w:t>35 144</w:t>
            </w:r>
          </w:p>
        </w:tc>
        <w:tc>
          <w:tcPr>
            <w:tcW w:w="992" w:type="dxa"/>
            <w:tcBorders>
              <w:top w:val="nil"/>
              <w:bottom w:val="single" w:sz="4" w:space="0" w:color="auto"/>
            </w:tcBorders>
          </w:tcPr>
          <w:p w:rsidR="000151A5" w:rsidRPr="009C3F25" w:rsidRDefault="000151A5" w:rsidP="000151A5">
            <w:pPr>
              <w:tabs>
                <w:tab w:val="decimal" w:pos="794"/>
              </w:tabs>
              <w:spacing w:after="0"/>
              <w:ind w:firstLine="0"/>
              <w:rPr>
                <w:rFonts w:eastAsia="Arial Unicode MS"/>
                <w:i/>
                <w:sz w:val="20"/>
                <w:szCs w:val="20"/>
              </w:rPr>
            </w:pPr>
            <w:r w:rsidRPr="009C3F25">
              <w:rPr>
                <w:rFonts w:eastAsia="Arial Unicode MS"/>
                <w:i/>
                <w:sz w:val="20"/>
                <w:szCs w:val="20"/>
              </w:rPr>
              <w:t>218 425</w:t>
            </w:r>
          </w:p>
          <w:p w:rsidR="000151A5" w:rsidRPr="009C3F25" w:rsidRDefault="000151A5" w:rsidP="000151A5">
            <w:pPr>
              <w:tabs>
                <w:tab w:val="decimal" w:pos="794"/>
              </w:tabs>
              <w:spacing w:after="0"/>
              <w:ind w:firstLine="0"/>
              <w:rPr>
                <w:rFonts w:eastAsia="Arial Unicode MS"/>
                <w:i/>
                <w:sz w:val="20"/>
                <w:szCs w:val="20"/>
              </w:rPr>
            </w:pPr>
            <w:r w:rsidRPr="009C3F25">
              <w:rPr>
                <w:rFonts w:eastAsia="Arial Unicode MS"/>
                <w:i/>
                <w:sz w:val="20"/>
                <w:szCs w:val="20"/>
              </w:rPr>
              <w:t>34 524</w:t>
            </w:r>
          </w:p>
        </w:tc>
        <w:tc>
          <w:tcPr>
            <w:tcW w:w="992" w:type="dxa"/>
            <w:tcBorders>
              <w:top w:val="nil"/>
              <w:bottom w:val="single" w:sz="4" w:space="0" w:color="auto"/>
            </w:tcBorders>
          </w:tcPr>
          <w:p w:rsidR="000151A5" w:rsidRPr="00E44888" w:rsidRDefault="000151A5" w:rsidP="000151A5">
            <w:pPr>
              <w:tabs>
                <w:tab w:val="decimal" w:pos="794"/>
              </w:tabs>
              <w:spacing w:after="0"/>
              <w:ind w:firstLine="0"/>
              <w:rPr>
                <w:rFonts w:eastAsia="Times New Roman"/>
                <w:i/>
                <w:sz w:val="20"/>
                <w:szCs w:val="20"/>
              </w:rPr>
            </w:pPr>
            <w:r w:rsidRPr="00E44888">
              <w:rPr>
                <w:rFonts w:eastAsia="Times New Roman"/>
                <w:i/>
                <w:sz w:val="20"/>
                <w:szCs w:val="20"/>
              </w:rPr>
              <w:t>1 073 157</w:t>
            </w:r>
          </w:p>
          <w:p w:rsidR="000151A5" w:rsidRPr="00E44888" w:rsidRDefault="000151A5" w:rsidP="000151A5">
            <w:pPr>
              <w:tabs>
                <w:tab w:val="decimal" w:pos="794"/>
              </w:tabs>
              <w:spacing w:after="0"/>
              <w:ind w:firstLine="0"/>
              <w:rPr>
                <w:rFonts w:eastAsia="Times New Roman"/>
                <w:i/>
                <w:sz w:val="20"/>
                <w:szCs w:val="20"/>
              </w:rPr>
            </w:pPr>
            <w:r w:rsidRPr="00E44888">
              <w:rPr>
                <w:rFonts w:eastAsia="Times New Roman"/>
                <w:i/>
                <w:sz w:val="20"/>
                <w:szCs w:val="20"/>
              </w:rPr>
              <w:t>138 101 </w:t>
            </w:r>
          </w:p>
        </w:tc>
        <w:tc>
          <w:tcPr>
            <w:tcW w:w="992" w:type="dxa"/>
            <w:tcBorders>
              <w:top w:val="nil"/>
              <w:bottom w:val="single" w:sz="4" w:space="0" w:color="auto"/>
            </w:tcBorders>
          </w:tcPr>
          <w:p w:rsidR="000151A5" w:rsidRPr="00DC1B74" w:rsidRDefault="000151A5" w:rsidP="000151A5">
            <w:pPr>
              <w:tabs>
                <w:tab w:val="decimal" w:pos="506"/>
              </w:tabs>
              <w:spacing w:after="0"/>
              <w:ind w:firstLine="0"/>
              <w:rPr>
                <w:rFonts w:eastAsia="Times New Roman"/>
                <w:i/>
                <w:sz w:val="20"/>
                <w:szCs w:val="20"/>
              </w:rPr>
            </w:pPr>
            <w:r w:rsidRPr="00DC1B74">
              <w:rPr>
                <w:rFonts w:eastAsia="Times New Roman"/>
                <w:i/>
                <w:sz w:val="20"/>
                <w:szCs w:val="20"/>
              </w:rPr>
              <w:t>115,6</w:t>
            </w:r>
          </w:p>
          <w:p w:rsidR="000151A5" w:rsidRPr="00DC1B74" w:rsidRDefault="000151A5" w:rsidP="000151A5">
            <w:pPr>
              <w:tabs>
                <w:tab w:val="decimal" w:pos="506"/>
              </w:tabs>
              <w:spacing w:after="0"/>
              <w:ind w:firstLine="0"/>
              <w:rPr>
                <w:rFonts w:eastAsia="Times New Roman"/>
                <w:i/>
                <w:sz w:val="20"/>
                <w:szCs w:val="20"/>
              </w:rPr>
            </w:pPr>
            <w:r w:rsidRPr="00DC1B74">
              <w:rPr>
                <w:rFonts w:eastAsia="Times New Roman"/>
                <w:i/>
                <w:sz w:val="20"/>
                <w:szCs w:val="20"/>
              </w:rPr>
              <w:t>101,3</w:t>
            </w:r>
          </w:p>
        </w:tc>
        <w:tc>
          <w:tcPr>
            <w:tcW w:w="923" w:type="dxa"/>
            <w:tcBorders>
              <w:top w:val="nil"/>
              <w:bottom w:val="single" w:sz="4" w:space="0" w:color="auto"/>
            </w:tcBorders>
          </w:tcPr>
          <w:p w:rsidR="000151A5" w:rsidRPr="00B407BA" w:rsidRDefault="000151A5" w:rsidP="000151A5">
            <w:pPr>
              <w:tabs>
                <w:tab w:val="decimal" w:pos="450"/>
              </w:tabs>
              <w:spacing w:after="0"/>
              <w:ind w:firstLine="0"/>
              <w:rPr>
                <w:rFonts w:eastAsia="Times New Roman"/>
                <w:i/>
                <w:sz w:val="20"/>
                <w:szCs w:val="20"/>
              </w:rPr>
            </w:pPr>
            <w:r w:rsidRPr="00B407BA">
              <w:rPr>
                <w:rFonts w:eastAsia="Times New Roman"/>
                <w:i/>
                <w:sz w:val="20"/>
                <w:szCs w:val="20"/>
              </w:rPr>
              <w:t>95,1</w:t>
            </w:r>
          </w:p>
          <w:p w:rsidR="000151A5" w:rsidRPr="00B407BA" w:rsidRDefault="000151A5" w:rsidP="000151A5">
            <w:pPr>
              <w:tabs>
                <w:tab w:val="decimal" w:pos="450"/>
              </w:tabs>
              <w:spacing w:after="0"/>
              <w:ind w:firstLine="0"/>
              <w:rPr>
                <w:rFonts w:eastAsia="Times New Roman"/>
                <w:i/>
                <w:sz w:val="20"/>
                <w:szCs w:val="20"/>
              </w:rPr>
            </w:pPr>
            <w:r w:rsidRPr="00B407BA">
              <w:rPr>
                <w:rFonts w:eastAsia="Times New Roman"/>
                <w:i/>
                <w:sz w:val="20"/>
                <w:szCs w:val="20"/>
              </w:rPr>
              <w:t>98,2</w:t>
            </w:r>
          </w:p>
        </w:tc>
        <w:tc>
          <w:tcPr>
            <w:tcW w:w="958" w:type="dxa"/>
            <w:tcBorders>
              <w:top w:val="nil"/>
              <w:bottom w:val="single" w:sz="4" w:space="0" w:color="auto"/>
              <w:right w:val="single" w:sz="4" w:space="0" w:color="auto"/>
            </w:tcBorders>
          </w:tcPr>
          <w:p w:rsidR="000151A5" w:rsidRPr="00826171" w:rsidRDefault="000151A5" w:rsidP="000151A5">
            <w:pPr>
              <w:tabs>
                <w:tab w:val="decimal" w:pos="451"/>
              </w:tabs>
              <w:spacing w:after="0"/>
              <w:ind w:firstLine="0"/>
              <w:rPr>
                <w:rFonts w:eastAsia="Times New Roman"/>
                <w:i/>
                <w:sz w:val="20"/>
                <w:szCs w:val="20"/>
              </w:rPr>
            </w:pPr>
            <w:r w:rsidRPr="00826171">
              <w:rPr>
                <w:rFonts w:eastAsia="Times New Roman"/>
                <w:i/>
                <w:sz w:val="20"/>
                <w:szCs w:val="20"/>
              </w:rPr>
              <w:t>20,4</w:t>
            </w:r>
          </w:p>
          <w:p w:rsidR="000151A5" w:rsidRPr="00826171" w:rsidRDefault="000151A5" w:rsidP="000151A5">
            <w:pPr>
              <w:tabs>
                <w:tab w:val="decimal" w:pos="451"/>
              </w:tabs>
              <w:spacing w:after="0"/>
              <w:ind w:firstLine="0"/>
              <w:rPr>
                <w:rFonts w:eastAsia="Times New Roman"/>
                <w:i/>
                <w:sz w:val="20"/>
                <w:szCs w:val="20"/>
              </w:rPr>
            </w:pPr>
            <w:r w:rsidRPr="00826171">
              <w:rPr>
                <w:rFonts w:eastAsia="Times New Roman"/>
                <w:i/>
                <w:sz w:val="20"/>
                <w:szCs w:val="20"/>
              </w:rPr>
              <w:t>25,0</w:t>
            </w:r>
          </w:p>
        </w:tc>
      </w:tr>
      <w:tr w:rsidR="000151A5" w:rsidRPr="00AA1204" w:rsidTr="000151A5">
        <w:trPr>
          <w:cantSplit/>
          <w:jc w:val="center"/>
        </w:trPr>
        <w:tc>
          <w:tcPr>
            <w:tcW w:w="2977" w:type="dxa"/>
            <w:tcBorders>
              <w:top w:val="single" w:sz="4" w:space="0" w:color="auto"/>
              <w:left w:val="single" w:sz="4" w:space="0" w:color="auto"/>
              <w:bottom w:val="single" w:sz="4" w:space="0" w:color="auto"/>
            </w:tcBorders>
          </w:tcPr>
          <w:p w:rsidR="000151A5" w:rsidRPr="00AA1204" w:rsidRDefault="000151A5" w:rsidP="000151A5">
            <w:pPr>
              <w:spacing w:after="0"/>
              <w:ind w:firstLine="0"/>
              <w:rPr>
                <w:rFonts w:eastAsia="Times New Roman"/>
                <w:b/>
                <w:snapToGrid w:val="0"/>
                <w:sz w:val="20"/>
                <w:szCs w:val="20"/>
              </w:rPr>
            </w:pPr>
            <w:r w:rsidRPr="00AA1204">
              <w:rPr>
                <w:rFonts w:eastAsia="Times New Roman"/>
                <w:b/>
                <w:snapToGrid w:val="0"/>
                <w:sz w:val="20"/>
                <w:szCs w:val="20"/>
              </w:rPr>
              <w:t xml:space="preserve">Kārtējie maksājumi Eiropas </w:t>
            </w:r>
            <w:r>
              <w:rPr>
                <w:rFonts w:eastAsia="Times New Roman"/>
                <w:b/>
                <w:snapToGrid w:val="0"/>
                <w:sz w:val="20"/>
                <w:szCs w:val="20"/>
              </w:rPr>
              <w:t>Savienības</w:t>
            </w:r>
            <w:r w:rsidRPr="00AA1204">
              <w:rPr>
                <w:rFonts w:eastAsia="Times New Roman"/>
                <w:b/>
                <w:snapToGrid w:val="0"/>
                <w:sz w:val="20"/>
                <w:szCs w:val="20"/>
              </w:rPr>
              <w:t xml:space="preserve"> budžetā un starptautiskā sadarbība</w:t>
            </w:r>
          </w:p>
          <w:p w:rsidR="000151A5" w:rsidRPr="00AA1204" w:rsidRDefault="000151A5" w:rsidP="000151A5">
            <w:pPr>
              <w:spacing w:after="0"/>
              <w:ind w:firstLine="0"/>
              <w:rPr>
                <w:rFonts w:eastAsia="Times New Roman"/>
                <w:i/>
                <w:snapToGrid w:val="0"/>
                <w:sz w:val="20"/>
                <w:szCs w:val="20"/>
              </w:rPr>
            </w:pPr>
            <w:r w:rsidRPr="00AA1204">
              <w:rPr>
                <w:rFonts w:eastAsia="Times New Roman"/>
                <w:snapToGrid w:val="0"/>
                <w:sz w:val="20"/>
                <w:szCs w:val="20"/>
              </w:rPr>
              <w:t xml:space="preserve">   </w:t>
            </w:r>
            <w:r w:rsidRPr="00AA1204">
              <w:rPr>
                <w:rFonts w:eastAsia="Times New Roman"/>
                <w:i/>
                <w:snapToGrid w:val="0"/>
                <w:sz w:val="20"/>
                <w:szCs w:val="20"/>
              </w:rPr>
              <w:t xml:space="preserve">Kārtējie maksājumi Eiropas </w:t>
            </w:r>
            <w:r>
              <w:rPr>
                <w:rFonts w:eastAsia="Times New Roman"/>
                <w:i/>
                <w:snapToGrid w:val="0"/>
                <w:sz w:val="20"/>
                <w:szCs w:val="20"/>
              </w:rPr>
              <w:t>Savienības</w:t>
            </w:r>
            <w:r w:rsidRPr="00AA1204">
              <w:rPr>
                <w:rFonts w:eastAsia="Times New Roman"/>
                <w:i/>
                <w:snapToGrid w:val="0"/>
                <w:sz w:val="20"/>
                <w:szCs w:val="20"/>
              </w:rPr>
              <w:t xml:space="preserve"> budžetā</w:t>
            </w:r>
          </w:p>
          <w:p w:rsidR="000151A5" w:rsidRPr="00AA1204" w:rsidRDefault="000151A5" w:rsidP="000151A5">
            <w:pPr>
              <w:spacing w:after="0"/>
              <w:ind w:firstLine="0"/>
              <w:rPr>
                <w:rFonts w:eastAsia="Times New Roman"/>
                <w:b/>
                <w:snapToGrid w:val="0"/>
                <w:sz w:val="20"/>
                <w:szCs w:val="20"/>
              </w:rPr>
            </w:pPr>
            <w:r w:rsidRPr="00AA1204">
              <w:rPr>
                <w:rFonts w:eastAsia="Times New Roman"/>
                <w:i/>
                <w:snapToGrid w:val="0"/>
                <w:sz w:val="20"/>
                <w:szCs w:val="20"/>
              </w:rPr>
              <w:t xml:space="preserve">   Starptautiskā sadarbība</w:t>
            </w:r>
          </w:p>
        </w:tc>
        <w:tc>
          <w:tcPr>
            <w:tcW w:w="992" w:type="dxa"/>
            <w:tcBorders>
              <w:top w:val="single" w:sz="4" w:space="0" w:color="auto"/>
              <w:bottom w:val="single" w:sz="4" w:space="0" w:color="auto"/>
            </w:tcBorders>
          </w:tcPr>
          <w:p w:rsidR="000151A5" w:rsidRPr="00FD1A0F" w:rsidRDefault="000151A5" w:rsidP="000151A5">
            <w:pPr>
              <w:tabs>
                <w:tab w:val="decimal" w:pos="794"/>
              </w:tabs>
              <w:spacing w:after="0"/>
              <w:ind w:firstLine="0"/>
              <w:rPr>
                <w:rFonts w:eastAsia="Arial Unicode MS"/>
                <w:b/>
                <w:sz w:val="20"/>
                <w:szCs w:val="20"/>
              </w:rPr>
            </w:pPr>
            <w:r w:rsidRPr="00FD1A0F">
              <w:rPr>
                <w:rFonts w:eastAsia="Arial Unicode MS"/>
                <w:b/>
                <w:sz w:val="20"/>
                <w:szCs w:val="20"/>
              </w:rPr>
              <w:t>49 529</w:t>
            </w:r>
          </w:p>
          <w:p w:rsidR="000151A5" w:rsidRPr="00FD1A0F" w:rsidRDefault="000151A5" w:rsidP="000151A5">
            <w:pPr>
              <w:tabs>
                <w:tab w:val="decimal" w:pos="794"/>
              </w:tabs>
              <w:spacing w:after="0"/>
              <w:ind w:firstLine="0"/>
              <w:rPr>
                <w:rFonts w:eastAsia="Arial Unicode MS"/>
                <w:sz w:val="20"/>
                <w:szCs w:val="20"/>
              </w:rPr>
            </w:pPr>
          </w:p>
          <w:p w:rsidR="000151A5" w:rsidRPr="00FD1A0F" w:rsidRDefault="000151A5" w:rsidP="000151A5">
            <w:pPr>
              <w:tabs>
                <w:tab w:val="decimal" w:pos="794"/>
              </w:tabs>
              <w:spacing w:after="0"/>
              <w:ind w:firstLine="0"/>
              <w:rPr>
                <w:rFonts w:eastAsia="Arial Unicode MS"/>
                <w:sz w:val="20"/>
                <w:szCs w:val="20"/>
              </w:rPr>
            </w:pPr>
          </w:p>
          <w:p w:rsidR="000151A5" w:rsidRPr="00FD1A0F" w:rsidRDefault="000151A5" w:rsidP="000151A5">
            <w:pPr>
              <w:tabs>
                <w:tab w:val="decimal" w:pos="794"/>
              </w:tabs>
              <w:spacing w:after="0"/>
              <w:ind w:firstLine="0"/>
              <w:rPr>
                <w:rFonts w:eastAsia="Arial Unicode MS"/>
                <w:i/>
                <w:sz w:val="20"/>
                <w:szCs w:val="20"/>
              </w:rPr>
            </w:pPr>
            <w:r w:rsidRPr="00FD1A0F">
              <w:rPr>
                <w:rFonts w:eastAsia="Arial Unicode MS"/>
                <w:i/>
                <w:sz w:val="20"/>
                <w:szCs w:val="20"/>
              </w:rPr>
              <w:t>44 267</w:t>
            </w:r>
          </w:p>
          <w:p w:rsidR="000151A5" w:rsidRPr="00FD1A0F" w:rsidRDefault="000151A5" w:rsidP="000151A5">
            <w:pPr>
              <w:tabs>
                <w:tab w:val="decimal" w:pos="794"/>
              </w:tabs>
              <w:spacing w:after="0"/>
              <w:ind w:firstLine="0"/>
              <w:rPr>
                <w:rFonts w:eastAsia="Arial Unicode MS"/>
                <w:i/>
                <w:sz w:val="20"/>
                <w:szCs w:val="20"/>
              </w:rPr>
            </w:pPr>
          </w:p>
          <w:p w:rsidR="000151A5" w:rsidRPr="00FD1A0F" w:rsidRDefault="000151A5" w:rsidP="000151A5">
            <w:pPr>
              <w:tabs>
                <w:tab w:val="decimal" w:pos="794"/>
              </w:tabs>
              <w:spacing w:after="0"/>
              <w:ind w:firstLine="0"/>
              <w:rPr>
                <w:rFonts w:eastAsia="Arial Unicode MS"/>
                <w:b/>
                <w:sz w:val="20"/>
                <w:szCs w:val="20"/>
              </w:rPr>
            </w:pPr>
            <w:r w:rsidRPr="00FD1A0F">
              <w:rPr>
                <w:rFonts w:eastAsia="Arial Unicode MS"/>
                <w:i/>
                <w:sz w:val="20"/>
                <w:szCs w:val="20"/>
              </w:rPr>
              <w:t>5 262</w:t>
            </w:r>
          </w:p>
        </w:tc>
        <w:tc>
          <w:tcPr>
            <w:tcW w:w="993" w:type="dxa"/>
            <w:tcBorders>
              <w:top w:val="single" w:sz="4" w:space="0" w:color="auto"/>
              <w:bottom w:val="single" w:sz="4" w:space="0" w:color="auto"/>
            </w:tcBorders>
          </w:tcPr>
          <w:p w:rsidR="000151A5" w:rsidRPr="0064509B" w:rsidRDefault="000151A5" w:rsidP="000151A5">
            <w:pPr>
              <w:tabs>
                <w:tab w:val="decimal" w:pos="794"/>
              </w:tabs>
              <w:spacing w:after="0"/>
              <w:ind w:firstLine="0"/>
              <w:rPr>
                <w:rFonts w:eastAsia="Arial Unicode MS"/>
                <w:b/>
                <w:sz w:val="20"/>
                <w:szCs w:val="20"/>
              </w:rPr>
            </w:pPr>
            <w:r w:rsidRPr="0064509B">
              <w:rPr>
                <w:rFonts w:eastAsia="Arial Unicode MS"/>
                <w:b/>
                <w:sz w:val="20"/>
                <w:szCs w:val="20"/>
              </w:rPr>
              <w:t>59 937</w:t>
            </w:r>
          </w:p>
          <w:p w:rsidR="000151A5" w:rsidRPr="0064509B" w:rsidRDefault="000151A5" w:rsidP="000151A5">
            <w:pPr>
              <w:tabs>
                <w:tab w:val="decimal" w:pos="794"/>
              </w:tabs>
              <w:spacing w:after="0"/>
              <w:ind w:firstLine="0"/>
              <w:rPr>
                <w:rFonts w:eastAsia="Arial Unicode MS"/>
                <w:sz w:val="20"/>
                <w:szCs w:val="20"/>
              </w:rPr>
            </w:pPr>
          </w:p>
          <w:p w:rsidR="000151A5" w:rsidRPr="0064509B" w:rsidRDefault="000151A5" w:rsidP="000151A5">
            <w:pPr>
              <w:tabs>
                <w:tab w:val="decimal" w:pos="794"/>
              </w:tabs>
              <w:spacing w:after="0"/>
              <w:ind w:firstLine="0"/>
              <w:rPr>
                <w:rFonts w:eastAsia="Arial Unicode MS"/>
                <w:sz w:val="20"/>
                <w:szCs w:val="20"/>
              </w:rPr>
            </w:pPr>
          </w:p>
          <w:p w:rsidR="000151A5" w:rsidRPr="0064509B" w:rsidRDefault="000151A5" w:rsidP="000151A5">
            <w:pPr>
              <w:tabs>
                <w:tab w:val="decimal" w:pos="794"/>
              </w:tabs>
              <w:spacing w:after="0"/>
              <w:ind w:firstLine="0"/>
              <w:rPr>
                <w:rFonts w:eastAsia="Arial Unicode MS"/>
                <w:i/>
                <w:sz w:val="20"/>
                <w:szCs w:val="20"/>
              </w:rPr>
            </w:pPr>
            <w:r w:rsidRPr="0064509B">
              <w:rPr>
                <w:rFonts w:eastAsia="Arial Unicode MS"/>
                <w:i/>
                <w:sz w:val="20"/>
                <w:szCs w:val="20"/>
              </w:rPr>
              <w:t>52 807</w:t>
            </w:r>
          </w:p>
          <w:p w:rsidR="000151A5" w:rsidRPr="0064509B" w:rsidRDefault="000151A5" w:rsidP="000151A5">
            <w:pPr>
              <w:tabs>
                <w:tab w:val="decimal" w:pos="794"/>
              </w:tabs>
              <w:spacing w:after="0"/>
              <w:ind w:firstLine="0"/>
              <w:rPr>
                <w:rFonts w:eastAsia="Arial Unicode MS"/>
                <w:i/>
                <w:sz w:val="20"/>
                <w:szCs w:val="20"/>
              </w:rPr>
            </w:pPr>
          </w:p>
          <w:p w:rsidR="000151A5" w:rsidRPr="0064509B" w:rsidRDefault="000151A5" w:rsidP="000151A5">
            <w:pPr>
              <w:tabs>
                <w:tab w:val="decimal" w:pos="794"/>
              </w:tabs>
              <w:spacing w:after="0"/>
              <w:ind w:firstLine="0"/>
              <w:rPr>
                <w:rFonts w:eastAsia="Arial Unicode MS"/>
                <w:b/>
                <w:sz w:val="20"/>
                <w:szCs w:val="20"/>
              </w:rPr>
            </w:pPr>
            <w:r w:rsidRPr="0064509B">
              <w:rPr>
                <w:rFonts w:eastAsia="Arial Unicode MS"/>
                <w:i/>
                <w:sz w:val="20"/>
                <w:szCs w:val="20"/>
              </w:rPr>
              <w:t>7 130</w:t>
            </w:r>
          </w:p>
        </w:tc>
        <w:tc>
          <w:tcPr>
            <w:tcW w:w="992" w:type="dxa"/>
            <w:tcBorders>
              <w:top w:val="single" w:sz="4" w:space="0" w:color="auto"/>
              <w:bottom w:val="single" w:sz="4" w:space="0" w:color="auto"/>
            </w:tcBorders>
          </w:tcPr>
          <w:p w:rsidR="000151A5" w:rsidRPr="0064509B" w:rsidRDefault="000151A5" w:rsidP="000151A5">
            <w:pPr>
              <w:tabs>
                <w:tab w:val="decimal" w:pos="794"/>
              </w:tabs>
              <w:spacing w:after="0"/>
              <w:ind w:firstLine="0"/>
              <w:rPr>
                <w:rFonts w:eastAsia="Arial Unicode MS"/>
                <w:b/>
                <w:sz w:val="20"/>
                <w:szCs w:val="20"/>
              </w:rPr>
            </w:pPr>
            <w:r w:rsidRPr="0064509B">
              <w:rPr>
                <w:rFonts w:eastAsia="Arial Unicode MS"/>
                <w:b/>
                <w:sz w:val="20"/>
                <w:szCs w:val="20"/>
              </w:rPr>
              <w:t>58 971</w:t>
            </w:r>
          </w:p>
          <w:p w:rsidR="000151A5" w:rsidRPr="0064509B" w:rsidRDefault="000151A5" w:rsidP="000151A5">
            <w:pPr>
              <w:tabs>
                <w:tab w:val="decimal" w:pos="794"/>
              </w:tabs>
              <w:spacing w:after="0"/>
              <w:ind w:firstLine="0"/>
              <w:rPr>
                <w:rFonts w:eastAsia="Arial Unicode MS"/>
                <w:sz w:val="20"/>
                <w:szCs w:val="20"/>
              </w:rPr>
            </w:pPr>
          </w:p>
          <w:p w:rsidR="000151A5" w:rsidRPr="0064509B" w:rsidRDefault="000151A5" w:rsidP="000151A5">
            <w:pPr>
              <w:tabs>
                <w:tab w:val="decimal" w:pos="794"/>
              </w:tabs>
              <w:spacing w:after="0"/>
              <w:ind w:firstLine="0"/>
              <w:rPr>
                <w:rFonts w:eastAsia="Arial Unicode MS"/>
                <w:sz w:val="20"/>
                <w:szCs w:val="20"/>
              </w:rPr>
            </w:pPr>
          </w:p>
          <w:p w:rsidR="000151A5" w:rsidRPr="0064509B" w:rsidRDefault="000151A5" w:rsidP="000151A5">
            <w:pPr>
              <w:tabs>
                <w:tab w:val="decimal" w:pos="794"/>
              </w:tabs>
              <w:spacing w:after="0"/>
              <w:ind w:firstLine="0"/>
              <w:rPr>
                <w:rFonts w:eastAsia="Arial Unicode MS"/>
                <w:i/>
                <w:sz w:val="20"/>
                <w:szCs w:val="20"/>
              </w:rPr>
            </w:pPr>
            <w:r w:rsidRPr="0064509B">
              <w:rPr>
                <w:rFonts w:eastAsia="Arial Unicode MS"/>
                <w:i/>
                <w:sz w:val="20"/>
                <w:szCs w:val="20"/>
              </w:rPr>
              <w:t>52 577</w:t>
            </w:r>
          </w:p>
          <w:p w:rsidR="000151A5" w:rsidRPr="0064509B" w:rsidRDefault="000151A5" w:rsidP="000151A5">
            <w:pPr>
              <w:tabs>
                <w:tab w:val="decimal" w:pos="794"/>
              </w:tabs>
              <w:spacing w:after="0"/>
              <w:ind w:firstLine="0"/>
              <w:rPr>
                <w:rFonts w:eastAsia="Arial Unicode MS"/>
                <w:i/>
                <w:sz w:val="20"/>
                <w:szCs w:val="20"/>
              </w:rPr>
            </w:pPr>
          </w:p>
          <w:p w:rsidR="000151A5" w:rsidRPr="0064509B" w:rsidRDefault="000151A5" w:rsidP="000151A5">
            <w:pPr>
              <w:tabs>
                <w:tab w:val="decimal" w:pos="794"/>
              </w:tabs>
              <w:spacing w:after="0"/>
              <w:ind w:firstLine="0"/>
              <w:rPr>
                <w:rFonts w:eastAsia="Arial Unicode MS"/>
                <w:b/>
                <w:sz w:val="20"/>
                <w:szCs w:val="20"/>
              </w:rPr>
            </w:pPr>
            <w:r w:rsidRPr="0064509B">
              <w:rPr>
                <w:rFonts w:eastAsia="Arial Unicode MS"/>
                <w:i/>
                <w:sz w:val="20"/>
                <w:szCs w:val="20"/>
              </w:rPr>
              <w:t>6 394</w:t>
            </w:r>
          </w:p>
        </w:tc>
        <w:tc>
          <w:tcPr>
            <w:tcW w:w="992" w:type="dxa"/>
            <w:tcBorders>
              <w:top w:val="single" w:sz="4" w:space="0" w:color="auto"/>
              <w:bottom w:val="single" w:sz="4" w:space="0" w:color="auto"/>
            </w:tcBorders>
          </w:tcPr>
          <w:p w:rsidR="000151A5" w:rsidRPr="00E44888" w:rsidRDefault="000151A5" w:rsidP="000151A5">
            <w:pPr>
              <w:tabs>
                <w:tab w:val="decimal" w:pos="794"/>
              </w:tabs>
              <w:spacing w:after="0"/>
              <w:ind w:firstLine="0"/>
              <w:rPr>
                <w:rFonts w:eastAsia="Times New Roman"/>
                <w:b/>
                <w:sz w:val="20"/>
                <w:szCs w:val="20"/>
              </w:rPr>
            </w:pPr>
            <w:r w:rsidRPr="00E44888">
              <w:rPr>
                <w:rFonts w:eastAsia="Times New Roman"/>
                <w:b/>
                <w:sz w:val="20"/>
                <w:szCs w:val="20"/>
              </w:rPr>
              <w:t>170 101</w:t>
            </w:r>
          </w:p>
          <w:p w:rsidR="000151A5" w:rsidRPr="00E44888" w:rsidRDefault="000151A5" w:rsidP="000151A5">
            <w:pPr>
              <w:tabs>
                <w:tab w:val="decimal" w:pos="794"/>
              </w:tabs>
              <w:spacing w:after="0"/>
              <w:ind w:firstLine="0"/>
              <w:rPr>
                <w:rFonts w:eastAsia="Times New Roman"/>
                <w:sz w:val="20"/>
                <w:szCs w:val="20"/>
              </w:rPr>
            </w:pPr>
          </w:p>
          <w:p w:rsidR="000151A5" w:rsidRPr="00E44888" w:rsidRDefault="000151A5" w:rsidP="000151A5">
            <w:pPr>
              <w:tabs>
                <w:tab w:val="decimal" w:pos="794"/>
              </w:tabs>
              <w:spacing w:after="0"/>
              <w:ind w:firstLine="0"/>
              <w:rPr>
                <w:rFonts w:eastAsia="Times New Roman"/>
                <w:sz w:val="20"/>
                <w:szCs w:val="20"/>
              </w:rPr>
            </w:pPr>
          </w:p>
          <w:p w:rsidR="000151A5" w:rsidRPr="00E44888" w:rsidRDefault="000151A5" w:rsidP="000151A5">
            <w:pPr>
              <w:tabs>
                <w:tab w:val="decimal" w:pos="794"/>
              </w:tabs>
              <w:spacing w:after="0"/>
              <w:ind w:firstLine="0"/>
              <w:rPr>
                <w:rFonts w:eastAsia="Times New Roman"/>
                <w:i/>
                <w:sz w:val="20"/>
                <w:szCs w:val="20"/>
              </w:rPr>
            </w:pPr>
            <w:r w:rsidRPr="00E44888">
              <w:rPr>
                <w:rFonts w:eastAsia="Times New Roman"/>
                <w:i/>
                <w:sz w:val="20"/>
                <w:szCs w:val="20"/>
              </w:rPr>
              <w:t>139 199</w:t>
            </w:r>
          </w:p>
          <w:p w:rsidR="000151A5" w:rsidRPr="00E44888" w:rsidRDefault="000151A5" w:rsidP="000151A5">
            <w:pPr>
              <w:tabs>
                <w:tab w:val="decimal" w:pos="794"/>
              </w:tabs>
              <w:spacing w:after="0"/>
              <w:ind w:firstLine="0"/>
              <w:rPr>
                <w:rFonts w:eastAsia="Times New Roman"/>
                <w:i/>
                <w:sz w:val="20"/>
                <w:szCs w:val="20"/>
              </w:rPr>
            </w:pPr>
          </w:p>
          <w:p w:rsidR="000151A5" w:rsidRPr="00AA1204" w:rsidRDefault="000151A5" w:rsidP="000151A5">
            <w:pPr>
              <w:tabs>
                <w:tab w:val="decimal" w:pos="794"/>
              </w:tabs>
              <w:spacing w:after="0"/>
              <w:ind w:firstLine="0"/>
              <w:rPr>
                <w:rFonts w:eastAsia="Times New Roman"/>
                <w:b/>
                <w:sz w:val="20"/>
                <w:szCs w:val="20"/>
                <w:highlight w:val="yellow"/>
              </w:rPr>
            </w:pPr>
            <w:r w:rsidRPr="00E44888">
              <w:rPr>
                <w:rFonts w:eastAsia="Times New Roman"/>
                <w:i/>
                <w:sz w:val="20"/>
                <w:szCs w:val="20"/>
              </w:rPr>
              <w:t>30 902</w:t>
            </w:r>
          </w:p>
        </w:tc>
        <w:tc>
          <w:tcPr>
            <w:tcW w:w="992" w:type="dxa"/>
            <w:tcBorders>
              <w:top w:val="single" w:sz="4" w:space="0" w:color="auto"/>
              <w:bottom w:val="single" w:sz="4" w:space="0" w:color="auto"/>
            </w:tcBorders>
          </w:tcPr>
          <w:p w:rsidR="000151A5" w:rsidRPr="00DC1B74" w:rsidRDefault="000151A5" w:rsidP="000151A5">
            <w:pPr>
              <w:tabs>
                <w:tab w:val="decimal" w:pos="512"/>
              </w:tabs>
              <w:spacing w:after="0"/>
              <w:ind w:firstLine="0"/>
              <w:rPr>
                <w:rFonts w:eastAsia="Times New Roman"/>
                <w:b/>
                <w:sz w:val="20"/>
                <w:szCs w:val="20"/>
              </w:rPr>
            </w:pPr>
            <w:r w:rsidRPr="00DC1B74">
              <w:rPr>
                <w:rFonts w:eastAsia="Times New Roman"/>
                <w:b/>
                <w:sz w:val="20"/>
                <w:szCs w:val="20"/>
              </w:rPr>
              <w:t>119,1</w:t>
            </w:r>
          </w:p>
          <w:p w:rsidR="000151A5" w:rsidRPr="00DC1B74" w:rsidRDefault="000151A5" w:rsidP="000151A5">
            <w:pPr>
              <w:tabs>
                <w:tab w:val="decimal" w:pos="512"/>
              </w:tabs>
              <w:spacing w:after="0"/>
              <w:ind w:firstLine="0"/>
              <w:rPr>
                <w:rFonts w:eastAsia="Times New Roman"/>
                <w:b/>
                <w:sz w:val="20"/>
                <w:szCs w:val="20"/>
              </w:rPr>
            </w:pPr>
          </w:p>
          <w:p w:rsidR="000151A5" w:rsidRPr="00DC1B74" w:rsidRDefault="000151A5" w:rsidP="000151A5">
            <w:pPr>
              <w:tabs>
                <w:tab w:val="decimal" w:pos="512"/>
              </w:tabs>
              <w:spacing w:after="0"/>
              <w:ind w:firstLine="0"/>
              <w:rPr>
                <w:rFonts w:eastAsia="Times New Roman"/>
                <w:b/>
                <w:sz w:val="20"/>
                <w:szCs w:val="20"/>
              </w:rPr>
            </w:pPr>
          </w:p>
          <w:p w:rsidR="000151A5" w:rsidRPr="00DC1B74" w:rsidRDefault="000151A5" w:rsidP="000151A5">
            <w:pPr>
              <w:tabs>
                <w:tab w:val="decimal" w:pos="512"/>
              </w:tabs>
              <w:spacing w:after="0"/>
              <w:ind w:firstLine="0"/>
              <w:rPr>
                <w:rFonts w:eastAsia="Times New Roman"/>
                <w:i/>
                <w:sz w:val="20"/>
                <w:szCs w:val="20"/>
              </w:rPr>
            </w:pPr>
            <w:r w:rsidRPr="00DC1B74">
              <w:rPr>
                <w:rFonts w:eastAsia="Times New Roman"/>
                <w:i/>
                <w:sz w:val="20"/>
                <w:szCs w:val="20"/>
              </w:rPr>
              <w:t>118,8</w:t>
            </w:r>
          </w:p>
          <w:p w:rsidR="000151A5" w:rsidRPr="00DC1B74" w:rsidRDefault="000151A5" w:rsidP="000151A5">
            <w:pPr>
              <w:tabs>
                <w:tab w:val="decimal" w:pos="512"/>
              </w:tabs>
              <w:spacing w:after="0"/>
              <w:ind w:firstLine="0"/>
              <w:rPr>
                <w:rFonts w:eastAsia="Times New Roman"/>
                <w:i/>
                <w:sz w:val="20"/>
                <w:szCs w:val="20"/>
              </w:rPr>
            </w:pPr>
          </w:p>
          <w:p w:rsidR="000151A5" w:rsidRPr="00AA1204" w:rsidRDefault="000151A5" w:rsidP="000151A5">
            <w:pPr>
              <w:tabs>
                <w:tab w:val="decimal" w:pos="512"/>
              </w:tabs>
              <w:spacing w:after="0"/>
              <w:ind w:firstLine="0"/>
              <w:rPr>
                <w:rFonts w:eastAsia="Times New Roman"/>
                <w:i/>
                <w:sz w:val="20"/>
                <w:szCs w:val="20"/>
                <w:highlight w:val="yellow"/>
              </w:rPr>
            </w:pPr>
            <w:r w:rsidRPr="00DC1B74">
              <w:rPr>
                <w:rFonts w:eastAsia="Times New Roman"/>
                <w:i/>
                <w:sz w:val="20"/>
                <w:szCs w:val="20"/>
              </w:rPr>
              <w:t>121,5</w:t>
            </w:r>
          </w:p>
        </w:tc>
        <w:tc>
          <w:tcPr>
            <w:tcW w:w="923" w:type="dxa"/>
            <w:tcBorders>
              <w:top w:val="single" w:sz="4" w:space="0" w:color="auto"/>
              <w:bottom w:val="single" w:sz="4" w:space="0" w:color="auto"/>
            </w:tcBorders>
          </w:tcPr>
          <w:p w:rsidR="000151A5" w:rsidRPr="00B407BA" w:rsidRDefault="000151A5" w:rsidP="000151A5">
            <w:pPr>
              <w:tabs>
                <w:tab w:val="decimal" w:pos="450"/>
              </w:tabs>
              <w:spacing w:after="0"/>
              <w:ind w:firstLine="0"/>
              <w:rPr>
                <w:rFonts w:eastAsia="Times New Roman"/>
                <w:b/>
                <w:sz w:val="20"/>
                <w:szCs w:val="20"/>
              </w:rPr>
            </w:pPr>
            <w:r w:rsidRPr="00B407BA">
              <w:rPr>
                <w:rFonts w:eastAsia="Times New Roman"/>
                <w:b/>
                <w:sz w:val="20"/>
                <w:szCs w:val="20"/>
              </w:rPr>
              <w:t>98,4</w:t>
            </w:r>
          </w:p>
          <w:p w:rsidR="000151A5" w:rsidRPr="00B407BA" w:rsidRDefault="000151A5" w:rsidP="000151A5">
            <w:pPr>
              <w:tabs>
                <w:tab w:val="decimal" w:pos="450"/>
              </w:tabs>
              <w:spacing w:after="0"/>
              <w:ind w:firstLine="0"/>
              <w:rPr>
                <w:rFonts w:eastAsia="Times New Roman"/>
                <w:sz w:val="20"/>
                <w:szCs w:val="20"/>
              </w:rPr>
            </w:pPr>
          </w:p>
          <w:p w:rsidR="000151A5" w:rsidRPr="00B407BA" w:rsidRDefault="000151A5" w:rsidP="000151A5">
            <w:pPr>
              <w:tabs>
                <w:tab w:val="decimal" w:pos="450"/>
              </w:tabs>
              <w:spacing w:after="0"/>
              <w:ind w:firstLine="0"/>
              <w:rPr>
                <w:rFonts w:eastAsia="Times New Roman"/>
                <w:sz w:val="20"/>
                <w:szCs w:val="20"/>
              </w:rPr>
            </w:pPr>
          </w:p>
          <w:p w:rsidR="000151A5" w:rsidRPr="00B407BA" w:rsidRDefault="000151A5" w:rsidP="000151A5">
            <w:pPr>
              <w:tabs>
                <w:tab w:val="decimal" w:pos="450"/>
              </w:tabs>
              <w:spacing w:after="0"/>
              <w:ind w:firstLine="0"/>
              <w:rPr>
                <w:rFonts w:eastAsia="Times New Roman"/>
                <w:i/>
                <w:sz w:val="20"/>
                <w:szCs w:val="20"/>
              </w:rPr>
            </w:pPr>
            <w:r w:rsidRPr="00B407BA">
              <w:rPr>
                <w:rFonts w:eastAsia="Times New Roman"/>
                <w:i/>
                <w:sz w:val="20"/>
                <w:szCs w:val="20"/>
              </w:rPr>
              <w:t>99,6</w:t>
            </w:r>
          </w:p>
          <w:p w:rsidR="000151A5" w:rsidRPr="00B407BA" w:rsidRDefault="000151A5" w:rsidP="000151A5">
            <w:pPr>
              <w:tabs>
                <w:tab w:val="decimal" w:pos="450"/>
              </w:tabs>
              <w:spacing w:after="0"/>
              <w:ind w:firstLine="0"/>
              <w:rPr>
                <w:rFonts w:eastAsia="Times New Roman"/>
                <w:i/>
                <w:sz w:val="20"/>
                <w:szCs w:val="20"/>
              </w:rPr>
            </w:pPr>
          </w:p>
          <w:p w:rsidR="000151A5" w:rsidRPr="00B407BA" w:rsidRDefault="000151A5" w:rsidP="000151A5">
            <w:pPr>
              <w:tabs>
                <w:tab w:val="decimal" w:pos="450"/>
              </w:tabs>
              <w:spacing w:after="0"/>
              <w:ind w:firstLine="0"/>
              <w:rPr>
                <w:rFonts w:eastAsia="Times New Roman"/>
                <w:b/>
                <w:sz w:val="20"/>
                <w:szCs w:val="20"/>
              </w:rPr>
            </w:pPr>
            <w:r w:rsidRPr="00B407BA">
              <w:rPr>
                <w:rFonts w:eastAsia="Times New Roman"/>
                <w:i/>
                <w:sz w:val="20"/>
                <w:szCs w:val="20"/>
              </w:rPr>
              <w:t>89,7</w:t>
            </w:r>
          </w:p>
        </w:tc>
        <w:tc>
          <w:tcPr>
            <w:tcW w:w="958" w:type="dxa"/>
            <w:tcBorders>
              <w:top w:val="single" w:sz="4" w:space="0" w:color="auto"/>
              <w:bottom w:val="single" w:sz="4" w:space="0" w:color="auto"/>
              <w:right w:val="single" w:sz="4" w:space="0" w:color="auto"/>
            </w:tcBorders>
          </w:tcPr>
          <w:p w:rsidR="000151A5" w:rsidRPr="00826171" w:rsidRDefault="000151A5" w:rsidP="000151A5">
            <w:pPr>
              <w:tabs>
                <w:tab w:val="decimal" w:pos="451"/>
              </w:tabs>
              <w:spacing w:after="0"/>
              <w:ind w:firstLine="0"/>
              <w:rPr>
                <w:rFonts w:eastAsia="Times New Roman"/>
                <w:b/>
                <w:sz w:val="20"/>
                <w:szCs w:val="20"/>
              </w:rPr>
            </w:pPr>
            <w:r w:rsidRPr="00826171">
              <w:rPr>
                <w:rFonts w:eastAsia="Times New Roman"/>
                <w:b/>
                <w:sz w:val="20"/>
                <w:szCs w:val="20"/>
              </w:rPr>
              <w:t>34,7 </w:t>
            </w:r>
          </w:p>
          <w:p w:rsidR="000151A5" w:rsidRPr="00826171" w:rsidRDefault="000151A5" w:rsidP="000151A5">
            <w:pPr>
              <w:tabs>
                <w:tab w:val="decimal" w:pos="451"/>
              </w:tabs>
              <w:spacing w:after="0"/>
              <w:ind w:firstLine="0"/>
              <w:rPr>
                <w:rFonts w:eastAsia="Times New Roman"/>
                <w:sz w:val="20"/>
                <w:szCs w:val="20"/>
              </w:rPr>
            </w:pPr>
          </w:p>
          <w:p w:rsidR="000151A5" w:rsidRPr="00826171" w:rsidRDefault="000151A5" w:rsidP="000151A5">
            <w:pPr>
              <w:tabs>
                <w:tab w:val="decimal" w:pos="451"/>
              </w:tabs>
              <w:spacing w:after="0"/>
              <w:ind w:firstLine="0"/>
              <w:rPr>
                <w:rFonts w:eastAsia="Times New Roman"/>
                <w:sz w:val="20"/>
                <w:szCs w:val="20"/>
              </w:rPr>
            </w:pPr>
          </w:p>
          <w:p w:rsidR="000151A5" w:rsidRPr="00826171" w:rsidRDefault="000151A5" w:rsidP="000151A5">
            <w:pPr>
              <w:tabs>
                <w:tab w:val="decimal" w:pos="451"/>
              </w:tabs>
              <w:spacing w:after="0"/>
              <w:ind w:firstLine="0"/>
              <w:rPr>
                <w:rFonts w:eastAsia="Times New Roman"/>
                <w:i/>
                <w:sz w:val="20"/>
                <w:szCs w:val="20"/>
              </w:rPr>
            </w:pPr>
            <w:r w:rsidRPr="00826171">
              <w:rPr>
                <w:rFonts w:eastAsia="Times New Roman"/>
                <w:i/>
                <w:sz w:val="20"/>
                <w:szCs w:val="20"/>
              </w:rPr>
              <w:t>37,8</w:t>
            </w:r>
          </w:p>
          <w:p w:rsidR="000151A5" w:rsidRPr="00826171" w:rsidRDefault="000151A5" w:rsidP="000151A5">
            <w:pPr>
              <w:tabs>
                <w:tab w:val="decimal" w:pos="451"/>
              </w:tabs>
              <w:spacing w:after="0"/>
              <w:ind w:firstLine="0"/>
              <w:rPr>
                <w:rFonts w:eastAsia="Times New Roman"/>
                <w:i/>
                <w:sz w:val="20"/>
                <w:szCs w:val="20"/>
              </w:rPr>
            </w:pPr>
          </w:p>
          <w:p w:rsidR="000151A5" w:rsidRPr="00826171" w:rsidRDefault="000151A5" w:rsidP="000151A5">
            <w:pPr>
              <w:tabs>
                <w:tab w:val="decimal" w:pos="451"/>
              </w:tabs>
              <w:spacing w:after="0"/>
              <w:ind w:firstLine="0"/>
              <w:rPr>
                <w:rFonts w:eastAsia="Times New Roman"/>
                <w:sz w:val="20"/>
                <w:szCs w:val="20"/>
              </w:rPr>
            </w:pPr>
            <w:r w:rsidRPr="00826171">
              <w:rPr>
                <w:rFonts w:eastAsia="Times New Roman"/>
                <w:i/>
                <w:sz w:val="20"/>
                <w:szCs w:val="20"/>
              </w:rPr>
              <w:t>20,7</w:t>
            </w:r>
          </w:p>
        </w:tc>
      </w:tr>
      <w:tr w:rsidR="000151A5" w:rsidRPr="00AA1204" w:rsidTr="000151A5">
        <w:trPr>
          <w:cantSplit/>
          <w:jc w:val="center"/>
        </w:trPr>
        <w:tc>
          <w:tcPr>
            <w:tcW w:w="2977" w:type="dxa"/>
            <w:tcBorders>
              <w:top w:val="single" w:sz="4" w:space="0" w:color="auto"/>
              <w:left w:val="single" w:sz="4" w:space="0" w:color="auto"/>
              <w:bottom w:val="single" w:sz="4" w:space="0" w:color="auto"/>
              <w:right w:val="single" w:sz="4" w:space="0" w:color="auto"/>
            </w:tcBorders>
          </w:tcPr>
          <w:p w:rsidR="000151A5" w:rsidRPr="00AA1204" w:rsidRDefault="000151A5" w:rsidP="000151A5">
            <w:pPr>
              <w:spacing w:after="0"/>
              <w:ind w:firstLine="0"/>
              <w:rPr>
                <w:rFonts w:eastAsia="Times New Roman"/>
                <w:b/>
                <w:snapToGrid w:val="0"/>
                <w:sz w:val="20"/>
                <w:szCs w:val="20"/>
              </w:rPr>
            </w:pPr>
            <w:r w:rsidRPr="00AA1204">
              <w:rPr>
                <w:rFonts w:eastAsia="Times New Roman"/>
                <w:b/>
                <w:snapToGrid w:val="0"/>
                <w:sz w:val="20"/>
                <w:szCs w:val="20"/>
              </w:rPr>
              <w:t>Uzturēšanas izdevumu transferti</w:t>
            </w:r>
          </w:p>
          <w:p w:rsidR="000151A5" w:rsidRPr="00AA1204" w:rsidRDefault="000151A5" w:rsidP="000151A5">
            <w:pPr>
              <w:spacing w:after="0"/>
              <w:ind w:firstLine="0"/>
              <w:rPr>
                <w:rFonts w:eastAsia="Times New Roman"/>
                <w:i/>
                <w:snapToGrid w:val="0"/>
                <w:sz w:val="20"/>
                <w:szCs w:val="20"/>
              </w:rPr>
            </w:pPr>
            <w:r w:rsidRPr="00AA1204">
              <w:rPr>
                <w:rFonts w:eastAsia="Times New Roman"/>
                <w:i/>
                <w:snapToGrid w:val="0"/>
                <w:sz w:val="20"/>
                <w:szCs w:val="20"/>
              </w:rPr>
              <w:t xml:space="preserve">   Valsts budžeta uzturēšanas izdevumu transferti no valsts pamatbudžeta uz</w:t>
            </w:r>
          </w:p>
          <w:p w:rsidR="000151A5" w:rsidRPr="00AA1204" w:rsidRDefault="000151A5" w:rsidP="000151A5">
            <w:pPr>
              <w:spacing w:after="0"/>
              <w:ind w:firstLine="0"/>
              <w:rPr>
                <w:rFonts w:eastAsia="Times New Roman"/>
                <w:i/>
                <w:snapToGrid w:val="0"/>
                <w:sz w:val="20"/>
                <w:szCs w:val="20"/>
              </w:rPr>
            </w:pPr>
            <w:r w:rsidRPr="00AA1204">
              <w:rPr>
                <w:rFonts w:eastAsia="Times New Roman"/>
                <w:i/>
                <w:snapToGrid w:val="0"/>
                <w:sz w:val="20"/>
                <w:szCs w:val="20"/>
              </w:rPr>
              <w:t xml:space="preserve"> valsts speciālo budžetu </w:t>
            </w:r>
          </w:p>
          <w:p w:rsidR="000151A5" w:rsidRPr="00AA1204" w:rsidRDefault="000151A5" w:rsidP="000151A5">
            <w:pPr>
              <w:spacing w:after="0"/>
              <w:ind w:firstLine="0"/>
              <w:rPr>
                <w:rFonts w:eastAsia="Times New Roman"/>
                <w:b/>
                <w:snapToGrid w:val="0"/>
                <w:sz w:val="20"/>
                <w:szCs w:val="20"/>
              </w:rPr>
            </w:pPr>
            <w:r w:rsidRPr="00AA1204">
              <w:rPr>
                <w:rFonts w:eastAsia="Times New Roman"/>
                <w:i/>
                <w:snapToGrid w:val="0"/>
                <w:sz w:val="20"/>
                <w:szCs w:val="20"/>
              </w:rPr>
              <w:t xml:space="preserve">  Valsts budžeta </w:t>
            </w:r>
            <w:r>
              <w:rPr>
                <w:rFonts w:eastAsia="Times New Roman"/>
                <w:i/>
                <w:snapToGrid w:val="0"/>
                <w:sz w:val="20"/>
                <w:szCs w:val="20"/>
              </w:rPr>
              <w:t xml:space="preserve"> uzturēšanas izdevumu transferti citiem budžetiem noteiktam mērķim </w:t>
            </w:r>
          </w:p>
        </w:tc>
        <w:tc>
          <w:tcPr>
            <w:tcW w:w="992" w:type="dxa"/>
            <w:tcBorders>
              <w:top w:val="single" w:sz="4" w:space="0" w:color="auto"/>
              <w:left w:val="single" w:sz="4" w:space="0" w:color="auto"/>
              <w:bottom w:val="single" w:sz="4" w:space="0" w:color="auto"/>
              <w:right w:val="single" w:sz="4" w:space="0" w:color="auto"/>
            </w:tcBorders>
          </w:tcPr>
          <w:p w:rsidR="000151A5" w:rsidRPr="00FD1A0F" w:rsidRDefault="000151A5" w:rsidP="000151A5">
            <w:pPr>
              <w:tabs>
                <w:tab w:val="decimal" w:pos="794"/>
              </w:tabs>
              <w:spacing w:after="0"/>
              <w:ind w:firstLine="0"/>
              <w:rPr>
                <w:rFonts w:eastAsia="Arial Unicode MS"/>
                <w:b/>
                <w:sz w:val="20"/>
                <w:szCs w:val="20"/>
              </w:rPr>
            </w:pPr>
            <w:r w:rsidRPr="00FD1A0F">
              <w:rPr>
                <w:rFonts w:eastAsia="Arial Unicode MS"/>
                <w:b/>
                <w:sz w:val="20"/>
                <w:szCs w:val="20"/>
              </w:rPr>
              <w:t>130 978</w:t>
            </w:r>
          </w:p>
          <w:p w:rsidR="000151A5" w:rsidRPr="00FD1A0F" w:rsidRDefault="000151A5" w:rsidP="000151A5">
            <w:pPr>
              <w:tabs>
                <w:tab w:val="decimal" w:pos="794"/>
              </w:tabs>
              <w:spacing w:after="0"/>
              <w:ind w:firstLine="0"/>
              <w:rPr>
                <w:rFonts w:eastAsia="Arial Unicode MS"/>
                <w:i/>
                <w:sz w:val="20"/>
                <w:szCs w:val="20"/>
              </w:rPr>
            </w:pPr>
          </w:p>
          <w:p w:rsidR="000151A5" w:rsidRPr="00FD1A0F" w:rsidRDefault="000151A5" w:rsidP="000151A5">
            <w:pPr>
              <w:tabs>
                <w:tab w:val="decimal" w:pos="794"/>
              </w:tabs>
              <w:spacing w:after="0"/>
              <w:ind w:firstLine="0"/>
              <w:rPr>
                <w:rFonts w:eastAsia="Arial Unicode MS"/>
                <w:i/>
                <w:sz w:val="20"/>
                <w:szCs w:val="20"/>
              </w:rPr>
            </w:pPr>
            <w:r w:rsidRPr="00FD1A0F">
              <w:rPr>
                <w:rFonts w:eastAsia="Arial Unicode MS"/>
                <w:i/>
                <w:sz w:val="20"/>
                <w:szCs w:val="20"/>
              </w:rPr>
              <w:t>3 729</w:t>
            </w:r>
          </w:p>
          <w:p w:rsidR="000151A5" w:rsidRPr="00FD1A0F" w:rsidRDefault="000151A5" w:rsidP="000151A5">
            <w:pPr>
              <w:tabs>
                <w:tab w:val="decimal" w:pos="794"/>
              </w:tabs>
              <w:spacing w:after="0"/>
              <w:ind w:firstLine="0"/>
              <w:rPr>
                <w:rFonts w:eastAsia="Arial Unicode MS"/>
                <w:sz w:val="20"/>
                <w:szCs w:val="20"/>
              </w:rPr>
            </w:pPr>
          </w:p>
          <w:p w:rsidR="000151A5" w:rsidRPr="00FD1A0F" w:rsidRDefault="000151A5" w:rsidP="000151A5">
            <w:pPr>
              <w:tabs>
                <w:tab w:val="decimal" w:pos="794"/>
              </w:tabs>
              <w:spacing w:after="0"/>
              <w:ind w:firstLine="0"/>
              <w:rPr>
                <w:rFonts w:eastAsia="Arial Unicode MS"/>
                <w:sz w:val="20"/>
                <w:szCs w:val="20"/>
              </w:rPr>
            </w:pPr>
          </w:p>
          <w:p w:rsidR="000151A5" w:rsidRDefault="000151A5" w:rsidP="000151A5">
            <w:pPr>
              <w:tabs>
                <w:tab w:val="decimal" w:pos="794"/>
              </w:tabs>
              <w:spacing w:after="0"/>
              <w:ind w:firstLine="0"/>
              <w:rPr>
                <w:rFonts w:eastAsia="Arial Unicode MS"/>
                <w:i/>
                <w:sz w:val="20"/>
                <w:szCs w:val="20"/>
              </w:rPr>
            </w:pPr>
            <w:r w:rsidRPr="00FD1A0F">
              <w:rPr>
                <w:rFonts w:eastAsia="Arial Unicode MS"/>
                <w:i/>
                <w:sz w:val="20"/>
                <w:szCs w:val="20"/>
              </w:rPr>
              <w:t>69</w:t>
            </w:r>
            <w:r>
              <w:rPr>
                <w:rFonts w:eastAsia="Arial Unicode MS"/>
                <w:i/>
                <w:sz w:val="20"/>
                <w:szCs w:val="20"/>
              </w:rPr>
              <w:t> </w:t>
            </w:r>
            <w:r w:rsidRPr="00FD1A0F">
              <w:rPr>
                <w:rFonts w:eastAsia="Arial Unicode MS"/>
                <w:i/>
                <w:sz w:val="20"/>
                <w:szCs w:val="20"/>
              </w:rPr>
              <w:t>171</w:t>
            </w:r>
          </w:p>
          <w:p w:rsidR="000151A5" w:rsidRPr="00FD1A0F" w:rsidRDefault="000151A5" w:rsidP="000151A5">
            <w:pPr>
              <w:tabs>
                <w:tab w:val="decimal" w:pos="794"/>
              </w:tabs>
              <w:spacing w:after="0"/>
              <w:ind w:firstLine="0"/>
              <w:rPr>
                <w:rFonts w:eastAsia="Arial Unicode MS"/>
                <w:b/>
                <w:sz w:val="20"/>
                <w:szCs w:val="20"/>
              </w:rPr>
            </w:pPr>
          </w:p>
        </w:tc>
        <w:tc>
          <w:tcPr>
            <w:tcW w:w="993" w:type="dxa"/>
            <w:tcBorders>
              <w:top w:val="single" w:sz="4" w:space="0" w:color="auto"/>
              <w:left w:val="single" w:sz="4" w:space="0" w:color="auto"/>
              <w:bottom w:val="single" w:sz="4" w:space="0" w:color="auto"/>
              <w:right w:val="single" w:sz="4" w:space="0" w:color="auto"/>
            </w:tcBorders>
          </w:tcPr>
          <w:p w:rsidR="000151A5" w:rsidRPr="00736EED" w:rsidRDefault="000151A5" w:rsidP="000151A5">
            <w:pPr>
              <w:tabs>
                <w:tab w:val="decimal" w:pos="794"/>
              </w:tabs>
              <w:spacing w:after="0"/>
              <w:ind w:firstLine="0"/>
              <w:rPr>
                <w:rFonts w:eastAsia="Arial Unicode MS"/>
                <w:b/>
                <w:sz w:val="20"/>
                <w:szCs w:val="20"/>
              </w:rPr>
            </w:pPr>
            <w:r w:rsidRPr="00736EED">
              <w:rPr>
                <w:rFonts w:eastAsia="Arial Unicode MS"/>
                <w:b/>
                <w:sz w:val="20"/>
                <w:szCs w:val="20"/>
              </w:rPr>
              <w:t>107 992</w:t>
            </w:r>
          </w:p>
          <w:p w:rsidR="000151A5" w:rsidRPr="00AA1204" w:rsidRDefault="000151A5" w:rsidP="000151A5">
            <w:pPr>
              <w:tabs>
                <w:tab w:val="decimal" w:pos="794"/>
              </w:tabs>
              <w:spacing w:after="0"/>
              <w:ind w:firstLine="0"/>
              <w:rPr>
                <w:rFonts w:eastAsia="Arial Unicode MS"/>
                <w:i/>
                <w:sz w:val="20"/>
                <w:szCs w:val="20"/>
                <w:highlight w:val="yellow"/>
              </w:rPr>
            </w:pPr>
          </w:p>
          <w:p w:rsidR="000151A5" w:rsidRPr="00736EED" w:rsidRDefault="000151A5" w:rsidP="000151A5">
            <w:pPr>
              <w:tabs>
                <w:tab w:val="decimal" w:pos="794"/>
              </w:tabs>
              <w:spacing w:after="0"/>
              <w:ind w:firstLine="0"/>
              <w:rPr>
                <w:rFonts w:eastAsia="Arial Unicode MS"/>
                <w:i/>
                <w:sz w:val="20"/>
                <w:szCs w:val="20"/>
              </w:rPr>
            </w:pPr>
            <w:r w:rsidRPr="00736EED">
              <w:rPr>
                <w:rFonts w:eastAsia="Arial Unicode MS"/>
                <w:i/>
                <w:sz w:val="20"/>
                <w:szCs w:val="20"/>
              </w:rPr>
              <w:t>3 752</w:t>
            </w:r>
          </w:p>
          <w:p w:rsidR="000151A5" w:rsidRPr="00AA1204" w:rsidRDefault="000151A5" w:rsidP="000151A5">
            <w:pPr>
              <w:tabs>
                <w:tab w:val="decimal" w:pos="794"/>
              </w:tabs>
              <w:spacing w:after="0"/>
              <w:ind w:firstLine="0"/>
              <w:rPr>
                <w:rFonts w:eastAsia="Arial Unicode MS"/>
                <w:i/>
                <w:sz w:val="20"/>
                <w:szCs w:val="20"/>
                <w:highlight w:val="yellow"/>
              </w:rPr>
            </w:pPr>
          </w:p>
          <w:p w:rsidR="000151A5" w:rsidRPr="00AA1204" w:rsidRDefault="000151A5" w:rsidP="000151A5">
            <w:pPr>
              <w:tabs>
                <w:tab w:val="decimal" w:pos="794"/>
              </w:tabs>
              <w:spacing w:after="0"/>
              <w:ind w:firstLine="0"/>
              <w:rPr>
                <w:rFonts w:eastAsia="Arial Unicode MS"/>
                <w:i/>
                <w:sz w:val="20"/>
                <w:szCs w:val="20"/>
                <w:highlight w:val="yellow"/>
              </w:rPr>
            </w:pPr>
          </w:p>
          <w:p w:rsidR="000151A5" w:rsidRDefault="000151A5" w:rsidP="000151A5">
            <w:pPr>
              <w:tabs>
                <w:tab w:val="decimal" w:pos="794"/>
              </w:tabs>
              <w:spacing w:after="0"/>
              <w:ind w:firstLine="0"/>
              <w:rPr>
                <w:rFonts w:eastAsia="Arial Unicode MS"/>
                <w:i/>
                <w:sz w:val="20"/>
                <w:szCs w:val="20"/>
              </w:rPr>
            </w:pPr>
            <w:r w:rsidRPr="00736EED">
              <w:rPr>
                <w:rFonts w:eastAsia="Arial Unicode MS"/>
                <w:i/>
                <w:sz w:val="20"/>
                <w:szCs w:val="20"/>
              </w:rPr>
              <w:t>97</w:t>
            </w:r>
            <w:r>
              <w:rPr>
                <w:rFonts w:eastAsia="Arial Unicode MS"/>
                <w:i/>
                <w:sz w:val="20"/>
                <w:szCs w:val="20"/>
              </w:rPr>
              <w:t> </w:t>
            </w:r>
            <w:r w:rsidRPr="00736EED">
              <w:rPr>
                <w:rFonts w:eastAsia="Arial Unicode MS"/>
                <w:i/>
                <w:sz w:val="20"/>
                <w:szCs w:val="20"/>
              </w:rPr>
              <w:t xml:space="preserve">205 </w:t>
            </w:r>
          </w:p>
          <w:p w:rsidR="000151A5" w:rsidRPr="00736EED" w:rsidRDefault="000151A5" w:rsidP="000151A5">
            <w:pPr>
              <w:tabs>
                <w:tab w:val="decimal" w:pos="794"/>
              </w:tabs>
              <w:spacing w:after="0"/>
              <w:ind w:firstLine="0"/>
              <w:rPr>
                <w:rFonts w:eastAsia="Arial Unicode MS"/>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0151A5" w:rsidRPr="00736EED" w:rsidRDefault="000151A5" w:rsidP="000151A5">
            <w:pPr>
              <w:tabs>
                <w:tab w:val="decimal" w:pos="794"/>
              </w:tabs>
              <w:spacing w:after="0"/>
              <w:ind w:firstLine="0"/>
              <w:rPr>
                <w:rFonts w:eastAsia="Arial Unicode MS"/>
                <w:b/>
                <w:sz w:val="20"/>
                <w:szCs w:val="20"/>
              </w:rPr>
            </w:pPr>
            <w:r w:rsidRPr="00736EED">
              <w:rPr>
                <w:rFonts w:eastAsia="Arial Unicode MS"/>
                <w:b/>
                <w:sz w:val="20"/>
                <w:szCs w:val="20"/>
              </w:rPr>
              <w:t>105 678</w:t>
            </w:r>
          </w:p>
          <w:p w:rsidR="000151A5" w:rsidRPr="00AA1204" w:rsidRDefault="000151A5" w:rsidP="000151A5">
            <w:pPr>
              <w:tabs>
                <w:tab w:val="decimal" w:pos="794"/>
              </w:tabs>
              <w:spacing w:after="0"/>
              <w:ind w:firstLine="0"/>
              <w:rPr>
                <w:rFonts w:eastAsia="Arial Unicode MS"/>
                <w:i/>
                <w:sz w:val="20"/>
                <w:szCs w:val="20"/>
                <w:highlight w:val="yellow"/>
              </w:rPr>
            </w:pPr>
          </w:p>
          <w:p w:rsidR="000151A5" w:rsidRPr="00736EED" w:rsidRDefault="000151A5" w:rsidP="000151A5">
            <w:pPr>
              <w:tabs>
                <w:tab w:val="decimal" w:pos="794"/>
              </w:tabs>
              <w:spacing w:after="0"/>
              <w:ind w:firstLine="0"/>
              <w:rPr>
                <w:rFonts w:eastAsia="Arial Unicode MS"/>
                <w:i/>
                <w:sz w:val="20"/>
                <w:szCs w:val="20"/>
              </w:rPr>
            </w:pPr>
            <w:r w:rsidRPr="00736EED">
              <w:rPr>
                <w:rFonts w:eastAsia="Arial Unicode MS"/>
                <w:i/>
                <w:sz w:val="20"/>
                <w:szCs w:val="20"/>
              </w:rPr>
              <w:t>3 741</w:t>
            </w:r>
          </w:p>
          <w:p w:rsidR="000151A5" w:rsidRPr="00AA1204" w:rsidRDefault="000151A5" w:rsidP="000151A5">
            <w:pPr>
              <w:tabs>
                <w:tab w:val="decimal" w:pos="794"/>
              </w:tabs>
              <w:spacing w:after="0"/>
              <w:ind w:firstLine="0"/>
              <w:rPr>
                <w:rFonts w:eastAsia="Arial Unicode MS"/>
                <w:sz w:val="20"/>
                <w:szCs w:val="20"/>
                <w:highlight w:val="yellow"/>
              </w:rPr>
            </w:pPr>
          </w:p>
          <w:p w:rsidR="000151A5" w:rsidRPr="00AA1204" w:rsidRDefault="000151A5" w:rsidP="000151A5">
            <w:pPr>
              <w:tabs>
                <w:tab w:val="decimal" w:pos="794"/>
              </w:tabs>
              <w:spacing w:after="0"/>
              <w:ind w:firstLine="0"/>
              <w:rPr>
                <w:rFonts w:eastAsia="Arial Unicode MS"/>
                <w:sz w:val="20"/>
                <w:szCs w:val="20"/>
                <w:highlight w:val="yellow"/>
              </w:rPr>
            </w:pPr>
          </w:p>
          <w:p w:rsidR="000151A5" w:rsidRDefault="000151A5" w:rsidP="000151A5">
            <w:pPr>
              <w:tabs>
                <w:tab w:val="decimal" w:pos="794"/>
              </w:tabs>
              <w:spacing w:after="0"/>
              <w:ind w:firstLine="0"/>
              <w:rPr>
                <w:rFonts w:eastAsia="Arial Unicode MS"/>
                <w:i/>
                <w:sz w:val="20"/>
                <w:szCs w:val="20"/>
              </w:rPr>
            </w:pPr>
            <w:r w:rsidRPr="00736EED">
              <w:rPr>
                <w:rFonts w:eastAsia="Arial Unicode MS"/>
                <w:i/>
                <w:sz w:val="20"/>
                <w:szCs w:val="20"/>
              </w:rPr>
              <w:t>94</w:t>
            </w:r>
            <w:r>
              <w:rPr>
                <w:rFonts w:eastAsia="Arial Unicode MS"/>
                <w:i/>
                <w:sz w:val="20"/>
                <w:szCs w:val="20"/>
              </w:rPr>
              <w:t> </w:t>
            </w:r>
            <w:r w:rsidRPr="00736EED">
              <w:rPr>
                <w:rFonts w:eastAsia="Arial Unicode MS"/>
                <w:i/>
                <w:sz w:val="20"/>
                <w:szCs w:val="20"/>
              </w:rPr>
              <w:t>913</w:t>
            </w:r>
          </w:p>
          <w:p w:rsidR="000151A5" w:rsidRPr="00736EED" w:rsidRDefault="000151A5" w:rsidP="000151A5">
            <w:pPr>
              <w:tabs>
                <w:tab w:val="decimal" w:pos="794"/>
              </w:tabs>
              <w:spacing w:after="0"/>
              <w:ind w:firstLine="0"/>
              <w:rPr>
                <w:rFonts w:eastAsia="Arial Unicode MS"/>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0151A5" w:rsidRPr="00E44888" w:rsidRDefault="000151A5" w:rsidP="000151A5">
            <w:pPr>
              <w:tabs>
                <w:tab w:val="decimal" w:pos="794"/>
              </w:tabs>
              <w:spacing w:after="0"/>
              <w:ind w:firstLine="0"/>
              <w:rPr>
                <w:rFonts w:eastAsia="Times New Roman"/>
                <w:b/>
                <w:sz w:val="20"/>
                <w:szCs w:val="20"/>
              </w:rPr>
            </w:pPr>
            <w:r w:rsidRPr="00E44888">
              <w:rPr>
                <w:rFonts w:eastAsia="Times New Roman"/>
                <w:b/>
                <w:sz w:val="20"/>
                <w:szCs w:val="20"/>
              </w:rPr>
              <w:t>474 556</w:t>
            </w:r>
          </w:p>
          <w:p w:rsidR="000151A5" w:rsidRPr="00AA1204" w:rsidRDefault="000151A5" w:rsidP="000151A5">
            <w:pPr>
              <w:tabs>
                <w:tab w:val="decimal" w:pos="794"/>
              </w:tabs>
              <w:spacing w:after="0"/>
              <w:ind w:firstLine="0"/>
              <w:rPr>
                <w:rFonts w:eastAsia="Times New Roman"/>
                <w:i/>
                <w:sz w:val="20"/>
                <w:szCs w:val="20"/>
                <w:highlight w:val="yellow"/>
              </w:rPr>
            </w:pPr>
          </w:p>
          <w:p w:rsidR="000151A5" w:rsidRPr="00E44888" w:rsidRDefault="000151A5" w:rsidP="000151A5">
            <w:pPr>
              <w:tabs>
                <w:tab w:val="decimal" w:pos="794"/>
              </w:tabs>
              <w:spacing w:after="0"/>
              <w:ind w:firstLine="0"/>
              <w:rPr>
                <w:rFonts w:eastAsia="Times New Roman"/>
                <w:i/>
                <w:sz w:val="20"/>
                <w:szCs w:val="20"/>
              </w:rPr>
            </w:pPr>
            <w:r>
              <w:rPr>
                <w:rFonts w:eastAsia="Times New Roman"/>
                <w:i/>
                <w:sz w:val="20"/>
                <w:szCs w:val="20"/>
              </w:rPr>
              <w:t>15 790</w:t>
            </w:r>
            <w:r w:rsidRPr="00E44888">
              <w:rPr>
                <w:rFonts w:eastAsia="Times New Roman"/>
                <w:i/>
                <w:sz w:val="20"/>
                <w:szCs w:val="20"/>
              </w:rPr>
              <w:t> </w:t>
            </w:r>
          </w:p>
          <w:p w:rsidR="000151A5" w:rsidRPr="00AA1204" w:rsidRDefault="000151A5" w:rsidP="000151A5">
            <w:pPr>
              <w:tabs>
                <w:tab w:val="decimal" w:pos="794"/>
              </w:tabs>
              <w:spacing w:after="0"/>
              <w:ind w:firstLine="0"/>
              <w:rPr>
                <w:rFonts w:eastAsia="Times New Roman"/>
                <w:i/>
                <w:sz w:val="20"/>
                <w:szCs w:val="20"/>
                <w:highlight w:val="yellow"/>
              </w:rPr>
            </w:pPr>
          </w:p>
          <w:p w:rsidR="000151A5" w:rsidRPr="00AA1204" w:rsidRDefault="000151A5" w:rsidP="000151A5">
            <w:pPr>
              <w:tabs>
                <w:tab w:val="decimal" w:pos="794"/>
              </w:tabs>
              <w:spacing w:after="0"/>
              <w:ind w:firstLine="0"/>
              <w:rPr>
                <w:rFonts w:eastAsia="Times New Roman"/>
                <w:i/>
                <w:sz w:val="20"/>
                <w:szCs w:val="20"/>
                <w:highlight w:val="yellow"/>
              </w:rPr>
            </w:pPr>
          </w:p>
          <w:p w:rsidR="000151A5" w:rsidRDefault="000151A5" w:rsidP="000151A5">
            <w:pPr>
              <w:tabs>
                <w:tab w:val="decimal" w:pos="794"/>
              </w:tabs>
              <w:spacing w:after="0"/>
              <w:ind w:firstLine="0"/>
              <w:rPr>
                <w:rFonts w:eastAsia="Times New Roman"/>
                <w:i/>
                <w:sz w:val="20"/>
                <w:szCs w:val="20"/>
              </w:rPr>
            </w:pPr>
            <w:r w:rsidRPr="00E44888">
              <w:rPr>
                <w:rFonts w:eastAsia="Times New Roman"/>
                <w:i/>
                <w:sz w:val="20"/>
                <w:szCs w:val="20"/>
              </w:rPr>
              <w:t>430</w:t>
            </w:r>
            <w:r>
              <w:rPr>
                <w:rFonts w:eastAsia="Times New Roman"/>
                <w:i/>
                <w:sz w:val="20"/>
                <w:szCs w:val="20"/>
              </w:rPr>
              <w:t> </w:t>
            </w:r>
            <w:r w:rsidRPr="00E44888">
              <w:rPr>
                <w:rFonts w:eastAsia="Times New Roman"/>
                <w:i/>
                <w:sz w:val="20"/>
                <w:szCs w:val="20"/>
              </w:rPr>
              <w:t>357</w:t>
            </w:r>
          </w:p>
          <w:p w:rsidR="000151A5" w:rsidRPr="00E44888" w:rsidRDefault="000151A5" w:rsidP="000151A5">
            <w:pPr>
              <w:tabs>
                <w:tab w:val="decimal" w:pos="794"/>
              </w:tabs>
              <w:spacing w:after="0"/>
              <w:ind w:firstLine="0"/>
              <w:rPr>
                <w:rFonts w:eastAsia="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0151A5" w:rsidRPr="004A140F" w:rsidRDefault="000151A5" w:rsidP="000151A5">
            <w:pPr>
              <w:tabs>
                <w:tab w:val="decimal" w:pos="512"/>
              </w:tabs>
              <w:spacing w:after="0"/>
              <w:ind w:firstLine="0"/>
              <w:rPr>
                <w:rFonts w:eastAsia="Times New Roman"/>
                <w:b/>
                <w:sz w:val="20"/>
                <w:szCs w:val="20"/>
              </w:rPr>
            </w:pPr>
            <w:r w:rsidRPr="004A140F">
              <w:rPr>
                <w:rFonts w:eastAsia="Times New Roman"/>
                <w:b/>
                <w:sz w:val="20"/>
                <w:szCs w:val="20"/>
              </w:rPr>
              <w:t>80,7</w:t>
            </w:r>
          </w:p>
          <w:p w:rsidR="000151A5" w:rsidRPr="004A140F" w:rsidRDefault="000151A5" w:rsidP="000151A5">
            <w:pPr>
              <w:tabs>
                <w:tab w:val="decimal" w:pos="512"/>
              </w:tabs>
              <w:spacing w:after="0"/>
              <w:ind w:firstLine="0"/>
              <w:rPr>
                <w:rFonts w:eastAsia="Times New Roman"/>
                <w:b/>
                <w:sz w:val="20"/>
                <w:szCs w:val="20"/>
              </w:rPr>
            </w:pPr>
          </w:p>
          <w:p w:rsidR="000151A5" w:rsidRPr="004A140F" w:rsidRDefault="000151A5" w:rsidP="000151A5">
            <w:pPr>
              <w:tabs>
                <w:tab w:val="decimal" w:pos="512"/>
              </w:tabs>
              <w:spacing w:after="0"/>
              <w:ind w:firstLine="0"/>
              <w:rPr>
                <w:rFonts w:eastAsia="Times New Roman"/>
                <w:i/>
                <w:sz w:val="20"/>
                <w:szCs w:val="20"/>
              </w:rPr>
            </w:pPr>
            <w:r w:rsidRPr="004A140F">
              <w:rPr>
                <w:rFonts w:eastAsia="Times New Roman"/>
                <w:i/>
                <w:sz w:val="20"/>
                <w:szCs w:val="20"/>
              </w:rPr>
              <w:t>100,3</w:t>
            </w:r>
          </w:p>
          <w:p w:rsidR="000151A5" w:rsidRPr="004A140F" w:rsidRDefault="000151A5" w:rsidP="000151A5">
            <w:pPr>
              <w:tabs>
                <w:tab w:val="decimal" w:pos="512"/>
              </w:tabs>
              <w:spacing w:after="0"/>
              <w:ind w:firstLine="0"/>
              <w:rPr>
                <w:rFonts w:eastAsia="Times New Roman"/>
                <w:i/>
                <w:sz w:val="20"/>
                <w:szCs w:val="20"/>
              </w:rPr>
            </w:pPr>
          </w:p>
          <w:p w:rsidR="000151A5" w:rsidRPr="004A140F" w:rsidRDefault="000151A5" w:rsidP="000151A5">
            <w:pPr>
              <w:tabs>
                <w:tab w:val="decimal" w:pos="512"/>
              </w:tabs>
              <w:spacing w:after="0"/>
              <w:ind w:firstLine="0"/>
              <w:rPr>
                <w:rFonts w:eastAsia="Times New Roman"/>
                <w:i/>
                <w:sz w:val="20"/>
                <w:szCs w:val="20"/>
              </w:rPr>
            </w:pPr>
          </w:p>
          <w:p w:rsidR="000151A5" w:rsidRDefault="000151A5" w:rsidP="000151A5">
            <w:pPr>
              <w:tabs>
                <w:tab w:val="decimal" w:pos="512"/>
              </w:tabs>
              <w:spacing w:after="0"/>
              <w:ind w:firstLine="0"/>
              <w:rPr>
                <w:rFonts w:eastAsia="Times New Roman"/>
                <w:i/>
                <w:sz w:val="20"/>
                <w:szCs w:val="20"/>
              </w:rPr>
            </w:pPr>
            <w:r w:rsidRPr="004A140F">
              <w:rPr>
                <w:rFonts w:eastAsia="Times New Roman"/>
                <w:i/>
                <w:sz w:val="20"/>
                <w:szCs w:val="20"/>
              </w:rPr>
              <w:t>137,2</w:t>
            </w:r>
          </w:p>
          <w:p w:rsidR="000151A5" w:rsidRPr="004A140F" w:rsidRDefault="000151A5" w:rsidP="000151A5">
            <w:pPr>
              <w:tabs>
                <w:tab w:val="decimal" w:pos="512"/>
              </w:tabs>
              <w:spacing w:after="0"/>
              <w:ind w:firstLine="0"/>
              <w:rPr>
                <w:rFonts w:eastAsia="Times New Roman"/>
                <w:b/>
                <w:sz w:val="20"/>
                <w:szCs w:val="20"/>
              </w:rPr>
            </w:pPr>
          </w:p>
        </w:tc>
        <w:tc>
          <w:tcPr>
            <w:tcW w:w="923" w:type="dxa"/>
            <w:tcBorders>
              <w:top w:val="single" w:sz="4" w:space="0" w:color="auto"/>
              <w:left w:val="single" w:sz="4" w:space="0" w:color="auto"/>
              <w:bottom w:val="single" w:sz="4" w:space="0" w:color="auto"/>
              <w:right w:val="single" w:sz="4" w:space="0" w:color="auto"/>
            </w:tcBorders>
          </w:tcPr>
          <w:p w:rsidR="000151A5" w:rsidRPr="00B407BA" w:rsidRDefault="000151A5" w:rsidP="000151A5">
            <w:pPr>
              <w:tabs>
                <w:tab w:val="decimal" w:pos="450"/>
              </w:tabs>
              <w:spacing w:after="0"/>
              <w:ind w:firstLine="0"/>
              <w:rPr>
                <w:rFonts w:eastAsia="Times New Roman"/>
                <w:b/>
                <w:sz w:val="20"/>
                <w:szCs w:val="20"/>
              </w:rPr>
            </w:pPr>
            <w:r w:rsidRPr="00B407BA">
              <w:rPr>
                <w:rFonts w:eastAsia="Times New Roman"/>
                <w:b/>
                <w:sz w:val="20"/>
                <w:szCs w:val="20"/>
              </w:rPr>
              <w:t>97,9</w:t>
            </w:r>
          </w:p>
          <w:p w:rsidR="000151A5" w:rsidRPr="00B407BA" w:rsidRDefault="000151A5" w:rsidP="000151A5">
            <w:pPr>
              <w:tabs>
                <w:tab w:val="decimal" w:pos="450"/>
              </w:tabs>
              <w:spacing w:after="0"/>
              <w:ind w:firstLine="0"/>
              <w:rPr>
                <w:rFonts w:eastAsia="Times New Roman"/>
                <w:i/>
                <w:sz w:val="20"/>
                <w:szCs w:val="20"/>
              </w:rPr>
            </w:pPr>
          </w:p>
          <w:p w:rsidR="000151A5" w:rsidRPr="00B407BA" w:rsidRDefault="000151A5" w:rsidP="000151A5">
            <w:pPr>
              <w:tabs>
                <w:tab w:val="decimal" w:pos="450"/>
              </w:tabs>
              <w:spacing w:after="0"/>
              <w:ind w:firstLine="0"/>
              <w:rPr>
                <w:rFonts w:eastAsia="Times New Roman"/>
                <w:i/>
                <w:sz w:val="20"/>
                <w:szCs w:val="20"/>
              </w:rPr>
            </w:pPr>
            <w:r w:rsidRPr="00B407BA">
              <w:rPr>
                <w:rFonts w:eastAsia="Times New Roman"/>
                <w:i/>
                <w:sz w:val="20"/>
                <w:szCs w:val="20"/>
              </w:rPr>
              <w:t>99,7</w:t>
            </w:r>
          </w:p>
          <w:p w:rsidR="000151A5" w:rsidRPr="00B407BA" w:rsidRDefault="000151A5" w:rsidP="000151A5">
            <w:pPr>
              <w:tabs>
                <w:tab w:val="decimal" w:pos="450"/>
              </w:tabs>
              <w:spacing w:after="0"/>
              <w:ind w:firstLine="0"/>
              <w:rPr>
                <w:rFonts w:eastAsia="Times New Roman"/>
                <w:i/>
                <w:sz w:val="20"/>
                <w:szCs w:val="20"/>
              </w:rPr>
            </w:pPr>
          </w:p>
          <w:p w:rsidR="000151A5" w:rsidRPr="00B407BA" w:rsidRDefault="000151A5" w:rsidP="000151A5">
            <w:pPr>
              <w:tabs>
                <w:tab w:val="decimal" w:pos="450"/>
              </w:tabs>
              <w:spacing w:after="0"/>
              <w:ind w:firstLine="0"/>
              <w:rPr>
                <w:rFonts w:eastAsia="Times New Roman"/>
                <w:i/>
                <w:sz w:val="20"/>
                <w:szCs w:val="20"/>
              </w:rPr>
            </w:pPr>
          </w:p>
          <w:p w:rsidR="000151A5" w:rsidRDefault="000151A5" w:rsidP="000151A5">
            <w:pPr>
              <w:tabs>
                <w:tab w:val="decimal" w:pos="450"/>
              </w:tabs>
              <w:spacing w:after="0"/>
              <w:ind w:firstLine="0"/>
              <w:rPr>
                <w:rFonts w:eastAsia="Times New Roman"/>
                <w:i/>
                <w:sz w:val="20"/>
                <w:szCs w:val="20"/>
              </w:rPr>
            </w:pPr>
            <w:r w:rsidRPr="00B407BA">
              <w:rPr>
                <w:rFonts w:eastAsia="Times New Roman"/>
                <w:i/>
                <w:sz w:val="20"/>
                <w:szCs w:val="20"/>
              </w:rPr>
              <w:t>97,6</w:t>
            </w:r>
          </w:p>
          <w:p w:rsidR="000151A5" w:rsidRPr="00B407BA" w:rsidRDefault="000151A5" w:rsidP="000151A5">
            <w:pPr>
              <w:tabs>
                <w:tab w:val="decimal" w:pos="450"/>
              </w:tabs>
              <w:spacing w:after="0"/>
              <w:ind w:firstLine="0"/>
              <w:rPr>
                <w:rFonts w:eastAsia="Times New Roman"/>
                <w:b/>
                <w:sz w:val="20"/>
                <w:szCs w:val="20"/>
              </w:rPr>
            </w:pPr>
          </w:p>
        </w:tc>
        <w:tc>
          <w:tcPr>
            <w:tcW w:w="958" w:type="dxa"/>
            <w:tcBorders>
              <w:top w:val="single" w:sz="4" w:space="0" w:color="auto"/>
              <w:left w:val="single" w:sz="4" w:space="0" w:color="auto"/>
              <w:bottom w:val="single" w:sz="4" w:space="0" w:color="auto"/>
              <w:right w:val="single" w:sz="4" w:space="0" w:color="auto"/>
            </w:tcBorders>
          </w:tcPr>
          <w:p w:rsidR="000151A5" w:rsidRPr="00826171" w:rsidRDefault="000151A5" w:rsidP="000151A5">
            <w:pPr>
              <w:tabs>
                <w:tab w:val="decimal" w:pos="451"/>
              </w:tabs>
              <w:spacing w:after="0"/>
              <w:ind w:firstLine="0"/>
              <w:rPr>
                <w:rFonts w:eastAsia="Times New Roman"/>
                <w:b/>
                <w:sz w:val="20"/>
                <w:szCs w:val="20"/>
              </w:rPr>
            </w:pPr>
            <w:r w:rsidRPr="00826171">
              <w:rPr>
                <w:rFonts w:eastAsia="Times New Roman"/>
                <w:sz w:val="20"/>
                <w:szCs w:val="20"/>
              </w:rPr>
              <w:t> </w:t>
            </w:r>
            <w:r w:rsidRPr="00826171">
              <w:rPr>
                <w:rFonts w:eastAsia="Times New Roman"/>
                <w:b/>
                <w:sz w:val="20"/>
                <w:szCs w:val="20"/>
              </w:rPr>
              <w:t>22,3</w:t>
            </w:r>
          </w:p>
          <w:p w:rsidR="000151A5" w:rsidRPr="00826171" w:rsidRDefault="000151A5" w:rsidP="000151A5">
            <w:pPr>
              <w:tabs>
                <w:tab w:val="decimal" w:pos="451"/>
              </w:tabs>
              <w:spacing w:after="0"/>
              <w:ind w:firstLine="0"/>
              <w:rPr>
                <w:rFonts w:eastAsia="Times New Roman"/>
                <w:i/>
                <w:sz w:val="20"/>
                <w:szCs w:val="20"/>
              </w:rPr>
            </w:pPr>
          </w:p>
          <w:p w:rsidR="000151A5" w:rsidRPr="00826171" w:rsidRDefault="000151A5" w:rsidP="000151A5">
            <w:pPr>
              <w:tabs>
                <w:tab w:val="decimal" w:pos="451"/>
              </w:tabs>
              <w:spacing w:after="0"/>
              <w:ind w:firstLine="0"/>
              <w:rPr>
                <w:rFonts w:eastAsia="Times New Roman"/>
                <w:i/>
                <w:sz w:val="20"/>
                <w:szCs w:val="20"/>
              </w:rPr>
            </w:pPr>
            <w:r w:rsidRPr="00826171">
              <w:rPr>
                <w:rFonts w:eastAsia="Times New Roman"/>
                <w:i/>
                <w:sz w:val="20"/>
                <w:szCs w:val="20"/>
              </w:rPr>
              <w:t>23,7</w:t>
            </w:r>
          </w:p>
          <w:p w:rsidR="000151A5" w:rsidRPr="00826171" w:rsidRDefault="000151A5" w:rsidP="000151A5">
            <w:pPr>
              <w:tabs>
                <w:tab w:val="decimal" w:pos="451"/>
              </w:tabs>
              <w:spacing w:after="0"/>
              <w:ind w:firstLine="0"/>
              <w:rPr>
                <w:rFonts w:eastAsia="Times New Roman"/>
                <w:i/>
                <w:sz w:val="20"/>
                <w:szCs w:val="20"/>
              </w:rPr>
            </w:pPr>
          </w:p>
          <w:p w:rsidR="000151A5" w:rsidRPr="00826171" w:rsidRDefault="000151A5" w:rsidP="000151A5">
            <w:pPr>
              <w:tabs>
                <w:tab w:val="decimal" w:pos="451"/>
              </w:tabs>
              <w:spacing w:after="0"/>
              <w:ind w:firstLine="0"/>
              <w:rPr>
                <w:rFonts w:eastAsia="Times New Roman"/>
                <w:i/>
                <w:sz w:val="20"/>
                <w:szCs w:val="20"/>
              </w:rPr>
            </w:pPr>
          </w:p>
          <w:p w:rsidR="000151A5" w:rsidRDefault="000151A5" w:rsidP="000151A5">
            <w:pPr>
              <w:tabs>
                <w:tab w:val="decimal" w:pos="451"/>
              </w:tabs>
              <w:spacing w:after="0"/>
              <w:ind w:firstLine="0"/>
              <w:rPr>
                <w:rFonts w:eastAsia="Times New Roman"/>
                <w:i/>
                <w:sz w:val="20"/>
                <w:szCs w:val="20"/>
              </w:rPr>
            </w:pPr>
            <w:r w:rsidRPr="00826171">
              <w:rPr>
                <w:rFonts w:eastAsia="Times New Roman"/>
                <w:i/>
                <w:sz w:val="20"/>
                <w:szCs w:val="20"/>
              </w:rPr>
              <w:t>22,1</w:t>
            </w:r>
          </w:p>
          <w:p w:rsidR="000151A5" w:rsidRPr="00826171" w:rsidRDefault="000151A5" w:rsidP="000151A5">
            <w:pPr>
              <w:tabs>
                <w:tab w:val="decimal" w:pos="451"/>
              </w:tabs>
              <w:spacing w:after="0"/>
              <w:ind w:firstLine="0"/>
              <w:rPr>
                <w:rFonts w:eastAsia="Times New Roman"/>
                <w:sz w:val="20"/>
                <w:szCs w:val="20"/>
              </w:rPr>
            </w:pPr>
          </w:p>
        </w:tc>
      </w:tr>
      <w:tr w:rsidR="000151A5" w:rsidRPr="00800CCE" w:rsidTr="000151A5">
        <w:trPr>
          <w:cantSplit/>
          <w:jc w:val="center"/>
        </w:trPr>
        <w:tc>
          <w:tcPr>
            <w:tcW w:w="2977" w:type="dxa"/>
            <w:tcBorders>
              <w:top w:val="single" w:sz="4" w:space="0" w:color="auto"/>
              <w:left w:val="single" w:sz="4" w:space="0" w:color="auto"/>
              <w:bottom w:val="nil"/>
            </w:tcBorders>
          </w:tcPr>
          <w:p w:rsidR="000151A5" w:rsidRPr="00800CCE" w:rsidRDefault="000151A5" w:rsidP="000151A5">
            <w:pPr>
              <w:spacing w:after="0"/>
              <w:ind w:firstLine="0"/>
              <w:rPr>
                <w:rFonts w:eastAsia="Times New Roman"/>
                <w:i/>
                <w:snapToGrid w:val="0"/>
                <w:sz w:val="20"/>
                <w:szCs w:val="20"/>
              </w:rPr>
            </w:pPr>
            <w:r w:rsidRPr="00800CCE">
              <w:rPr>
                <w:rFonts w:eastAsia="Times New Roman"/>
                <w:i/>
                <w:snapToGrid w:val="0"/>
                <w:sz w:val="20"/>
                <w:szCs w:val="20"/>
              </w:rPr>
              <w:lastRenderedPageBreak/>
              <w:t xml:space="preserve">      Valsts budžeta uzturēšanas izdevumu transferti pašvaldībām noteiktiem mērķiem</w:t>
            </w:r>
          </w:p>
          <w:p w:rsidR="000151A5" w:rsidRPr="00800CCE" w:rsidRDefault="000151A5" w:rsidP="000151A5">
            <w:pPr>
              <w:spacing w:after="0"/>
              <w:ind w:firstLine="0"/>
              <w:rPr>
                <w:rFonts w:eastAsia="Times New Roman"/>
                <w:i/>
                <w:snapToGrid w:val="0"/>
                <w:sz w:val="20"/>
                <w:szCs w:val="20"/>
              </w:rPr>
            </w:pPr>
            <w:r w:rsidRPr="00800CCE">
              <w:rPr>
                <w:rFonts w:eastAsia="Times New Roman"/>
                <w:i/>
                <w:snapToGrid w:val="0"/>
                <w:sz w:val="20"/>
                <w:szCs w:val="20"/>
              </w:rPr>
              <w:t xml:space="preserve">      Valsts budžeta uzturēšanas izdevumu transferti pašvaldībām Eiropas Savienības politiku instrumentu un pārējās ārvalstu finanšu palīdzības līdzfinansētajiem projektiem (pasākumiem)</w:t>
            </w:r>
          </w:p>
          <w:p w:rsidR="000151A5" w:rsidRPr="00800CCE" w:rsidRDefault="000151A5" w:rsidP="000151A5">
            <w:pPr>
              <w:spacing w:after="0"/>
              <w:ind w:firstLine="0"/>
              <w:rPr>
                <w:rFonts w:eastAsia="Times New Roman"/>
                <w:i/>
                <w:snapToGrid w:val="0"/>
                <w:sz w:val="20"/>
                <w:szCs w:val="20"/>
              </w:rPr>
            </w:pPr>
            <w:r w:rsidRPr="00800CCE">
              <w:rPr>
                <w:rFonts w:eastAsia="Times New Roman"/>
                <w:i/>
                <w:snapToGrid w:val="0"/>
                <w:sz w:val="20"/>
                <w:szCs w:val="20"/>
              </w:rPr>
              <w:t xml:space="preserve">      Valsts budžeta transferti valsts budžeta daļēji finansētām atvasinātajām publiskajām personām un budžeta nefinansētām iestādēm noteiktiem mērķiem</w:t>
            </w:r>
          </w:p>
        </w:tc>
        <w:tc>
          <w:tcPr>
            <w:tcW w:w="992" w:type="dxa"/>
            <w:tcBorders>
              <w:top w:val="single" w:sz="4" w:space="0" w:color="auto"/>
              <w:bottom w:val="nil"/>
            </w:tcBorders>
          </w:tcPr>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r w:rsidRPr="00800CCE">
              <w:rPr>
                <w:rFonts w:eastAsia="Arial Unicode MS"/>
                <w:i/>
                <w:sz w:val="20"/>
                <w:szCs w:val="20"/>
              </w:rPr>
              <w:t>x</w:t>
            </w: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r w:rsidRPr="00800CCE">
              <w:rPr>
                <w:rFonts w:eastAsia="Arial Unicode MS"/>
                <w:i/>
                <w:sz w:val="20"/>
                <w:szCs w:val="20"/>
              </w:rPr>
              <w:t>x</w:t>
            </w: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r w:rsidRPr="00800CCE">
              <w:rPr>
                <w:rFonts w:eastAsia="Arial Unicode MS"/>
                <w:i/>
                <w:sz w:val="20"/>
                <w:szCs w:val="20"/>
              </w:rPr>
              <w:t>x</w:t>
            </w:r>
          </w:p>
        </w:tc>
        <w:tc>
          <w:tcPr>
            <w:tcW w:w="993" w:type="dxa"/>
            <w:tcBorders>
              <w:top w:val="single" w:sz="4" w:space="0" w:color="auto"/>
              <w:bottom w:val="nil"/>
            </w:tcBorders>
          </w:tcPr>
          <w:p w:rsidR="000151A5" w:rsidRPr="00800CCE" w:rsidRDefault="000151A5" w:rsidP="000151A5">
            <w:pPr>
              <w:tabs>
                <w:tab w:val="decimal" w:pos="794"/>
              </w:tabs>
              <w:spacing w:after="0"/>
              <w:ind w:firstLine="0"/>
              <w:rPr>
                <w:rFonts w:eastAsia="Arial Unicode MS"/>
                <w:i/>
                <w:sz w:val="20"/>
                <w:szCs w:val="20"/>
              </w:rPr>
            </w:pPr>
            <w:r w:rsidRPr="00800CCE">
              <w:rPr>
                <w:rFonts w:eastAsia="Arial Unicode MS"/>
                <w:i/>
                <w:sz w:val="20"/>
                <w:szCs w:val="20"/>
              </w:rPr>
              <w:t xml:space="preserve"> </w:t>
            </w:r>
          </w:p>
          <w:p w:rsidR="000151A5" w:rsidRPr="00800CCE" w:rsidRDefault="000151A5" w:rsidP="000151A5">
            <w:pPr>
              <w:tabs>
                <w:tab w:val="decimal" w:pos="794"/>
              </w:tabs>
              <w:spacing w:after="0"/>
              <w:ind w:firstLine="0"/>
              <w:rPr>
                <w:rFonts w:eastAsia="Arial Unicode MS"/>
                <w:i/>
                <w:sz w:val="20"/>
                <w:szCs w:val="20"/>
              </w:rPr>
            </w:pPr>
            <w:r w:rsidRPr="00800CCE">
              <w:rPr>
                <w:rFonts w:eastAsia="Arial Unicode MS"/>
                <w:i/>
                <w:sz w:val="20"/>
                <w:szCs w:val="20"/>
              </w:rPr>
              <w:t>66 903</w:t>
            </w: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r w:rsidRPr="00800CCE">
              <w:rPr>
                <w:rFonts w:eastAsia="Arial Unicode MS"/>
                <w:i/>
                <w:sz w:val="20"/>
                <w:szCs w:val="20"/>
              </w:rPr>
              <w:t>4 057</w:t>
            </w: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highlight w:val="yellow"/>
              </w:rPr>
            </w:pPr>
            <w:r w:rsidRPr="00800CCE">
              <w:rPr>
                <w:rFonts w:eastAsia="Arial Unicode MS"/>
                <w:i/>
                <w:sz w:val="20"/>
                <w:szCs w:val="20"/>
              </w:rPr>
              <w:t>26 245</w:t>
            </w:r>
          </w:p>
        </w:tc>
        <w:tc>
          <w:tcPr>
            <w:tcW w:w="992" w:type="dxa"/>
            <w:tcBorders>
              <w:top w:val="single" w:sz="4" w:space="0" w:color="auto"/>
              <w:bottom w:val="nil"/>
            </w:tcBorders>
          </w:tcPr>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r w:rsidRPr="00800CCE">
              <w:rPr>
                <w:rFonts w:eastAsia="Arial Unicode MS"/>
                <w:i/>
                <w:sz w:val="20"/>
                <w:szCs w:val="20"/>
              </w:rPr>
              <w:t>65 917</w:t>
            </w: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r w:rsidRPr="00800CCE">
              <w:rPr>
                <w:rFonts w:eastAsia="Arial Unicode MS"/>
                <w:i/>
                <w:sz w:val="20"/>
                <w:szCs w:val="20"/>
              </w:rPr>
              <w:t>3 606</w:t>
            </w: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highlight w:val="yellow"/>
              </w:rPr>
            </w:pPr>
            <w:r w:rsidRPr="00800CCE">
              <w:rPr>
                <w:rFonts w:eastAsia="Arial Unicode MS"/>
                <w:i/>
                <w:sz w:val="20"/>
                <w:szCs w:val="20"/>
              </w:rPr>
              <w:t>25 390</w:t>
            </w:r>
          </w:p>
        </w:tc>
        <w:tc>
          <w:tcPr>
            <w:tcW w:w="992" w:type="dxa"/>
            <w:tcBorders>
              <w:top w:val="single" w:sz="4" w:space="0" w:color="auto"/>
              <w:bottom w:val="nil"/>
            </w:tcBorders>
          </w:tcPr>
          <w:p w:rsidR="000151A5" w:rsidRPr="00800CCE" w:rsidRDefault="000151A5" w:rsidP="000151A5">
            <w:pPr>
              <w:tabs>
                <w:tab w:val="decimal" w:pos="794"/>
              </w:tabs>
              <w:spacing w:after="0"/>
              <w:ind w:firstLine="0"/>
              <w:rPr>
                <w:rFonts w:eastAsia="Times New Roman"/>
                <w:i/>
                <w:sz w:val="20"/>
                <w:szCs w:val="20"/>
              </w:rPr>
            </w:pPr>
          </w:p>
          <w:p w:rsidR="000151A5" w:rsidRPr="00800CCE" w:rsidRDefault="000151A5" w:rsidP="000151A5">
            <w:pPr>
              <w:tabs>
                <w:tab w:val="decimal" w:pos="794"/>
              </w:tabs>
              <w:spacing w:after="0"/>
              <w:ind w:firstLine="0"/>
              <w:rPr>
                <w:rFonts w:eastAsia="Times New Roman"/>
                <w:i/>
                <w:sz w:val="20"/>
                <w:szCs w:val="20"/>
              </w:rPr>
            </w:pPr>
            <w:r w:rsidRPr="00800CCE">
              <w:rPr>
                <w:rFonts w:eastAsia="Times New Roman"/>
                <w:i/>
                <w:sz w:val="20"/>
                <w:szCs w:val="20"/>
              </w:rPr>
              <w:t>272 900</w:t>
            </w:r>
          </w:p>
          <w:p w:rsidR="000151A5" w:rsidRPr="00800CCE" w:rsidRDefault="000151A5" w:rsidP="000151A5">
            <w:pPr>
              <w:tabs>
                <w:tab w:val="decimal" w:pos="794"/>
              </w:tabs>
              <w:spacing w:after="0"/>
              <w:ind w:firstLine="0"/>
              <w:rPr>
                <w:rFonts w:eastAsia="Times New Roman"/>
                <w:i/>
                <w:sz w:val="20"/>
                <w:szCs w:val="20"/>
              </w:rPr>
            </w:pPr>
          </w:p>
          <w:p w:rsidR="000151A5" w:rsidRPr="00800CCE" w:rsidRDefault="000151A5" w:rsidP="000151A5">
            <w:pPr>
              <w:tabs>
                <w:tab w:val="decimal" w:pos="794"/>
              </w:tabs>
              <w:spacing w:after="0"/>
              <w:ind w:firstLine="0"/>
              <w:rPr>
                <w:rFonts w:eastAsia="Times New Roman"/>
                <w:i/>
                <w:sz w:val="20"/>
                <w:szCs w:val="20"/>
              </w:rPr>
            </w:pPr>
          </w:p>
          <w:p w:rsidR="000151A5" w:rsidRPr="00800CCE" w:rsidRDefault="000151A5" w:rsidP="000151A5">
            <w:pPr>
              <w:tabs>
                <w:tab w:val="decimal" w:pos="794"/>
              </w:tabs>
              <w:spacing w:after="0"/>
              <w:ind w:firstLine="0"/>
              <w:rPr>
                <w:rFonts w:eastAsia="Times New Roman"/>
                <w:i/>
                <w:sz w:val="20"/>
                <w:szCs w:val="20"/>
              </w:rPr>
            </w:pPr>
          </w:p>
          <w:p w:rsidR="000151A5" w:rsidRPr="00800CCE" w:rsidRDefault="000151A5" w:rsidP="000151A5">
            <w:pPr>
              <w:tabs>
                <w:tab w:val="decimal" w:pos="794"/>
              </w:tabs>
              <w:spacing w:after="0"/>
              <w:ind w:firstLine="0"/>
              <w:rPr>
                <w:rFonts w:eastAsia="Times New Roman"/>
                <w:i/>
                <w:sz w:val="20"/>
                <w:szCs w:val="20"/>
              </w:rPr>
            </w:pPr>
            <w:r w:rsidRPr="00800CCE">
              <w:rPr>
                <w:rFonts w:eastAsia="Times New Roman"/>
                <w:i/>
                <w:sz w:val="20"/>
                <w:szCs w:val="20"/>
              </w:rPr>
              <w:t>32 631</w:t>
            </w:r>
          </w:p>
          <w:p w:rsidR="000151A5" w:rsidRPr="00800CCE" w:rsidRDefault="000151A5" w:rsidP="000151A5">
            <w:pPr>
              <w:tabs>
                <w:tab w:val="decimal" w:pos="794"/>
              </w:tabs>
              <w:spacing w:after="0"/>
              <w:ind w:firstLine="0"/>
              <w:rPr>
                <w:rFonts w:eastAsia="Times New Roman"/>
                <w:i/>
                <w:sz w:val="20"/>
                <w:szCs w:val="20"/>
              </w:rPr>
            </w:pPr>
          </w:p>
          <w:p w:rsidR="000151A5" w:rsidRPr="00800CCE" w:rsidRDefault="000151A5" w:rsidP="000151A5">
            <w:pPr>
              <w:tabs>
                <w:tab w:val="decimal" w:pos="794"/>
              </w:tabs>
              <w:spacing w:after="0"/>
              <w:ind w:firstLine="0"/>
              <w:rPr>
                <w:rFonts w:eastAsia="Times New Roman"/>
                <w:i/>
                <w:sz w:val="20"/>
                <w:szCs w:val="20"/>
              </w:rPr>
            </w:pPr>
          </w:p>
          <w:p w:rsidR="000151A5" w:rsidRPr="00800CCE" w:rsidRDefault="000151A5" w:rsidP="000151A5">
            <w:pPr>
              <w:tabs>
                <w:tab w:val="decimal" w:pos="794"/>
              </w:tabs>
              <w:spacing w:after="0"/>
              <w:ind w:firstLine="0"/>
              <w:rPr>
                <w:rFonts w:eastAsia="Times New Roman"/>
                <w:i/>
                <w:sz w:val="20"/>
                <w:szCs w:val="20"/>
              </w:rPr>
            </w:pPr>
          </w:p>
          <w:p w:rsidR="000151A5" w:rsidRPr="00800CCE" w:rsidRDefault="000151A5" w:rsidP="000151A5">
            <w:pPr>
              <w:tabs>
                <w:tab w:val="decimal" w:pos="794"/>
              </w:tabs>
              <w:spacing w:after="0"/>
              <w:ind w:firstLine="0"/>
              <w:rPr>
                <w:rFonts w:eastAsia="Times New Roman"/>
                <w:i/>
                <w:sz w:val="20"/>
                <w:szCs w:val="20"/>
              </w:rPr>
            </w:pPr>
          </w:p>
          <w:p w:rsidR="000151A5" w:rsidRPr="00800CCE" w:rsidRDefault="000151A5" w:rsidP="000151A5">
            <w:pPr>
              <w:tabs>
                <w:tab w:val="decimal" w:pos="794"/>
              </w:tabs>
              <w:spacing w:after="0"/>
              <w:ind w:firstLine="0"/>
              <w:rPr>
                <w:rFonts w:eastAsia="Times New Roman"/>
                <w:i/>
                <w:sz w:val="20"/>
                <w:szCs w:val="20"/>
              </w:rPr>
            </w:pPr>
          </w:p>
          <w:p w:rsidR="000151A5" w:rsidRPr="00800CCE" w:rsidRDefault="000151A5" w:rsidP="000151A5">
            <w:pPr>
              <w:tabs>
                <w:tab w:val="decimal" w:pos="794"/>
              </w:tabs>
              <w:spacing w:after="0"/>
              <w:ind w:firstLine="0"/>
              <w:rPr>
                <w:rFonts w:eastAsia="Times New Roman"/>
                <w:i/>
                <w:sz w:val="20"/>
                <w:szCs w:val="20"/>
              </w:rPr>
            </w:pPr>
          </w:p>
          <w:p w:rsidR="000151A5" w:rsidRPr="00800CCE" w:rsidRDefault="000151A5" w:rsidP="000151A5">
            <w:pPr>
              <w:tabs>
                <w:tab w:val="decimal" w:pos="794"/>
              </w:tabs>
              <w:spacing w:after="0"/>
              <w:ind w:firstLine="0"/>
              <w:rPr>
                <w:rFonts w:eastAsia="Times New Roman"/>
                <w:i/>
                <w:sz w:val="20"/>
                <w:szCs w:val="20"/>
                <w:highlight w:val="yellow"/>
              </w:rPr>
            </w:pPr>
            <w:r w:rsidRPr="00800CCE">
              <w:rPr>
                <w:rFonts w:eastAsia="Times New Roman"/>
                <w:i/>
                <w:sz w:val="20"/>
                <w:szCs w:val="20"/>
              </w:rPr>
              <w:t>124 826</w:t>
            </w:r>
          </w:p>
        </w:tc>
        <w:tc>
          <w:tcPr>
            <w:tcW w:w="992" w:type="dxa"/>
            <w:tcBorders>
              <w:top w:val="single" w:sz="4" w:space="0" w:color="auto"/>
              <w:bottom w:val="nil"/>
            </w:tcBorders>
          </w:tcPr>
          <w:p w:rsidR="000151A5" w:rsidRPr="00800CCE" w:rsidRDefault="000151A5" w:rsidP="000151A5">
            <w:pPr>
              <w:tabs>
                <w:tab w:val="decimal" w:pos="512"/>
              </w:tabs>
              <w:spacing w:after="0"/>
              <w:ind w:firstLine="0"/>
              <w:rPr>
                <w:rFonts w:eastAsia="Times New Roman"/>
                <w:i/>
                <w:sz w:val="20"/>
                <w:szCs w:val="20"/>
              </w:rPr>
            </w:pPr>
          </w:p>
          <w:p w:rsidR="000151A5" w:rsidRPr="00800CCE" w:rsidRDefault="000151A5" w:rsidP="000151A5">
            <w:pPr>
              <w:tabs>
                <w:tab w:val="decimal" w:pos="512"/>
              </w:tabs>
              <w:spacing w:after="0"/>
              <w:ind w:firstLine="0"/>
              <w:rPr>
                <w:rFonts w:eastAsia="Times New Roman"/>
                <w:i/>
                <w:sz w:val="20"/>
                <w:szCs w:val="20"/>
              </w:rPr>
            </w:pPr>
            <w:r w:rsidRPr="00800CCE">
              <w:rPr>
                <w:rFonts w:eastAsia="Times New Roman"/>
                <w:i/>
                <w:sz w:val="20"/>
                <w:szCs w:val="20"/>
              </w:rPr>
              <w:t>x</w:t>
            </w:r>
          </w:p>
          <w:p w:rsidR="000151A5" w:rsidRPr="00800CCE" w:rsidRDefault="000151A5" w:rsidP="000151A5">
            <w:pPr>
              <w:tabs>
                <w:tab w:val="decimal" w:pos="512"/>
              </w:tabs>
              <w:spacing w:after="0"/>
              <w:ind w:firstLine="0"/>
              <w:rPr>
                <w:rFonts w:eastAsia="Times New Roman"/>
                <w:i/>
                <w:sz w:val="20"/>
                <w:szCs w:val="20"/>
              </w:rPr>
            </w:pPr>
          </w:p>
          <w:p w:rsidR="000151A5" w:rsidRPr="00800CCE" w:rsidRDefault="000151A5" w:rsidP="000151A5">
            <w:pPr>
              <w:tabs>
                <w:tab w:val="decimal" w:pos="512"/>
              </w:tabs>
              <w:spacing w:after="0"/>
              <w:ind w:firstLine="0"/>
              <w:rPr>
                <w:rFonts w:eastAsia="Times New Roman"/>
                <w:i/>
                <w:sz w:val="20"/>
                <w:szCs w:val="20"/>
              </w:rPr>
            </w:pPr>
          </w:p>
          <w:p w:rsidR="000151A5" w:rsidRPr="00800CCE" w:rsidRDefault="000151A5" w:rsidP="000151A5">
            <w:pPr>
              <w:tabs>
                <w:tab w:val="decimal" w:pos="512"/>
              </w:tabs>
              <w:spacing w:after="0"/>
              <w:ind w:firstLine="0"/>
              <w:rPr>
                <w:rFonts w:eastAsia="Times New Roman"/>
                <w:i/>
                <w:sz w:val="20"/>
                <w:szCs w:val="20"/>
              </w:rPr>
            </w:pPr>
          </w:p>
          <w:p w:rsidR="000151A5" w:rsidRPr="00800CCE" w:rsidRDefault="000151A5" w:rsidP="000151A5">
            <w:pPr>
              <w:tabs>
                <w:tab w:val="decimal" w:pos="512"/>
              </w:tabs>
              <w:spacing w:after="0"/>
              <w:ind w:firstLine="0"/>
              <w:rPr>
                <w:rFonts w:eastAsia="Times New Roman"/>
                <w:i/>
                <w:sz w:val="20"/>
                <w:szCs w:val="20"/>
              </w:rPr>
            </w:pPr>
            <w:r w:rsidRPr="00800CCE">
              <w:rPr>
                <w:rFonts w:eastAsia="Times New Roman"/>
                <w:i/>
                <w:sz w:val="20"/>
                <w:szCs w:val="20"/>
              </w:rPr>
              <w:t>x</w:t>
            </w:r>
          </w:p>
          <w:p w:rsidR="000151A5" w:rsidRPr="00800CCE" w:rsidRDefault="000151A5" w:rsidP="000151A5">
            <w:pPr>
              <w:tabs>
                <w:tab w:val="decimal" w:pos="512"/>
              </w:tabs>
              <w:spacing w:after="0"/>
              <w:ind w:firstLine="0"/>
              <w:rPr>
                <w:rFonts w:eastAsia="Times New Roman"/>
                <w:i/>
                <w:sz w:val="20"/>
                <w:szCs w:val="20"/>
              </w:rPr>
            </w:pPr>
          </w:p>
          <w:p w:rsidR="000151A5" w:rsidRPr="00800CCE" w:rsidRDefault="000151A5" w:rsidP="000151A5">
            <w:pPr>
              <w:tabs>
                <w:tab w:val="decimal" w:pos="512"/>
              </w:tabs>
              <w:spacing w:after="0"/>
              <w:ind w:firstLine="0"/>
              <w:rPr>
                <w:rFonts w:eastAsia="Times New Roman"/>
                <w:i/>
                <w:sz w:val="20"/>
                <w:szCs w:val="20"/>
              </w:rPr>
            </w:pPr>
          </w:p>
          <w:p w:rsidR="000151A5" w:rsidRPr="00800CCE" w:rsidRDefault="000151A5" w:rsidP="000151A5">
            <w:pPr>
              <w:tabs>
                <w:tab w:val="decimal" w:pos="512"/>
              </w:tabs>
              <w:spacing w:after="0"/>
              <w:ind w:firstLine="0"/>
              <w:rPr>
                <w:rFonts w:eastAsia="Times New Roman"/>
                <w:i/>
                <w:sz w:val="20"/>
                <w:szCs w:val="20"/>
              </w:rPr>
            </w:pPr>
          </w:p>
          <w:p w:rsidR="000151A5" w:rsidRPr="00800CCE" w:rsidRDefault="000151A5" w:rsidP="000151A5">
            <w:pPr>
              <w:tabs>
                <w:tab w:val="decimal" w:pos="512"/>
              </w:tabs>
              <w:spacing w:after="0"/>
              <w:ind w:firstLine="0"/>
              <w:rPr>
                <w:rFonts w:eastAsia="Times New Roman"/>
                <w:i/>
                <w:sz w:val="20"/>
                <w:szCs w:val="20"/>
              </w:rPr>
            </w:pPr>
          </w:p>
          <w:p w:rsidR="000151A5" w:rsidRPr="00800CCE" w:rsidRDefault="000151A5" w:rsidP="000151A5">
            <w:pPr>
              <w:tabs>
                <w:tab w:val="decimal" w:pos="512"/>
              </w:tabs>
              <w:spacing w:after="0"/>
              <w:ind w:firstLine="0"/>
              <w:rPr>
                <w:rFonts w:eastAsia="Times New Roman"/>
                <w:i/>
                <w:sz w:val="20"/>
                <w:szCs w:val="20"/>
              </w:rPr>
            </w:pPr>
          </w:p>
          <w:p w:rsidR="000151A5" w:rsidRPr="00800CCE" w:rsidRDefault="000151A5" w:rsidP="000151A5">
            <w:pPr>
              <w:tabs>
                <w:tab w:val="decimal" w:pos="512"/>
              </w:tabs>
              <w:spacing w:after="0"/>
              <w:ind w:firstLine="0"/>
              <w:rPr>
                <w:rFonts w:eastAsia="Times New Roman"/>
                <w:i/>
                <w:sz w:val="20"/>
                <w:szCs w:val="20"/>
              </w:rPr>
            </w:pPr>
          </w:p>
          <w:p w:rsidR="000151A5" w:rsidRPr="00800CCE" w:rsidRDefault="000151A5" w:rsidP="000151A5">
            <w:pPr>
              <w:tabs>
                <w:tab w:val="decimal" w:pos="512"/>
              </w:tabs>
              <w:spacing w:after="0"/>
              <w:ind w:firstLine="0"/>
              <w:rPr>
                <w:rFonts w:eastAsia="Times New Roman"/>
                <w:i/>
                <w:sz w:val="20"/>
                <w:szCs w:val="20"/>
              </w:rPr>
            </w:pPr>
            <w:r w:rsidRPr="00800CCE">
              <w:rPr>
                <w:rFonts w:eastAsia="Times New Roman"/>
                <w:i/>
                <w:sz w:val="20"/>
                <w:szCs w:val="20"/>
              </w:rPr>
              <w:t>x</w:t>
            </w:r>
          </w:p>
        </w:tc>
        <w:tc>
          <w:tcPr>
            <w:tcW w:w="923" w:type="dxa"/>
            <w:tcBorders>
              <w:top w:val="single" w:sz="4" w:space="0" w:color="auto"/>
              <w:bottom w:val="nil"/>
            </w:tcBorders>
          </w:tcPr>
          <w:p w:rsidR="000151A5" w:rsidRPr="00800CCE" w:rsidRDefault="000151A5" w:rsidP="000151A5">
            <w:pPr>
              <w:tabs>
                <w:tab w:val="decimal" w:pos="450"/>
              </w:tabs>
              <w:spacing w:after="0"/>
              <w:ind w:firstLine="0"/>
              <w:rPr>
                <w:rFonts w:eastAsia="Times New Roman"/>
                <w:i/>
                <w:sz w:val="20"/>
                <w:szCs w:val="20"/>
              </w:rPr>
            </w:pPr>
          </w:p>
          <w:p w:rsidR="000151A5" w:rsidRPr="00800CCE" w:rsidRDefault="000151A5" w:rsidP="000151A5">
            <w:pPr>
              <w:tabs>
                <w:tab w:val="decimal" w:pos="450"/>
              </w:tabs>
              <w:spacing w:after="0"/>
              <w:ind w:firstLine="0"/>
              <w:rPr>
                <w:rFonts w:eastAsia="Times New Roman"/>
                <w:i/>
                <w:sz w:val="20"/>
                <w:szCs w:val="20"/>
              </w:rPr>
            </w:pPr>
            <w:r w:rsidRPr="00800CCE">
              <w:rPr>
                <w:rFonts w:eastAsia="Times New Roman"/>
                <w:i/>
                <w:sz w:val="20"/>
                <w:szCs w:val="20"/>
              </w:rPr>
              <w:t>98,5</w:t>
            </w:r>
          </w:p>
          <w:p w:rsidR="000151A5" w:rsidRPr="00800CCE" w:rsidRDefault="000151A5" w:rsidP="000151A5">
            <w:pPr>
              <w:tabs>
                <w:tab w:val="decimal" w:pos="450"/>
              </w:tabs>
              <w:spacing w:after="0"/>
              <w:ind w:firstLine="0"/>
              <w:rPr>
                <w:rFonts w:eastAsia="Times New Roman"/>
                <w:i/>
                <w:sz w:val="20"/>
                <w:szCs w:val="20"/>
              </w:rPr>
            </w:pPr>
          </w:p>
          <w:p w:rsidR="000151A5" w:rsidRPr="00800CCE" w:rsidRDefault="000151A5" w:rsidP="000151A5">
            <w:pPr>
              <w:tabs>
                <w:tab w:val="decimal" w:pos="450"/>
              </w:tabs>
              <w:spacing w:after="0"/>
              <w:ind w:firstLine="0"/>
              <w:rPr>
                <w:rFonts w:eastAsia="Times New Roman"/>
                <w:i/>
                <w:sz w:val="20"/>
                <w:szCs w:val="20"/>
              </w:rPr>
            </w:pPr>
          </w:p>
          <w:p w:rsidR="000151A5" w:rsidRPr="00800CCE" w:rsidRDefault="000151A5" w:rsidP="000151A5">
            <w:pPr>
              <w:tabs>
                <w:tab w:val="decimal" w:pos="450"/>
              </w:tabs>
              <w:spacing w:after="0"/>
              <w:ind w:firstLine="0"/>
              <w:rPr>
                <w:rFonts w:eastAsia="Times New Roman"/>
                <w:i/>
                <w:sz w:val="20"/>
                <w:szCs w:val="20"/>
              </w:rPr>
            </w:pPr>
          </w:p>
          <w:p w:rsidR="000151A5" w:rsidRPr="00800CCE" w:rsidRDefault="000151A5" w:rsidP="000151A5">
            <w:pPr>
              <w:tabs>
                <w:tab w:val="decimal" w:pos="450"/>
              </w:tabs>
              <w:spacing w:after="0"/>
              <w:ind w:firstLine="0"/>
              <w:rPr>
                <w:rFonts w:eastAsia="Times New Roman"/>
                <w:i/>
                <w:sz w:val="20"/>
                <w:szCs w:val="20"/>
              </w:rPr>
            </w:pPr>
            <w:r w:rsidRPr="00800CCE">
              <w:rPr>
                <w:rFonts w:eastAsia="Times New Roman"/>
                <w:i/>
                <w:sz w:val="20"/>
                <w:szCs w:val="20"/>
              </w:rPr>
              <w:t>88,9</w:t>
            </w:r>
          </w:p>
          <w:p w:rsidR="000151A5" w:rsidRPr="00800CCE" w:rsidRDefault="000151A5" w:rsidP="000151A5">
            <w:pPr>
              <w:tabs>
                <w:tab w:val="decimal" w:pos="450"/>
              </w:tabs>
              <w:spacing w:after="0"/>
              <w:ind w:firstLine="0"/>
              <w:rPr>
                <w:rFonts w:eastAsia="Times New Roman"/>
                <w:i/>
                <w:sz w:val="20"/>
                <w:szCs w:val="20"/>
              </w:rPr>
            </w:pPr>
          </w:p>
          <w:p w:rsidR="000151A5" w:rsidRPr="00800CCE" w:rsidRDefault="000151A5" w:rsidP="000151A5">
            <w:pPr>
              <w:tabs>
                <w:tab w:val="decimal" w:pos="450"/>
              </w:tabs>
              <w:spacing w:after="0"/>
              <w:ind w:firstLine="0"/>
              <w:rPr>
                <w:rFonts w:eastAsia="Times New Roman"/>
                <w:i/>
                <w:sz w:val="20"/>
                <w:szCs w:val="20"/>
              </w:rPr>
            </w:pPr>
          </w:p>
          <w:p w:rsidR="000151A5" w:rsidRPr="00800CCE" w:rsidRDefault="000151A5" w:rsidP="000151A5">
            <w:pPr>
              <w:tabs>
                <w:tab w:val="decimal" w:pos="450"/>
              </w:tabs>
              <w:spacing w:after="0"/>
              <w:ind w:firstLine="0"/>
              <w:rPr>
                <w:rFonts w:eastAsia="Times New Roman"/>
                <w:i/>
                <w:sz w:val="20"/>
                <w:szCs w:val="20"/>
              </w:rPr>
            </w:pPr>
          </w:p>
          <w:p w:rsidR="000151A5" w:rsidRPr="00800CCE" w:rsidRDefault="000151A5" w:rsidP="000151A5">
            <w:pPr>
              <w:tabs>
                <w:tab w:val="decimal" w:pos="450"/>
              </w:tabs>
              <w:spacing w:after="0"/>
              <w:ind w:firstLine="0"/>
              <w:rPr>
                <w:rFonts w:eastAsia="Times New Roman"/>
                <w:i/>
                <w:sz w:val="20"/>
                <w:szCs w:val="20"/>
              </w:rPr>
            </w:pPr>
          </w:p>
          <w:p w:rsidR="000151A5" w:rsidRPr="00800CCE" w:rsidRDefault="000151A5" w:rsidP="000151A5">
            <w:pPr>
              <w:tabs>
                <w:tab w:val="decimal" w:pos="450"/>
              </w:tabs>
              <w:spacing w:after="0"/>
              <w:ind w:firstLine="0"/>
              <w:rPr>
                <w:rFonts w:eastAsia="Times New Roman"/>
                <w:i/>
                <w:sz w:val="20"/>
                <w:szCs w:val="20"/>
              </w:rPr>
            </w:pPr>
          </w:p>
          <w:p w:rsidR="000151A5" w:rsidRPr="00800CCE" w:rsidRDefault="000151A5" w:rsidP="000151A5">
            <w:pPr>
              <w:tabs>
                <w:tab w:val="decimal" w:pos="450"/>
              </w:tabs>
              <w:spacing w:after="0"/>
              <w:ind w:firstLine="0"/>
              <w:rPr>
                <w:rFonts w:eastAsia="Times New Roman"/>
                <w:i/>
                <w:sz w:val="20"/>
                <w:szCs w:val="20"/>
              </w:rPr>
            </w:pPr>
          </w:p>
          <w:p w:rsidR="000151A5" w:rsidRPr="00800CCE" w:rsidRDefault="000151A5" w:rsidP="000151A5">
            <w:pPr>
              <w:tabs>
                <w:tab w:val="decimal" w:pos="450"/>
              </w:tabs>
              <w:spacing w:after="0"/>
              <w:ind w:firstLine="0"/>
              <w:rPr>
                <w:rFonts w:eastAsia="Times New Roman"/>
                <w:i/>
                <w:sz w:val="20"/>
                <w:szCs w:val="20"/>
              </w:rPr>
            </w:pPr>
            <w:r w:rsidRPr="00800CCE">
              <w:rPr>
                <w:rFonts w:eastAsia="Times New Roman"/>
                <w:i/>
                <w:sz w:val="20"/>
                <w:szCs w:val="20"/>
              </w:rPr>
              <w:t>96,7</w:t>
            </w:r>
          </w:p>
        </w:tc>
        <w:tc>
          <w:tcPr>
            <w:tcW w:w="958" w:type="dxa"/>
            <w:tcBorders>
              <w:top w:val="single" w:sz="4" w:space="0" w:color="auto"/>
              <w:bottom w:val="nil"/>
              <w:right w:val="single" w:sz="4" w:space="0" w:color="auto"/>
            </w:tcBorders>
          </w:tcPr>
          <w:p w:rsidR="000151A5" w:rsidRPr="00800CCE" w:rsidRDefault="000151A5" w:rsidP="000151A5">
            <w:pPr>
              <w:tabs>
                <w:tab w:val="decimal" w:pos="451"/>
              </w:tabs>
              <w:spacing w:after="0"/>
              <w:ind w:firstLine="0"/>
              <w:rPr>
                <w:rFonts w:eastAsia="Times New Roman"/>
                <w:i/>
                <w:sz w:val="20"/>
                <w:szCs w:val="20"/>
              </w:rPr>
            </w:pPr>
          </w:p>
          <w:p w:rsidR="000151A5" w:rsidRPr="00800CCE" w:rsidRDefault="000151A5" w:rsidP="000151A5">
            <w:pPr>
              <w:tabs>
                <w:tab w:val="decimal" w:pos="451"/>
              </w:tabs>
              <w:spacing w:after="0"/>
              <w:ind w:firstLine="0"/>
              <w:rPr>
                <w:rFonts w:eastAsia="Times New Roman"/>
                <w:i/>
                <w:sz w:val="20"/>
                <w:szCs w:val="20"/>
              </w:rPr>
            </w:pPr>
            <w:r w:rsidRPr="00800CCE">
              <w:rPr>
                <w:rFonts w:eastAsia="Times New Roman"/>
                <w:i/>
                <w:sz w:val="20"/>
                <w:szCs w:val="20"/>
              </w:rPr>
              <w:t>24,2</w:t>
            </w:r>
          </w:p>
          <w:p w:rsidR="000151A5" w:rsidRPr="00800CCE" w:rsidRDefault="000151A5" w:rsidP="000151A5">
            <w:pPr>
              <w:tabs>
                <w:tab w:val="decimal" w:pos="451"/>
              </w:tabs>
              <w:spacing w:after="0"/>
              <w:ind w:firstLine="0"/>
              <w:rPr>
                <w:rFonts w:eastAsia="Times New Roman"/>
                <w:i/>
                <w:sz w:val="20"/>
                <w:szCs w:val="20"/>
              </w:rPr>
            </w:pPr>
          </w:p>
          <w:p w:rsidR="000151A5" w:rsidRPr="00800CCE" w:rsidRDefault="000151A5" w:rsidP="000151A5">
            <w:pPr>
              <w:tabs>
                <w:tab w:val="decimal" w:pos="451"/>
              </w:tabs>
              <w:spacing w:after="0"/>
              <w:ind w:firstLine="0"/>
              <w:rPr>
                <w:rFonts w:eastAsia="Times New Roman"/>
                <w:i/>
                <w:sz w:val="20"/>
                <w:szCs w:val="20"/>
              </w:rPr>
            </w:pPr>
          </w:p>
          <w:p w:rsidR="000151A5" w:rsidRPr="00800CCE" w:rsidRDefault="000151A5" w:rsidP="000151A5">
            <w:pPr>
              <w:tabs>
                <w:tab w:val="decimal" w:pos="451"/>
              </w:tabs>
              <w:spacing w:after="0"/>
              <w:ind w:firstLine="0"/>
              <w:rPr>
                <w:rFonts w:eastAsia="Times New Roman"/>
                <w:i/>
                <w:sz w:val="20"/>
                <w:szCs w:val="20"/>
              </w:rPr>
            </w:pPr>
          </w:p>
          <w:p w:rsidR="000151A5" w:rsidRPr="00800CCE" w:rsidRDefault="000151A5" w:rsidP="000151A5">
            <w:pPr>
              <w:tabs>
                <w:tab w:val="decimal" w:pos="451"/>
              </w:tabs>
              <w:spacing w:after="0"/>
              <w:ind w:firstLine="0"/>
              <w:rPr>
                <w:rFonts w:eastAsia="Times New Roman"/>
                <w:i/>
                <w:sz w:val="20"/>
                <w:szCs w:val="20"/>
              </w:rPr>
            </w:pPr>
            <w:r w:rsidRPr="00800CCE">
              <w:rPr>
                <w:rFonts w:eastAsia="Times New Roman"/>
                <w:i/>
                <w:sz w:val="20"/>
                <w:szCs w:val="20"/>
              </w:rPr>
              <w:t>11,1</w:t>
            </w:r>
          </w:p>
          <w:p w:rsidR="000151A5" w:rsidRPr="00800CCE" w:rsidRDefault="000151A5" w:rsidP="000151A5">
            <w:pPr>
              <w:tabs>
                <w:tab w:val="decimal" w:pos="451"/>
              </w:tabs>
              <w:spacing w:after="0"/>
              <w:ind w:firstLine="0"/>
              <w:rPr>
                <w:rFonts w:eastAsia="Times New Roman"/>
                <w:i/>
                <w:sz w:val="20"/>
                <w:szCs w:val="20"/>
              </w:rPr>
            </w:pPr>
          </w:p>
          <w:p w:rsidR="000151A5" w:rsidRPr="00800CCE" w:rsidRDefault="000151A5" w:rsidP="000151A5">
            <w:pPr>
              <w:tabs>
                <w:tab w:val="decimal" w:pos="451"/>
              </w:tabs>
              <w:spacing w:after="0"/>
              <w:ind w:firstLine="0"/>
              <w:rPr>
                <w:rFonts w:eastAsia="Times New Roman"/>
                <w:i/>
                <w:sz w:val="20"/>
                <w:szCs w:val="20"/>
              </w:rPr>
            </w:pPr>
          </w:p>
          <w:p w:rsidR="000151A5" w:rsidRPr="00800CCE" w:rsidRDefault="000151A5" w:rsidP="000151A5">
            <w:pPr>
              <w:tabs>
                <w:tab w:val="decimal" w:pos="451"/>
              </w:tabs>
              <w:spacing w:after="0"/>
              <w:ind w:firstLine="0"/>
              <w:rPr>
                <w:rFonts w:eastAsia="Times New Roman"/>
                <w:i/>
                <w:sz w:val="20"/>
                <w:szCs w:val="20"/>
              </w:rPr>
            </w:pPr>
          </w:p>
          <w:p w:rsidR="000151A5" w:rsidRPr="00800CCE" w:rsidRDefault="000151A5" w:rsidP="000151A5">
            <w:pPr>
              <w:tabs>
                <w:tab w:val="decimal" w:pos="451"/>
              </w:tabs>
              <w:spacing w:after="0"/>
              <w:ind w:firstLine="0"/>
              <w:rPr>
                <w:rFonts w:eastAsia="Times New Roman"/>
                <w:i/>
                <w:sz w:val="20"/>
                <w:szCs w:val="20"/>
              </w:rPr>
            </w:pPr>
          </w:p>
          <w:p w:rsidR="000151A5" w:rsidRPr="00800CCE" w:rsidRDefault="000151A5" w:rsidP="000151A5">
            <w:pPr>
              <w:tabs>
                <w:tab w:val="decimal" w:pos="451"/>
              </w:tabs>
              <w:spacing w:after="0"/>
              <w:ind w:firstLine="0"/>
              <w:rPr>
                <w:rFonts w:eastAsia="Times New Roman"/>
                <w:i/>
                <w:sz w:val="20"/>
                <w:szCs w:val="20"/>
              </w:rPr>
            </w:pPr>
          </w:p>
          <w:p w:rsidR="000151A5" w:rsidRPr="00800CCE" w:rsidRDefault="000151A5" w:rsidP="000151A5">
            <w:pPr>
              <w:tabs>
                <w:tab w:val="decimal" w:pos="451"/>
              </w:tabs>
              <w:spacing w:after="0"/>
              <w:ind w:firstLine="0"/>
              <w:rPr>
                <w:rFonts w:eastAsia="Times New Roman"/>
                <w:i/>
                <w:sz w:val="20"/>
                <w:szCs w:val="20"/>
              </w:rPr>
            </w:pPr>
          </w:p>
          <w:p w:rsidR="000151A5" w:rsidRPr="00800CCE" w:rsidRDefault="000151A5" w:rsidP="000151A5">
            <w:pPr>
              <w:tabs>
                <w:tab w:val="decimal" w:pos="451"/>
              </w:tabs>
              <w:spacing w:after="0"/>
              <w:ind w:firstLine="0"/>
              <w:rPr>
                <w:rFonts w:eastAsia="Arial Unicode MS"/>
                <w:i/>
                <w:sz w:val="20"/>
                <w:szCs w:val="20"/>
              </w:rPr>
            </w:pPr>
            <w:r w:rsidRPr="00800CCE">
              <w:rPr>
                <w:rFonts w:eastAsia="Times New Roman"/>
                <w:i/>
                <w:sz w:val="20"/>
                <w:szCs w:val="20"/>
              </w:rPr>
              <w:t>20,3</w:t>
            </w:r>
          </w:p>
        </w:tc>
      </w:tr>
      <w:tr w:rsidR="000151A5" w:rsidRPr="00800CCE" w:rsidTr="000151A5">
        <w:trPr>
          <w:cantSplit/>
          <w:jc w:val="center"/>
        </w:trPr>
        <w:tc>
          <w:tcPr>
            <w:tcW w:w="2977" w:type="dxa"/>
            <w:tcBorders>
              <w:top w:val="nil"/>
              <w:left w:val="single" w:sz="4" w:space="0" w:color="auto"/>
              <w:bottom w:val="nil"/>
            </w:tcBorders>
          </w:tcPr>
          <w:p w:rsidR="000151A5" w:rsidRPr="00800CCE" w:rsidRDefault="000151A5" w:rsidP="000151A5">
            <w:pPr>
              <w:spacing w:after="0"/>
              <w:ind w:firstLine="0"/>
              <w:rPr>
                <w:rFonts w:eastAsia="Times New Roman"/>
                <w:i/>
                <w:snapToGrid w:val="0"/>
                <w:sz w:val="20"/>
                <w:szCs w:val="20"/>
              </w:rPr>
            </w:pPr>
            <w:r w:rsidRPr="00800CCE">
              <w:rPr>
                <w:rFonts w:eastAsia="Times New Roman"/>
                <w:i/>
                <w:snapToGrid w:val="0"/>
                <w:sz w:val="20"/>
                <w:szCs w:val="20"/>
              </w:rPr>
              <w:t xml:space="preserve">  Pārējie valsts budžeta uzturēšanas izdevumu transferti citiem budžetiem</w:t>
            </w:r>
          </w:p>
          <w:p w:rsidR="000151A5" w:rsidRPr="00800CCE" w:rsidRDefault="000151A5" w:rsidP="000151A5">
            <w:pPr>
              <w:spacing w:after="0"/>
              <w:ind w:firstLine="0"/>
              <w:rPr>
                <w:rFonts w:eastAsia="Times New Roman"/>
                <w:i/>
                <w:snapToGrid w:val="0"/>
                <w:sz w:val="20"/>
                <w:szCs w:val="20"/>
              </w:rPr>
            </w:pPr>
            <w:r w:rsidRPr="00800CCE">
              <w:rPr>
                <w:rFonts w:eastAsia="Times New Roman"/>
                <w:i/>
                <w:snapToGrid w:val="0"/>
                <w:sz w:val="20"/>
                <w:szCs w:val="20"/>
              </w:rPr>
              <w:t xml:space="preserve">       Pārējie valsts budžeta uzturēšanas izdevumu transferti pašvaldībām </w:t>
            </w:r>
          </w:p>
          <w:p w:rsidR="000151A5" w:rsidRPr="00800CCE" w:rsidRDefault="000151A5" w:rsidP="000151A5">
            <w:pPr>
              <w:spacing w:after="0"/>
              <w:ind w:firstLine="0"/>
              <w:rPr>
                <w:rFonts w:eastAsia="Times New Roman"/>
                <w:i/>
                <w:snapToGrid w:val="0"/>
                <w:sz w:val="20"/>
                <w:szCs w:val="20"/>
              </w:rPr>
            </w:pPr>
            <w:r w:rsidRPr="00800CCE">
              <w:rPr>
                <w:rFonts w:eastAsia="Times New Roman"/>
                <w:i/>
                <w:snapToGrid w:val="0"/>
                <w:sz w:val="20"/>
                <w:szCs w:val="20"/>
              </w:rPr>
              <w:t xml:space="preserve">      Pārējie valsts budžeta uzturēšanas izdevumu transferti valsts budžeta daļēji finansētām atvasinātajām publiskajām personām un budžeta nefinansētām iestādēm</w:t>
            </w:r>
          </w:p>
        </w:tc>
        <w:tc>
          <w:tcPr>
            <w:tcW w:w="992" w:type="dxa"/>
            <w:tcBorders>
              <w:top w:val="nil"/>
              <w:bottom w:val="nil"/>
            </w:tcBorders>
          </w:tcPr>
          <w:p w:rsidR="000151A5" w:rsidRPr="00800CCE" w:rsidRDefault="000151A5" w:rsidP="000151A5">
            <w:pPr>
              <w:tabs>
                <w:tab w:val="decimal" w:pos="794"/>
              </w:tabs>
              <w:spacing w:after="0"/>
              <w:ind w:firstLine="0"/>
              <w:rPr>
                <w:rFonts w:eastAsia="Arial Unicode MS"/>
                <w:i/>
                <w:sz w:val="20"/>
                <w:szCs w:val="20"/>
              </w:rPr>
            </w:pPr>
            <w:r w:rsidRPr="00800CCE">
              <w:rPr>
                <w:rFonts w:eastAsia="Arial Unicode MS"/>
                <w:i/>
                <w:sz w:val="20"/>
                <w:szCs w:val="20"/>
              </w:rPr>
              <w:t>58 078</w:t>
            </w: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r w:rsidRPr="00800CCE">
              <w:rPr>
                <w:rFonts w:eastAsia="Arial Unicode MS"/>
                <w:i/>
                <w:sz w:val="20"/>
                <w:szCs w:val="20"/>
              </w:rPr>
              <w:t>x</w:t>
            </w: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r w:rsidRPr="00800CCE">
              <w:rPr>
                <w:rFonts w:eastAsia="Arial Unicode MS"/>
                <w:i/>
                <w:sz w:val="20"/>
                <w:szCs w:val="20"/>
              </w:rPr>
              <w:t>x</w:t>
            </w: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p>
        </w:tc>
        <w:tc>
          <w:tcPr>
            <w:tcW w:w="993" w:type="dxa"/>
            <w:tcBorders>
              <w:top w:val="nil"/>
              <w:bottom w:val="nil"/>
            </w:tcBorders>
          </w:tcPr>
          <w:p w:rsidR="000151A5" w:rsidRPr="00800CCE" w:rsidRDefault="000151A5" w:rsidP="000151A5">
            <w:pPr>
              <w:tabs>
                <w:tab w:val="decimal" w:pos="794"/>
              </w:tabs>
              <w:spacing w:after="0"/>
              <w:ind w:firstLine="0"/>
              <w:rPr>
                <w:rFonts w:eastAsia="Arial Unicode MS"/>
                <w:i/>
                <w:sz w:val="20"/>
                <w:szCs w:val="20"/>
              </w:rPr>
            </w:pPr>
            <w:r w:rsidRPr="00800CCE">
              <w:rPr>
                <w:rFonts w:eastAsia="Arial Unicode MS"/>
                <w:i/>
                <w:sz w:val="20"/>
                <w:szCs w:val="20"/>
              </w:rPr>
              <w:t>7 035</w:t>
            </w: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r w:rsidRPr="00800CCE">
              <w:rPr>
                <w:rFonts w:eastAsia="Arial Unicode MS"/>
                <w:i/>
                <w:sz w:val="20"/>
                <w:szCs w:val="20"/>
              </w:rPr>
              <w:t>4055</w:t>
            </w: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sz w:val="20"/>
                <w:szCs w:val="20"/>
              </w:rPr>
            </w:pPr>
            <w:r w:rsidRPr="00800CCE">
              <w:rPr>
                <w:rFonts w:eastAsia="Arial Unicode MS"/>
                <w:i/>
                <w:sz w:val="20"/>
                <w:szCs w:val="20"/>
              </w:rPr>
              <w:t>2980</w:t>
            </w:r>
          </w:p>
        </w:tc>
        <w:tc>
          <w:tcPr>
            <w:tcW w:w="992" w:type="dxa"/>
            <w:tcBorders>
              <w:top w:val="nil"/>
              <w:bottom w:val="nil"/>
            </w:tcBorders>
          </w:tcPr>
          <w:p w:rsidR="000151A5" w:rsidRPr="00800CCE" w:rsidRDefault="000151A5" w:rsidP="000151A5">
            <w:pPr>
              <w:tabs>
                <w:tab w:val="decimal" w:pos="794"/>
              </w:tabs>
              <w:spacing w:after="0"/>
              <w:ind w:firstLine="0"/>
              <w:rPr>
                <w:rFonts w:eastAsia="Arial Unicode MS"/>
                <w:i/>
                <w:sz w:val="20"/>
                <w:szCs w:val="20"/>
              </w:rPr>
            </w:pPr>
            <w:r w:rsidRPr="00800CCE">
              <w:rPr>
                <w:rFonts w:eastAsia="Arial Unicode MS"/>
                <w:i/>
                <w:sz w:val="20"/>
                <w:szCs w:val="20"/>
              </w:rPr>
              <w:t>7 024</w:t>
            </w: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r w:rsidRPr="00800CCE">
              <w:rPr>
                <w:rFonts w:eastAsia="Arial Unicode MS"/>
                <w:i/>
                <w:sz w:val="20"/>
                <w:szCs w:val="20"/>
              </w:rPr>
              <w:t>4049</w:t>
            </w: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p>
          <w:p w:rsidR="000151A5" w:rsidRPr="00800CCE" w:rsidRDefault="000151A5" w:rsidP="000151A5">
            <w:pPr>
              <w:tabs>
                <w:tab w:val="decimal" w:pos="794"/>
              </w:tabs>
              <w:spacing w:after="0"/>
              <w:ind w:firstLine="0"/>
              <w:rPr>
                <w:rFonts w:eastAsia="Arial Unicode MS"/>
                <w:i/>
                <w:sz w:val="20"/>
                <w:szCs w:val="20"/>
              </w:rPr>
            </w:pPr>
            <w:r w:rsidRPr="00800CCE">
              <w:rPr>
                <w:rFonts w:eastAsia="Arial Unicode MS"/>
                <w:i/>
                <w:sz w:val="20"/>
                <w:szCs w:val="20"/>
              </w:rPr>
              <w:t>2975</w:t>
            </w:r>
          </w:p>
        </w:tc>
        <w:tc>
          <w:tcPr>
            <w:tcW w:w="992" w:type="dxa"/>
            <w:tcBorders>
              <w:top w:val="nil"/>
              <w:bottom w:val="nil"/>
            </w:tcBorders>
          </w:tcPr>
          <w:p w:rsidR="000151A5" w:rsidRPr="00800CCE" w:rsidRDefault="000151A5" w:rsidP="000151A5">
            <w:pPr>
              <w:tabs>
                <w:tab w:val="decimal" w:pos="794"/>
              </w:tabs>
              <w:spacing w:after="0"/>
              <w:ind w:firstLine="0"/>
              <w:rPr>
                <w:rFonts w:eastAsia="Times New Roman"/>
                <w:i/>
                <w:sz w:val="20"/>
                <w:szCs w:val="20"/>
              </w:rPr>
            </w:pPr>
            <w:r w:rsidRPr="00800CCE">
              <w:rPr>
                <w:rFonts w:eastAsia="Times New Roman"/>
                <w:i/>
                <w:sz w:val="20"/>
                <w:szCs w:val="20"/>
              </w:rPr>
              <w:t>28 409</w:t>
            </w:r>
          </w:p>
          <w:p w:rsidR="000151A5" w:rsidRPr="00800CCE" w:rsidRDefault="000151A5" w:rsidP="000151A5">
            <w:pPr>
              <w:tabs>
                <w:tab w:val="decimal" w:pos="794"/>
              </w:tabs>
              <w:spacing w:after="0"/>
              <w:ind w:firstLine="0"/>
              <w:rPr>
                <w:rFonts w:eastAsia="Times New Roman"/>
                <w:i/>
                <w:sz w:val="20"/>
                <w:szCs w:val="20"/>
              </w:rPr>
            </w:pPr>
          </w:p>
          <w:p w:rsidR="000151A5" w:rsidRPr="00800CCE" w:rsidRDefault="000151A5" w:rsidP="000151A5">
            <w:pPr>
              <w:tabs>
                <w:tab w:val="decimal" w:pos="794"/>
              </w:tabs>
              <w:spacing w:after="0"/>
              <w:ind w:firstLine="0"/>
              <w:rPr>
                <w:rFonts w:eastAsia="Times New Roman"/>
                <w:i/>
                <w:sz w:val="20"/>
                <w:szCs w:val="20"/>
              </w:rPr>
            </w:pPr>
          </w:p>
          <w:p w:rsidR="000151A5" w:rsidRPr="00800CCE" w:rsidRDefault="000151A5" w:rsidP="000151A5">
            <w:pPr>
              <w:tabs>
                <w:tab w:val="decimal" w:pos="794"/>
              </w:tabs>
              <w:spacing w:after="0"/>
              <w:ind w:firstLine="0"/>
              <w:rPr>
                <w:rFonts w:eastAsia="Times New Roman"/>
                <w:i/>
                <w:sz w:val="20"/>
                <w:szCs w:val="20"/>
              </w:rPr>
            </w:pPr>
          </w:p>
          <w:p w:rsidR="000151A5" w:rsidRPr="00800CCE" w:rsidRDefault="000151A5" w:rsidP="000151A5">
            <w:pPr>
              <w:tabs>
                <w:tab w:val="decimal" w:pos="794"/>
              </w:tabs>
              <w:spacing w:after="0"/>
              <w:ind w:firstLine="0"/>
              <w:rPr>
                <w:rFonts w:eastAsia="Times New Roman"/>
                <w:i/>
                <w:sz w:val="20"/>
                <w:szCs w:val="20"/>
              </w:rPr>
            </w:pPr>
            <w:r w:rsidRPr="00800CCE">
              <w:rPr>
                <w:rFonts w:eastAsia="Times New Roman"/>
                <w:i/>
                <w:sz w:val="20"/>
                <w:szCs w:val="20"/>
              </w:rPr>
              <w:t>16 445</w:t>
            </w:r>
          </w:p>
          <w:p w:rsidR="000151A5" w:rsidRPr="00800CCE" w:rsidRDefault="000151A5" w:rsidP="000151A5">
            <w:pPr>
              <w:tabs>
                <w:tab w:val="decimal" w:pos="794"/>
              </w:tabs>
              <w:spacing w:after="0"/>
              <w:ind w:firstLine="0"/>
              <w:rPr>
                <w:rFonts w:eastAsia="Times New Roman"/>
                <w:i/>
                <w:sz w:val="20"/>
                <w:szCs w:val="20"/>
              </w:rPr>
            </w:pPr>
          </w:p>
          <w:p w:rsidR="000151A5" w:rsidRPr="00800CCE" w:rsidRDefault="000151A5" w:rsidP="000151A5">
            <w:pPr>
              <w:tabs>
                <w:tab w:val="decimal" w:pos="794"/>
              </w:tabs>
              <w:spacing w:after="0"/>
              <w:ind w:firstLine="0"/>
              <w:rPr>
                <w:rFonts w:eastAsia="Times New Roman"/>
                <w:i/>
                <w:sz w:val="20"/>
                <w:szCs w:val="20"/>
              </w:rPr>
            </w:pPr>
          </w:p>
          <w:p w:rsidR="000151A5" w:rsidRPr="00800CCE" w:rsidRDefault="000151A5" w:rsidP="000151A5">
            <w:pPr>
              <w:tabs>
                <w:tab w:val="decimal" w:pos="794"/>
              </w:tabs>
              <w:spacing w:after="0"/>
              <w:ind w:firstLine="0"/>
              <w:rPr>
                <w:rFonts w:eastAsia="Arial Unicode MS"/>
                <w:i/>
                <w:sz w:val="20"/>
                <w:szCs w:val="20"/>
                <w:highlight w:val="yellow"/>
              </w:rPr>
            </w:pPr>
            <w:r w:rsidRPr="00800CCE">
              <w:rPr>
                <w:rFonts w:eastAsia="Times New Roman"/>
                <w:i/>
                <w:sz w:val="20"/>
                <w:szCs w:val="20"/>
              </w:rPr>
              <w:t>11 964</w:t>
            </w:r>
          </w:p>
        </w:tc>
        <w:tc>
          <w:tcPr>
            <w:tcW w:w="992" w:type="dxa"/>
            <w:tcBorders>
              <w:top w:val="nil"/>
              <w:bottom w:val="nil"/>
            </w:tcBorders>
          </w:tcPr>
          <w:p w:rsidR="000151A5" w:rsidRPr="00800CCE" w:rsidRDefault="000151A5" w:rsidP="000151A5">
            <w:pPr>
              <w:tabs>
                <w:tab w:val="decimal" w:pos="512"/>
              </w:tabs>
              <w:spacing w:after="0"/>
              <w:ind w:firstLine="0"/>
              <w:rPr>
                <w:rFonts w:eastAsia="Times New Roman"/>
                <w:i/>
                <w:sz w:val="20"/>
                <w:szCs w:val="20"/>
              </w:rPr>
            </w:pPr>
            <w:r w:rsidRPr="00800CCE">
              <w:rPr>
                <w:rFonts w:eastAsia="Times New Roman"/>
                <w:i/>
                <w:sz w:val="20"/>
                <w:szCs w:val="20"/>
              </w:rPr>
              <w:t>12,1</w:t>
            </w:r>
          </w:p>
          <w:p w:rsidR="000151A5" w:rsidRPr="00800CCE" w:rsidRDefault="000151A5" w:rsidP="000151A5">
            <w:pPr>
              <w:tabs>
                <w:tab w:val="decimal" w:pos="512"/>
              </w:tabs>
              <w:spacing w:after="0"/>
              <w:ind w:firstLine="0"/>
              <w:rPr>
                <w:rFonts w:eastAsia="Times New Roman"/>
                <w:i/>
                <w:sz w:val="20"/>
                <w:szCs w:val="20"/>
              </w:rPr>
            </w:pPr>
          </w:p>
          <w:p w:rsidR="000151A5" w:rsidRPr="00800CCE" w:rsidRDefault="000151A5" w:rsidP="000151A5">
            <w:pPr>
              <w:tabs>
                <w:tab w:val="decimal" w:pos="512"/>
              </w:tabs>
              <w:spacing w:after="0"/>
              <w:ind w:firstLine="0"/>
              <w:rPr>
                <w:rFonts w:eastAsia="Times New Roman"/>
                <w:i/>
                <w:sz w:val="20"/>
                <w:szCs w:val="20"/>
              </w:rPr>
            </w:pPr>
          </w:p>
          <w:p w:rsidR="000151A5" w:rsidRPr="00800CCE" w:rsidRDefault="000151A5" w:rsidP="000151A5">
            <w:pPr>
              <w:tabs>
                <w:tab w:val="decimal" w:pos="512"/>
              </w:tabs>
              <w:spacing w:after="0"/>
              <w:ind w:firstLine="0"/>
              <w:rPr>
                <w:rFonts w:eastAsia="Times New Roman"/>
                <w:i/>
                <w:sz w:val="20"/>
                <w:szCs w:val="20"/>
              </w:rPr>
            </w:pPr>
          </w:p>
          <w:p w:rsidR="000151A5" w:rsidRPr="00800CCE" w:rsidRDefault="000151A5" w:rsidP="000151A5">
            <w:pPr>
              <w:tabs>
                <w:tab w:val="decimal" w:pos="512"/>
              </w:tabs>
              <w:spacing w:after="0"/>
              <w:ind w:firstLine="0"/>
              <w:rPr>
                <w:rFonts w:eastAsia="Times New Roman"/>
                <w:i/>
                <w:sz w:val="20"/>
                <w:szCs w:val="20"/>
              </w:rPr>
            </w:pPr>
            <w:r w:rsidRPr="00800CCE">
              <w:rPr>
                <w:rFonts w:eastAsia="Times New Roman"/>
                <w:i/>
                <w:sz w:val="20"/>
                <w:szCs w:val="20"/>
              </w:rPr>
              <w:t>x</w:t>
            </w:r>
          </w:p>
          <w:p w:rsidR="000151A5" w:rsidRPr="00800CCE" w:rsidRDefault="000151A5" w:rsidP="000151A5">
            <w:pPr>
              <w:tabs>
                <w:tab w:val="decimal" w:pos="512"/>
              </w:tabs>
              <w:spacing w:after="0"/>
              <w:ind w:firstLine="0"/>
              <w:rPr>
                <w:rFonts w:eastAsia="Times New Roman"/>
                <w:i/>
                <w:sz w:val="20"/>
                <w:szCs w:val="20"/>
              </w:rPr>
            </w:pPr>
          </w:p>
          <w:p w:rsidR="000151A5" w:rsidRPr="00800CCE" w:rsidRDefault="000151A5" w:rsidP="000151A5">
            <w:pPr>
              <w:tabs>
                <w:tab w:val="decimal" w:pos="512"/>
              </w:tabs>
              <w:spacing w:after="0"/>
              <w:ind w:firstLine="0"/>
              <w:rPr>
                <w:rFonts w:eastAsia="Times New Roman"/>
                <w:i/>
                <w:sz w:val="20"/>
                <w:szCs w:val="20"/>
              </w:rPr>
            </w:pPr>
          </w:p>
          <w:p w:rsidR="000151A5" w:rsidRPr="00800CCE" w:rsidRDefault="000151A5" w:rsidP="000151A5">
            <w:pPr>
              <w:tabs>
                <w:tab w:val="decimal" w:pos="512"/>
              </w:tabs>
              <w:spacing w:after="0"/>
              <w:ind w:firstLine="0"/>
              <w:rPr>
                <w:rFonts w:eastAsia="Times New Roman"/>
                <w:i/>
                <w:sz w:val="20"/>
                <w:szCs w:val="20"/>
              </w:rPr>
            </w:pPr>
            <w:r w:rsidRPr="00800CCE">
              <w:rPr>
                <w:rFonts w:eastAsia="Times New Roman"/>
                <w:i/>
                <w:sz w:val="20"/>
                <w:szCs w:val="20"/>
              </w:rPr>
              <w:t>x</w:t>
            </w:r>
          </w:p>
        </w:tc>
        <w:tc>
          <w:tcPr>
            <w:tcW w:w="923" w:type="dxa"/>
            <w:tcBorders>
              <w:top w:val="nil"/>
              <w:bottom w:val="nil"/>
            </w:tcBorders>
          </w:tcPr>
          <w:p w:rsidR="000151A5" w:rsidRPr="00800CCE" w:rsidRDefault="000151A5" w:rsidP="000151A5">
            <w:pPr>
              <w:tabs>
                <w:tab w:val="decimal" w:pos="450"/>
              </w:tabs>
              <w:spacing w:after="0"/>
              <w:ind w:firstLine="0"/>
              <w:rPr>
                <w:rFonts w:eastAsia="Times New Roman"/>
                <w:i/>
                <w:sz w:val="20"/>
                <w:szCs w:val="20"/>
              </w:rPr>
            </w:pPr>
            <w:r w:rsidRPr="00800CCE">
              <w:rPr>
                <w:rFonts w:eastAsia="Times New Roman"/>
                <w:i/>
                <w:sz w:val="20"/>
                <w:szCs w:val="20"/>
              </w:rPr>
              <w:t>99,8</w:t>
            </w:r>
          </w:p>
          <w:p w:rsidR="000151A5" w:rsidRPr="00800CCE" w:rsidRDefault="000151A5" w:rsidP="000151A5">
            <w:pPr>
              <w:tabs>
                <w:tab w:val="decimal" w:pos="450"/>
              </w:tabs>
              <w:spacing w:after="0"/>
              <w:ind w:firstLine="0"/>
              <w:rPr>
                <w:rFonts w:eastAsia="Times New Roman"/>
                <w:i/>
                <w:sz w:val="20"/>
                <w:szCs w:val="20"/>
              </w:rPr>
            </w:pPr>
          </w:p>
          <w:p w:rsidR="000151A5" w:rsidRPr="00800CCE" w:rsidRDefault="000151A5" w:rsidP="000151A5">
            <w:pPr>
              <w:tabs>
                <w:tab w:val="decimal" w:pos="450"/>
              </w:tabs>
              <w:spacing w:after="0"/>
              <w:ind w:firstLine="0"/>
              <w:rPr>
                <w:rFonts w:eastAsia="Times New Roman"/>
                <w:i/>
                <w:sz w:val="20"/>
                <w:szCs w:val="20"/>
              </w:rPr>
            </w:pPr>
          </w:p>
          <w:p w:rsidR="000151A5" w:rsidRPr="00800CCE" w:rsidRDefault="000151A5" w:rsidP="000151A5">
            <w:pPr>
              <w:tabs>
                <w:tab w:val="decimal" w:pos="450"/>
              </w:tabs>
              <w:spacing w:after="0"/>
              <w:ind w:firstLine="0"/>
              <w:rPr>
                <w:rFonts w:eastAsia="Times New Roman"/>
                <w:i/>
                <w:sz w:val="20"/>
                <w:szCs w:val="20"/>
              </w:rPr>
            </w:pPr>
          </w:p>
          <w:p w:rsidR="000151A5" w:rsidRPr="00800CCE" w:rsidRDefault="000151A5" w:rsidP="000151A5">
            <w:pPr>
              <w:tabs>
                <w:tab w:val="decimal" w:pos="450"/>
              </w:tabs>
              <w:spacing w:after="0"/>
              <w:ind w:firstLine="0"/>
              <w:rPr>
                <w:rFonts w:eastAsia="Times New Roman"/>
                <w:i/>
                <w:sz w:val="20"/>
                <w:szCs w:val="20"/>
              </w:rPr>
            </w:pPr>
            <w:r w:rsidRPr="00800CCE">
              <w:rPr>
                <w:rFonts w:eastAsia="Times New Roman"/>
                <w:i/>
                <w:sz w:val="20"/>
                <w:szCs w:val="20"/>
              </w:rPr>
              <w:t>99,9</w:t>
            </w:r>
          </w:p>
          <w:p w:rsidR="000151A5" w:rsidRPr="00800CCE" w:rsidRDefault="000151A5" w:rsidP="000151A5">
            <w:pPr>
              <w:tabs>
                <w:tab w:val="decimal" w:pos="450"/>
              </w:tabs>
              <w:spacing w:after="0"/>
              <w:ind w:firstLine="0"/>
              <w:rPr>
                <w:rFonts w:eastAsia="Times New Roman"/>
                <w:i/>
                <w:sz w:val="20"/>
                <w:szCs w:val="20"/>
              </w:rPr>
            </w:pPr>
          </w:p>
          <w:p w:rsidR="000151A5" w:rsidRPr="00800CCE" w:rsidRDefault="000151A5" w:rsidP="000151A5">
            <w:pPr>
              <w:tabs>
                <w:tab w:val="decimal" w:pos="450"/>
              </w:tabs>
              <w:spacing w:after="0"/>
              <w:ind w:firstLine="0"/>
              <w:rPr>
                <w:rFonts w:eastAsia="Times New Roman"/>
                <w:i/>
                <w:sz w:val="20"/>
                <w:szCs w:val="20"/>
              </w:rPr>
            </w:pPr>
          </w:p>
          <w:p w:rsidR="000151A5" w:rsidRPr="00800CCE" w:rsidRDefault="000151A5" w:rsidP="000151A5">
            <w:pPr>
              <w:tabs>
                <w:tab w:val="decimal" w:pos="450"/>
              </w:tabs>
              <w:spacing w:after="0"/>
              <w:ind w:firstLine="0"/>
              <w:rPr>
                <w:rFonts w:eastAsia="Times New Roman"/>
                <w:i/>
                <w:sz w:val="20"/>
                <w:szCs w:val="20"/>
              </w:rPr>
            </w:pPr>
            <w:r w:rsidRPr="00800CCE">
              <w:rPr>
                <w:rFonts w:eastAsia="Times New Roman"/>
                <w:i/>
                <w:sz w:val="20"/>
                <w:szCs w:val="20"/>
              </w:rPr>
              <w:t>99,8</w:t>
            </w:r>
          </w:p>
        </w:tc>
        <w:tc>
          <w:tcPr>
            <w:tcW w:w="958" w:type="dxa"/>
            <w:tcBorders>
              <w:top w:val="nil"/>
              <w:bottom w:val="nil"/>
              <w:right w:val="single" w:sz="4" w:space="0" w:color="auto"/>
            </w:tcBorders>
          </w:tcPr>
          <w:p w:rsidR="000151A5" w:rsidRPr="00800CCE" w:rsidRDefault="000151A5" w:rsidP="000151A5">
            <w:pPr>
              <w:tabs>
                <w:tab w:val="decimal" w:pos="451"/>
              </w:tabs>
              <w:spacing w:after="0"/>
              <w:ind w:firstLine="0"/>
              <w:rPr>
                <w:rFonts w:eastAsia="Times New Roman"/>
                <w:i/>
                <w:sz w:val="20"/>
                <w:szCs w:val="20"/>
              </w:rPr>
            </w:pPr>
            <w:r w:rsidRPr="00800CCE">
              <w:rPr>
                <w:rFonts w:eastAsia="Times New Roman"/>
                <w:i/>
                <w:sz w:val="20"/>
                <w:szCs w:val="20"/>
              </w:rPr>
              <w:t>24,7</w:t>
            </w:r>
          </w:p>
          <w:p w:rsidR="000151A5" w:rsidRPr="00800CCE" w:rsidRDefault="000151A5" w:rsidP="000151A5">
            <w:pPr>
              <w:tabs>
                <w:tab w:val="decimal" w:pos="451"/>
              </w:tabs>
              <w:spacing w:after="0"/>
              <w:ind w:firstLine="0"/>
              <w:rPr>
                <w:rFonts w:eastAsia="Times New Roman"/>
                <w:i/>
                <w:sz w:val="20"/>
                <w:szCs w:val="20"/>
              </w:rPr>
            </w:pPr>
          </w:p>
          <w:p w:rsidR="000151A5" w:rsidRPr="00800CCE" w:rsidRDefault="000151A5" w:rsidP="000151A5">
            <w:pPr>
              <w:tabs>
                <w:tab w:val="decimal" w:pos="451"/>
              </w:tabs>
              <w:spacing w:after="0"/>
              <w:ind w:firstLine="0"/>
              <w:rPr>
                <w:rFonts w:eastAsia="Times New Roman"/>
                <w:i/>
                <w:sz w:val="20"/>
                <w:szCs w:val="20"/>
              </w:rPr>
            </w:pPr>
          </w:p>
          <w:p w:rsidR="000151A5" w:rsidRPr="00800CCE" w:rsidRDefault="000151A5" w:rsidP="000151A5">
            <w:pPr>
              <w:tabs>
                <w:tab w:val="decimal" w:pos="451"/>
              </w:tabs>
              <w:spacing w:after="0"/>
              <w:ind w:firstLine="0"/>
              <w:rPr>
                <w:rFonts w:eastAsia="Times New Roman"/>
                <w:i/>
                <w:sz w:val="20"/>
                <w:szCs w:val="20"/>
              </w:rPr>
            </w:pPr>
          </w:p>
          <w:p w:rsidR="000151A5" w:rsidRPr="00800CCE" w:rsidRDefault="000151A5" w:rsidP="000151A5">
            <w:pPr>
              <w:tabs>
                <w:tab w:val="decimal" w:pos="451"/>
              </w:tabs>
              <w:spacing w:after="0"/>
              <w:ind w:firstLine="0"/>
              <w:rPr>
                <w:rFonts w:eastAsia="Times New Roman"/>
                <w:i/>
                <w:sz w:val="20"/>
                <w:szCs w:val="20"/>
              </w:rPr>
            </w:pPr>
            <w:r w:rsidRPr="00800CCE">
              <w:rPr>
                <w:rFonts w:eastAsia="Times New Roman"/>
                <w:i/>
                <w:sz w:val="20"/>
                <w:szCs w:val="20"/>
              </w:rPr>
              <w:t>24,6</w:t>
            </w:r>
          </w:p>
          <w:p w:rsidR="000151A5" w:rsidRPr="00800CCE" w:rsidRDefault="000151A5" w:rsidP="000151A5">
            <w:pPr>
              <w:tabs>
                <w:tab w:val="decimal" w:pos="451"/>
              </w:tabs>
              <w:spacing w:after="0"/>
              <w:ind w:firstLine="0"/>
              <w:rPr>
                <w:rFonts w:eastAsia="Times New Roman"/>
                <w:i/>
                <w:sz w:val="20"/>
                <w:szCs w:val="20"/>
              </w:rPr>
            </w:pPr>
          </w:p>
          <w:p w:rsidR="000151A5" w:rsidRPr="00800CCE" w:rsidRDefault="000151A5" w:rsidP="000151A5">
            <w:pPr>
              <w:tabs>
                <w:tab w:val="decimal" w:pos="451"/>
              </w:tabs>
              <w:spacing w:after="0"/>
              <w:ind w:firstLine="0"/>
              <w:rPr>
                <w:rFonts w:eastAsia="Times New Roman"/>
                <w:i/>
                <w:sz w:val="20"/>
                <w:szCs w:val="20"/>
              </w:rPr>
            </w:pPr>
          </w:p>
          <w:p w:rsidR="000151A5" w:rsidRPr="00800CCE" w:rsidRDefault="000151A5" w:rsidP="000151A5">
            <w:pPr>
              <w:tabs>
                <w:tab w:val="decimal" w:pos="451"/>
              </w:tabs>
              <w:spacing w:after="0"/>
              <w:ind w:firstLine="0"/>
              <w:rPr>
                <w:rFonts w:eastAsia="Arial Unicode MS"/>
                <w:i/>
                <w:sz w:val="20"/>
                <w:szCs w:val="20"/>
              </w:rPr>
            </w:pPr>
            <w:r w:rsidRPr="00800CCE">
              <w:rPr>
                <w:rFonts w:eastAsia="Times New Roman"/>
                <w:i/>
                <w:sz w:val="20"/>
                <w:szCs w:val="20"/>
              </w:rPr>
              <w:t>24,9 </w:t>
            </w:r>
          </w:p>
        </w:tc>
      </w:tr>
      <w:tr w:rsidR="000151A5" w:rsidRPr="00AA1204" w:rsidTr="000151A5">
        <w:trPr>
          <w:cantSplit/>
          <w:jc w:val="center"/>
        </w:trPr>
        <w:tc>
          <w:tcPr>
            <w:tcW w:w="2977" w:type="dxa"/>
            <w:tcBorders>
              <w:left w:val="single" w:sz="4" w:space="0" w:color="auto"/>
            </w:tcBorders>
          </w:tcPr>
          <w:p w:rsidR="000151A5" w:rsidRPr="00AA1204" w:rsidRDefault="000151A5" w:rsidP="000151A5">
            <w:pPr>
              <w:spacing w:after="0"/>
              <w:ind w:firstLine="0"/>
              <w:rPr>
                <w:rFonts w:eastAsia="Times New Roman"/>
                <w:snapToGrid w:val="0"/>
                <w:sz w:val="20"/>
                <w:szCs w:val="20"/>
              </w:rPr>
            </w:pPr>
            <w:r w:rsidRPr="00AA1204">
              <w:rPr>
                <w:rFonts w:eastAsia="Times New Roman"/>
                <w:b/>
                <w:snapToGrid w:val="0"/>
                <w:sz w:val="20"/>
                <w:szCs w:val="20"/>
              </w:rPr>
              <w:t xml:space="preserve">1.2. Kapitālie izdevumi </w:t>
            </w:r>
          </w:p>
        </w:tc>
        <w:tc>
          <w:tcPr>
            <w:tcW w:w="992" w:type="dxa"/>
          </w:tcPr>
          <w:p w:rsidR="000151A5" w:rsidRPr="00FD1A0F" w:rsidRDefault="000151A5" w:rsidP="000151A5">
            <w:pPr>
              <w:tabs>
                <w:tab w:val="decimal" w:pos="794"/>
              </w:tabs>
              <w:spacing w:after="0"/>
              <w:ind w:firstLine="0"/>
              <w:rPr>
                <w:rFonts w:eastAsia="Arial Unicode MS"/>
                <w:sz w:val="20"/>
                <w:szCs w:val="20"/>
              </w:rPr>
            </w:pPr>
            <w:r w:rsidRPr="00FD1A0F">
              <w:rPr>
                <w:rFonts w:eastAsia="Times New Roman"/>
                <w:b/>
                <w:sz w:val="20"/>
                <w:szCs w:val="20"/>
              </w:rPr>
              <w:t>50 289</w:t>
            </w:r>
          </w:p>
        </w:tc>
        <w:tc>
          <w:tcPr>
            <w:tcW w:w="993" w:type="dxa"/>
          </w:tcPr>
          <w:p w:rsidR="000151A5" w:rsidRPr="005D3BBB" w:rsidRDefault="000151A5" w:rsidP="000151A5">
            <w:pPr>
              <w:tabs>
                <w:tab w:val="decimal" w:pos="794"/>
              </w:tabs>
              <w:spacing w:after="0"/>
              <w:ind w:firstLine="0"/>
              <w:rPr>
                <w:rFonts w:eastAsia="Times New Roman"/>
                <w:b/>
                <w:sz w:val="20"/>
                <w:szCs w:val="20"/>
              </w:rPr>
            </w:pPr>
            <w:r w:rsidRPr="005D3BBB">
              <w:rPr>
                <w:rFonts w:eastAsia="Times New Roman"/>
                <w:b/>
                <w:sz w:val="20"/>
                <w:szCs w:val="20"/>
              </w:rPr>
              <w:t>53 201</w:t>
            </w:r>
          </w:p>
        </w:tc>
        <w:tc>
          <w:tcPr>
            <w:tcW w:w="992" w:type="dxa"/>
          </w:tcPr>
          <w:p w:rsidR="000151A5" w:rsidRPr="005D3BBB" w:rsidRDefault="000151A5" w:rsidP="000151A5">
            <w:pPr>
              <w:tabs>
                <w:tab w:val="decimal" w:pos="794"/>
              </w:tabs>
              <w:spacing w:after="0"/>
              <w:ind w:firstLine="0"/>
              <w:rPr>
                <w:rFonts w:eastAsia="Arial Unicode MS"/>
                <w:sz w:val="20"/>
                <w:szCs w:val="20"/>
              </w:rPr>
            </w:pPr>
            <w:r w:rsidRPr="005D3BBB">
              <w:rPr>
                <w:rFonts w:eastAsia="Times New Roman"/>
                <w:b/>
                <w:sz w:val="20"/>
                <w:szCs w:val="20"/>
              </w:rPr>
              <w:t>49 506</w:t>
            </w:r>
          </w:p>
        </w:tc>
        <w:tc>
          <w:tcPr>
            <w:tcW w:w="992" w:type="dxa"/>
          </w:tcPr>
          <w:p w:rsidR="000151A5" w:rsidRPr="00AA1204" w:rsidRDefault="000151A5" w:rsidP="000151A5">
            <w:pPr>
              <w:tabs>
                <w:tab w:val="decimal" w:pos="794"/>
              </w:tabs>
              <w:spacing w:after="0"/>
              <w:ind w:firstLine="0"/>
              <w:rPr>
                <w:rFonts w:eastAsia="Arial Unicode MS"/>
                <w:sz w:val="20"/>
                <w:szCs w:val="20"/>
                <w:highlight w:val="yellow"/>
              </w:rPr>
            </w:pPr>
            <w:r w:rsidRPr="00C86AE8">
              <w:rPr>
                <w:rFonts w:eastAsia="Times New Roman"/>
                <w:b/>
                <w:sz w:val="20"/>
                <w:szCs w:val="20"/>
              </w:rPr>
              <w:t>362 342</w:t>
            </w:r>
          </w:p>
        </w:tc>
        <w:tc>
          <w:tcPr>
            <w:tcW w:w="992" w:type="dxa"/>
          </w:tcPr>
          <w:p w:rsidR="000151A5" w:rsidRPr="004A140F" w:rsidRDefault="000151A5" w:rsidP="000151A5">
            <w:pPr>
              <w:tabs>
                <w:tab w:val="decimal" w:pos="512"/>
              </w:tabs>
              <w:spacing w:after="0"/>
              <w:ind w:firstLine="0"/>
              <w:rPr>
                <w:rFonts w:eastAsia="Times New Roman"/>
                <w:b/>
                <w:sz w:val="20"/>
                <w:szCs w:val="20"/>
              </w:rPr>
            </w:pPr>
            <w:r w:rsidRPr="004A140F">
              <w:rPr>
                <w:rFonts w:eastAsia="Times New Roman"/>
                <w:b/>
                <w:sz w:val="20"/>
                <w:szCs w:val="20"/>
              </w:rPr>
              <w:t>98,4</w:t>
            </w:r>
          </w:p>
        </w:tc>
        <w:tc>
          <w:tcPr>
            <w:tcW w:w="923" w:type="dxa"/>
          </w:tcPr>
          <w:p w:rsidR="000151A5" w:rsidRPr="00826171" w:rsidRDefault="000151A5" w:rsidP="000151A5">
            <w:pPr>
              <w:tabs>
                <w:tab w:val="decimal" w:pos="450"/>
              </w:tabs>
              <w:spacing w:after="0"/>
              <w:ind w:firstLine="0"/>
              <w:rPr>
                <w:rFonts w:eastAsia="Times New Roman"/>
                <w:b/>
                <w:sz w:val="20"/>
                <w:szCs w:val="20"/>
              </w:rPr>
            </w:pPr>
            <w:r w:rsidRPr="00826171">
              <w:rPr>
                <w:rFonts w:eastAsia="Times New Roman"/>
                <w:b/>
                <w:sz w:val="20"/>
                <w:szCs w:val="20"/>
              </w:rPr>
              <w:t>93,1</w:t>
            </w:r>
          </w:p>
        </w:tc>
        <w:tc>
          <w:tcPr>
            <w:tcW w:w="958" w:type="dxa"/>
            <w:tcBorders>
              <w:right w:val="single" w:sz="4" w:space="0" w:color="auto"/>
            </w:tcBorders>
          </w:tcPr>
          <w:p w:rsidR="000151A5" w:rsidRPr="00826171" w:rsidRDefault="000151A5" w:rsidP="000151A5">
            <w:pPr>
              <w:tabs>
                <w:tab w:val="decimal" w:pos="451"/>
              </w:tabs>
              <w:spacing w:after="0"/>
              <w:ind w:firstLine="0"/>
              <w:rPr>
                <w:rFonts w:eastAsia="Arial Unicode MS"/>
                <w:sz w:val="20"/>
                <w:szCs w:val="20"/>
              </w:rPr>
            </w:pPr>
            <w:r w:rsidRPr="00826171">
              <w:rPr>
                <w:rFonts w:eastAsia="Times New Roman"/>
                <w:b/>
                <w:sz w:val="20"/>
                <w:szCs w:val="20"/>
              </w:rPr>
              <w:t>13,7</w:t>
            </w:r>
          </w:p>
        </w:tc>
      </w:tr>
      <w:tr w:rsidR="000151A5" w:rsidRPr="00AA1204" w:rsidTr="000151A5">
        <w:trPr>
          <w:cantSplit/>
          <w:jc w:val="center"/>
        </w:trPr>
        <w:tc>
          <w:tcPr>
            <w:tcW w:w="2977" w:type="dxa"/>
            <w:tcBorders>
              <w:left w:val="single" w:sz="4" w:space="0" w:color="auto"/>
              <w:bottom w:val="nil"/>
            </w:tcBorders>
          </w:tcPr>
          <w:p w:rsidR="000151A5" w:rsidRPr="00AA1204" w:rsidRDefault="000151A5" w:rsidP="000151A5">
            <w:pPr>
              <w:spacing w:after="0"/>
              <w:ind w:firstLine="0"/>
              <w:rPr>
                <w:rFonts w:eastAsia="Times New Roman"/>
                <w:snapToGrid w:val="0"/>
                <w:sz w:val="20"/>
                <w:szCs w:val="20"/>
              </w:rPr>
            </w:pPr>
            <w:r w:rsidRPr="00AA1204">
              <w:rPr>
                <w:rFonts w:eastAsia="Times New Roman"/>
                <w:snapToGrid w:val="0"/>
                <w:sz w:val="20"/>
                <w:szCs w:val="20"/>
              </w:rPr>
              <w:t xml:space="preserve">  Pamatkapitāla veidošana</w:t>
            </w:r>
          </w:p>
        </w:tc>
        <w:tc>
          <w:tcPr>
            <w:tcW w:w="992" w:type="dxa"/>
            <w:tcBorders>
              <w:bottom w:val="nil"/>
            </w:tcBorders>
          </w:tcPr>
          <w:p w:rsidR="000151A5" w:rsidRPr="00FD1A0F" w:rsidRDefault="000151A5" w:rsidP="000151A5">
            <w:pPr>
              <w:tabs>
                <w:tab w:val="decimal" w:pos="794"/>
              </w:tabs>
              <w:spacing w:after="0"/>
              <w:ind w:firstLine="0"/>
              <w:rPr>
                <w:rFonts w:eastAsia="Arial Unicode MS"/>
                <w:sz w:val="20"/>
                <w:szCs w:val="20"/>
              </w:rPr>
            </w:pPr>
            <w:r w:rsidRPr="00FD1A0F">
              <w:rPr>
                <w:rFonts w:eastAsia="Times New Roman"/>
                <w:sz w:val="20"/>
                <w:szCs w:val="20"/>
              </w:rPr>
              <w:t>41 501</w:t>
            </w:r>
          </w:p>
        </w:tc>
        <w:tc>
          <w:tcPr>
            <w:tcW w:w="993" w:type="dxa"/>
            <w:tcBorders>
              <w:bottom w:val="nil"/>
            </w:tcBorders>
          </w:tcPr>
          <w:p w:rsidR="000151A5" w:rsidRPr="005D3BBB" w:rsidRDefault="000151A5" w:rsidP="000151A5">
            <w:pPr>
              <w:tabs>
                <w:tab w:val="decimal" w:pos="794"/>
              </w:tabs>
              <w:spacing w:after="0"/>
              <w:ind w:firstLine="0"/>
              <w:rPr>
                <w:rFonts w:eastAsia="Times New Roman"/>
                <w:sz w:val="20"/>
                <w:szCs w:val="20"/>
              </w:rPr>
            </w:pPr>
            <w:r w:rsidRPr="005D3BBB">
              <w:rPr>
                <w:rFonts w:eastAsia="Times New Roman"/>
                <w:sz w:val="20"/>
                <w:szCs w:val="20"/>
              </w:rPr>
              <w:t>20 209</w:t>
            </w:r>
          </w:p>
        </w:tc>
        <w:tc>
          <w:tcPr>
            <w:tcW w:w="992" w:type="dxa"/>
            <w:tcBorders>
              <w:bottom w:val="nil"/>
            </w:tcBorders>
          </w:tcPr>
          <w:p w:rsidR="000151A5" w:rsidRPr="005D3BBB" w:rsidRDefault="000151A5" w:rsidP="000151A5">
            <w:pPr>
              <w:tabs>
                <w:tab w:val="decimal" w:pos="794"/>
              </w:tabs>
              <w:spacing w:after="0"/>
              <w:ind w:firstLine="0"/>
              <w:rPr>
                <w:rFonts w:eastAsia="Arial Unicode MS"/>
                <w:sz w:val="20"/>
                <w:szCs w:val="20"/>
              </w:rPr>
            </w:pPr>
            <w:r w:rsidRPr="005D3BBB">
              <w:rPr>
                <w:rFonts w:eastAsia="Times New Roman"/>
                <w:sz w:val="20"/>
                <w:szCs w:val="20"/>
              </w:rPr>
              <w:t>16 754</w:t>
            </w:r>
          </w:p>
        </w:tc>
        <w:tc>
          <w:tcPr>
            <w:tcW w:w="992" w:type="dxa"/>
            <w:tcBorders>
              <w:bottom w:val="nil"/>
            </w:tcBorders>
          </w:tcPr>
          <w:p w:rsidR="000151A5" w:rsidRPr="00AA1204" w:rsidRDefault="000151A5" w:rsidP="000151A5">
            <w:pPr>
              <w:tabs>
                <w:tab w:val="decimal" w:pos="794"/>
              </w:tabs>
              <w:spacing w:after="0"/>
              <w:ind w:firstLine="0"/>
              <w:rPr>
                <w:rFonts w:eastAsia="Arial Unicode MS"/>
                <w:sz w:val="20"/>
                <w:szCs w:val="20"/>
                <w:highlight w:val="yellow"/>
              </w:rPr>
            </w:pPr>
            <w:r w:rsidRPr="00C86AE8">
              <w:rPr>
                <w:rFonts w:eastAsia="Times New Roman"/>
                <w:sz w:val="20"/>
                <w:szCs w:val="20"/>
              </w:rPr>
              <w:t>243 787</w:t>
            </w:r>
          </w:p>
        </w:tc>
        <w:tc>
          <w:tcPr>
            <w:tcW w:w="992" w:type="dxa"/>
            <w:tcBorders>
              <w:bottom w:val="nil"/>
            </w:tcBorders>
          </w:tcPr>
          <w:p w:rsidR="000151A5" w:rsidRPr="004A140F" w:rsidRDefault="000151A5" w:rsidP="000151A5">
            <w:pPr>
              <w:tabs>
                <w:tab w:val="decimal" w:pos="512"/>
              </w:tabs>
              <w:spacing w:after="0"/>
              <w:ind w:firstLine="0"/>
              <w:rPr>
                <w:rFonts w:eastAsia="Times New Roman"/>
                <w:sz w:val="20"/>
                <w:szCs w:val="20"/>
              </w:rPr>
            </w:pPr>
            <w:r w:rsidRPr="004A140F">
              <w:rPr>
                <w:rFonts w:eastAsia="Times New Roman"/>
                <w:sz w:val="20"/>
                <w:szCs w:val="20"/>
              </w:rPr>
              <w:t>40,4</w:t>
            </w:r>
          </w:p>
        </w:tc>
        <w:tc>
          <w:tcPr>
            <w:tcW w:w="923" w:type="dxa"/>
            <w:tcBorders>
              <w:bottom w:val="nil"/>
            </w:tcBorders>
          </w:tcPr>
          <w:p w:rsidR="000151A5" w:rsidRPr="00826171" w:rsidRDefault="000151A5" w:rsidP="000151A5">
            <w:pPr>
              <w:tabs>
                <w:tab w:val="decimal" w:pos="450"/>
              </w:tabs>
              <w:spacing w:after="0"/>
              <w:ind w:firstLine="0"/>
              <w:rPr>
                <w:rFonts w:eastAsia="Times New Roman"/>
                <w:sz w:val="20"/>
                <w:szCs w:val="20"/>
              </w:rPr>
            </w:pPr>
            <w:r w:rsidRPr="00826171">
              <w:rPr>
                <w:rFonts w:eastAsia="Times New Roman"/>
                <w:sz w:val="20"/>
                <w:szCs w:val="20"/>
              </w:rPr>
              <w:t>82,9</w:t>
            </w:r>
          </w:p>
        </w:tc>
        <w:tc>
          <w:tcPr>
            <w:tcW w:w="958" w:type="dxa"/>
            <w:tcBorders>
              <w:bottom w:val="nil"/>
              <w:right w:val="single" w:sz="4" w:space="0" w:color="auto"/>
            </w:tcBorders>
          </w:tcPr>
          <w:p w:rsidR="000151A5" w:rsidRPr="00826171" w:rsidRDefault="000151A5" w:rsidP="000151A5">
            <w:pPr>
              <w:tabs>
                <w:tab w:val="decimal" w:pos="451"/>
              </w:tabs>
              <w:spacing w:after="0"/>
              <w:ind w:firstLine="0"/>
              <w:rPr>
                <w:rFonts w:eastAsia="Arial Unicode MS"/>
                <w:sz w:val="20"/>
                <w:szCs w:val="20"/>
              </w:rPr>
            </w:pPr>
            <w:r w:rsidRPr="00826171">
              <w:rPr>
                <w:rFonts w:eastAsia="Times New Roman"/>
                <w:sz w:val="20"/>
                <w:szCs w:val="20"/>
              </w:rPr>
              <w:t>6,9</w:t>
            </w:r>
          </w:p>
        </w:tc>
      </w:tr>
      <w:tr w:rsidR="000151A5" w:rsidRPr="00800CCE" w:rsidTr="000151A5">
        <w:trPr>
          <w:cantSplit/>
          <w:jc w:val="center"/>
        </w:trPr>
        <w:tc>
          <w:tcPr>
            <w:tcW w:w="2977" w:type="dxa"/>
            <w:tcBorders>
              <w:left w:val="single" w:sz="4" w:space="0" w:color="auto"/>
              <w:bottom w:val="nil"/>
            </w:tcBorders>
          </w:tcPr>
          <w:p w:rsidR="000151A5" w:rsidRPr="00800CCE" w:rsidRDefault="000151A5" w:rsidP="000151A5">
            <w:pPr>
              <w:spacing w:after="0"/>
              <w:ind w:firstLine="0"/>
              <w:rPr>
                <w:rFonts w:eastAsia="Times New Roman"/>
                <w:snapToGrid w:val="0"/>
                <w:sz w:val="20"/>
                <w:szCs w:val="20"/>
              </w:rPr>
            </w:pPr>
            <w:r w:rsidRPr="00800CCE">
              <w:rPr>
                <w:rFonts w:eastAsia="Times New Roman"/>
                <w:snapToGrid w:val="0"/>
                <w:sz w:val="20"/>
                <w:szCs w:val="20"/>
              </w:rPr>
              <w:t xml:space="preserve">  Kapitālo izdevumu transferti   </w:t>
            </w:r>
          </w:p>
        </w:tc>
        <w:tc>
          <w:tcPr>
            <w:tcW w:w="992" w:type="dxa"/>
            <w:tcBorders>
              <w:bottom w:val="nil"/>
            </w:tcBorders>
          </w:tcPr>
          <w:p w:rsidR="000151A5" w:rsidRPr="00800CCE" w:rsidRDefault="000151A5" w:rsidP="000151A5">
            <w:pPr>
              <w:tabs>
                <w:tab w:val="decimal" w:pos="794"/>
              </w:tabs>
              <w:spacing w:after="0"/>
              <w:ind w:firstLine="0"/>
              <w:rPr>
                <w:rFonts w:eastAsia="Arial Unicode MS"/>
                <w:sz w:val="20"/>
                <w:szCs w:val="20"/>
              </w:rPr>
            </w:pPr>
            <w:r w:rsidRPr="00800CCE">
              <w:rPr>
                <w:rFonts w:eastAsia="Arial Unicode MS"/>
                <w:sz w:val="20"/>
                <w:szCs w:val="20"/>
              </w:rPr>
              <w:t>8 788</w:t>
            </w:r>
          </w:p>
        </w:tc>
        <w:tc>
          <w:tcPr>
            <w:tcW w:w="993" w:type="dxa"/>
            <w:tcBorders>
              <w:bottom w:val="nil"/>
            </w:tcBorders>
          </w:tcPr>
          <w:p w:rsidR="000151A5" w:rsidRPr="00800CCE" w:rsidRDefault="000151A5" w:rsidP="000151A5">
            <w:pPr>
              <w:tabs>
                <w:tab w:val="decimal" w:pos="794"/>
              </w:tabs>
              <w:spacing w:after="0"/>
              <w:ind w:firstLine="0"/>
              <w:rPr>
                <w:rFonts w:eastAsia="Times New Roman"/>
                <w:sz w:val="20"/>
                <w:szCs w:val="20"/>
              </w:rPr>
            </w:pPr>
            <w:r w:rsidRPr="00800CCE">
              <w:rPr>
                <w:rFonts w:eastAsia="Times New Roman"/>
                <w:sz w:val="20"/>
                <w:szCs w:val="20"/>
              </w:rPr>
              <w:t xml:space="preserve">32 992    </w:t>
            </w:r>
          </w:p>
        </w:tc>
        <w:tc>
          <w:tcPr>
            <w:tcW w:w="992" w:type="dxa"/>
            <w:tcBorders>
              <w:bottom w:val="nil"/>
            </w:tcBorders>
          </w:tcPr>
          <w:p w:rsidR="000151A5" w:rsidRPr="00800CCE" w:rsidRDefault="000151A5" w:rsidP="000151A5">
            <w:pPr>
              <w:tabs>
                <w:tab w:val="decimal" w:pos="794"/>
              </w:tabs>
              <w:spacing w:after="0"/>
              <w:ind w:firstLine="0"/>
              <w:rPr>
                <w:rFonts w:eastAsia="Arial Unicode MS"/>
                <w:sz w:val="20"/>
                <w:szCs w:val="20"/>
              </w:rPr>
            </w:pPr>
            <w:r w:rsidRPr="00800CCE">
              <w:rPr>
                <w:rFonts w:eastAsia="Arial Unicode MS"/>
                <w:sz w:val="20"/>
                <w:szCs w:val="20"/>
              </w:rPr>
              <w:t xml:space="preserve">32 752     </w:t>
            </w:r>
          </w:p>
        </w:tc>
        <w:tc>
          <w:tcPr>
            <w:tcW w:w="992" w:type="dxa"/>
            <w:tcBorders>
              <w:bottom w:val="nil"/>
            </w:tcBorders>
          </w:tcPr>
          <w:p w:rsidR="000151A5" w:rsidRPr="00800CCE" w:rsidRDefault="000151A5" w:rsidP="000151A5">
            <w:pPr>
              <w:tabs>
                <w:tab w:val="decimal" w:pos="794"/>
              </w:tabs>
              <w:spacing w:after="0"/>
              <w:ind w:firstLine="0"/>
              <w:rPr>
                <w:rFonts w:eastAsia="Arial Unicode MS"/>
                <w:sz w:val="20"/>
                <w:szCs w:val="20"/>
                <w:highlight w:val="yellow"/>
              </w:rPr>
            </w:pPr>
            <w:r w:rsidRPr="00800CCE">
              <w:rPr>
                <w:rFonts w:eastAsia="Arial Unicode MS"/>
                <w:sz w:val="20"/>
                <w:szCs w:val="20"/>
              </w:rPr>
              <w:t xml:space="preserve">118 555      </w:t>
            </w:r>
          </w:p>
        </w:tc>
        <w:tc>
          <w:tcPr>
            <w:tcW w:w="992" w:type="dxa"/>
            <w:tcBorders>
              <w:bottom w:val="nil"/>
            </w:tcBorders>
          </w:tcPr>
          <w:p w:rsidR="000151A5" w:rsidRPr="00800CCE" w:rsidRDefault="000151A5" w:rsidP="000151A5">
            <w:pPr>
              <w:tabs>
                <w:tab w:val="decimal" w:pos="512"/>
              </w:tabs>
              <w:spacing w:after="0"/>
              <w:ind w:firstLine="0"/>
              <w:rPr>
                <w:rFonts w:eastAsia="Times New Roman"/>
                <w:sz w:val="20"/>
                <w:szCs w:val="20"/>
                <w:highlight w:val="yellow"/>
              </w:rPr>
            </w:pPr>
            <w:r w:rsidRPr="00800CCE">
              <w:rPr>
                <w:rFonts w:eastAsia="Times New Roman"/>
                <w:sz w:val="20"/>
                <w:szCs w:val="20"/>
              </w:rPr>
              <w:t>372,7</w:t>
            </w:r>
          </w:p>
        </w:tc>
        <w:tc>
          <w:tcPr>
            <w:tcW w:w="923" w:type="dxa"/>
            <w:tcBorders>
              <w:bottom w:val="nil"/>
            </w:tcBorders>
          </w:tcPr>
          <w:p w:rsidR="000151A5" w:rsidRPr="00800CCE" w:rsidRDefault="000151A5" w:rsidP="000151A5">
            <w:pPr>
              <w:tabs>
                <w:tab w:val="decimal" w:pos="450"/>
              </w:tabs>
              <w:spacing w:after="0"/>
              <w:ind w:firstLine="0"/>
              <w:rPr>
                <w:rFonts w:eastAsia="Times New Roman"/>
                <w:sz w:val="20"/>
                <w:szCs w:val="20"/>
              </w:rPr>
            </w:pPr>
            <w:r w:rsidRPr="00800CCE">
              <w:rPr>
                <w:rFonts w:eastAsia="Times New Roman"/>
                <w:sz w:val="20"/>
                <w:szCs w:val="20"/>
              </w:rPr>
              <w:t>99,3</w:t>
            </w:r>
          </w:p>
        </w:tc>
        <w:tc>
          <w:tcPr>
            <w:tcW w:w="958" w:type="dxa"/>
            <w:tcBorders>
              <w:bottom w:val="nil"/>
              <w:right w:val="single" w:sz="4" w:space="0" w:color="auto"/>
            </w:tcBorders>
          </w:tcPr>
          <w:p w:rsidR="000151A5" w:rsidRPr="00800CCE" w:rsidRDefault="000151A5" w:rsidP="000151A5">
            <w:pPr>
              <w:tabs>
                <w:tab w:val="decimal" w:pos="451"/>
              </w:tabs>
              <w:spacing w:after="0"/>
              <w:ind w:firstLine="0"/>
              <w:rPr>
                <w:rFonts w:eastAsia="Arial Unicode MS"/>
                <w:sz w:val="20"/>
                <w:szCs w:val="20"/>
              </w:rPr>
            </w:pPr>
            <w:r w:rsidRPr="00800CCE">
              <w:rPr>
                <w:rFonts w:eastAsia="Arial Unicode MS"/>
                <w:sz w:val="20"/>
                <w:szCs w:val="20"/>
              </w:rPr>
              <w:t>27,6</w:t>
            </w:r>
          </w:p>
        </w:tc>
      </w:tr>
      <w:tr w:rsidR="000151A5" w:rsidRPr="00800CCE" w:rsidTr="000151A5">
        <w:trPr>
          <w:cantSplit/>
          <w:jc w:val="center"/>
        </w:trPr>
        <w:tc>
          <w:tcPr>
            <w:tcW w:w="2977" w:type="dxa"/>
            <w:tcBorders>
              <w:top w:val="nil"/>
              <w:left w:val="single" w:sz="4" w:space="0" w:color="auto"/>
              <w:bottom w:val="single" w:sz="4" w:space="0" w:color="auto"/>
            </w:tcBorders>
          </w:tcPr>
          <w:p w:rsidR="000151A5" w:rsidRPr="00800CCE" w:rsidRDefault="000151A5" w:rsidP="000151A5">
            <w:pPr>
              <w:spacing w:after="0"/>
              <w:ind w:firstLine="0"/>
              <w:rPr>
                <w:rFonts w:eastAsia="Times New Roman"/>
                <w:snapToGrid w:val="0"/>
                <w:sz w:val="20"/>
                <w:szCs w:val="20"/>
              </w:rPr>
            </w:pPr>
            <w:r w:rsidRPr="00800CCE">
              <w:rPr>
                <w:rFonts w:eastAsia="Times New Roman"/>
                <w:snapToGrid w:val="0"/>
                <w:sz w:val="20"/>
                <w:szCs w:val="20"/>
              </w:rPr>
              <w:t xml:space="preserve">    Valsts budžeta kapitālo izdevumu transferti no valsts pamatbudžeta uz pašvaldību pamatbudžetu</w:t>
            </w:r>
          </w:p>
        </w:tc>
        <w:tc>
          <w:tcPr>
            <w:tcW w:w="992" w:type="dxa"/>
            <w:tcBorders>
              <w:top w:val="nil"/>
              <w:bottom w:val="single" w:sz="4" w:space="0" w:color="auto"/>
            </w:tcBorders>
          </w:tcPr>
          <w:p w:rsidR="000151A5" w:rsidRPr="00800CCE" w:rsidRDefault="000151A5" w:rsidP="000151A5">
            <w:pPr>
              <w:tabs>
                <w:tab w:val="decimal" w:pos="794"/>
              </w:tabs>
              <w:spacing w:after="0"/>
              <w:ind w:firstLine="0"/>
              <w:rPr>
                <w:rFonts w:eastAsia="Arial Unicode MS"/>
                <w:sz w:val="20"/>
                <w:szCs w:val="20"/>
              </w:rPr>
            </w:pPr>
            <w:r w:rsidRPr="00800CCE">
              <w:rPr>
                <w:rFonts w:eastAsia="Arial Unicode MS"/>
                <w:sz w:val="20"/>
                <w:szCs w:val="20"/>
              </w:rPr>
              <w:t>5 593</w:t>
            </w:r>
          </w:p>
          <w:p w:rsidR="000151A5" w:rsidRPr="00800CCE" w:rsidRDefault="000151A5" w:rsidP="000151A5">
            <w:pPr>
              <w:tabs>
                <w:tab w:val="decimal" w:pos="794"/>
              </w:tabs>
              <w:spacing w:after="0"/>
              <w:ind w:firstLine="0"/>
              <w:rPr>
                <w:rFonts w:eastAsia="Arial Unicode MS"/>
                <w:sz w:val="20"/>
                <w:szCs w:val="20"/>
              </w:rPr>
            </w:pPr>
          </w:p>
        </w:tc>
        <w:tc>
          <w:tcPr>
            <w:tcW w:w="993" w:type="dxa"/>
            <w:tcBorders>
              <w:top w:val="nil"/>
              <w:bottom w:val="single" w:sz="4" w:space="0" w:color="auto"/>
            </w:tcBorders>
          </w:tcPr>
          <w:p w:rsidR="000151A5" w:rsidRPr="00800CCE" w:rsidRDefault="000151A5" w:rsidP="000151A5">
            <w:pPr>
              <w:tabs>
                <w:tab w:val="decimal" w:pos="794"/>
              </w:tabs>
              <w:spacing w:after="0"/>
              <w:ind w:firstLine="0"/>
              <w:rPr>
                <w:rFonts w:eastAsia="Times New Roman"/>
                <w:sz w:val="20"/>
                <w:szCs w:val="20"/>
              </w:rPr>
            </w:pPr>
            <w:r w:rsidRPr="00800CCE">
              <w:rPr>
                <w:rFonts w:eastAsia="Times New Roman"/>
                <w:sz w:val="20"/>
                <w:szCs w:val="20"/>
              </w:rPr>
              <w:t xml:space="preserve">x   </w:t>
            </w:r>
          </w:p>
          <w:p w:rsidR="000151A5" w:rsidRPr="00800CCE" w:rsidRDefault="000151A5" w:rsidP="000151A5">
            <w:pPr>
              <w:tabs>
                <w:tab w:val="decimal" w:pos="794"/>
              </w:tabs>
              <w:spacing w:after="0"/>
              <w:ind w:firstLine="0"/>
              <w:rPr>
                <w:rFonts w:eastAsia="Times New Roman"/>
                <w:sz w:val="20"/>
                <w:szCs w:val="20"/>
              </w:rPr>
            </w:pPr>
          </w:p>
          <w:p w:rsidR="000151A5" w:rsidRPr="00800CCE" w:rsidRDefault="000151A5" w:rsidP="000151A5">
            <w:pPr>
              <w:tabs>
                <w:tab w:val="decimal" w:pos="794"/>
              </w:tabs>
              <w:spacing w:after="0"/>
              <w:ind w:firstLine="0"/>
              <w:rPr>
                <w:rFonts w:eastAsia="Arial Unicode MS"/>
                <w:sz w:val="20"/>
                <w:szCs w:val="20"/>
              </w:rPr>
            </w:pPr>
          </w:p>
        </w:tc>
        <w:tc>
          <w:tcPr>
            <w:tcW w:w="992" w:type="dxa"/>
            <w:tcBorders>
              <w:top w:val="nil"/>
              <w:bottom w:val="single" w:sz="4" w:space="0" w:color="auto"/>
            </w:tcBorders>
          </w:tcPr>
          <w:p w:rsidR="000151A5" w:rsidRPr="00800CCE" w:rsidRDefault="000151A5" w:rsidP="000151A5">
            <w:pPr>
              <w:tabs>
                <w:tab w:val="decimal" w:pos="794"/>
              </w:tabs>
              <w:spacing w:after="0"/>
              <w:ind w:firstLine="0"/>
              <w:rPr>
                <w:rFonts w:eastAsia="Arial Unicode MS"/>
                <w:sz w:val="20"/>
                <w:szCs w:val="20"/>
              </w:rPr>
            </w:pPr>
            <w:r w:rsidRPr="00800CCE">
              <w:rPr>
                <w:rFonts w:eastAsia="Arial Unicode MS"/>
                <w:sz w:val="20"/>
                <w:szCs w:val="20"/>
              </w:rPr>
              <w:t xml:space="preserve">x   </w:t>
            </w:r>
          </w:p>
          <w:p w:rsidR="000151A5" w:rsidRPr="00800CCE" w:rsidRDefault="000151A5" w:rsidP="000151A5">
            <w:pPr>
              <w:tabs>
                <w:tab w:val="decimal" w:pos="794"/>
              </w:tabs>
              <w:spacing w:after="0"/>
              <w:ind w:firstLine="0"/>
              <w:rPr>
                <w:rFonts w:eastAsia="Arial Unicode MS"/>
                <w:sz w:val="20"/>
                <w:szCs w:val="20"/>
              </w:rPr>
            </w:pPr>
          </w:p>
          <w:p w:rsidR="000151A5" w:rsidRPr="00800CCE" w:rsidRDefault="000151A5" w:rsidP="000151A5">
            <w:pPr>
              <w:tabs>
                <w:tab w:val="decimal" w:pos="794"/>
              </w:tabs>
              <w:spacing w:after="0"/>
              <w:ind w:firstLine="0"/>
              <w:rPr>
                <w:rFonts w:eastAsia="Arial Unicode MS"/>
                <w:sz w:val="20"/>
                <w:szCs w:val="20"/>
              </w:rPr>
            </w:pPr>
          </w:p>
        </w:tc>
        <w:tc>
          <w:tcPr>
            <w:tcW w:w="992" w:type="dxa"/>
            <w:tcBorders>
              <w:top w:val="nil"/>
              <w:bottom w:val="single" w:sz="4" w:space="0" w:color="auto"/>
            </w:tcBorders>
          </w:tcPr>
          <w:p w:rsidR="000151A5" w:rsidRPr="00800CCE" w:rsidRDefault="000151A5" w:rsidP="000151A5">
            <w:pPr>
              <w:tabs>
                <w:tab w:val="decimal" w:pos="794"/>
              </w:tabs>
              <w:spacing w:after="0"/>
              <w:ind w:firstLine="0"/>
              <w:rPr>
                <w:rFonts w:eastAsia="Arial Unicode MS"/>
                <w:sz w:val="20"/>
                <w:szCs w:val="20"/>
              </w:rPr>
            </w:pPr>
            <w:r w:rsidRPr="00800CCE">
              <w:rPr>
                <w:rFonts w:eastAsia="Arial Unicode MS"/>
                <w:sz w:val="20"/>
                <w:szCs w:val="20"/>
              </w:rPr>
              <w:t xml:space="preserve">x    </w:t>
            </w:r>
          </w:p>
          <w:p w:rsidR="000151A5" w:rsidRPr="00800CCE" w:rsidRDefault="000151A5" w:rsidP="000151A5">
            <w:pPr>
              <w:tabs>
                <w:tab w:val="decimal" w:pos="794"/>
              </w:tabs>
              <w:spacing w:after="0"/>
              <w:ind w:firstLine="0"/>
              <w:rPr>
                <w:rFonts w:eastAsia="Arial Unicode MS"/>
                <w:sz w:val="20"/>
                <w:szCs w:val="20"/>
              </w:rPr>
            </w:pPr>
          </w:p>
          <w:p w:rsidR="000151A5" w:rsidRPr="00800CCE" w:rsidRDefault="000151A5" w:rsidP="000151A5">
            <w:pPr>
              <w:tabs>
                <w:tab w:val="decimal" w:pos="794"/>
              </w:tabs>
              <w:spacing w:after="0"/>
              <w:ind w:firstLine="0"/>
              <w:rPr>
                <w:rFonts w:eastAsia="Arial Unicode MS"/>
                <w:sz w:val="20"/>
                <w:szCs w:val="20"/>
              </w:rPr>
            </w:pPr>
          </w:p>
          <w:p w:rsidR="000151A5" w:rsidRPr="00800CCE" w:rsidRDefault="000151A5" w:rsidP="000151A5">
            <w:pPr>
              <w:tabs>
                <w:tab w:val="decimal" w:pos="794"/>
              </w:tabs>
              <w:spacing w:after="0"/>
              <w:ind w:firstLine="0"/>
              <w:rPr>
                <w:rFonts w:eastAsia="Arial Unicode MS"/>
                <w:sz w:val="20"/>
                <w:szCs w:val="20"/>
              </w:rPr>
            </w:pPr>
          </w:p>
        </w:tc>
        <w:tc>
          <w:tcPr>
            <w:tcW w:w="992" w:type="dxa"/>
            <w:tcBorders>
              <w:top w:val="nil"/>
              <w:bottom w:val="single" w:sz="4" w:space="0" w:color="auto"/>
            </w:tcBorders>
          </w:tcPr>
          <w:p w:rsidR="000151A5" w:rsidRPr="00800CCE" w:rsidRDefault="000151A5" w:rsidP="000151A5">
            <w:pPr>
              <w:tabs>
                <w:tab w:val="decimal" w:pos="512"/>
              </w:tabs>
              <w:spacing w:after="0"/>
              <w:ind w:firstLine="0"/>
              <w:rPr>
                <w:rFonts w:eastAsia="Arial Unicode MS"/>
                <w:i/>
                <w:sz w:val="20"/>
                <w:szCs w:val="20"/>
              </w:rPr>
            </w:pPr>
            <w:r w:rsidRPr="00800CCE">
              <w:rPr>
                <w:rFonts w:eastAsia="Arial Unicode MS"/>
                <w:i/>
                <w:sz w:val="20"/>
                <w:szCs w:val="20"/>
              </w:rPr>
              <w:t>x</w:t>
            </w:r>
          </w:p>
          <w:p w:rsidR="000151A5" w:rsidRPr="00800CCE" w:rsidRDefault="000151A5" w:rsidP="000151A5">
            <w:pPr>
              <w:tabs>
                <w:tab w:val="decimal" w:pos="512"/>
              </w:tabs>
              <w:spacing w:after="0"/>
              <w:ind w:firstLine="0"/>
              <w:rPr>
                <w:rFonts w:eastAsia="Arial Unicode MS"/>
                <w:i/>
                <w:sz w:val="20"/>
                <w:szCs w:val="20"/>
              </w:rPr>
            </w:pPr>
          </w:p>
          <w:p w:rsidR="000151A5" w:rsidRPr="00800CCE" w:rsidRDefault="000151A5" w:rsidP="000151A5">
            <w:pPr>
              <w:tabs>
                <w:tab w:val="decimal" w:pos="512"/>
              </w:tabs>
              <w:spacing w:after="0"/>
              <w:ind w:firstLine="0"/>
              <w:rPr>
                <w:rFonts w:eastAsia="Arial Unicode MS"/>
                <w:i/>
                <w:sz w:val="20"/>
                <w:szCs w:val="20"/>
              </w:rPr>
            </w:pPr>
          </w:p>
        </w:tc>
        <w:tc>
          <w:tcPr>
            <w:tcW w:w="923" w:type="dxa"/>
            <w:tcBorders>
              <w:top w:val="nil"/>
              <w:bottom w:val="single" w:sz="4" w:space="0" w:color="auto"/>
            </w:tcBorders>
          </w:tcPr>
          <w:p w:rsidR="000151A5" w:rsidRPr="00800CCE" w:rsidRDefault="000151A5" w:rsidP="000151A5">
            <w:pPr>
              <w:tabs>
                <w:tab w:val="decimal" w:pos="450"/>
              </w:tabs>
              <w:spacing w:after="0"/>
              <w:ind w:firstLine="0"/>
              <w:rPr>
                <w:rFonts w:eastAsia="Arial Unicode MS"/>
                <w:i/>
                <w:sz w:val="20"/>
                <w:szCs w:val="20"/>
              </w:rPr>
            </w:pPr>
            <w:r w:rsidRPr="00800CCE">
              <w:rPr>
                <w:rFonts w:eastAsia="Arial Unicode MS"/>
                <w:i/>
                <w:sz w:val="20"/>
                <w:szCs w:val="20"/>
              </w:rPr>
              <w:t>x</w:t>
            </w:r>
          </w:p>
          <w:p w:rsidR="000151A5" w:rsidRPr="00800CCE" w:rsidRDefault="000151A5" w:rsidP="000151A5">
            <w:pPr>
              <w:tabs>
                <w:tab w:val="decimal" w:pos="450"/>
              </w:tabs>
              <w:spacing w:after="0"/>
              <w:ind w:firstLine="0"/>
              <w:rPr>
                <w:rFonts w:eastAsia="Arial Unicode MS"/>
                <w:i/>
                <w:sz w:val="20"/>
                <w:szCs w:val="20"/>
              </w:rPr>
            </w:pPr>
          </w:p>
          <w:p w:rsidR="000151A5" w:rsidRPr="00800CCE" w:rsidRDefault="000151A5" w:rsidP="000151A5">
            <w:pPr>
              <w:tabs>
                <w:tab w:val="decimal" w:pos="450"/>
              </w:tabs>
              <w:spacing w:after="0"/>
              <w:ind w:firstLine="0"/>
              <w:rPr>
                <w:rFonts w:eastAsia="Arial Unicode MS"/>
                <w:i/>
                <w:sz w:val="20"/>
                <w:szCs w:val="20"/>
              </w:rPr>
            </w:pPr>
          </w:p>
          <w:p w:rsidR="000151A5" w:rsidRPr="00800CCE" w:rsidRDefault="000151A5" w:rsidP="000151A5">
            <w:pPr>
              <w:tabs>
                <w:tab w:val="decimal" w:pos="450"/>
              </w:tabs>
              <w:spacing w:after="0"/>
              <w:ind w:firstLine="0"/>
              <w:rPr>
                <w:rFonts w:eastAsia="Arial Unicode MS"/>
                <w:i/>
                <w:sz w:val="20"/>
                <w:szCs w:val="20"/>
              </w:rPr>
            </w:pPr>
          </w:p>
        </w:tc>
        <w:tc>
          <w:tcPr>
            <w:tcW w:w="958" w:type="dxa"/>
            <w:tcBorders>
              <w:top w:val="nil"/>
              <w:bottom w:val="single" w:sz="4" w:space="0" w:color="auto"/>
              <w:right w:val="single" w:sz="4" w:space="0" w:color="auto"/>
            </w:tcBorders>
          </w:tcPr>
          <w:p w:rsidR="000151A5" w:rsidRPr="00800CCE" w:rsidRDefault="000151A5" w:rsidP="000151A5">
            <w:pPr>
              <w:tabs>
                <w:tab w:val="decimal" w:pos="451"/>
              </w:tabs>
              <w:spacing w:after="0"/>
              <w:ind w:firstLine="0"/>
              <w:rPr>
                <w:rFonts w:eastAsia="Arial Unicode MS"/>
                <w:i/>
                <w:sz w:val="20"/>
                <w:szCs w:val="20"/>
              </w:rPr>
            </w:pPr>
            <w:r w:rsidRPr="00800CCE">
              <w:rPr>
                <w:rFonts w:eastAsia="Arial Unicode MS"/>
                <w:i/>
                <w:sz w:val="20"/>
                <w:szCs w:val="20"/>
              </w:rPr>
              <w:t>x</w:t>
            </w:r>
          </w:p>
          <w:p w:rsidR="000151A5" w:rsidRPr="00800CCE" w:rsidRDefault="000151A5" w:rsidP="000151A5">
            <w:pPr>
              <w:tabs>
                <w:tab w:val="decimal" w:pos="451"/>
              </w:tabs>
              <w:spacing w:after="0"/>
              <w:ind w:firstLine="0"/>
              <w:rPr>
                <w:rFonts w:eastAsia="Arial Unicode MS"/>
                <w:i/>
                <w:sz w:val="20"/>
                <w:szCs w:val="20"/>
              </w:rPr>
            </w:pPr>
          </w:p>
          <w:p w:rsidR="000151A5" w:rsidRPr="00800CCE" w:rsidRDefault="000151A5" w:rsidP="000151A5">
            <w:pPr>
              <w:tabs>
                <w:tab w:val="decimal" w:pos="451"/>
              </w:tabs>
              <w:spacing w:after="0"/>
              <w:ind w:firstLine="0"/>
              <w:rPr>
                <w:rFonts w:eastAsia="Arial Unicode MS"/>
                <w:i/>
                <w:sz w:val="20"/>
                <w:szCs w:val="20"/>
              </w:rPr>
            </w:pPr>
          </w:p>
        </w:tc>
      </w:tr>
      <w:tr w:rsidR="000151A5" w:rsidRPr="00800CCE" w:rsidTr="000151A5">
        <w:trPr>
          <w:cantSplit/>
          <w:jc w:val="center"/>
        </w:trPr>
        <w:tc>
          <w:tcPr>
            <w:tcW w:w="2977" w:type="dxa"/>
            <w:tcBorders>
              <w:top w:val="single" w:sz="4" w:space="0" w:color="auto"/>
              <w:left w:val="single" w:sz="4" w:space="0" w:color="auto"/>
              <w:bottom w:val="single" w:sz="4" w:space="0" w:color="auto"/>
            </w:tcBorders>
          </w:tcPr>
          <w:p w:rsidR="000151A5" w:rsidRPr="00800CCE" w:rsidRDefault="000151A5" w:rsidP="000151A5">
            <w:pPr>
              <w:spacing w:after="0"/>
              <w:ind w:firstLine="0"/>
              <w:rPr>
                <w:rFonts w:eastAsia="Times New Roman"/>
                <w:i/>
                <w:snapToGrid w:val="0"/>
                <w:sz w:val="20"/>
                <w:szCs w:val="20"/>
              </w:rPr>
            </w:pPr>
            <w:r w:rsidRPr="00800CCE">
              <w:rPr>
                <w:rFonts w:eastAsia="Times New Roman"/>
                <w:snapToGrid w:val="0"/>
                <w:sz w:val="20"/>
                <w:szCs w:val="20"/>
              </w:rPr>
              <w:t xml:space="preserve">   Valsts budžeta transferti kapitālajiem izdevumiem citiem budžetiem noteiktam mērķim</w:t>
            </w:r>
          </w:p>
        </w:tc>
        <w:tc>
          <w:tcPr>
            <w:tcW w:w="992" w:type="dxa"/>
            <w:tcBorders>
              <w:top w:val="single" w:sz="4" w:space="0" w:color="auto"/>
              <w:bottom w:val="single" w:sz="4" w:space="0" w:color="auto"/>
            </w:tcBorders>
          </w:tcPr>
          <w:p w:rsidR="000151A5" w:rsidRPr="00800CCE" w:rsidRDefault="000151A5" w:rsidP="000151A5">
            <w:pPr>
              <w:tabs>
                <w:tab w:val="decimal" w:pos="794"/>
              </w:tabs>
              <w:spacing w:after="0"/>
              <w:ind w:firstLine="0"/>
              <w:rPr>
                <w:rFonts w:eastAsia="Arial Unicode MS"/>
                <w:sz w:val="20"/>
                <w:szCs w:val="20"/>
              </w:rPr>
            </w:pPr>
            <w:r w:rsidRPr="00800CCE">
              <w:rPr>
                <w:rFonts w:eastAsia="Arial Unicode MS"/>
                <w:sz w:val="20"/>
                <w:szCs w:val="20"/>
              </w:rPr>
              <w:t>3 195</w:t>
            </w:r>
          </w:p>
        </w:tc>
        <w:tc>
          <w:tcPr>
            <w:tcW w:w="993" w:type="dxa"/>
            <w:tcBorders>
              <w:top w:val="single" w:sz="4" w:space="0" w:color="auto"/>
              <w:bottom w:val="single" w:sz="4" w:space="0" w:color="auto"/>
            </w:tcBorders>
          </w:tcPr>
          <w:p w:rsidR="000151A5" w:rsidRPr="00800CCE" w:rsidRDefault="000151A5" w:rsidP="000151A5">
            <w:pPr>
              <w:tabs>
                <w:tab w:val="decimal" w:pos="794"/>
              </w:tabs>
              <w:spacing w:after="0"/>
              <w:ind w:firstLine="0"/>
              <w:rPr>
                <w:rFonts w:eastAsia="Times New Roman"/>
                <w:sz w:val="20"/>
                <w:szCs w:val="20"/>
              </w:rPr>
            </w:pPr>
            <w:r w:rsidRPr="00800CCE">
              <w:rPr>
                <w:rFonts w:eastAsia="Times New Roman"/>
                <w:sz w:val="20"/>
                <w:szCs w:val="20"/>
              </w:rPr>
              <w:t>32 992</w:t>
            </w:r>
          </w:p>
        </w:tc>
        <w:tc>
          <w:tcPr>
            <w:tcW w:w="992" w:type="dxa"/>
            <w:tcBorders>
              <w:top w:val="single" w:sz="4" w:space="0" w:color="auto"/>
              <w:bottom w:val="single" w:sz="4" w:space="0" w:color="auto"/>
            </w:tcBorders>
          </w:tcPr>
          <w:p w:rsidR="000151A5" w:rsidRPr="00800CCE" w:rsidRDefault="000151A5" w:rsidP="000151A5">
            <w:pPr>
              <w:tabs>
                <w:tab w:val="decimal" w:pos="794"/>
              </w:tabs>
              <w:spacing w:after="0"/>
              <w:ind w:firstLine="0"/>
              <w:rPr>
                <w:rFonts w:eastAsia="Arial Unicode MS"/>
                <w:sz w:val="20"/>
                <w:szCs w:val="20"/>
              </w:rPr>
            </w:pPr>
            <w:r w:rsidRPr="00800CCE">
              <w:rPr>
                <w:rFonts w:eastAsia="Arial Unicode MS"/>
                <w:sz w:val="20"/>
                <w:szCs w:val="20"/>
              </w:rPr>
              <w:t>32 752</w:t>
            </w:r>
          </w:p>
        </w:tc>
        <w:tc>
          <w:tcPr>
            <w:tcW w:w="992" w:type="dxa"/>
            <w:tcBorders>
              <w:top w:val="single" w:sz="4" w:space="0" w:color="auto"/>
              <w:bottom w:val="single" w:sz="4" w:space="0" w:color="auto"/>
            </w:tcBorders>
          </w:tcPr>
          <w:p w:rsidR="000151A5" w:rsidRPr="00800CCE" w:rsidRDefault="000151A5" w:rsidP="000151A5">
            <w:pPr>
              <w:tabs>
                <w:tab w:val="decimal" w:pos="794"/>
              </w:tabs>
              <w:spacing w:after="0"/>
              <w:ind w:firstLine="0"/>
              <w:rPr>
                <w:rFonts w:eastAsia="Arial Unicode MS"/>
                <w:sz w:val="20"/>
                <w:szCs w:val="20"/>
              </w:rPr>
            </w:pPr>
            <w:r w:rsidRPr="00800CCE">
              <w:rPr>
                <w:rFonts w:eastAsia="Arial Unicode MS"/>
                <w:sz w:val="20"/>
                <w:szCs w:val="20"/>
              </w:rPr>
              <w:t>118 555</w:t>
            </w:r>
          </w:p>
        </w:tc>
        <w:tc>
          <w:tcPr>
            <w:tcW w:w="992" w:type="dxa"/>
            <w:tcBorders>
              <w:top w:val="single" w:sz="4" w:space="0" w:color="auto"/>
              <w:bottom w:val="single" w:sz="4" w:space="0" w:color="auto"/>
            </w:tcBorders>
          </w:tcPr>
          <w:p w:rsidR="000151A5" w:rsidRPr="00800CCE" w:rsidRDefault="000151A5" w:rsidP="000151A5">
            <w:pPr>
              <w:tabs>
                <w:tab w:val="decimal" w:pos="512"/>
              </w:tabs>
              <w:spacing w:after="0"/>
              <w:ind w:firstLine="0"/>
              <w:rPr>
                <w:rFonts w:eastAsia="Arial Unicode MS"/>
                <w:i/>
                <w:sz w:val="20"/>
                <w:szCs w:val="20"/>
              </w:rPr>
            </w:pPr>
            <w:r w:rsidRPr="00800CCE">
              <w:rPr>
                <w:rFonts w:eastAsia="Arial Unicode MS"/>
                <w:i/>
                <w:sz w:val="20"/>
                <w:szCs w:val="20"/>
              </w:rPr>
              <w:t>1025,1</w:t>
            </w:r>
          </w:p>
        </w:tc>
        <w:tc>
          <w:tcPr>
            <w:tcW w:w="923" w:type="dxa"/>
            <w:tcBorders>
              <w:top w:val="single" w:sz="4" w:space="0" w:color="auto"/>
              <w:bottom w:val="single" w:sz="4" w:space="0" w:color="auto"/>
            </w:tcBorders>
          </w:tcPr>
          <w:p w:rsidR="000151A5" w:rsidRPr="00800CCE" w:rsidRDefault="000151A5" w:rsidP="000151A5">
            <w:pPr>
              <w:tabs>
                <w:tab w:val="decimal" w:pos="450"/>
              </w:tabs>
              <w:spacing w:after="0"/>
              <w:ind w:firstLine="0"/>
              <w:rPr>
                <w:rFonts w:eastAsia="Arial Unicode MS"/>
                <w:i/>
                <w:sz w:val="20"/>
                <w:szCs w:val="20"/>
              </w:rPr>
            </w:pPr>
            <w:r w:rsidRPr="00800CCE">
              <w:rPr>
                <w:rFonts w:eastAsia="Arial Unicode MS"/>
                <w:i/>
                <w:sz w:val="20"/>
                <w:szCs w:val="20"/>
              </w:rPr>
              <w:t>99,3</w:t>
            </w:r>
          </w:p>
        </w:tc>
        <w:tc>
          <w:tcPr>
            <w:tcW w:w="958" w:type="dxa"/>
            <w:tcBorders>
              <w:top w:val="single" w:sz="4" w:space="0" w:color="auto"/>
              <w:bottom w:val="single" w:sz="4" w:space="0" w:color="auto"/>
              <w:right w:val="single" w:sz="4" w:space="0" w:color="auto"/>
            </w:tcBorders>
          </w:tcPr>
          <w:p w:rsidR="000151A5" w:rsidRPr="00800CCE" w:rsidRDefault="000151A5" w:rsidP="000151A5">
            <w:pPr>
              <w:tabs>
                <w:tab w:val="decimal" w:pos="451"/>
              </w:tabs>
              <w:spacing w:after="0"/>
              <w:ind w:firstLine="0"/>
              <w:rPr>
                <w:rFonts w:eastAsia="Arial Unicode MS"/>
                <w:i/>
                <w:sz w:val="20"/>
                <w:szCs w:val="20"/>
              </w:rPr>
            </w:pPr>
            <w:r w:rsidRPr="00800CCE">
              <w:rPr>
                <w:rFonts w:eastAsia="Arial Unicode MS"/>
                <w:i/>
                <w:sz w:val="20"/>
                <w:szCs w:val="20"/>
              </w:rPr>
              <w:t>27,6</w:t>
            </w:r>
          </w:p>
        </w:tc>
      </w:tr>
      <w:tr w:rsidR="000151A5" w:rsidRPr="00AA1204" w:rsidTr="000151A5">
        <w:trPr>
          <w:cantSplit/>
          <w:jc w:val="center"/>
        </w:trPr>
        <w:tc>
          <w:tcPr>
            <w:tcW w:w="2977" w:type="dxa"/>
            <w:tcBorders>
              <w:top w:val="single" w:sz="4" w:space="0" w:color="auto"/>
              <w:left w:val="single" w:sz="4" w:space="0" w:color="auto"/>
              <w:bottom w:val="single" w:sz="4" w:space="0" w:color="auto"/>
            </w:tcBorders>
          </w:tcPr>
          <w:p w:rsidR="000151A5" w:rsidRPr="004D6C06" w:rsidRDefault="000151A5" w:rsidP="000151A5">
            <w:pPr>
              <w:spacing w:after="0"/>
              <w:ind w:firstLine="0"/>
              <w:rPr>
                <w:rFonts w:eastAsia="Times New Roman"/>
                <w:i/>
                <w:snapToGrid w:val="0"/>
                <w:sz w:val="20"/>
                <w:szCs w:val="20"/>
              </w:rPr>
            </w:pPr>
            <w:r w:rsidRPr="004D6C06">
              <w:rPr>
                <w:rFonts w:eastAsia="Times New Roman"/>
                <w:i/>
                <w:snapToGrid w:val="0"/>
                <w:sz w:val="20"/>
                <w:szCs w:val="20"/>
              </w:rPr>
              <w:t xml:space="preserve">       Valsts budžeta kapitālo izdevumu</w:t>
            </w:r>
            <w:r>
              <w:rPr>
                <w:rFonts w:eastAsia="Times New Roman"/>
                <w:i/>
                <w:snapToGrid w:val="0"/>
                <w:sz w:val="20"/>
                <w:szCs w:val="20"/>
              </w:rPr>
              <w:t xml:space="preserve"> transferti pašvaldībām noteikta</w:t>
            </w:r>
            <w:r w:rsidRPr="004D6C06">
              <w:rPr>
                <w:rFonts w:eastAsia="Times New Roman"/>
                <w:i/>
                <w:snapToGrid w:val="0"/>
                <w:sz w:val="20"/>
                <w:szCs w:val="20"/>
              </w:rPr>
              <w:t xml:space="preserve">m mērķim </w:t>
            </w:r>
          </w:p>
        </w:tc>
        <w:tc>
          <w:tcPr>
            <w:tcW w:w="992" w:type="dxa"/>
            <w:tcBorders>
              <w:top w:val="single" w:sz="4" w:space="0" w:color="auto"/>
              <w:bottom w:val="single" w:sz="4" w:space="0" w:color="auto"/>
            </w:tcBorders>
          </w:tcPr>
          <w:p w:rsidR="000151A5" w:rsidRDefault="000151A5" w:rsidP="000151A5">
            <w:pPr>
              <w:tabs>
                <w:tab w:val="decimal" w:pos="794"/>
              </w:tabs>
              <w:spacing w:after="0"/>
              <w:ind w:firstLine="0"/>
              <w:jc w:val="center"/>
              <w:rPr>
                <w:rFonts w:eastAsia="Arial Unicode MS"/>
                <w:sz w:val="20"/>
                <w:szCs w:val="20"/>
              </w:rPr>
            </w:pPr>
            <w:r>
              <w:rPr>
                <w:rFonts w:eastAsia="Arial Unicode MS"/>
                <w:sz w:val="20"/>
                <w:szCs w:val="20"/>
              </w:rPr>
              <w:t xml:space="preserve">x        </w:t>
            </w:r>
          </w:p>
        </w:tc>
        <w:tc>
          <w:tcPr>
            <w:tcW w:w="993" w:type="dxa"/>
            <w:tcBorders>
              <w:top w:val="single" w:sz="4" w:space="0" w:color="auto"/>
              <w:bottom w:val="single" w:sz="4" w:space="0" w:color="auto"/>
            </w:tcBorders>
          </w:tcPr>
          <w:p w:rsidR="000151A5" w:rsidRPr="004D6C06" w:rsidRDefault="000151A5" w:rsidP="000151A5">
            <w:pPr>
              <w:tabs>
                <w:tab w:val="decimal" w:pos="794"/>
              </w:tabs>
              <w:spacing w:after="0"/>
              <w:ind w:firstLine="0"/>
              <w:rPr>
                <w:rFonts w:eastAsia="Times New Roman"/>
                <w:sz w:val="20"/>
                <w:szCs w:val="20"/>
              </w:rPr>
            </w:pPr>
            <w:r>
              <w:rPr>
                <w:rFonts w:eastAsia="Times New Roman"/>
                <w:sz w:val="20"/>
                <w:szCs w:val="20"/>
              </w:rPr>
              <w:t>-</w:t>
            </w:r>
          </w:p>
        </w:tc>
        <w:tc>
          <w:tcPr>
            <w:tcW w:w="992" w:type="dxa"/>
            <w:tcBorders>
              <w:top w:val="single" w:sz="4" w:space="0" w:color="auto"/>
              <w:bottom w:val="single" w:sz="4" w:space="0" w:color="auto"/>
            </w:tcBorders>
          </w:tcPr>
          <w:p w:rsidR="000151A5" w:rsidRPr="004D6C06" w:rsidRDefault="000151A5" w:rsidP="000151A5">
            <w:pPr>
              <w:tabs>
                <w:tab w:val="decimal" w:pos="794"/>
              </w:tabs>
              <w:spacing w:after="0"/>
              <w:ind w:firstLine="0"/>
              <w:rPr>
                <w:rFonts w:eastAsia="Arial Unicode MS"/>
                <w:sz w:val="20"/>
                <w:szCs w:val="20"/>
              </w:rPr>
            </w:pPr>
            <w:r>
              <w:rPr>
                <w:rFonts w:eastAsia="Arial Unicode MS"/>
                <w:sz w:val="20"/>
                <w:szCs w:val="20"/>
              </w:rPr>
              <w:t>-</w:t>
            </w:r>
          </w:p>
        </w:tc>
        <w:tc>
          <w:tcPr>
            <w:tcW w:w="992" w:type="dxa"/>
            <w:tcBorders>
              <w:top w:val="single" w:sz="4" w:space="0" w:color="auto"/>
              <w:bottom w:val="single" w:sz="4" w:space="0" w:color="auto"/>
            </w:tcBorders>
          </w:tcPr>
          <w:p w:rsidR="000151A5" w:rsidRPr="00395898" w:rsidRDefault="000151A5" w:rsidP="000151A5">
            <w:pPr>
              <w:tabs>
                <w:tab w:val="decimal" w:pos="794"/>
              </w:tabs>
              <w:spacing w:after="0"/>
              <w:ind w:firstLine="0"/>
              <w:rPr>
                <w:rFonts w:eastAsia="Arial Unicode MS"/>
                <w:sz w:val="20"/>
                <w:szCs w:val="20"/>
              </w:rPr>
            </w:pPr>
            <w:r w:rsidRPr="00395898">
              <w:rPr>
                <w:rFonts w:eastAsia="Arial Unicode MS"/>
                <w:sz w:val="20"/>
                <w:szCs w:val="20"/>
              </w:rPr>
              <w:t>407</w:t>
            </w:r>
          </w:p>
        </w:tc>
        <w:tc>
          <w:tcPr>
            <w:tcW w:w="992" w:type="dxa"/>
            <w:tcBorders>
              <w:top w:val="single" w:sz="4" w:space="0" w:color="auto"/>
              <w:bottom w:val="single" w:sz="4" w:space="0" w:color="auto"/>
            </w:tcBorders>
          </w:tcPr>
          <w:p w:rsidR="000151A5" w:rsidRPr="004A0A1B" w:rsidRDefault="000151A5" w:rsidP="000151A5">
            <w:pPr>
              <w:tabs>
                <w:tab w:val="decimal" w:pos="512"/>
              </w:tabs>
              <w:spacing w:after="0"/>
              <w:ind w:firstLine="0"/>
              <w:rPr>
                <w:rFonts w:eastAsia="Arial Unicode MS"/>
                <w:i/>
                <w:sz w:val="20"/>
                <w:szCs w:val="20"/>
              </w:rPr>
            </w:pPr>
            <w:r w:rsidRPr="004A0A1B">
              <w:rPr>
                <w:rFonts w:eastAsia="Arial Unicode MS"/>
                <w:i/>
                <w:sz w:val="20"/>
                <w:szCs w:val="20"/>
              </w:rPr>
              <w:t>x</w:t>
            </w:r>
          </w:p>
        </w:tc>
        <w:tc>
          <w:tcPr>
            <w:tcW w:w="923" w:type="dxa"/>
            <w:tcBorders>
              <w:top w:val="single" w:sz="4" w:space="0" w:color="auto"/>
              <w:bottom w:val="single" w:sz="4" w:space="0" w:color="auto"/>
            </w:tcBorders>
          </w:tcPr>
          <w:p w:rsidR="000151A5" w:rsidRPr="004A0A1B" w:rsidRDefault="000151A5" w:rsidP="000151A5">
            <w:pPr>
              <w:tabs>
                <w:tab w:val="decimal" w:pos="450"/>
              </w:tabs>
              <w:spacing w:after="0"/>
              <w:ind w:firstLine="0"/>
              <w:rPr>
                <w:rFonts w:eastAsia="Arial Unicode MS"/>
                <w:i/>
                <w:sz w:val="20"/>
                <w:szCs w:val="20"/>
              </w:rPr>
            </w:pPr>
            <w:r>
              <w:rPr>
                <w:rFonts w:eastAsia="Arial Unicode MS"/>
                <w:i/>
                <w:sz w:val="20"/>
                <w:szCs w:val="20"/>
              </w:rPr>
              <w:t>-</w:t>
            </w:r>
          </w:p>
        </w:tc>
        <w:tc>
          <w:tcPr>
            <w:tcW w:w="958" w:type="dxa"/>
            <w:tcBorders>
              <w:top w:val="single" w:sz="4" w:space="0" w:color="auto"/>
              <w:bottom w:val="single" w:sz="4" w:space="0" w:color="auto"/>
              <w:right w:val="single" w:sz="4" w:space="0" w:color="auto"/>
            </w:tcBorders>
          </w:tcPr>
          <w:p w:rsidR="000151A5" w:rsidRPr="00826171" w:rsidRDefault="000151A5" w:rsidP="000151A5">
            <w:pPr>
              <w:tabs>
                <w:tab w:val="decimal" w:pos="451"/>
              </w:tabs>
              <w:spacing w:after="0"/>
              <w:ind w:firstLine="0"/>
              <w:rPr>
                <w:rFonts w:eastAsia="Arial Unicode MS"/>
                <w:i/>
                <w:sz w:val="20"/>
                <w:szCs w:val="20"/>
              </w:rPr>
            </w:pPr>
            <w:r w:rsidRPr="00826171">
              <w:rPr>
                <w:rFonts w:eastAsia="Arial Unicode MS"/>
                <w:i/>
                <w:sz w:val="20"/>
                <w:szCs w:val="20"/>
              </w:rPr>
              <w:t>-</w:t>
            </w:r>
          </w:p>
        </w:tc>
      </w:tr>
      <w:tr w:rsidR="000151A5" w:rsidRPr="00AA1204" w:rsidTr="000151A5">
        <w:trPr>
          <w:cantSplit/>
          <w:jc w:val="center"/>
        </w:trPr>
        <w:tc>
          <w:tcPr>
            <w:tcW w:w="2977" w:type="dxa"/>
            <w:tcBorders>
              <w:top w:val="single" w:sz="4" w:space="0" w:color="auto"/>
              <w:left w:val="single" w:sz="4" w:space="0" w:color="auto"/>
              <w:bottom w:val="single" w:sz="4" w:space="0" w:color="auto"/>
            </w:tcBorders>
          </w:tcPr>
          <w:p w:rsidR="000151A5" w:rsidRPr="004D6C06" w:rsidRDefault="000151A5" w:rsidP="000151A5">
            <w:pPr>
              <w:spacing w:after="0"/>
              <w:ind w:firstLine="0"/>
              <w:rPr>
                <w:rFonts w:eastAsia="Times New Roman"/>
                <w:i/>
                <w:snapToGrid w:val="0"/>
                <w:sz w:val="20"/>
                <w:szCs w:val="20"/>
              </w:rPr>
            </w:pPr>
            <w:r>
              <w:rPr>
                <w:rFonts w:eastAsia="Times New Roman"/>
                <w:snapToGrid w:val="0"/>
                <w:sz w:val="20"/>
                <w:szCs w:val="20"/>
              </w:rPr>
              <w:t xml:space="preserve">     </w:t>
            </w:r>
            <w:r w:rsidRPr="004D6C06">
              <w:rPr>
                <w:rFonts w:eastAsia="Times New Roman"/>
                <w:i/>
                <w:snapToGrid w:val="0"/>
                <w:sz w:val="20"/>
                <w:szCs w:val="20"/>
              </w:rPr>
              <w:t>Valsts budžeta kapitālo izdevumu transferti pašvaldībām ES politiku instrumentu un pārējās ĀFP līdzfinansētajiem projektiem (pasākumiem)</w:t>
            </w:r>
          </w:p>
        </w:tc>
        <w:tc>
          <w:tcPr>
            <w:tcW w:w="992" w:type="dxa"/>
            <w:tcBorders>
              <w:top w:val="single" w:sz="4" w:space="0" w:color="auto"/>
              <w:bottom w:val="single" w:sz="4" w:space="0" w:color="auto"/>
            </w:tcBorders>
          </w:tcPr>
          <w:p w:rsidR="000151A5" w:rsidRDefault="000151A5" w:rsidP="000151A5">
            <w:pPr>
              <w:tabs>
                <w:tab w:val="decimal" w:pos="794"/>
              </w:tabs>
              <w:spacing w:after="0"/>
              <w:ind w:firstLine="0"/>
              <w:jc w:val="center"/>
              <w:rPr>
                <w:rFonts w:eastAsia="Arial Unicode MS"/>
                <w:sz w:val="20"/>
                <w:szCs w:val="20"/>
              </w:rPr>
            </w:pPr>
            <w:r>
              <w:rPr>
                <w:rFonts w:eastAsia="Arial Unicode MS"/>
                <w:sz w:val="20"/>
                <w:szCs w:val="20"/>
              </w:rPr>
              <w:t xml:space="preserve">x       </w:t>
            </w:r>
          </w:p>
        </w:tc>
        <w:tc>
          <w:tcPr>
            <w:tcW w:w="993" w:type="dxa"/>
            <w:tcBorders>
              <w:top w:val="single" w:sz="4" w:space="0" w:color="auto"/>
              <w:bottom w:val="single" w:sz="4" w:space="0" w:color="auto"/>
            </w:tcBorders>
          </w:tcPr>
          <w:p w:rsidR="000151A5" w:rsidRPr="004D6C06" w:rsidRDefault="000151A5" w:rsidP="000151A5">
            <w:pPr>
              <w:tabs>
                <w:tab w:val="decimal" w:pos="794"/>
              </w:tabs>
              <w:spacing w:after="0"/>
              <w:ind w:firstLine="0"/>
              <w:rPr>
                <w:rFonts w:eastAsia="Times New Roman"/>
                <w:sz w:val="20"/>
                <w:szCs w:val="20"/>
              </w:rPr>
            </w:pPr>
            <w:r>
              <w:rPr>
                <w:rFonts w:eastAsia="Times New Roman"/>
                <w:sz w:val="20"/>
                <w:szCs w:val="20"/>
              </w:rPr>
              <w:t>27 494</w:t>
            </w:r>
          </w:p>
        </w:tc>
        <w:tc>
          <w:tcPr>
            <w:tcW w:w="992" w:type="dxa"/>
            <w:tcBorders>
              <w:top w:val="single" w:sz="4" w:space="0" w:color="auto"/>
              <w:bottom w:val="single" w:sz="4" w:space="0" w:color="auto"/>
            </w:tcBorders>
          </w:tcPr>
          <w:p w:rsidR="000151A5" w:rsidRPr="004D6C06" w:rsidRDefault="000151A5" w:rsidP="000151A5">
            <w:pPr>
              <w:tabs>
                <w:tab w:val="decimal" w:pos="794"/>
              </w:tabs>
              <w:spacing w:after="0"/>
              <w:ind w:firstLine="0"/>
              <w:rPr>
                <w:rFonts w:eastAsia="Arial Unicode MS"/>
                <w:sz w:val="20"/>
                <w:szCs w:val="20"/>
              </w:rPr>
            </w:pPr>
            <w:r>
              <w:rPr>
                <w:rFonts w:eastAsia="Arial Unicode MS"/>
                <w:sz w:val="20"/>
                <w:szCs w:val="20"/>
              </w:rPr>
              <w:t>27 254</w:t>
            </w:r>
          </w:p>
        </w:tc>
        <w:tc>
          <w:tcPr>
            <w:tcW w:w="992" w:type="dxa"/>
            <w:tcBorders>
              <w:top w:val="single" w:sz="4" w:space="0" w:color="auto"/>
              <w:bottom w:val="single" w:sz="4" w:space="0" w:color="auto"/>
            </w:tcBorders>
          </w:tcPr>
          <w:p w:rsidR="000151A5" w:rsidRPr="00395898" w:rsidRDefault="000151A5" w:rsidP="000151A5">
            <w:pPr>
              <w:tabs>
                <w:tab w:val="decimal" w:pos="794"/>
              </w:tabs>
              <w:spacing w:after="0"/>
              <w:ind w:firstLine="0"/>
              <w:rPr>
                <w:rFonts w:eastAsia="Arial Unicode MS"/>
                <w:sz w:val="20"/>
                <w:szCs w:val="20"/>
              </w:rPr>
            </w:pPr>
            <w:r w:rsidRPr="00395898">
              <w:rPr>
                <w:rFonts w:eastAsia="Arial Unicode MS"/>
                <w:sz w:val="20"/>
                <w:szCs w:val="20"/>
              </w:rPr>
              <w:t>90 885</w:t>
            </w:r>
          </w:p>
        </w:tc>
        <w:tc>
          <w:tcPr>
            <w:tcW w:w="992" w:type="dxa"/>
            <w:tcBorders>
              <w:top w:val="single" w:sz="4" w:space="0" w:color="auto"/>
              <w:bottom w:val="single" w:sz="4" w:space="0" w:color="auto"/>
            </w:tcBorders>
          </w:tcPr>
          <w:p w:rsidR="000151A5" w:rsidRPr="004A0A1B" w:rsidRDefault="000151A5" w:rsidP="000151A5">
            <w:pPr>
              <w:tabs>
                <w:tab w:val="decimal" w:pos="512"/>
              </w:tabs>
              <w:spacing w:after="0"/>
              <w:ind w:firstLine="0"/>
              <w:rPr>
                <w:rFonts w:eastAsia="Arial Unicode MS"/>
                <w:i/>
                <w:sz w:val="20"/>
                <w:szCs w:val="20"/>
              </w:rPr>
            </w:pPr>
            <w:r w:rsidRPr="004A0A1B">
              <w:rPr>
                <w:rFonts w:eastAsia="Arial Unicode MS"/>
                <w:i/>
                <w:sz w:val="20"/>
                <w:szCs w:val="20"/>
              </w:rPr>
              <w:t>x</w:t>
            </w:r>
          </w:p>
        </w:tc>
        <w:tc>
          <w:tcPr>
            <w:tcW w:w="923" w:type="dxa"/>
            <w:tcBorders>
              <w:top w:val="single" w:sz="4" w:space="0" w:color="auto"/>
              <w:bottom w:val="single" w:sz="4" w:space="0" w:color="auto"/>
            </w:tcBorders>
          </w:tcPr>
          <w:p w:rsidR="000151A5" w:rsidRPr="004A0A1B" w:rsidRDefault="000151A5" w:rsidP="000151A5">
            <w:pPr>
              <w:tabs>
                <w:tab w:val="decimal" w:pos="450"/>
              </w:tabs>
              <w:spacing w:after="0"/>
              <w:ind w:firstLine="0"/>
              <w:rPr>
                <w:rFonts w:eastAsia="Arial Unicode MS"/>
                <w:i/>
                <w:sz w:val="20"/>
                <w:szCs w:val="20"/>
              </w:rPr>
            </w:pPr>
            <w:r w:rsidRPr="004A0A1B">
              <w:rPr>
                <w:rFonts w:eastAsia="Arial Unicode MS"/>
                <w:i/>
                <w:sz w:val="20"/>
                <w:szCs w:val="20"/>
              </w:rPr>
              <w:t>99,1</w:t>
            </w:r>
          </w:p>
        </w:tc>
        <w:tc>
          <w:tcPr>
            <w:tcW w:w="958" w:type="dxa"/>
            <w:tcBorders>
              <w:top w:val="single" w:sz="4" w:space="0" w:color="auto"/>
              <w:bottom w:val="single" w:sz="4" w:space="0" w:color="auto"/>
              <w:right w:val="single" w:sz="4" w:space="0" w:color="auto"/>
            </w:tcBorders>
          </w:tcPr>
          <w:p w:rsidR="000151A5" w:rsidRPr="00826171" w:rsidRDefault="000151A5" w:rsidP="000151A5">
            <w:pPr>
              <w:tabs>
                <w:tab w:val="decimal" w:pos="451"/>
              </w:tabs>
              <w:spacing w:after="0"/>
              <w:ind w:firstLine="0"/>
              <w:rPr>
                <w:rFonts w:eastAsia="Arial Unicode MS"/>
                <w:i/>
                <w:sz w:val="20"/>
                <w:szCs w:val="20"/>
              </w:rPr>
            </w:pPr>
            <w:r w:rsidRPr="00826171">
              <w:rPr>
                <w:rFonts w:eastAsia="Arial Unicode MS"/>
                <w:i/>
                <w:sz w:val="20"/>
                <w:szCs w:val="20"/>
              </w:rPr>
              <w:t>30,0</w:t>
            </w:r>
          </w:p>
        </w:tc>
      </w:tr>
      <w:tr w:rsidR="000151A5" w:rsidRPr="00AA1204" w:rsidTr="000151A5">
        <w:trPr>
          <w:cantSplit/>
          <w:jc w:val="center"/>
        </w:trPr>
        <w:tc>
          <w:tcPr>
            <w:tcW w:w="2977" w:type="dxa"/>
            <w:tcBorders>
              <w:top w:val="single" w:sz="4" w:space="0" w:color="auto"/>
              <w:left w:val="single" w:sz="4" w:space="0" w:color="auto"/>
              <w:bottom w:val="single" w:sz="4" w:space="0" w:color="auto"/>
            </w:tcBorders>
          </w:tcPr>
          <w:p w:rsidR="000151A5" w:rsidRPr="004D6C06" w:rsidRDefault="000151A5" w:rsidP="000151A5">
            <w:pPr>
              <w:spacing w:after="0"/>
              <w:ind w:firstLine="0"/>
              <w:rPr>
                <w:rFonts w:eastAsia="Times New Roman"/>
                <w:i/>
                <w:snapToGrid w:val="0"/>
                <w:sz w:val="20"/>
                <w:szCs w:val="20"/>
              </w:rPr>
            </w:pPr>
            <w:r>
              <w:rPr>
                <w:rFonts w:eastAsia="Times New Roman"/>
                <w:snapToGrid w:val="0"/>
                <w:sz w:val="20"/>
                <w:szCs w:val="20"/>
              </w:rPr>
              <w:t xml:space="preserve">   </w:t>
            </w:r>
            <w:r w:rsidRPr="004D6C06">
              <w:rPr>
                <w:rFonts w:eastAsia="Times New Roman"/>
                <w:snapToGrid w:val="0"/>
                <w:sz w:val="20"/>
                <w:szCs w:val="20"/>
              </w:rPr>
              <w:t xml:space="preserve">   </w:t>
            </w:r>
            <w:r w:rsidRPr="004D6C06">
              <w:rPr>
                <w:rFonts w:eastAsia="Times New Roman"/>
                <w:i/>
                <w:snapToGrid w:val="0"/>
                <w:sz w:val="20"/>
                <w:szCs w:val="20"/>
              </w:rPr>
              <w:t>Valsts budžeta kapitālo izdevumu transferti valsts budžeta daļēji finansētām atvasinātajām publiskajām personām un budžeta nefinansētām iestādēm noteikt</w:t>
            </w:r>
            <w:r>
              <w:rPr>
                <w:rFonts w:eastAsia="Times New Roman"/>
                <w:i/>
                <w:snapToGrid w:val="0"/>
                <w:sz w:val="20"/>
                <w:szCs w:val="20"/>
              </w:rPr>
              <w:t>am mērķi</w:t>
            </w:r>
            <w:r w:rsidRPr="004D6C06">
              <w:rPr>
                <w:rFonts w:eastAsia="Times New Roman"/>
                <w:i/>
                <w:snapToGrid w:val="0"/>
                <w:sz w:val="20"/>
                <w:szCs w:val="20"/>
              </w:rPr>
              <w:t xml:space="preserve">m </w:t>
            </w:r>
          </w:p>
        </w:tc>
        <w:tc>
          <w:tcPr>
            <w:tcW w:w="992" w:type="dxa"/>
            <w:tcBorders>
              <w:top w:val="single" w:sz="4" w:space="0" w:color="auto"/>
              <w:bottom w:val="single" w:sz="4" w:space="0" w:color="auto"/>
            </w:tcBorders>
          </w:tcPr>
          <w:p w:rsidR="000151A5" w:rsidRDefault="000151A5" w:rsidP="000151A5">
            <w:pPr>
              <w:tabs>
                <w:tab w:val="decimal" w:pos="794"/>
              </w:tabs>
              <w:spacing w:after="0"/>
              <w:ind w:firstLine="0"/>
              <w:jc w:val="center"/>
              <w:rPr>
                <w:rFonts w:eastAsia="Arial Unicode MS"/>
                <w:sz w:val="20"/>
                <w:szCs w:val="20"/>
              </w:rPr>
            </w:pPr>
            <w:r>
              <w:rPr>
                <w:rFonts w:eastAsia="Arial Unicode MS"/>
                <w:sz w:val="20"/>
                <w:szCs w:val="20"/>
              </w:rPr>
              <w:t xml:space="preserve">x       </w:t>
            </w:r>
          </w:p>
        </w:tc>
        <w:tc>
          <w:tcPr>
            <w:tcW w:w="993" w:type="dxa"/>
            <w:tcBorders>
              <w:top w:val="single" w:sz="4" w:space="0" w:color="auto"/>
              <w:bottom w:val="single" w:sz="4" w:space="0" w:color="auto"/>
            </w:tcBorders>
          </w:tcPr>
          <w:p w:rsidR="000151A5" w:rsidRPr="004D6C06" w:rsidRDefault="000151A5" w:rsidP="000151A5">
            <w:pPr>
              <w:tabs>
                <w:tab w:val="decimal" w:pos="794"/>
              </w:tabs>
              <w:spacing w:after="0"/>
              <w:ind w:firstLine="0"/>
              <w:rPr>
                <w:rFonts w:eastAsia="Times New Roman"/>
                <w:sz w:val="20"/>
                <w:szCs w:val="20"/>
              </w:rPr>
            </w:pPr>
            <w:r>
              <w:rPr>
                <w:rFonts w:eastAsia="Times New Roman"/>
                <w:sz w:val="20"/>
                <w:szCs w:val="20"/>
              </w:rPr>
              <w:t>5 498</w:t>
            </w:r>
          </w:p>
        </w:tc>
        <w:tc>
          <w:tcPr>
            <w:tcW w:w="992" w:type="dxa"/>
            <w:tcBorders>
              <w:top w:val="single" w:sz="4" w:space="0" w:color="auto"/>
              <w:bottom w:val="single" w:sz="4" w:space="0" w:color="auto"/>
            </w:tcBorders>
          </w:tcPr>
          <w:p w:rsidR="000151A5" w:rsidRPr="004D6C06" w:rsidRDefault="000151A5" w:rsidP="000151A5">
            <w:pPr>
              <w:tabs>
                <w:tab w:val="decimal" w:pos="794"/>
              </w:tabs>
              <w:spacing w:after="0"/>
              <w:ind w:firstLine="0"/>
              <w:rPr>
                <w:rFonts w:eastAsia="Arial Unicode MS"/>
                <w:sz w:val="20"/>
                <w:szCs w:val="20"/>
              </w:rPr>
            </w:pPr>
            <w:r>
              <w:rPr>
                <w:rFonts w:eastAsia="Arial Unicode MS"/>
                <w:sz w:val="20"/>
                <w:szCs w:val="20"/>
              </w:rPr>
              <w:t>5 498</w:t>
            </w:r>
          </w:p>
        </w:tc>
        <w:tc>
          <w:tcPr>
            <w:tcW w:w="992" w:type="dxa"/>
            <w:tcBorders>
              <w:top w:val="single" w:sz="4" w:space="0" w:color="auto"/>
              <w:bottom w:val="single" w:sz="4" w:space="0" w:color="auto"/>
            </w:tcBorders>
          </w:tcPr>
          <w:p w:rsidR="000151A5" w:rsidRPr="00395898" w:rsidRDefault="000151A5" w:rsidP="000151A5">
            <w:pPr>
              <w:tabs>
                <w:tab w:val="decimal" w:pos="794"/>
              </w:tabs>
              <w:spacing w:after="0"/>
              <w:ind w:firstLine="0"/>
              <w:rPr>
                <w:rFonts w:eastAsia="Arial Unicode MS"/>
                <w:sz w:val="20"/>
                <w:szCs w:val="20"/>
              </w:rPr>
            </w:pPr>
            <w:r w:rsidRPr="00395898">
              <w:rPr>
                <w:rFonts w:eastAsia="Arial Unicode MS"/>
                <w:sz w:val="20"/>
                <w:szCs w:val="20"/>
              </w:rPr>
              <w:t>27 262</w:t>
            </w:r>
          </w:p>
        </w:tc>
        <w:tc>
          <w:tcPr>
            <w:tcW w:w="992" w:type="dxa"/>
            <w:tcBorders>
              <w:top w:val="single" w:sz="4" w:space="0" w:color="auto"/>
              <w:bottom w:val="single" w:sz="4" w:space="0" w:color="auto"/>
            </w:tcBorders>
          </w:tcPr>
          <w:p w:rsidR="000151A5" w:rsidRPr="004A0A1B" w:rsidRDefault="000151A5" w:rsidP="000151A5">
            <w:pPr>
              <w:tabs>
                <w:tab w:val="decimal" w:pos="512"/>
              </w:tabs>
              <w:spacing w:after="0"/>
              <w:ind w:firstLine="0"/>
              <w:rPr>
                <w:rFonts w:eastAsia="Arial Unicode MS"/>
                <w:i/>
                <w:sz w:val="20"/>
                <w:szCs w:val="20"/>
              </w:rPr>
            </w:pPr>
            <w:r w:rsidRPr="004A0A1B">
              <w:rPr>
                <w:rFonts w:eastAsia="Arial Unicode MS"/>
                <w:i/>
                <w:sz w:val="20"/>
                <w:szCs w:val="20"/>
              </w:rPr>
              <w:t>x</w:t>
            </w:r>
          </w:p>
        </w:tc>
        <w:tc>
          <w:tcPr>
            <w:tcW w:w="923" w:type="dxa"/>
            <w:tcBorders>
              <w:top w:val="single" w:sz="4" w:space="0" w:color="auto"/>
              <w:bottom w:val="single" w:sz="4" w:space="0" w:color="auto"/>
            </w:tcBorders>
          </w:tcPr>
          <w:p w:rsidR="000151A5" w:rsidRPr="004A0A1B" w:rsidRDefault="000151A5" w:rsidP="000151A5">
            <w:pPr>
              <w:tabs>
                <w:tab w:val="decimal" w:pos="450"/>
              </w:tabs>
              <w:spacing w:after="0"/>
              <w:ind w:firstLine="0"/>
              <w:rPr>
                <w:rFonts w:eastAsia="Arial Unicode MS"/>
                <w:i/>
                <w:sz w:val="20"/>
                <w:szCs w:val="20"/>
              </w:rPr>
            </w:pPr>
            <w:r w:rsidRPr="004A0A1B">
              <w:rPr>
                <w:rFonts w:eastAsia="Arial Unicode MS"/>
                <w:i/>
                <w:sz w:val="20"/>
                <w:szCs w:val="20"/>
              </w:rPr>
              <w:t>100,0</w:t>
            </w:r>
          </w:p>
        </w:tc>
        <w:tc>
          <w:tcPr>
            <w:tcW w:w="958" w:type="dxa"/>
            <w:tcBorders>
              <w:top w:val="single" w:sz="4" w:space="0" w:color="auto"/>
              <w:bottom w:val="single" w:sz="4" w:space="0" w:color="auto"/>
              <w:right w:val="single" w:sz="4" w:space="0" w:color="auto"/>
            </w:tcBorders>
          </w:tcPr>
          <w:p w:rsidR="000151A5" w:rsidRPr="00826171" w:rsidRDefault="000151A5" w:rsidP="000151A5">
            <w:pPr>
              <w:tabs>
                <w:tab w:val="decimal" w:pos="451"/>
              </w:tabs>
              <w:spacing w:after="0"/>
              <w:ind w:firstLine="0"/>
              <w:rPr>
                <w:rFonts w:eastAsia="Arial Unicode MS"/>
                <w:i/>
                <w:sz w:val="20"/>
                <w:szCs w:val="20"/>
              </w:rPr>
            </w:pPr>
            <w:r w:rsidRPr="00826171">
              <w:rPr>
                <w:rFonts w:eastAsia="Arial Unicode MS"/>
                <w:i/>
                <w:sz w:val="20"/>
                <w:szCs w:val="20"/>
              </w:rPr>
              <w:t>20,2</w:t>
            </w:r>
          </w:p>
        </w:tc>
      </w:tr>
    </w:tbl>
    <w:p w:rsidR="00322AE6" w:rsidRPr="00831034" w:rsidRDefault="00322AE6" w:rsidP="00322AE6">
      <w:pPr>
        <w:ind w:left="284" w:hanging="284"/>
        <w:rPr>
          <w:rFonts w:eastAsia="Times New Roman"/>
          <w:sz w:val="20"/>
          <w:szCs w:val="20"/>
        </w:rPr>
      </w:pPr>
      <w:r w:rsidRPr="00831034">
        <w:rPr>
          <w:rFonts w:eastAsia="Times New Roman"/>
          <w:sz w:val="20"/>
          <w:szCs w:val="20"/>
        </w:rPr>
        <w:t>* Pārskata periodā spēkā esošais 2012.gada plāns atbilstoši likumam „Par valsts budžetu 2012.gadam” ar Finanšu ministrijas rīkojumiem</w:t>
      </w:r>
    </w:p>
    <w:p w:rsidR="00322AE6" w:rsidRPr="00AA1204" w:rsidRDefault="00322AE6" w:rsidP="00322AE6">
      <w:pPr>
        <w:rPr>
          <w:rFonts w:eastAsia="Times New Roman"/>
          <w:szCs w:val="20"/>
          <w:highlight w:val="yellow"/>
        </w:rPr>
      </w:pPr>
    </w:p>
    <w:p w:rsidR="00322AE6" w:rsidRPr="00826171" w:rsidRDefault="00322AE6" w:rsidP="00322AE6">
      <w:pPr>
        <w:rPr>
          <w:rFonts w:eastAsia="Times New Roman"/>
          <w:szCs w:val="20"/>
        </w:rPr>
      </w:pPr>
      <w:r w:rsidRPr="00826171">
        <w:rPr>
          <w:rFonts w:eastAsia="Times New Roman"/>
          <w:szCs w:val="20"/>
        </w:rPr>
        <w:t>2012. gada pirmajā ceturksnī, salīdzinot ar 2011. gada atbilstošo periodu, valsts pamat</w:t>
      </w:r>
      <w:r w:rsidRPr="00826171">
        <w:rPr>
          <w:rFonts w:eastAsia="Times New Roman"/>
          <w:szCs w:val="20"/>
        </w:rPr>
        <w:softHyphen/>
        <w:t>budžeta izlietotie līdzekļi ir palielinājušies par 13,2 milj. latu jeb 1,8 procentiem.</w:t>
      </w:r>
    </w:p>
    <w:p w:rsidR="00322AE6" w:rsidRPr="00801CD0" w:rsidRDefault="00322AE6" w:rsidP="00322AE6">
      <w:pPr>
        <w:rPr>
          <w:rFonts w:eastAsia="Times New Roman"/>
          <w:szCs w:val="20"/>
        </w:rPr>
      </w:pPr>
      <w:r w:rsidRPr="00841624">
        <w:rPr>
          <w:rFonts w:eastAsia="Times New Roman"/>
          <w:szCs w:val="20"/>
        </w:rPr>
        <w:t xml:space="preserve">Valsts pamatbudžeta izdevumu ekonomiskās klasifikācijas sadalījumā, salīdzinot ar 2011. gada atbilstošo periodu, palielinājums 30,0 </w:t>
      </w:r>
      <w:proofErr w:type="spellStart"/>
      <w:r w:rsidRPr="00841624">
        <w:rPr>
          <w:rFonts w:eastAsia="Times New Roman"/>
          <w:szCs w:val="20"/>
        </w:rPr>
        <w:t>milj</w:t>
      </w:r>
      <w:proofErr w:type="spellEnd"/>
      <w:r w:rsidRPr="00841624">
        <w:rPr>
          <w:rFonts w:eastAsia="Times New Roman"/>
          <w:szCs w:val="20"/>
        </w:rPr>
        <w:t>. latu jeb 13,5% ir subsī</w:t>
      </w:r>
      <w:r w:rsidRPr="00841624">
        <w:rPr>
          <w:rFonts w:eastAsia="Times New Roman"/>
          <w:szCs w:val="20"/>
        </w:rPr>
        <w:softHyphen/>
        <w:t xml:space="preserve">dijām, dotācijām un sociālajiem pabalstiem, tajā skaitā subsīdijām un dotācijām – par 29,6 milj. latu jeb 15,6%, izdevumi sociālajiem pabalstiem – par 0,4 milj. latu jeb 1,3 procentiem. Par </w:t>
      </w:r>
      <w:r>
        <w:rPr>
          <w:rFonts w:eastAsia="Times New Roman"/>
          <w:szCs w:val="20"/>
        </w:rPr>
        <w:t xml:space="preserve"> </w:t>
      </w:r>
      <w:r w:rsidRPr="00841624">
        <w:rPr>
          <w:rFonts w:eastAsia="Times New Roman"/>
          <w:szCs w:val="20"/>
        </w:rPr>
        <w:t xml:space="preserve">9,4 milj. latu jeb 19,1% palielinājušies  </w:t>
      </w:r>
      <w:r w:rsidRPr="00801CD0">
        <w:rPr>
          <w:rFonts w:eastAsia="Times New Roman"/>
          <w:szCs w:val="20"/>
        </w:rPr>
        <w:t xml:space="preserve">kārtējie maksājumi Eiropas </w:t>
      </w:r>
      <w:r>
        <w:rPr>
          <w:rFonts w:eastAsia="Times New Roman"/>
          <w:szCs w:val="20"/>
        </w:rPr>
        <w:t>Savienīb</w:t>
      </w:r>
      <w:r w:rsidRPr="00801CD0">
        <w:rPr>
          <w:rFonts w:eastAsia="Times New Roman"/>
          <w:szCs w:val="20"/>
        </w:rPr>
        <w:t>as budžetā un starptautiskajai sadarbībai.</w:t>
      </w:r>
    </w:p>
    <w:p w:rsidR="00322AE6" w:rsidRDefault="00322AE6" w:rsidP="00322AE6">
      <w:pPr>
        <w:rPr>
          <w:rFonts w:eastAsia="Times New Roman"/>
          <w:szCs w:val="20"/>
        </w:rPr>
      </w:pPr>
      <w:r w:rsidRPr="00801CD0">
        <w:rPr>
          <w:rFonts w:eastAsia="Times New Roman"/>
          <w:szCs w:val="20"/>
        </w:rPr>
        <w:t xml:space="preserve">Savukārt uzturēšanas izdevumu transferti samazinājušies par 25,3 </w:t>
      </w:r>
      <w:proofErr w:type="spellStart"/>
      <w:r w:rsidRPr="00801CD0">
        <w:rPr>
          <w:rFonts w:eastAsia="Times New Roman"/>
          <w:szCs w:val="20"/>
        </w:rPr>
        <w:t>milj</w:t>
      </w:r>
      <w:proofErr w:type="spellEnd"/>
      <w:r w:rsidRPr="00801CD0">
        <w:rPr>
          <w:rFonts w:eastAsia="Times New Roman"/>
          <w:szCs w:val="20"/>
        </w:rPr>
        <w:t>.</w:t>
      </w:r>
      <w:r w:rsidRPr="00841624">
        <w:rPr>
          <w:rFonts w:eastAsia="Times New Roman"/>
          <w:szCs w:val="20"/>
        </w:rPr>
        <w:t xml:space="preserve"> latu jeb 19,3% un kapitālie izdevumi – par 0,8 </w:t>
      </w:r>
      <w:proofErr w:type="spellStart"/>
      <w:r w:rsidRPr="00841624">
        <w:rPr>
          <w:rFonts w:eastAsia="Times New Roman"/>
          <w:szCs w:val="20"/>
        </w:rPr>
        <w:t>milj</w:t>
      </w:r>
      <w:proofErr w:type="spellEnd"/>
      <w:r w:rsidRPr="00841624">
        <w:rPr>
          <w:rFonts w:eastAsia="Times New Roman"/>
          <w:szCs w:val="20"/>
        </w:rPr>
        <w:t>. latu jeb 1,6 procentiem.</w:t>
      </w:r>
    </w:p>
    <w:p w:rsidR="00322AE6" w:rsidRPr="00801CD0" w:rsidRDefault="00322AE6" w:rsidP="00322AE6">
      <w:pPr>
        <w:rPr>
          <w:rFonts w:eastAsia="Times New Roman"/>
          <w:szCs w:val="20"/>
        </w:rPr>
      </w:pPr>
      <w:r w:rsidRPr="00801CD0">
        <w:rPr>
          <w:rFonts w:eastAsia="Times New Roman"/>
          <w:szCs w:val="20"/>
        </w:rPr>
        <w:t xml:space="preserve">Kārtējie izdevumi samazinājušies par 0,1 </w:t>
      </w:r>
      <w:proofErr w:type="spellStart"/>
      <w:r w:rsidRPr="00801CD0">
        <w:rPr>
          <w:rFonts w:eastAsia="Times New Roman"/>
          <w:szCs w:val="20"/>
        </w:rPr>
        <w:t>milj</w:t>
      </w:r>
      <w:proofErr w:type="spellEnd"/>
      <w:r w:rsidRPr="00801CD0">
        <w:rPr>
          <w:rFonts w:eastAsia="Times New Roman"/>
          <w:szCs w:val="20"/>
        </w:rPr>
        <w:t xml:space="preserve">. latu, tai skaitā izdevumi precēm un pakalpojumiem samazinājušies par 1,3 </w:t>
      </w:r>
      <w:proofErr w:type="spellStart"/>
      <w:r w:rsidRPr="00801CD0">
        <w:rPr>
          <w:rFonts w:eastAsia="Times New Roman"/>
          <w:szCs w:val="20"/>
        </w:rPr>
        <w:t>milj</w:t>
      </w:r>
      <w:proofErr w:type="spellEnd"/>
      <w:r w:rsidRPr="00801CD0">
        <w:rPr>
          <w:rFonts w:eastAsia="Times New Roman"/>
          <w:szCs w:val="20"/>
        </w:rPr>
        <w:t xml:space="preserve">. latu jeb 1,6%, bet izdevumi atlīdzībai palielinājušies par 1,2 </w:t>
      </w:r>
      <w:proofErr w:type="spellStart"/>
      <w:r w:rsidRPr="00801CD0">
        <w:rPr>
          <w:rFonts w:eastAsia="Times New Roman"/>
          <w:szCs w:val="20"/>
        </w:rPr>
        <w:t>milj</w:t>
      </w:r>
      <w:proofErr w:type="spellEnd"/>
      <w:r w:rsidRPr="00801CD0">
        <w:rPr>
          <w:rFonts w:eastAsia="Times New Roman"/>
          <w:szCs w:val="20"/>
        </w:rPr>
        <w:t>. latu jeb 1,2 procentiem.</w:t>
      </w:r>
    </w:p>
    <w:p w:rsidR="00322AE6" w:rsidRDefault="00322AE6" w:rsidP="00322AE6">
      <w:pPr>
        <w:rPr>
          <w:rFonts w:eastAsia="Times New Roman"/>
          <w:szCs w:val="20"/>
        </w:rPr>
      </w:pPr>
    </w:p>
    <w:p w:rsidR="00322AE6" w:rsidRDefault="00322AE6" w:rsidP="00322AE6">
      <w:pPr>
        <w:rPr>
          <w:rFonts w:eastAsia="Times New Roman"/>
          <w:szCs w:val="20"/>
        </w:rPr>
      </w:pPr>
      <w:r>
        <w:rPr>
          <w:noProof/>
          <w:lang w:eastAsia="lv-LV"/>
        </w:rPr>
        <w:drawing>
          <wp:inline distT="0" distB="0" distL="0" distR="0" wp14:anchorId="127B298F" wp14:editId="19F61EEE">
            <wp:extent cx="4927600" cy="2886075"/>
            <wp:effectExtent l="0" t="0" r="635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22AE6" w:rsidRPr="00C1659A" w:rsidRDefault="00952906" w:rsidP="00322AE6">
      <w:pPr>
        <w:jc w:val="center"/>
        <w:rPr>
          <w:rFonts w:eastAsia="Times New Roman"/>
          <w:b/>
          <w:i/>
          <w:szCs w:val="20"/>
        </w:rPr>
      </w:pPr>
      <w:r>
        <w:rPr>
          <w:rFonts w:eastAsia="Times New Roman"/>
          <w:b/>
          <w:i/>
          <w:szCs w:val="20"/>
        </w:rPr>
        <w:t>34</w:t>
      </w:r>
      <w:r w:rsidR="00322AE6" w:rsidRPr="00C1659A">
        <w:rPr>
          <w:rFonts w:eastAsia="Times New Roman"/>
          <w:b/>
          <w:i/>
          <w:szCs w:val="20"/>
        </w:rPr>
        <w:t xml:space="preserve">. </w:t>
      </w:r>
      <w:proofErr w:type="spellStart"/>
      <w:r w:rsidR="00322AE6" w:rsidRPr="00C1659A">
        <w:rPr>
          <w:rFonts w:eastAsia="Times New Roman"/>
          <w:b/>
          <w:i/>
          <w:szCs w:val="20"/>
        </w:rPr>
        <w:t>att</w:t>
      </w:r>
      <w:proofErr w:type="spellEnd"/>
      <w:r w:rsidR="00322AE6" w:rsidRPr="00C1659A">
        <w:rPr>
          <w:rFonts w:eastAsia="Times New Roman"/>
          <w:b/>
          <w:i/>
          <w:szCs w:val="20"/>
        </w:rPr>
        <w:t>. Valsts pamatbudžeta izdevumu izpilde 2012. gada pirmajā ceturksnī atbilstoši ekonomiskajām kategorijām.</w:t>
      </w:r>
    </w:p>
    <w:p w:rsidR="00322AE6" w:rsidRPr="00AA1204" w:rsidRDefault="00322AE6" w:rsidP="00322AE6">
      <w:pPr>
        <w:rPr>
          <w:rFonts w:eastAsia="Times New Roman"/>
          <w:szCs w:val="20"/>
          <w:highlight w:val="yellow"/>
        </w:rPr>
      </w:pPr>
    </w:p>
    <w:p w:rsidR="00322AE6" w:rsidRPr="00E22D40" w:rsidRDefault="00322AE6" w:rsidP="00322AE6">
      <w:pPr>
        <w:rPr>
          <w:rFonts w:eastAsia="Times New Roman"/>
          <w:szCs w:val="20"/>
        </w:rPr>
      </w:pPr>
      <w:r w:rsidRPr="00101534">
        <w:rPr>
          <w:rFonts w:eastAsia="Times New Roman"/>
          <w:szCs w:val="20"/>
        </w:rPr>
        <w:t xml:space="preserve">2012. gada pirmajā ceturksnī valsts pamatbudžetā kopumā ir izlietoti 743,9 milj. latu, kas ir par 27,6 milj. latu mazāk nekā plānots. Kārtējiem izdevumiem izlietoti 183,5 milj. latu, tai skaitā atlīdzībai 103,7 milj. latu (no tiem atalgojumam – 78,3 milj. latu), precēm un pakalpojumiem – 79,8 milj. latu. Kārtējiem izdevumiem plānotie līdzekļi nav apgūti 8,8 milj. latu apmērā, tai skaitā atlīdzībai 3,6 milj. latu (no tiem atalgojumam – 2,5 milj. latu), precēm un pakalpojumiem – 5,2 milj. latu. Procentu izdevumiem izlietoti 93,3 milj. latu. </w:t>
      </w:r>
      <w:r w:rsidRPr="00A324D1">
        <w:rPr>
          <w:rFonts w:eastAsia="Times New Roman"/>
          <w:szCs w:val="20"/>
        </w:rPr>
        <w:lastRenderedPageBreak/>
        <w:t xml:space="preserve">Subsīdijām, dotācijām un sociālajiem pabalstiem izlietoti 252,9 milj. latu, tai skaitā </w:t>
      </w:r>
      <w:proofErr w:type="spellStart"/>
      <w:r w:rsidRPr="00A324D1">
        <w:rPr>
          <w:rFonts w:eastAsia="Times New Roman"/>
          <w:szCs w:val="20"/>
        </w:rPr>
        <w:t>subsīdijām un</w:t>
      </w:r>
      <w:proofErr w:type="spellEnd"/>
      <w:r w:rsidRPr="00A324D1">
        <w:rPr>
          <w:rFonts w:eastAsia="Times New Roman"/>
          <w:szCs w:val="20"/>
        </w:rPr>
        <w:t xml:space="preserve"> dotācijām – 218,4 milj. latu, sociālajiem pabalstiem – 34,5 milj. latu. Subsīdijām, dotācijām un sociālajiem pabalstiem plānotie līdzekļi nav apgūti 11,8 milj. latu apmērā, tai skaitā </w:t>
      </w:r>
      <w:proofErr w:type="spellStart"/>
      <w:r w:rsidRPr="00A324D1">
        <w:rPr>
          <w:rFonts w:eastAsia="Times New Roman"/>
          <w:szCs w:val="20"/>
        </w:rPr>
        <w:t>subsīdijām un</w:t>
      </w:r>
      <w:proofErr w:type="spellEnd"/>
      <w:r w:rsidRPr="00A324D1">
        <w:rPr>
          <w:rFonts w:eastAsia="Times New Roman"/>
          <w:szCs w:val="20"/>
        </w:rPr>
        <w:t xml:space="preserve"> dotācijām –11,2 milj. latu, sociālajiem pabalstiem – 0,6 milj. latu. Kārtējiem maksājumiem Eiropas </w:t>
      </w:r>
      <w:r>
        <w:rPr>
          <w:rFonts w:eastAsia="Times New Roman"/>
          <w:szCs w:val="20"/>
        </w:rPr>
        <w:t>Savienīb</w:t>
      </w:r>
      <w:r w:rsidRPr="00A324D1">
        <w:rPr>
          <w:rFonts w:eastAsia="Times New Roman"/>
          <w:szCs w:val="20"/>
        </w:rPr>
        <w:t>as budžetā un starptautiskai sadarbībai izlietoti 59,0 milj. latu, kas ir par 1,0 milj. latu mazāk nekā plānots 2012.gada pirmajā  ceturksnī. Uzturēšanas izdevumu transfertiem izlietoti 105,7 milj. latu, tai skaitā valsts budžeta uzturēšanas izdevumu transferti</w:t>
      </w:r>
      <w:r>
        <w:rPr>
          <w:rFonts w:eastAsia="Times New Roman"/>
          <w:szCs w:val="20"/>
        </w:rPr>
        <w:t xml:space="preserve">em no valsts pamatbudžeta uz valsts speciālo budžetu – 3,7 </w:t>
      </w:r>
      <w:proofErr w:type="spellStart"/>
      <w:r>
        <w:rPr>
          <w:rFonts w:eastAsia="Times New Roman"/>
          <w:szCs w:val="20"/>
        </w:rPr>
        <w:t>milj</w:t>
      </w:r>
      <w:proofErr w:type="spellEnd"/>
      <w:r>
        <w:rPr>
          <w:rFonts w:eastAsia="Times New Roman"/>
          <w:szCs w:val="20"/>
        </w:rPr>
        <w:t xml:space="preserve">. latu, </w:t>
      </w:r>
      <w:r w:rsidRPr="00A324D1">
        <w:rPr>
          <w:rFonts w:eastAsia="Times New Roman"/>
          <w:szCs w:val="20"/>
        </w:rPr>
        <w:t xml:space="preserve"> valsts budžeta uzturēšanas izdevumu transferti citiem budžetiem noteiktam mērķim – 94,9 milj. latu, </w:t>
      </w:r>
      <w:r>
        <w:rPr>
          <w:rFonts w:eastAsia="Times New Roman"/>
          <w:szCs w:val="20"/>
        </w:rPr>
        <w:t xml:space="preserve">pārējie </w:t>
      </w:r>
      <w:r w:rsidRPr="00A324D1">
        <w:rPr>
          <w:rFonts w:eastAsia="Times New Roman"/>
          <w:szCs w:val="20"/>
        </w:rPr>
        <w:t xml:space="preserve">valsts budžeta uzturēšanas izdevumu transferti citiem budžetiem </w:t>
      </w:r>
      <w:r w:rsidRPr="00E22D40">
        <w:rPr>
          <w:rFonts w:eastAsia="Times New Roman"/>
          <w:szCs w:val="20"/>
        </w:rPr>
        <w:t xml:space="preserve">– 7,0 milj. latu. Uzturēšanas izdevumu transfertiem plānotie līdzekļi nav apgūti </w:t>
      </w:r>
      <w:r>
        <w:rPr>
          <w:rFonts w:eastAsia="Times New Roman"/>
          <w:szCs w:val="20"/>
        </w:rPr>
        <w:t>2</w:t>
      </w:r>
      <w:r w:rsidRPr="00E22D40">
        <w:rPr>
          <w:rFonts w:eastAsia="Times New Roman"/>
          <w:szCs w:val="20"/>
        </w:rPr>
        <w:t xml:space="preserve">,3 milj. latu apmērā, ko veido </w:t>
      </w:r>
      <w:r w:rsidRPr="00A324D1">
        <w:rPr>
          <w:rFonts w:eastAsia="Times New Roman"/>
          <w:szCs w:val="20"/>
        </w:rPr>
        <w:t>valsts budžeta uzturēšanas izdevumu transferti citiem budžetiem noteiktam mērķim</w:t>
      </w:r>
      <w:r>
        <w:rPr>
          <w:rFonts w:eastAsia="Times New Roman"/>
          <w:szCs w:val="20"/>
        </w:rPr>
        <w:t>.</w:t>
      </w:r>
      <w:r w:rsidRPr="00A324D1">
        <w:rPr>
          <w:rFonts w:eastAsia="Times New Roman"/>
          <w:szCs w:val="20"/>
        </w:rPr>
        <w:t xml:space="preserve"> </w:t>
      </w:r>
      <w:r w:rsidRPr="00E22D40">
        <w:rPr>
          <w:rFonts w:eastAsia="Times New Roman"/>
          <w:szCs w:val="20"/>
        </w:rPr>
        <w:t xml:space="preserve">Kapitālajiem izdevumiem izlietoti 49,5 milj. latu, tai skaitā pamatkapitāla veidošanai – 16,8 milj. latu un valsts budžeta transferti kapitālajiem izdevumiem citiem budžetiem noteiktam mērķim – 32,7 milj. latu. Kapitālajiem izdevumiem, salīdzinot ar plānoto, nav izlietoti – </w:t>
      </w:r>
      <w:r>
        <w:rPr>
          <w:rFonts w:eastAsia="Times New Roman"/>
          <w:szCs w:val="20"/>
        </w:rPr>
        <w:t>3</w:t>
      </w:r>
      <w:r w:rsidRPr="00E22D40">
        <w:rPr>
          <w:rFonts w:eastAsia="Times New Roman"/>
          <w:szCs w:val="20"/>
        </w:rPr>
        <w:t>,</w:t>
      </w:r>
      <w:r>
        <w:rPr>
          <w:rFonts w:eastAsia="Times New Roman"/>
          <w:szCs w:val="20"/>
        </w:rPr>
        <w:t>7</w:t>
      </w:r>
      <w:r w:rsidRPr="00E22D40">
        <w:rPr>
          <w:rFonts w:eastAsia="Times New Roman"/>
          <w:szCs w:val="20"/>
        </w:rPr>
        <w:t> milj. latu.</w:t>
      </w:r>
    </w:p>
    <w:p w:rsidR="00322AE6" w:rsidRPr="00A40FD2" w:rsidRDefault="002B2816" w:rsidP="002B2816">
      <w:pPr>
        <w:jc w:val="right"/>
        <w:rPr>
          <w:rFonts w:eastAsia="Times New Roman"/>
          <w:b/>
          <w:i/>
          <w:szCs w:val="20"/>
        </w:rPr>
      </w:pPr>
      <w:r>
        <w:rPr>
          <w:rFonts w:eastAsia="Times New Roman"/>
          <w:b/>
          <w:i/>
        </w:rPr>
        <w:t>7</w:t>
      </w:r>
      <w:r w:rsidR="00322AE6" w:rsidRPr="00A40FD2">
        <w:rPr>
          <w:rFonts w:eastAsia="Times New Roman"/>
          <w:b/>
          <w:i/>
        </w:rPr>
        <w:t xml:space="preserve">. tabula. </w:t>
      </w:r>
      <w:r w:rsidR="00322AE6" w:rsidRPr="00A40FD2">
        <w:rPr>
          <w:rFonts w:eastAsia="Times New Roman"/>
          <w:b/>
          <w:i/>
          <w:szCs w:val="20"/>
        </w:rPr>
        <w:t>Valsts pamatbudžeta izdevumu struktūra, % no kopējiem izdevumiem</w:t>
      </w:r>
    </w:p>
    <w:tbl>
      <w:tblPr>
        <w:tblW w:w="818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5"/>
        <w:gridCol w:w="2127"/>
        <w:gridCol w:w="2126"/>
      </w:tblGrid>
      <w:tr w:rsidR="00322AE6" w:rsidRPr="00A40FD2" w:rsidTr="002B2816">
        <w:tc>
          <w:tcPr>
            <w:tcW w:w="3935" w:type="dxa"/>
            <w:vAlign w:val="bottom"/>
          </w:tcPr>
          <w:p w:rsidR="00322AE6" w:rsidRPr="00A40FD2" w:rsidRDefault="00322AE6" w:rsidP="00A761F0">
            <w:pPr>
              <w:spacing w:after="0"/>
              <w:jc w:val="center"/>
              <w:rPr>
                <w:rFonts w:eastAsia="Times New Roman"/>
                <w:sz w:val="20"/>
                <w:szCs w:val="20"/>
              </w:rPr>
            </w:pPr>
            <w:r w:rsidRPr="00A40FD2">
              <w:rPr>
                <w:rFonts w:eastAsia="Times New Roman"/>
                <w:sz w:val="20"/>
                <w:szCs w:val="20"/>
              </w:rPr>
              <w:t>Rādītāji</w:t>
            </w:r>
          </w:p>
        </w:tc>
        <w:tc>
          <w:tcPr>
            <w:tcW w:w="2127" w:type="dxa"/>
            <w:vAlign w:val="bottom"/>
          </w:tcPr>
          <w:p w:rsidR="00322AE6" w:rsidRPr="00A40FD2" w:rsidRDefault="00322AE6" w:rsidP="00A761F0">
            <w:pPr>
              <w:spacing w:after="0"/>
              <w:jc w:val="center"/>
              <w:rPr>
                <w:rFonts w:eastAsia="Times New Roman"/>
                <w:sz w:val="20"/>
                <w:szCs w:val="20"/>
              </w:rPr>
            </w:pPr>
            <w:r w:rsidRPr="00A40FD2">
              <w:rPr>
                <w:rFonts w:eastAsia="Times New Roman"/>
                <w:sz w:val="20"/>
                <w:szCs w:val="20"/>
              </w:rPr>
              <w:t>2011. gada I ceturksnis</w:t>
            </w:r>
          </w:p>
        </w:tc>
        <w:tc>
          <w:tcPr>
            <w:tcW w:w="2126" w:type="dxa"/>
            <w:vAlign w:val="bottom"/>
          </w:tcPr>
          <w:p w:rsidR="00322AE6" w:rsidRPr="00A40FD2" w:rsidRDefault="00322AE6" w:rsidP="00A761F0">
            <w:pPr>
              <w:spacing w:after="0"/>
              <w:jc w:val="center"/>
              <w:rPr>
                <w:rFonts w:eastAsia="Times New Roman"/>
                <w:sz w:val="20"/>
                <w:szCs w:val="20"/>
              </w:rPr>
            </w:pPr>
            <w:r w:rsidRPr="00A40FD2">
              <w:rPr>
                <w:rFonts w:eastAsia="Times New Roman"/>
                <w:sz w:val="20"/>
                <w:szCs w:val="20"/>
              </w:rPr>
              <w:t>2012. gada I ceturksnis</w:t>
            </w:r>
          </w:p>
        </w:tc>
      </w:tr>
      <w:tr w:rsidR="00322AE6" w:rsidRPr="00A40FD2" w:rsidTr="002B2816">
        <w:tc>
          <w:tcPr>
            <w:tcW w:w="3935" w:type="dxa"/>
            <w:vAlign w:val="center"/>
          </w:tcPr>
          <w:p w:rsidR="00322AE6" w:rsidRPr="00A40FD2" w:rsidRDefault="00322AE6" w:rsidP="002B2816">
            <w:pPr>
              <w:spacing w:after="0"/>
              <w:ind w:firstLine="0"/>
              <w:rPr>
                <w:rFonts w:eastAsia="Times New Roman"/>
                <w:sz w:val="20"/>
                <w:szCs w:val="20"/>
              </w:rPr>
            </w:pPr>
            <w:r w:rsidRPr="00A40FD2">
              <w:rPr>
                <w:rFonts w:eastAsia="Times New Roman"/>
                <w:snapToGrid w:val="0"/>
                <w:sz w:val="20"/>
                <w:szCs w:val="20"/>
              </w:rPr>
              <w:t>Kārtējie izdevumi</w:t>
            </w:r>
          </w:p>
        </w:tc>
        <w:tc>
          <w:tcPr>
            <w:tcW w:w="2127" w:type="dxa"/>
            <w:vAlign w:val="bottom"/>
          </w:tcPr>
          <w:p w:rsidR="00322AE6" w:rsidRPr="00A40FD2" w:rsidRDefault="00322AE6" w:rsidP="00A761F0">
            <w:pPr>
              <w:tabs>
                <w:tab w:val="decimal" w:pos="1598"/>
              </w:tabs>
              <w:spacing w:after="0"/>
              <w:rPr>
                <w:rFonts w:eastAsia="Times New Roman"/>
                <w:sz w:val="20"/>
                <w:szCs w:val="20"/>
              </w:rPr>
            </w:pPr>
            <w:r w:rsidRPr="00A40FD2">
              <w:rPr>
                <w:rFonts w:eastAsia="Times New Roman"/>
                <w:sz w:val="20"/>
                <w:szCs w:val="20"/>
              </w:rPr>
              <w:t>25,1</w:t>
            </w:r>
          </w:p>
        </w:tc>
        <w:tc>
          <w:tcPr>
            <w:tcW w:w="2126" w:type="dxa"/>
            <w:vAlign w:val="bottom"/>
          </w:tcPr>
          <w:p w:rsidR="00322AE6" w:rsidRPr="00A40FD2" w:rsidRDefault="00322AE6" w:rsidP="00A761F0">
            <w:pPr>
              <w:tabs>
                <w:tab w:val="decimal" w:pos="1598"/>
              </w:tabs>
              <w:spacing w:after="0"/>
              <w:rPr>
                <w:rFonts w:eastAsia="Times New Roman"/>
                <w:sz w:val="20"/>
                <w:szCs w:val="20"/>
              </w:rPr>
            </w:pPr>
            <w:r w:rsidRPr="00A40FD2">
              <w:rPr>
                <w:rFonts w:eastAsia="Times New Roman"/>
                <w:sz w:val="20"/>
                <w:szCs w:val="20"/>
              </w:rPr>
              <w:t>24,7</w:t>
            </w:r>
          </w:p>
        </w:tc>
      </w:tr>
      <w:tr w:rsidR="00322AE6" w:rsidRPr="00A40FD2" w:rsidTr="002B2816">
        <w:tc>
          <w:tcPr>
            <w:tcW w:w="3935" w:type="dxa"/>
            <w:vAlign w:val="center"/>
          </w:tcPr>
          <w:p w:rsidR="00322AE6" w:rsidRPr="00A40FD2" w:rsidRDefault="00322AE6" w:rsidP="002B2816">
            <w:pPr>
              <w:spacing w:after="0"/>
              <w:ind w:firstLine="0"/>
              <w:rPr>
                <w:rFonts w:eastAsia="Times New Roman"/>
                <w:sz w:val="20"/>
                <w:szCs w:val="20"/>
              </w:rPr>
            </w:pPr>
            <w:r w:rsidRPr="00A40FD2">
              <w:rPr>
                <w:rFonts w:eastAsia="Times New Roman"/>
                <w:snapToGrid w:val="0"/>
                <w:sz w:val="20"/>
                <w:szCs w:val="20"/>
              </w:rPr>
              <w:t>Procentu  izdevumi</w:t>
            </w:r>
          </w:p>
        </w:tc>
        <w:tc>
          <w:tcPr>
            <w:tcW w:w="2127" w:type="dxa"/>
            <w:vAlign w:val="bottom"/>
          </w:tcPr>
          <w:p w:rsidR="00322AE6" w:rsidRPr="00A40FD2" w:rsidRDefault="00322AE6" w:rsidP="00A761F0">
            <w:pPr>
              <w:tabs>
                <w:tab w:val="decimal" w:pos="1598"/>
              </w:tabs>
              <w:spacing w:after="0"/>
              <w:rPr>
                <w:rFonts w:eastAsia="Times New Roman"/>
                <w:sz w:val="20"/>
                <w:szCs w:val="20"/>
              </w:rPr>
            </w:pPr>
            <w:r w:rsidRPr="00A40FD2">
              <w:rPr>
                <w:rFonts w:eastAsia="Times New Roman"/>
                <w:sz w:val="20"/>
                <w:szCs w:val="20"/>
              </w:rPr>
              <w:t>12,8</w:t>
            </w:r>
          </w:p>
        </w:tc>
        <w:tc>
          <w:tcPr>
            <w:tcW w:w="2126" w:type="dxa"/>
            <w:vAlign w:val="bottom"/>
          </w:tcPr>
          <w:p w:rsidR="00322AE6" w:rsidRPr="00A40FD2" w:rsidRDefault="00322AE6" w:rsidP="00A761F0">
            <w:pPr>
              <w:tabs>
                <w:tab w:val="decimal" w:pos="1598"/>
              </w:tabs>
              <w:spacing w:after="0"/>
              <w:rPr>
                <w:rFonts w:eastAsia="Times New Roman"/>
                <w:sz w:val="20"/>
                <w:szCs w:val="20"/>
              </w:rPr>
            </w:pPr>
            <w:r w:rsidRPr="00A40FD2">
              <w:rPr>
                <w:rFonts w:eastAsia="Times New Roman"/>
                <w:sz w:val="20"/>
                <w:szCs w:val="20"/>
              </w:rPr>
              <w:t>12,5</w:t>
            </w:r>
          </w:p>
        </w:tc>
      </w:tr>
      <w:tr w:rsidR="00322AE6" w:rsidRPr="00A40FD2" w:rsidTr="002B2816">
        <w:tc>
          <w:tcPr>
            <w:tcW w:w="3935" w:type="dxa"/>
            <w:vAlign w:val="center"/>
          </w:tcPr>
          <w:p w:rsidR="00322AE6" w:rsidRPr="00A40FD2" w:rsidRDefault="00322AE6" w:rsidP="002B2816">
            <w:pPr>
              <w:spacing w:after="0"/>
              <w:ind w:firstLine="0"/>
              <w:rPr>
                <w:rFonts w:eastAsia="Times New Roman"/>
                <w:sz w:val="20"/>
                <w:szCs w:val="20"/>
              </w:rPr>
            </w:pPr>
            <w:r w:rsidRPr="00A40FD2">
              <w:rPr>
                <w:rFonts w:eastAsia="Times New Roman"/>
                <w:snapToGrid w:val="0"/>
                <w:sz w:val="20"/>
                <w:szCs w:val="20"/>
              </w:rPr>
              <w:t>Subsīdijas, dotācijas un sociālie pabalsti</w:t>
            </w:r>
          </w:p>
        </w:tc>
        <w:tc>
          <w:tcPr>
            <w:tcW w:w="2127" w:type="dxa"/>
            <w:vAlign w:val="bottom"/>
          </w:tcPr>
          <w:p w:rsidR="00322AE6" w:rsidRPr="00A40FD2" w:rsidRDefault="00322AE6" w:rsidP="00A761F0">
            <w:pPr>
              <w:tabs>
                <w:tab w:val="decimal" w:pos="1598"/>
              </w:tabs>
              <w:spacing w:after="0"/>
              <w:rPr>
                <w:rFonts w:eastAsia="Times New Roman"/>
                <w:sz w:val="20"/>
                <w:szCs w:val="20"/>
              </w:rPr>
            </w:pPr>
            <w:r w:rsidRPr="00A40FD2">
              <w:rPr>
                <w:rFonts w:eastAsia="Times New Roman"/>
                <w:sz w:val="20"/>
                <w:szCs w:val="20"/>
              </w:rPr>
              <w:t>30,5</w:t>
            </w:r>
          </w:p>
        </w:tc>
        <w:tc>
          <w:tcPr>
            <w:tcW w:w="2126" w:type="dxa"/>
            <w:vAlign w:val="bottom"/>
          </w:tcPr>
          <w:p w:rsidR="00322AE6" w:rsidRPr="00A40FD2" w:rsidRDefault="00322AE6" w:rsidP="00A761F0">
            <w:pPr>
              <w:tabs>
                <w:tab w:val="decimal" w:pos="1598"/>
              </w:tabs>
              <w:spacing w:after="0"/>
              <w:rPr>
                <w:rFonts w:eastAsia="Times New Roman"/>
                <w:sz w:val="20"/>
                <w:szCs w:val="20"/>
              </w:rPr>
            </w:pPr>
            <w:r w:rsidRPr="00A40FD2">
              <w:rPr>
                <w:rFonts w:eastAsia="Times New Roman"/>
                <w:sz w:val="20"/>
                <w:szCs w:val="20"/>
              </w:rPr>
              <w:t>34,0</w:t>
            </w:r>
          </w:p>
        </w:tc>
      </w:tr>
      <w:tr w:rsidR="00322AE6" w:rsidRPr="00A40FD2" w:rsidTr="002B2816">
        <w:tc>
          <w:tcPr>
            <w:tcW w:w="3935" w:type="dxa"/>
            <w:vAlign w:val="center"/>
          </w:tcPr>
          <w:p w:rsidR="00322AE6" w:rsidRPr="00A40FD2" w:rsidRDefault="00322AE6" w:rsidP="002B2816">
            <w:pPr>
              <w:spacing w:after="0"/>
              <w:ind w:firstLine="0"/>
              <w:rPr>
                <w:rFonts w:eastAsia="Times New Roman"/>
                <w:sz w:val="20"/>
                <w:szCs w:val="20"/>
              </w:rPr>
            </w:pPr>
            <w:r w:rsidRPr="00A40FD2">
              <w:rPr>
                <w:rFonts w:eastAsia="Times New Roman"/>
                <w:snapToGrid w:val="0"/>
                <w:sz w:val="20"/>
                <w:szCs w:val="20"/>
              </w:rPr>
              <w:t xml:space="preserve">Kārtējie maksājumi Eiropas </w:t>
            </w:r>
            <w:r>
              <w:rPr>
                <w:rFonts w:eastAsia="Times New Roman"/>
                <w:snapToGrid w:val="0"/>
                <w:sz w:val="20"/>
                <w:szCs w:val="20"/>
              </w:rPr>
              <w:t>Savienīb</w:t>
            </w:r>
            <w:r w:rsidRPr="00A40FD2">
              <w:rPr>
                <w:rFonts w:eastAsia="Times New Roman"/>
                <w:snapToGrid w:val="0"/>
                <w:sz w:val="20"/>
                <w:szCs w:val="20"/>
              </w:rPr>
              <w:t>as budžetā un starptautiskā sadarbība</w:t>
            </w:r>
          </w:p>
        </w:tc>
        <w:tc>
          <w:tcPr>
            <w:tcW w:w="2127" w:type="dxa"/>
            <w:vAlign w:val="bottom"/>
          </w:tcPr>
          <w:p w:rsidR="00322AE6" w:rsidRPr="00A40FD2" w:rsidRDefault="00322AE6" w:rsidP="00A761F0">
            <w:pPr>
              <w:tabs>
                <w:tab w:val="decimal" w:pos="1598"/>
              </w:tabs>
              <w:spacing w:after="0"/>
              <w:rPr>
                <w:rFonts w:eastAsia="Times New Roman"/>
                <w:sz w:val="20"/>
                <w:szCs w:val="20"/>
              </w:rPr>
            </w:pPr>
            <w:r w:rsidRPr="00A40FD2">
              <w:rPr>
                <w:rFonts w:eastAsia="Times New Roman"/>
                <w:sz w:val="20"/>
                <w:szCs w:val="20"/>
              </w:rPr>
              <w:t>6,8</w:t>
            </w:r>
          </w:p>
        </w:tc>
        <w:tc>
          <w:tcPr>
            <w:tcW w:w="2126" w:type="dxa"/>
            <w:vAlign w:val="bottom"/>
          </w:tcPr>
          <w:p w:rsidR="00322AE6" w:rsidRPr="00A40FD2" w:rsidRDefault="00322AE6" w:rsidP="00A761F0">
            <w:pPr>
              <w:tabs>
                <w:tab w:val="decimal" w:pos="1598"/>
              </w:tabs>
              <w:spacing w:after="0"/>
              <w:rPr>
                <w:rFonts w:eastAsia="Times New Roman"/>
                <w:sz w:val="20"/>
                <w:szCs w:val="20"/>
              </w:rPr>
            </w:pPr>
            <w:r w:rsidRPr="00A40FD2">
              <w:rPr>
                <w:rFonts w:eastAsia="Times New Roman"/>
                <w:sz w:val="20"/>
                <w:szCs w:val="20"/>
              </w:rPr>
              <w:t>7,9</w:t>
            </w:r>
          </w:p>
        </w:tc>
      </w:tr>
      <w:tr w:rsidR="00322AE6" w:rsidRPr="00A40FD2" w:rsidTr="002B2816">
        <w:tc>
          <w:tcPr>
            <w:tcW w:w="3935" w:type="dxa"/>
            <w:vAlign w:val="center"/>
          </w:tcPr>
          <w:p w:rsidR="00322AE6" w:rsidRPr="00A40FD2" w:rsidRDefault="00322AE6" w:rsidP="002B2816">
            <w:pPr>
              <w:spacing w:after="0"/>
              <w:ind w:firstLine="0"/>
              <w:rPr>
                <w:rFonts w:eastAsia="Times New Roman"/>
                <w:sz w:val="20"/>
                <w:szCs w:val="20"/>
              </w:rPr>
            </w:pPr>
            <w:r w:rsidRPr="00A40FD2">
              <w:rPr>
                <w:rFonts w:eastAsia="Times New Roman"/>
                <w:snapToGrid w:val="0"/>
                <w:sz w:val="20"/>
                <w:szCs w:val="20"/>
              </w:rPr>
              <w:t>Uzturēšanas izdevumu transferti</w:t>
            </w:r>
          </w:p>
        </w:tc>
        <w:tc>
          <w:tcPr>
            <w:tcW w:w="2127" w:type="dxa"/>
            <w:vAlign w:val="bottom"/>
          </w:tcPr>
          <w:p w:rsidR="00322AE6" w:rsidRPr="00A40FD2" w:rsidRDefault="00322AE6" w:rsidP="00A761F0">
            <w:pPr>
              <w:tabs>
                <w:tab w:val="decimal" w:pos="1598"/>
              </w:tabs>
              <w:spacing w:after="0"/>
              <w:rPr>
                <w:rFonts w:eastAsia="Times New Roman"/>
                <w:sz w:val="20"/>
                <w:szCs w:val="20"/>
              </w:rPr>
            </w:pPr>
            <w:r w:rsidRPr="00A40FD2">
              <w:rPr>
                <w:rFonts w:eastAsia="Times New Roman"/>
                <w:sz w:val="20"/>
                <w:szCs w:val="20"/>
              </w:rPr>
              <w:t>17,9</w:t>
            </w:r>
          </w:p>
        </w:tc>
        <w:tc>
          <w:tcPr>
            <w:tcW w:w="2126" w:type="dxa"/>
            <w:vAlign w:val="bottom"/>
          </w:tcPr>
          <w:p w:rsidR="00322AE6" w:rsidRPr="00A40FD2" w:rsidRDefault="00322AE6" w:rsidP="00A761F0">
            <w:pPr>
              <w:tabs>
                <w:tab w:val="decimal" w:pos="1598"/>
              </w:tabs>
              <w:spacing w:after="0"/>
              <w:rPr>
                <w:rFonts w:eastAsia="Times New Roman"/>
                <w:sz w:val="20"/>
                <w:szCs w:val="20"/>
              </w:rPr>
            </w:pPr>
            <w:r w:rsidRPr="00A40FD2">
              <w:rPr>
                <w:rFonts w:eastAsia="Times New Roman"/>
                <w:sz w:val="20"/>
                <w:szCs w:val="20"/>
              </w:rPr>
              <w:t>14,2</w:t>
            </w:r>
          </w:p>
        </w:tc>
      </w:tr>
      <w:tr w:rsidR="00322AE6" w:rsidRPr="00A40FD2" w:rsidTr="002B2816">
        <w:tc>
          <w:tcPr>
            <w:tcW w:w="3935" w:type="dxa"/>
            <w:vAlign w:val="center"/>
          </w:tcPr>
          <w:p w:rsidR="00322AE6" w:rsidRPr="00A40FD2" w:rsidRDefault="00322AE6" w:rsidP="002B2816">
            <w:pPr>
              <w:spacing w:after="0"/>
              <w:ind w:firstLine="0"/>
              <w:rPr>
                <w:rFonts w:eastAsia="Times New Roman"/>
                <w:sz w:val="20"/>
                <w:szCs w:val="20"/>
              </w:rPr>
            </w:pPr>
            <w:r w:rsidRPr="00A40FD2">
              <w:rPr>
                <w:rFonts w:eastAsia="Times New Roman"/>
                <w:snapToGrid w:val="0"/>
                <w:sz w:val="20"/>
                <w:szCs w:val="20"/>
              </w:rPr>
              <w:t>Kapitālie izdevumi</w:t>
            </w:r>
          </w:p>
        </w:tc>
        <w:tc>
          <w:tcPr>
            <w:tcW w:w="2127" w:type="dxa"/>
            <w:vAlign w:val="bottom"/>
          </w:tcPr>
          <w:p w:rsidR="00322AE6" w:rsidRPr="00A40FD2" w:rsidRDefault="00322AE6" w:rsidP="00A761F0">
            <w:pPr>
              <w:tabs>
                <w:tab w:val="decimal" w:pos="1598"/>
              </w:tabs>
              <w:spacing w:after="0"/>
              <w:rPr>
                <w:rFonts w:eastAsia="Times New Roman"/>
                <w:sz w:val="20"/>
                <w:szCs w:val="20"/>
              </w:rPr>
            </w:pPr>
            <w:r w:rsidRPr="00A40FD2">
              <w:rPr>
                <w:rFonts w:eastAsia="Times New Roman"/>
                <w:sz w:val="20"/>
                <w:szCs w:val="20"/>
              </w:rPr>
              <w:t>6,9</w:t>
            </w:r>
          </w:p>
        </w:tc>
        <w:tc>
          <w:tcPr>
            <w:tcW w:w="2126" w:type="dxa"/>
            <w:vAlign w:val="bottom"/>
          </w:tcPr>
          <w:p w:rsidR="00322AE6" w:rsidRPr="00A40FD2" w:rsidRDefault="00322AE6" w:rsidP="00A761F0">
            <w:pPr>
              <w:tabs>
                <w:tab w:val="decimal" w:pos="1598"/>
              </w:tabs>
              <w:spacing w:after="0"/>
              <w:rPr>
                <w:rFonts w:eastAsia="Times New Roman"/>
                <w:sz w:val="20"/>
                <w:szCs w:val="20"/>
              </w:rPr>
            </w:pPr>
            <w:r w:rsidRPr="00A40FD2">
              <w:rPr>
                <w:rFonts w:eastAsia="Times New Roman"/>
                <w:sz w:val="20"/>
                <w:szCs w:val="20"/>
              </w:rPr>
              <w:t>6,7</w:t>
            </w:r>
          </w:p>
        </w:tc>
      </w:tr>
    </w:tbl>
    <w:p w:rsidR="00322AE6" w:rsidRPr="00A40FD2" w:rsidRDefault="00322AE6" w:rsidP="00322AE6">
      <w:pPr>
        <w:rPr>
          <w:rFonts w:eastAsia="Times New Roman"/>
          <w:szCs w:val="20"/>
        </w:rPr>
      </w:pPr>
    </w:p>
    <w:p w:rsidR="00322AE6" w:rsidRPr="00C36CEC" w:rsidRDefault="00322AE6" w:rsidP="00322AE6">
      <w:pPr>
        <w:rPr>
          <w:rFonts w:eastAsia="Times New Roman"/>
          <w:szCs w:val="20"/>
        </w:rPr>
      </w:pPr>
      <w:r w:rsidRPr="00A40FD2">
        <w:rPr>
          <w:rFonts w:eastAsia="Times New Roman"/>
          <w:szCs w:val="20"/>
        </w:rPr>
        <w:t>2012. gada pirmajā ceturksnī izdevumi galvenokārt izlietoti subsīdijām,</w:t>
      </w:r>
      <w:r w:rsidRPr="00C36CEC">
        <w:rPr>
          <w:rFonts w:eastAsia="Times New Roman"/>
          <w:szCs w:val="20"/>
        </w:rPr>
        <w:t xml:space="preserve"> dotācijām un sociālajiem pabalstiem – 34,0% un kārtējiem izdevumiem – 24,7% no kopējiem izdevumiem.</w:t>
      </w:r>
    </w:p>
    <w:p w:rsidR="00322AE6" w:rsidRPr="00A40FD2" w:rsidRDefault="002B2816" w:rsidP="002B2816">
      <w:pPr>
        <w:jc w:val="right"/>
        <w:rPr>
          <w:rFonts w:eastAsia="Times New Roman"/>
          <w:b/>
          <w:i/>
          <w:szCs w:val="20"/>
        </w:rPr>
      </w:pPr>
      <w:r>
        <w:rPr>
          <w:rFonts w:eastAsia="Times New Roman"/>
          <w:b/>
          <w:i/>
          <w:szCs w:val="20"/>
        </w:rPr>
        <w:t>8</w:t>
      </w:r>
      <w:r w:rsidR="00322AE6" w:rsidRPr="00C36CEC">
        <w:rPr>
          <w:rFonts w:eastAsia="Times New Roman"/>
          <w:b/>
          <w:i/>
          <w:szCs w:val="20"/>
        </w:rPr>
        <w:t xml:space="preserve">. tabula. Valsts pamatbudžeta izdevumi atbilstoši funkcionālajām </w:t>
      </w:r>
      <w:r w:rsidR="00322AE6" w:rsidRPr="00A40FD2">
        <w:rPr>
          <w:rFonts w:eastAsia="Times New Roman"/>
          <w:b/>
          <w:i/>
          <w:szCs w:val="20"/>
        </w:rPr>
        <w:t>kategorijām, % no kopējā izdevumu apjoma</w:t>
      </w:r>
    </w:p>
    <w:tbl>
      <w:tblPr>
        <w:tblW w:w="8222"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969"/>
        <w:gridCol w:w="2127"/>
        <w:gridCol w:w="2126"/>
      </w:tblGrid>
      <w:tr w:rsidR="00322AE6" w:rsidRPr="00A40FD2" w:rsidTr="002B2816">
        <w:trPr>
          <w:cantSplit/>
          <w:tblHeader/>
        </w:trPr>
        <w:tc>
          <w:tcPr>
            <w:tcW w:w="3969" w:type="dxa"/>
            <w:tcBorders>
              <w:top w:val="single" w:sz="4" w:space="0" w:color="auto"/>
              <w:left w:val="single" w:sz="4" w:space="0" w:color="auto"/>
            </w:tcBorders>
          </w:tcPr>
          <w:p w:rsidR="00322AE6" w:rsidRPr="00A40FD2" w:rsidRDefault="00322AE6" w:rsidP="00A761F0">
            <w:pPr>
              <w:spacing w:after="0"/>
              <w:rPr>
                <w:rFonts w:eastAsia="Times New Roman"/>
                <w:snapToGrid w:val="0"/>
                <w:sz w:val="20"/>
                <w:szCs w:val="20"/>
              </w:rPr>
            </w:pPr>
            <w:r w:rsidRPr="00A40FD2">
              <w:rPr>
                <w:rFonts w:eastAsia="Times New Roman"/>
                <w:snapToGrid w:val="0"/>
                <w:sz w:val="20"/>
                <w:szCs w:val="20"/>
              </w:rPr>
              <w:t>Rādītāji</w:t>
            </w:r>
          </w:p>
        </w:tc>
        <w:tc>
          <w:tcPr>
            <w:tcW w:w="2127" w:type="dxa"/>
            <w:tcBorders>
              <w:top w:val="single" w:sz="4" w:space="0" w:color="auto"/>
            </w:tcBorders>
          </w:tcPr>
          <w:p w:rsidR="00322AE6" w:rsidRPr="00A40FD2" w:rsidRDefault="00322AE6" w:rsidP="00A761F0">
            <w:pPr>
              <w:spacing w:after="0"/>
              <w:jc w:val="center"/>
              <w:rPr>
                <w:rFonts w:eastAsia="Times New Roman"/>
                <w:snapToGrid w:val="0"/>
                <w:sz w:val="20"/>
                <w:szCs w:val="20"/>
              </w:rPr>
            </w:pPr>
            <w:r w:rsidRPr="00A40FD2">
              <w:rPr>
                <w:rFonts w:eastAsia="Times New Roman"/>
                <w:snapToGrid w:val="0"/>
                <w:sz w:val="20"/>
                <w:szCs w:val="20"/>
              </w:rPr>
              <w:t xml:space="preserve">2011.gada I ceturksnis </w:t>
            </w:r>
          </w:p>
        </w:tc>
        <w:tc>
          <w:tcPr>
            <w:tcW w:w="2126" w:type="dxa"/>
            <w:tcBorders>
              <w:top w:val="single" w:sz="4" w:space="0" w:color="auto"/>
              <w:right w:val="single" w:sz="4" w:space="0" w:color="auto"/>
            </w:tcBorders>
          </w:tcPr>
          <w:p w:rsidR="00322AE6" w:rsidRPr="00A40FD2" w:rsidRDefault="00322AE6" w:rsidP="00A761F0">
            <w:pPr>
              <w:spacing w:after="0"/>
              <w:jc w:val="center"/>
              <w:rPr>
                <w:rFonts w:eastAsia="Times New Roman"/>
                <w:snapToGrid w:val="0"/>
                <w:sz w:val="20"/>
                <w:szCs w:val="20"/>
              </w:rPr>
            </w:pPr>
            <w:r w:rsidRPr="00A40FD2">
              <w:rPr>
                <w:rFonts w:eastAsia="Times New Roman"/>
                <w:snapToGrid w:val="0"/>
                <w:sz w:val="20"/>
                <w:szCs w:val="20"/>
              </w:rPr>
              <w:t xml:space="preserve">2012.gada I ceturksnis </w:t>
            </w:r>
          </w:p>
        </w:tc>
      </w:tr>
      <w:tr w:rsidR="00322AE6" w:rsidRPr="00A40FD2" w:rsidTr="002B2816">
        <w:trPr>
          <w:cantSplit/>
        </w:trPr>
        <w:tc>
          <w:tcPr>
            <w:tcW w:w="3969" w:type="dxa"/>
            <w:tcBorders>
              <w:left w:val="single" w:sz="4" w:space="0" w:color="auto"/>
              <w:bottom w:val="nil"/>
            </w:tcBorders>
          </w:tcPr>
          <w:p w:rsidR="00322AE6" w:rsidRPr="00A40FD2" w:rsidRDefault="00322AE6" w:rsidP="002B2816">
            <w:pPr>
              <w:spacing w:after="0"/>
              <w:ind w:firstLine="0"/>
              <w:rPr>
                <w:rFonts w:eastAsia="Times New Roman"/>
                <w:snapToGrid w:val="0"/>
                <w:sz w:val="20"/>
                <w:szCs w:val="20"/>
              </w:rPr>
            </w:pPr>
            <w:r w:rsidRPr="00A40FD2">
              <w:rPr>
                <w:rFonts w:eastAsia="Times New Roman"/>
                <w:snapToGrid w:val="0"/>
                <w:sz w:val="20"/>
                <w:szCs w:val="20"/>
              </w:rPr>
              <w:t>Vispārējie valdības dienesti</w:t>
            </w:r>
          </w:p>
        </w:tc>
        <w:tc>
          <w:tcPr>
            <w:tcW w:w="2127" w:type="dxa"/>
            <w:tcBorders>
              <w:bottom w:val="nil"/>
            </w:tcBorders>
          </w:tcPr>
          <w:p w:rsidR="00322AE6" w:rsidRPr="00A40FD2" w:rsidRDefault="00322AE6" w:rsidP="00A761F0">
            <w:pPr>
              <w:tabs>
                <w:tab w:val="decimal" w:pos="1220"/>
              </w:tabs>
              <w:spacing w:after="0"/>
              <w:rPr>
                <w:rFonts w:eastAsia="Arial Unicode MS"/>
                <w:sz w:val="20"/>
                <w:szCs w:val="20"/>
              </w:rPr>
            </w:pPr>
            <w:r w:rsidRPr="00A40FD2">
              <w:rPr>
                <w:rFonts w:eastAsia="Arial Unicode MS"/>
                <w:sz w:val="20"/>
                <w:szCs w:val="20"/>
              </w:rPr>
              <w:t>24,9</w:t>
            </w:r>
          </w:p>
        </w:tc>
        <w:tc>
          <w:tcPr>
            <w:tcW w:w="2126" w:type="dxa"/>
            <w:tcBorders>
              <w:bottom w:val="nil"/>
              <w:right w:val="single" w:sz="4" w:space="0" w:color="auto"/>
            </w:tcBorders>
          </w:tcPr>
          <w:p w:rsidR="00322AE6" w:rsidRPr="00A40FD2" w:rsidRDefault="00322AE6" w:rsidP="00A761F0">
            <w:pPr>
              <w:tabs>
                <w:tab w:val="decimal" w:pos="1220"/>
              </w:tabs>
              <w:spacing w:after="0"/>
              <w:rPr>
                <w:rFonts w:eastAsia="Arial Unicode MS"/>
                <w:sz w:val="20"/>
                <w:szCs w:val="20"/>
              </w:rPr>
            </w:pPr>
            <w:r w:rsidRPr="00A40FD2">
              <w:rPr>
                <w:rFonts w:eastAsia="Arial Unicode MS"/>
                <w:sz w:val="20"/>
                <w:szCs w:val="20"/>
              </w:rPr>
              <w:t>25,6</w:t>
            </w:r>
          </w:p>
        </w:tc>
      </w:tr>
      <w:tr w:rsidR="00322AE6" w:rsidRPr="00A40FD2" w:rsidTr="002B2816">
        <w:trPr>
          <w:cantSplit/>
        </w:trPr>
        <w:tc>
          <w:tcPr>
            <w:tcW w:w="3969" w:type="dxa"/>
            <w:tcBorders>
              <w:left w:val="single" w:sz="4" w:space="0" w:color="auto"/>
              <w:bottom w:val="nil"/>
            </w:tcBorders>
          </w:tcPr>
          <w:p w:rsidR="00322AE6" w:rsidRPr="00A40FD2" w:rsidRDefault="00322AE6" w:rsidP="002B2816">
            <w:pPr>
              <w:spacing w:after="0"/>
              <w:ind w:firstLine="0"/>
              <w:rPr>
                <w:rFonts w:eastAsia="Times New Roman"/>
                <w:snapToGrid w:val="0"/>
                <w:sz w:val="20"/>
                <w:szCs w:val="20"/>
              </w:rPr>
            </w:pPr>
            <w:r w:rsidRPr="00A40FD2">
              <w:rPr>
                <w:rFonts w:eastAsia="Times New Roman"/>
                <w:snapToGrid w:val="0"/>
                <w:sz w:val="20"/>
                <w:szCs w:val="20"/>
              </w:rPr>
              <w:t>Aizsardzība</w:t>
            </w:r>
          </w:p>
        </w:tc>
        <w:tc>
          <w:tcPr>
            <w:tcW w:w="2127" w:type="dxa"/>
            <w:tcBorders>
              <w:bottom w:val="nil"/>
            </w:tcBorders>
          </w:tcPr>
          <w:p w:rsidR="00322AE6" w:rsidRPr="00A40FD2" w:rsidRDefault="00322AE6" w:rsidP="00A761F0">
            <w:pPr>
              <w:tabs>
                <w:tab w:val="decimal" w:pos="1220"/>
              </w:tabs>
              <w:spacing w:after="0"/>
              <w:rPr>
                <w:rFonts w:eastAsia="Arial Unicode MS"/>
                <w:sz w:val="20"/>
                <w:szCs w:val="20"/>
              </w:rPr>
            </w:pPr>
            <w:r w:rsidRPr="00A40FD2">
              <w:rPr>
                <w:rFonts w:eastAsia="Arial Unicode MS"/>
                <w:sz w:val="20"/>
                <w:szCs w:val="20"/>
              </w:rPr>
              <w:t>3,2</w:t>
            </w:r>
          </w:p>
        </w:tc>
        <w:tc>
          <w:tcPr>
            <w:tcW w:w="2126" w:type="dxa"/>
            <w:tcBorders>
              <w:bottom w:val="nil"/>
              <w:right w:val="single" w:sz="4" w:space="0" w:color="auto"/>
            </w:tcBorders>
          </w:tcPr>
          <w:p w:rsidR="00322AE6" w:rsidRPr="00A40FD2" w:rsidRDefault="00322AE6" w:rsidP="00A761F0">
            <w:pPr>
              <w:tabs>
                <w:tab w:val="decimal" w:pos="1220"/>
              </w:tabs>
              <w:spacing w:after="0"/>
              <w:rPr>
                <w:rFonts w:eastAsia="Arial Unicode MS"/>
                <w:sz w:val="20"/>
                <w:szCs w:val="20"/>
              </w:rPr>
            </w:pPr>
            <w:r w:rsidRPr="00A40FD2">
              <w:rPr>
                <w:rFonts w:eastAsia="Arial Unicode MS"/>
                <w:sz w:val="20"/>
                <w:szCs w:val="20"/>
              </w:rPr>
              <w:t>3,1</w:t>
            </w:r>
          </w:p>
        </w:tc>
      </w:tr>
      <w:tr w:rsidR="00322AE6" w:rsidRPr="00A40FD2" w:rsidTr="002B2816">
        <w:trPr>
          <w:cantSplit/>
        </w:trPr>
        <w:tc>
          <w:tcPr>
            <w:tcW w:w="3969" w:type="dxa"/>
            <w:tcBorders>
              <w:left w:val="single" w:sz="4" w:space="0" w:color="auto"/>
              <w:bottom w:val="nil"/>
            </w:tcBorders>
          </w:tcPr>
          <w:p w:rsidR="00322AE6" w:rsidRPr="00A40FD2" w:rsidRDefault="00322AE6" w:rsidP="002B2816">
            <w:pPr>
              <w:spacing w:after="0"/>
              <w:ind w:firstLine="0"/>
              <w:rPr>
                <w:rFonts w:eastAsia="Times New Roman"/>
                <w:snapToGrid w:val="0"/>
                <w:sz w:val="20"/>
                <w:szCs w:val="20"/>
              </w:rPr>
            </w:pPr>
            <w:r w:rsidRPr="00A40FD2">
              <w:rPr>
                <w:rFonts w:eastAsia="Times New Roman"/>
                <w:snapToGrid w:val="0"/>
                <w:sz w:val="20"/>
                <w:szCs w:val="20"/>
              </w:rPr>
              <w:t>Sabiedriskā kārtība un drošība</w:t>
            </w:r>
          </w:p>
        </w:tc>
        <w:tc>
          <w:tcPr>
            <w:tcW w:w="2127" w:type="dxa"/>
            <w:tcBorders>
              <w:bottom w:val="nil"/>
            </w:tcBorders>
          </w:tcPr>
          <w:p w:rsidR="00322AE6" w:rsidRPr="00A40FD2" w:rsidRDefault="00322AE6" w:rsidP="00A761F0">
            <w:pPr>
              <w:tabs>
                <w:tab w:val="decimal" w:pos="1220"/>
              </w:tabs>
              <w:spacing w:after="0"/>
              <w:rPr>
                <w:rFonts w:eastAsia="Arial Unicode MS"/>
                <w:sz w:val="20"/>
                <w:szCs w:val="20"/>
              </w:rPr>
            </w:pPr>
            <w:r w:rsidRPr="00A40FD2">
              <w:rPr>
                <w:rFonts w:eastAsia="Arial Unicode MS"/>
                <w:sz w:val="20"/>
                <w:szCs w:val="20"/>
              </w:rPr>
              <w:t>7,4</w:t>
            </w:r>
          </w:p>
        </w:tc>
        <w:tc>
          <w:tcPr>
            <w:tcW w:w="2126" w:type="dxa"/>
            <w:tcBorders>
              <w:bottom w:val="nil"/>
              <w:right w:val="single" w:sz="4" w:space="0" w:color="auto"/>
            </w:tcBorders>
          </w:tcPr>
          <w:p w:rsidR="00322AE6" w:rsidRPr="00A40FD2" w:rsidRDefault="00322AE6" w:rsidP="00A761F0">
            <w:pPr>
              <w:tabs>
                <w:tab w:val="decimal" w:pos="1220"/>
              </w:tabs>
              <w:spacing w:after="0"/>
              <w:rPr>
                <w:rFonts w:eastAsia="Arial Unicode MS"/>
                <w:sz w:val="20"/>
                <w:szCs w:val="20"/>
              </w:rPr>
            </w:pPr>
            <w:r w:rsidRPr="00A40FD2">
              <w:rPr>
                <w:rFonts w:eastAsia="Arial Unicode MS"/>
                <w:sz w:val="20"/>
                <w:szCs w:val="20"/>
              </w:rPr>
              <w:t>7,7</w:t>
            </w:r>
          </w:p>
        </w:tc>
      </w:tr>
      <w:tr w:rsidR="00322AE6" w:rsidRPr="00A40FD2" w:rsidTr="002B2816">
        <w:trPr>
          <w:cantSplit/>
        </w:trPr>
        <w:tc>
          <w:tcPr>
            <w:tcW w:w="3969" w:type="dxa"/>
            <w:tcBorders>
              <w:left w:val="single" w:sz="4" w:space="0" w:color="auto"/>
              <w:bottom w:val="nil"/>
            </w:tcBorders>
          </w:tcPr>
          <w:p w:rsidR="00322AE6" w:rsidRPr="00A40FD2" w:rsidRDefault="00322AE6" w:rsidP="002B2816">
            <w:pPr>
              <w:spacing w:after="0"/>
              <w:ind w:firstLine="0"/>
              <w:rPr>
                <w:rFonts w:eastAsia="Times New Roman"/>
                <w:snapToGrid w:val="0"/>
                <w:sz w:val="20"/>
                <w:szCs w:val="20"/>
              </w:rPr>
            </w:pPr>
            <w:r w:rsidRPr="00A40FD2">
              <w:rPr>
                <w:rFonts w:eastAsia="Times New Roman"/>
                <w:snapToGrid w:val="0"/>
                <w:sz w:val="20"/>
                <w:szCs w:val="20"/>
              </w:rPr>
              <w:t>Ekonomiskā darbība</w:t>
            </w:r>
          </w:p>
        </w:tc>
        <w:tc>
          <w:tcPr>
            <w:tcW w:w="2127" w:type="dxa"/>
            <w:tcBorders>
              <w:bottom w:val="nil"/>
            </w:tcBorders>
          </w:tcPr>
          <w:p w:rsidR="00322AE6" w:rsidRPr="00A40FD2" w:rsidRDefault="00322AE6" w:rsidP="00A761F0">
            <w:pPr>
              <w:tabs>
                <w:tab w:val="decimal" w:pos="1220"/>
              </w:tabs>
              <w:spacing w:after="0"/>
              <w:rPr>
                <w:rFonts w:eastAsia="Arial Unicode MS"/>
                <w:sz w:val="20"/>
                <w:szCs w:val="20"/>
              </w:rPr>
            </w:pPr>
            <w:r w:rsidRPr="00A40FD2">
              <w:rPr>
                <w:rFonts w:eastAsia="Arial Unicode MS"/>
                <w:sz w:val="20"/>
                <w:szCs w:val="20"/>
              </w:rPr>
              <w:t>23,9</w:t>
            </w:r>
          </w:p>
        </w:tc>
        <w:tc>
          <w:tcPr>
            <w:tcW w:w="2126" w:type="dxa"/>
            <w:tcBorders>
              <w:bottom w:val="nil"/>
              <w:right w:val="single" w:sz="4" w:space="0" w:color="auto"/>
            </w:tcBorders>
          </w:tcPr>
          <w:p w:rsidR="00322AE6" w:rsidRPr="00A40FD2" w:rsidRDefault="00322AE6" w:rsidP="00A761F0">
            <w:pPr>
              <w:tabs>
                <w:tab w:val="decimal" w:pos="1220"/>
              </w:tabs>
              <w:spacing w:after="0"/>
              <w:rPr>
                <w:rFonts w:eastAsia="Arial Unicode MS"/>
                <w:sz w:val="20"/>
                <w:szCs w:val="20"/>
              </w:rPr>
            </w:pPr>
            <w:r w:rsidRPr="00A40FD2">
              <w:rPr>
                <w:rFonts w:eastAsia="Arial Unicode MS"/>
                <w:sz w:val="20"/>
                <w:szCs w:val="20"/>
              </w:rPr>
              <w:t>23,7</w:t>
            </w:r>
          </w:p>
        </w:tc>
      </w:tr>
      <w:tr w:rsidR="00322AE6" w:rsidRPr="00A40FD2" w:rsidTr="002B2816">
        <w:trPr>
          <w:cantSplit/>
        </w:trPr>
        <w:tc>
          <w:tcPr>
            <w:tcW w:w="3969" w:type="dxa"/>
            <w:tcBorders>
              <w:left w:val="single" w:sz="4" w:space="0" w:color="auto"/>
              <w:bottom w:val="nil"/>
            </w:tcBorders>
          </w:tcPr>
          <w:p w:rsidR="00322AE6" w:rsidRPr="00A40FD2" w:rsidRDefault="00322AE6" w:rsidP="002B2816">
            <w:pPr>
              <w:spacing w:after="0"/>
              <w:ind w:firstLine="0"/>
              <w:rPr>
                <w:rFonts w:eastAsia="Times New Roman"/>
                <w:snapToGrid w:val="0"/>
                <w:sz w:val="20"/>
                <w:szCs w:val="20"/>
              </w:rPr>
            </w:pPr>
            <w:r w:rsidRPr="00A40FD2">
              <w:rPr>
                <w:rFonts w:eastAsia="Times New Roman"/>
                <w:snapToGrid w:val="0"/>
                <w:sz w:val="20"/>
                <w:szCs w:val="20"/>
              </w:rPr>
              <w:t>Vides aizsardzība</w:t>
            </w:r>
          </w:p>
        </w:tc>
        <w:tc>
          <w:tcPr>
            <w:tcW w:w="2127" w:type="dxa"/>
            <w:tcBorders>
              <w:bottom w:val="nil"/>
            </w:tcBorders>
          </w:tcPr>
          <w:p w:rsidR="00322AE6" w:rsidRPr="00A40FD2" w:rsidRDefault="00322AE6" w:rsidP="00A761F0">
            <w:pPr>
              <w:tabs>
                <w:tab w:val="decimal" w:pos="1220"/>
              </w:tabs>
              <w:spacing w:after="0"/>
              <w:rPr>
                <w:rFonts w:eastAsia="Arial Unicode MS"/>
                <w:sz w:val="20"/>
                <w:szCs w:val="20"/>
              </w:rPr>
            </w:pPr>
            <w:r w:rsidRPr="00A40FD2">
              <w:rPr>
                <w:rFonts w:eastAsia="Arial Unicode MS"/>
                <w:sz w:val="20"/>
                <w:szCs w:val="20"/>
              </w:rPr>
              <w:t>2,7</w:t>
            </w:r>
          </w:p>
        </w:tc>
        <w:tc>
          <w:tcPr>
            <w:tcW w:w="2126" w:type="dxa"/>
            <w:tcBorders>
              <w:bottom w:val="nil"/>
              <w:right w:val="single" w:sz="4" w:space="0" w:color="auto"/>
            </w:tcBorders>
          </w:tcPr>
          <w:p w:rsidR="00322AE6" w:rsidRPr="00A40FD2" w:rsidRDefault="00322AE6" w:rsidP="00A761F0">
            <w:pPr>
              <w:tabs>
                <w:tab w:val="decimal" w:pos="1220"/>
              </w:tabs>
              <w:spacing w:after="0"/>
              <w:rPr>
                <w:rFonts w:eastAsia="Arial Unicode MS"/>
                <w:sz w:val="20"/>
                <w:szCs w:val="20"/>
              </w:rPr>
            </w:pPr>
            <w:r w:rsidRPr="00A40FD2">
              <w:rPr>
                <w:rFonts w:eastAsia="Arial Unicode MS"/>
                <w:sz w:val="20"/>
                <w:szCs w:val="20"/>
              </w:rPr>
              <w:t>2,4</w:t>
            </w:r>
          </w:p>
        </w:tc>
      </w:tr>
      <w:tr w:rsidR="00322AE6" w:rsidRPr="00A40FD2" w:rsidTr="002B2816">
        <w:trPr>
          <w:cantSplit/>
        </w:trPr>
        <w:tc>
          <w:tcPr>
            <w:tcW w:w="3969" w:type="dxa"/>
            <w:tcBorders>
              <w:left w:val="single" w:sz="4" w:space="0" w:color="auto"/>
              <w:bottom w:val="nil"/>
            </w:tcBorders>
          </w:tcPr>
          <w:p w:rsidR="00322AE6" w:rsidRPr="00A40FD2" w:rsidRDefault="00322AE6" w:rsidP="002B2816">
            <w:pPr>
              <w:spacing w:after="0"/>
              <w:ind w:firstLine="0"/>
              <w:rPr>
                <w:rFonts w:eastAsia="Times New Roman"/>
                <w:snapToGrid w:val="0"/>
                <w:sz w:val="20"/>
                <w:szCs w:val="20"/>
              </w:rPr>
            </w:pPr>
            <w:r>
              <w:rPr>
                <w:rFonts w:eastAsia="Times New Roman"/>
                <w:snapToGrid w:val="0"/>
                <w:sz w:val="20"/>
                <w:szCs w:val="20"/>
              </w:rPr>
              <w:t>T</w:t>
            </w:r>
            <w:r w:rsidRPr="00A40FD2">
              <w:rPr>
                <w:rFonts w:eastAsia="Times New Roman"/>
                <w:snapToGrid w:val="0"/>
                <w:sz w:val="20"/>
                <w:szCs w:val="20"/>
              </w:rPr>
              <w:t>eritorij</w:t>
            </w:r>
            <w:r>
              <w:rPr>
                <w:rFonts w:eastAsia="Times New Roman"/>
                <w:snapToGrid w:val="0"/>
                <w:sz w:val="20"/>
                <w:szCs w:val="20"/>
              </w:rPr>
              <w:t>u</w:t>
            </w:r>
            <w:r w:rsidRPr="00A40FD2">
              <w:rPr>
                <w:rFonts w:eastAsia="Times New Roman"/>
                <w:snapToGrid w:val="0"/>
                <w:sz w:val="20"/>
                <w:szCs w:val="20"/>
              </w:rPr>
              <w:t xml:space="preserve"> un mājokļu apsaimniekošana</w:t>
            </w:r>
          </w:p>
        </w:tc>
        <w:tc>
          <w:tcPr>
            <w:tcW w:w="2127" w:type="dxa"/>
            <w:tcBorders>
              <w:bottom w:val="nil"/>
            </w:tcBorders>
          </w:tcPr>
          <w:p w:rsidR="00322AE6" w:rsidRPr="00A40FD2" w:rsidRDefault="00322AE6" w:rsidP="00A761F0">
            <w:pPr>
              <w:tabs>
                <w:tab w:val="decimal" w:pos="1220"/>
              </w:tabs>
              <w:spacing w:after="0"/>
              <w:rPr>
                <w:rFonts w:eastAsia="Arial Unicode MS"/>
                <w:sz w:val="20"/>
                <w:szCs w:val="20"/>
              </w:rPr>
            </w:pPr>
            <w:r w:rsidRPr="00A40FD2">
              <w:rPr>
                <w:rFonts w:eastAsia="Arial Unicode MS"/>
                <w:sz w:val="20"/>
                <w:szCs w:val="20"/>
              </w:rPr>
              <w:t>0,1</w:t>
            </w:r>
          </w:p>
        </w:tc>
        <w:tc>
          <w:tcPr>
            <w:tcW w:w="2126" w:type="dxa"/>
            <w:tcBorders>
              <w:bottom w:val="nil"/>
              <w:right w:val="single" w:sz="4" w:space="0" w:color="auto"/>
            </w:tcBorders>
          </w:tcPr>
          <w:p w:rsidR="00322AE6" w:rsidRPr="00A40FD2" w:rsidRDefault="00322AE6" w:rsidP="00A761F0">
            <w:pPr>
              <w:tabs>
                <w:tab w:val="decimal" w:pos="1220"/>
              </w:tabs>
              <w:spacing w:after="0"/>
              <w:rPr>
                <w:rFonts w:eastAsia="Arial Unicode MS"/>
                <w:sz w:val="20"/>
                <w:szCs w:val="20"/>
              </w:rPr>
            </w:pPr>
            <w:r w:rsidRPr="00A40FD2">
              <w:rPr>
                <w:rFonts w:eastAsia="Arial Unicode MS"/>
                <w:sz w:val="20"/>
                <w:szCs w:val="20"/>
              </w:rPr>
              <w:t>0,1</w:t>
            </w:r>
          </w:p>
        </w:tc>
      </w:tr>
      <w:tr w:rsidR="00322AE6" w:rsidRPr="00A40FD2" w:rsidTr="002B2816">
        <w:trPr>
          <w:cantSplit/>
        </w:trPr>
        <w:tc>
          <w:tcPr>
            <w:tcW w:w="3969" w:type="dxa"/>
            <w:tcBorders>
              <w:left w:val="single" w:sz="4" w:space="0" w:color="auto"/>
              <w:bottom w:val="nil"/>
            </w:tcBorders>
          </w:tcPr>
          <w:p w:rsidR="00322AE6" w:rsidRPr="00A40FD2" w:rsidRDefault="00322AE6" w:rsidP="002B2816">
            <w:pPr>
              <w:spacing w:after="0"/>
              <w:ind w:firstLine="0"/>
              <w:rPr>
                <w:rFonts w:eastAsia="Times New Roman"/>
                <w:snapToGrid w:val="0"/>
                <w:sz w:val="20"/>
                <w:szCs w:val="20"/>
              </w:rPr>
            </w:pPr>
            <w:r w:rsidRPr="00A40FD2">
              <w:rPr>
                <w:rFonts w:eastAsia="Times New Roman"/>
                <w:snapToGrid w:val="0"/>
                <w:sz w:val="20"/>
                <w:szCs w:val="20"/>
              </w:rPr>
              <w:t>Veselības aprūpe</w:t>
            </w:r>
          </w:p>
        </w:tc>
        <w:tc>
          <w:tcPr>
            <w:tcW w:w="2127" w:type="dxa"/>
            <w:tcBorders>
              <w:bottom w:val="nil"/>
            </w:tcBorders>
          </w:tcPr>
          <w:p w:rsidR="00322AE6" w:rsidRPr="00A40FD2" w:rsidRDefault="00322AE6" w:rsidP="00A761F0">
            <w:pPr>
              <w:tabs>
                <w:tab w:val="decimal" w:pos="1220"/>
              </w:tabs>
              <w:spacing w:after="0"/>
              <w:rPr>
                <w:rFonts w:eastAsia="Arial Unicode MS"/>
                <w:sz w:val="20"/>
                <w:szCs w:val="20"/>
              </w:rPr>
            </w:pPr>
            <w:r w:rsidRPr="00A40FD2">
              <w:rPr>
                <w:rFonts w:eastAsia="Arial Unicode MS"/>
                <w:sz w:val="20"/>
                <w:szCs w:val="20"/>
              </w:rPr>
              <w:t>14,0</w:t>
            </w:r>
          </w:p>
        </w:tc>
        <w:tc>
          <w:tcPr>
            <w:tcW w:w="2126" w:type="dxa"/>
            <w:tcBorders>
              <w:bottom w:val="nil"/>
              <w:right w:val="single" w:sz="4" w:space="0" w:color="auto"/>
            </w:tcBorders>
          </w:tcPr>
          <w:p w:rsidR="00322AE6" w:rsidRPr="00A40FD2" w:rsidRDefault="00322AE6" w:rsidP="00A761F0">
            <w:pPr>
              <w:tabs>
                <w:tab w:val="decimal" w:pos="1220"/>
              </w:tabs>
              <w:spacing w:after="0"/>
              <w:rPr>
                <w:rFonts w:eastAsia="Arial Unicode MS"/>
                <w:sz w:val="20"/>
                <w:szCs w:val="20"/>
              </w:rPr>
            </w:pPr>
            <w:r w:rsidRPr="00A40FD2">
              <w:rPr>
                <w:rFonts w:eastAsia="Arial Unicode MS"/>
                <w:sz w:val="20"/>
                <w:szCs w:val="20"/>
              </w:rPr>
              <w:t>14,3</w:t>
            </w:r>
          </w:p>
        </w:tc>
      </w:tr>
      <w:tr w:rsidR="00322AE6" w:rsidRPr="00A40FD2" w:rsidTr="002B2816">
        <w:trPr>
          <w:cantSplit/>
        </w:trPr>
        <w:tc>
          <w:tcPr>
            <w:tcW w:w="3969" w:type="dxa"/>
            <w:tcBorders>
              <w:left w:val="single" w:sz="4" w:space="0" w:color="auto"/>
              <w:bottom w:val="single" w:sz="4" w:space="0" w:color="auto"/>
            </w:tcBorders>
          </w:tcPr>
          <w:p w:rsidR="00322AE6" w:rsidRPr="00A40FD2" w:rsidRDefault="00322AE6" w:rsidP="002B2816">
            <w:pPr>
              <w:spacing w:after="0"/>
              <w:ind w:firstLine="0"/>
              <w:rPr>
                <w:rFonts w:eastAsia="Times New Roman"/>
                <w:snapToGrid w:val="0"/>
                <w:sz w:val="20"/>
                <w:szCs w:val="20"/>
              </w:rPr>
            </w:pPr>
            <w:r w:rsidRPr="00A40FD2">
              <w:rPr>
                <w:rFonts w:eastAsia="Times New Roman"/>
                <w:snapToGrid w:val="0"/>
                <w:sz w:val="20"/>
                <w:szCs w:val="20"/>
              </w:rPr>
              <w:t>Atpūta, kultūra un reliģija</w:t>
            </w:r>
          </w:p>
        </w:tc>
        <w:tc>
          <w:tcPr>
            <w:tcW w:w="2127" w:type="dxa"/>
            <w:tcBorders>
              <w:bottom w:val="single" w:sz="4" w:space="0" w:color="auto"/>
            </w:tcBorders>
          </w:tcPr>
          <w:p w:rsidR="00322AE6" w:rsidRPr="00A40FD2" w:rsidRDefault="00322AE6" w:rsidP="00A761F0">
            <w:pPr>
              <w:tabs>
                <w:tab w:val="decimal" w:pos="1220"/>
              </w:tabs>
              <w:spacing w:after="0"/>
              <w:rPr>
                <w:rFonts w:eastAsia="Arial Unicode MS"/>
                <w:sz w:val="20"/>
                <w:szCs w:val="20"/>
              </w:rPr>
            </w:pPr>
            <w:r w:rsidRPr="00A40FD2">
              <w:rPr>
                <w:rFonts w:eastAsia="Arial Unicode MS"/>
                <w:sz w:val="20"/>
                <w:szCs w:val="20"/>
              </w:rPr>
              <w:t>2,6</w:t>
            </w:r>
          </w:p>
        </w:tc>
        <w:tc>
          <w:tcPr>
            <w:tcW w:w="2126" w:type="dxa"/>
            <w:tcBorders>
              <w:bottom w:val="single" w:sz="4" w:space="0" w:color="auto"/>
              <w:right w:val="single" w:sz="4" w:space="0" w:color="auto"/>
            </w:tcBorders>
          </w:tcPr>
          <w:p w:rsidR="00322AE6" w:rsidRPr="00A40FD2" w:rsidRDefault="00322AE6" w:rsidP="00A761F0">
            <w:pPr>
              <w:tabs>
                <w:tab w:val="decimal" w:pos="1220"/>
              </w:tabs>
              <w:spacing w:after="0"/>
              <w:rPr>
                <w:rFonts w:eastAsia="Arial Unicode MS"/>
                <w:sz w:val="20"/>
                <w:szCs w:val="20"/>
              </w:rPr>
            </w:pPr>
            <w:r w:rsidRPr="00A40FD2">
              <w:rPr>
                <w:rFonts w:eastAsia="Arial Unicode MS"/>
                <w:sz w:val="20"/>
                <w:szCs w:val="20"/>
              </w:rPr>
              <w:t>2,7</w:t>
            </w:r>
          </w:p>
        </w:tc>
      </w:tr>
      <w:tr w:rsidR="00322AE6" w:rsidRPr="00A40FD2" w:rsidTr="002B2816">
        <w:trPr>
          <w:cantSplit/>
        </w:trPr>
        <w:tc>
          <w:tcPr>
            <w:tcW w:w="3969" w:type="dxa"/>
            <w:tcBorders>
              <w:left w:val="single" w:sz="4" w:space="0" w:color="auto"/>
              <w:bottom w:val="single" w:sz="4" w:space="0" w:color="auto"/>
            </w:tcBorders>
          </w:tcPr>
          <w:p w:rsidR="00322AE6" w:rsidRPr="00A40FD2" w:rsidRDefault="00322AE6" w:rsidP="002B2816">
            <w:pPr>
              <w:spacing w:after="0"/>
              <w:ind w:firstLine="0"/>
              <w:rPr>
                <w:rFonts w:eastAsia="Times New Roman"/>
                <w:snapToGrid w:val="0"/>
                <w:sz w:val="20"/>
                <w:szCs w:val="20"/>
              </w:rPr>
            </w:pPr>
            <w:r w:rsidRPr="00A40FD2">
              <w:rPr>
                <w:rFonts w:eastAsia="Times New Roman"/>
                <w:snapToGrid w:val="0"/>
                <w:sz w:val="20"/>
                <w:szCs w:val="20"/>
              </w:rPr>
              <w:t>Izglītība</w:t>
            </w:r>
          </w:p>
        </w:tc>
        <w:tc>
          <w:tcPr>
            <w:tcW w:w="2127" w:type="dxa"/>
            <w:tcBorders>
              <w:bottom w:val="single" w:sz="4" w:space="0" w:color="auto"/>
            </w:tcBorders>
          </w:tcPr>
          <w:p w:rsidR="00322AE6" w:rsidRPr="00A40FD2" w:rsidRDefault="00322AE6" w:rsidP="00A761F0">
            <w:pPr>
              <w:tabs>
                <w:tab w:val="decimal" w:pos="1220"/>
              </w:tabs>
              <w:spacing w:after="0"/>
              <w:rPr>
                <w:rFonts w:eastAsia="Arial Unicode MS"/>
                <w:sz w:val="20"/>
                <w:szCs w:val="20"/>
              </w:rPr>
            </w:pPr>
            <w:r w:rsidRPr="00A40FD2">
              <w:rPr>
                <w:rFonts w:eastAsia="Arial Unicode MS"/>
                <w:sz w:val="20"/>
                <w:szCs w:val="20"/>
              </w:rPr>
              <w:t>14,8</w:t>
            </w:r>
          </w:p>
        </w:tc>
        <w:tc>
          <w:tcPr>
            <w:tcW w:w="2126" w:type="dxa"/>
            <w:tcBorders>
              <w:bottom w:val="single" w:sz="4" w:space="0" w:color="auto"/>
              <w:right w:val="single" w:sz="4" w:space="0" w:color="auto"/>
            </w:tcBorders>
          </w:tcPr>
          <w:p w:rsidR="00322AE6" w:rsidRPr="00A40FD2" w:rsidRDefault="00322AE6" w:rsidP="00A761F0">
            <w:pPr>
              <w:tabs>
                <w:tab w:val="decimal" w:pos="1220"/>
              </w:tabs>
              <w:spacing w:after="0"/>
              <w:rPr>
                <w:rFonts w:eastAsia="Arial Unicode MS"/>
                <w:sz w:val="20"/>
                <w:szCs w:val="20"/>
              </w:rPr>
            </w:pPr>
            <w:r w:rsidRPr="00A40FD2">
              <w:rPr>
                <w:rFonts w:eastAsia="Arial Unicode MS"/>
                <w:sz w:val="20"/>
                <w:szCs w:val="20"/>
              </w:rPr>
              <w:t>13,9</w:t>
            </w:r>
          </w:p>
        </w:tc>
      </w:tr>
      <w:tr w:rsidR="00322AE6" w:rsidRPr="00A40FD2" w:rsidTr="002B2816">
        <w:trPr>
          <w:cantSplit/>
        </w:trPr>
        <w:tc>
          <w:tcPr>
            <w:tcW w:w="3969" w:type="dxa"/>
            <w:tcBorders>
              <w:left w:val="single" w:sz="4" w:space="0" w:color="auto"/>
            </w:tcBorders>
          </w:tcPr>
          <w:p w:rsidR="00322AE6" w:rsidRPr="00A40FD2" w:rsidRDefault="00322AE6" w:rsidP="002B2816">
            <w:pPr>
              <w:spacing w:after="0"/>
              <w:ind w:firstLine="0"/>
              <w:rPr>
                <w:rFonts w:eastAsia="Times New Roman"/>
                <w:snapToGrid w:val="0"/>
                <w:sz w:val="20"/>
                <w:szCs w:val="20"/>
              </w:rPr>
            </w:pPr>
            <w:r w:rsidRPr="00A40FD2">
              <w:rPr>
                <w:rFonts w:eastAsia="Times New Roman"/>
                <w:snapToGrid w:val="0"/>
                <w:sz w:val="20"/>
                <w:szCs w:val="20"/>
              </w:rPr>
              <w:t>Sociālā aizsardzība</w:t>
            </w:r>
          </w:p>
        </w:tc>
        <w:tc>
          <w:tcPr>
            <w:tcW w:w="2127" w:type="dxa"/>
          </w:tcPr>
          <w:p w:rsidR="00322AE6" w:rsidRPr="00A40FD2" w:rsidRDefault="00322AE6" w:rsidP="00A761F0">
            <w:pPr>
              <w:tabs>
                <w:tab w:val="decimal" w:pos="1220"/>
              </w:tabs>
              <w:spacing w:after="0"/>
              <w:rPr>
                <w:rFonts w:eastAsia="Arial Unicode MS"/>
                <w:sz w:val="20"/>
                <w:szCs w:val="20"/>
              </w:rPr>
            </w:pPr>
            <w:r w:rsidRPr="00A40FD2">
              <w:rPr>
                <w:rFonts w:eastAsia="Arial Unicode MS"/>
                <w:sz w:val="20"/>
                <w:szCs w:val="20"/>
              </w:rPr>
              <w:t>6,4</w:t>
            </w:r>
          </w:p>
        </w:tc>
        <w:tc>
          <w:tcPr>
            <w:tcW w:w="2126" w:type="dxa"/>
            <w:tcBorders>
              <w:right w:val="single" w:sz="4" w:space="0" w:color="auto"/>
            </w:tcBorders>
          </w:tcPr>
          <w:p w:rsidR="00322AE6" w:rsidRPr="00A40FD2" w:rsidRDefault="00322AE6" w:rsidP="00A761F0">
            <w:pPr>
              <w:tabs>
                <w:tab w:val="decimal" w:pos="1220"/>
              </w:tabs>
              <w:spacing w:after="0"/>
              <w:rPr>
                <w:rFonts w:eastAsia="Arial Unicode MS"/>
                <w:sz w:val="20"/>
                <w:szCs w:val="20"/>
              </w:rPr>
            </w:pPr>
            <w:r w:rsidRPr="00A40FD2">
              <w:rPr>
                <w:rFonts w:eastAsia="Arial Unicode MS"/>
                <w:sz w:val="20"/>
                <w:szCs w:val="20"/>
              </w:rPr>
              <w:t>6,5</w:t>
            </w:r>
          </w:p>
        </w:tc>
      </w:tr>
    </w:tbl>
    <w:p w:rsidR="00322AE6" w:rsidRDefault="00322AE6" w:rsidP="00322AE6">
      <w:pPr>
        <w:jc w:val="center"/>
        <w:rPr>
          <w:rFonts w:eastAsia="Times New Roman"/>
          <w:noProof/>
          <w:szCs w:val="20"/>
          <w:lang w:eastAsia="lv-LV"/>
        </w:rPr>
      </w:pPr>
    </w:p>
    <w:p w:rsidR="00322AE6" w:rsidRDefault="00322AE6" w:rsidP="00322AE6">
      <w:pPr>
        <w:jc w:val="center"/>
        <w:rPr>
          <w:rFonts w:eastAsia="Times New Roman"/>
          <w:noProof/>
          <w:szCs w:val="20"/>
          <w:lang w:eastAsia="lv-LV"/>
        </w:rPr>
      </w:pPr>
      <w:r>
        <w:rPr>
          <w:noProof/>
          <w:lang w:eastAsia="lv-LV"/>
        </w:rPr>
        <w:drawing>
          <wp:inline distT="0" distB="0" distL="0" distR="0" wp14:anchorId="120D4AFC" wp14:editId="230253B4">
            <wp:extent cx="5274310" cy="2770475"/>
            <wp:effectExtent l="0" t="0" r="254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22AE6" w:rsidRPr="00BA7C15" w:rsidRDefault="00EA480A" w:rsidP="00322AE6">
      <w:pPr>
        <w:jc w:val="center"/>
        <w:rPr>
          <w:rFonts w:eastAsia="Times New Roman"/>
          <w:b/>
          <w:i/>
          <w:szCs w:val="20"/>
        </w:rPr>
      </w:pPr>
      <w:r>
        <w:rPr>
          <w:rFonts w:eastAsia="Times New Roman"/>
          <w:b/>
          <w:i/>
          <w:szCs w:val="20"/>
        </w:rPr>
        <w:t>35</w:t>
      </w:r>
      <w:r w:rsidR="00322AE6" w:rsidRPr="00BA7C15">
        <w:rPr>
          <w:rFonts w:eastAsia="Times New Roman"/>
          <w:b/>
          <w:i/>
          <w:szCs w:val="20"/>
        </w:rPr>
        <w:t>. att. Valsts pamatbudžeta izdevumu izpilde 2012. gada pirmajā ceturksnī atbilstoši funkcionālajām kategorijām.</w:t>
      </w:r>
    </w:p>
    <w:p w:rsidR="00322AE6" w:rsidRDefault="00322AE6" w:rsidP="00322AE6">
      <w:pPr>
        <w:rPr>
          <w:rFonts w:eastAsia="Times New Roman"/>
          <w:szCs w:val="20"/>
        </w:rPr>
      </w:pPr>
      <w:r w:rsidRPr="00EC77B9">
        <w:rPr>
          <w:rFonts w:eastAsia="Times New Roman"/>
          <w:szCs w:val="20"/>
        </w:rPr>
        <w:t xml:space="preserve">2012. gada pirmajā ceturksnī valsts pamatbudžetā funkcionālajai kategorijai </w:t>
      </w:r>
      <w:r w:rsidRPr="00EC77B9">
        <w:rPr>
          <w:rFonts w:eastAsia="Times New Roman"/>
          <w:snapToGrid w:val="0"/>
          <w:szCs w:val="20"/>
        </w:rPr>
        <w:t>Vispārējie valdības dienesti izlietoti 190,</w:t>
      </w:r>
      <w:r>
        <w:rPr>
          <w:rFonts w:eastAsia="Times New Roman"/>
          <w:snapToGrid w:val="0"/>
          <w:szCs w:val="20"/>
        </w:rPr>
        <w:t>7</w:t>
      </w:r>
      <w:r w:rsidRPr="00EC77B9">
        <w:rPr>
          <w:rFonts w:eastAsia="Times New Roman"/>
          <w:snapToGrid w:val="0"/>
          <w:szCs w:val="20"/>
        </w:rPr>
        <w:t> milj. l</w:t>
      </w:r>
      <w:r w:rsidRPr="00EC77B9">
        <w:rPr>
          <w:rFonts w:eastAsia="Times New Roman"/>
          <w:szCs w:val="20"/>
        </w:rPr>
        <w:t xml:space="preserve">atu jeb 25,6%, </w:t>
      </w:r>
      <w:r w:rsidRPr="00EC77B9">
        <w:rPr>
          <w:rFonts w:eastAsia="Times New Roman"/>
          <w:snapToGrid w:val="0"/>
          <w:szCs w:val="20"/>
        </w:rPr>
        <w:t>Aizsardzība – 23,1 milj. l</w:t>
      </w:r>
      <w:r w:rsidRPr="00EC77B9">
        <w:rPr>
          <w:rFonts w:eastAsia="Times New Roman"/>
          <w:szCs w:val="20"/>
        </w:rPr>
        <w:t>atu jeb 3,1%,</w:t>
      </w:r>
      <w:r w:rsidRPr="00EC77B9">
        <w:rPr>
          <w:rFonts w:eastAsia="Times New Roman"/>
          <w:snapToGrid w:val="0"/>
          <w:szCs w:val="20"/>
        </w:rPr>
        <w:t xml:space="preserve"> Sabiedriskā kārtība un drošība – 57,3 milj. l</w:t>
      </w:r>
      <w:r w:rsidRPr="00EC77B9">
        <w:rPr>
          <w:rFonts w:eastAsia="Times New Roman"/>
          <w:szCs w:val="20"/>
        </w:rPr>
        <w:t xml:space="preserve">atu jeb 7,7%, Ekonomiskā darbība – 176,3 milj. latu jeb 23,7%, </w:t>
      </w:r>
      <w:r w:rsidRPr="00EC77B9">
        <w:rPr>
          <w:rFonts w:eastAsia="Times New Roman"/>
          <w:snapToGrid w:val="0"/>
          <w:szCs w:val="20"/>
        </w:rPr>
        <w:t xml:space="preserve">Vides aizsardzība – 17,7 milj. latu jeb 2,4%, </w:t>
      </w:r>
      <w:r>
        <w:rPr>
          <w:rFonts w:eastAsia="Times New Roman"/>
          <w:snapToGrid w:val="0"/>
          <w:szCs w:val="20"/>
        </w:rPr>
        <w:t>T</w:t>
      </w:r>
      <w:r w:rsidRPr="00EC77B9">
        <w:rPr>
          <w:rFonts w:eastAsia="Times New Roman"/>
          <w:snapToGrid w:val="0"/>
          <w:szCs w:val="20"/>
        </w:rPr>
        <w:t>eritoriju un mājokļu apsaimniekošana – 0,6 milj. latu jeb 0,1%, Veselība –</w:t>
      </w:r>
      <w:r w:rsidRPr="00EC77B9">
        <w:rPr>
          <w:rFonts w:eastAsia="Times New Roman"/>
          <w:szCs w:val="20"/>
        </w:rPr>
        <w:t xml:space="preserve"> 106,4 milj. latu jeb 14,3%, </w:t>
      </w:r>
      <w:r w:rsidRPr="00EC77B9">
        <w:rPr>
          <w:rFonts w:eastAsia="Times New Roman"/>
          <w:snapToGrid w:val="0"/>
          <w:szCs w:val="20"/>
        </w:rPr>
        <w:t>Atpūta, kultūra un reliģija –</w:t>
      </w:r>
      <w:r w:rsidRPr="00EC77B9">
        <w:rPr>
          <w:rFonts w:eastAsia="Times New Roman"/>
          <w:szCs w:val="20"/>
        </w:rPr>
        <w:t xml:space="preserve"> 19,7 milj. latu jeb 2,7%, </w:t>
      </w:r>
      <w:r w:rsidRPr="00EC77B9">
        <w:rPr>
          <w:rFonts w:eastAsia="Times New Roman"/>
          <w:snapToGrid w:val="0"/>
          <w:szCs w:val="20"/>
        </w:rPr>
        <w:t>Izglītība –</w:t>
      </w:r>
      <w:r w:rsidRPr="00EC77B9">
        <w:rPr>
          <w:rFonts w:eastAsia="Times New Roman"/>
          <w:szCs w:val="20"/>
        </w:rPr>
        <w:t xml:space="preserve"> 103,5 milj. latu jeb 13,9%, </w:t>
      </w:r>
      <w:r w:rsidRPr="00EC77B9">
        <w:rPr>
          <w:rFonts w:eastAsia="Times New Roman"/>
          <w:snapToGrid w:val="0"/>
          <w:szCs w:val="20"/>
        </w:rPr>
        <w:t>Sociālā aizsardzība  –</w:t>
      </w:r>
      <w:r w:rsidRPr="00EC77B9">
        <w:rPr>
          <w:rFonts w:eastAsia="Times New Roman"/>
          <w:szCs w:val="20"/>
        </w:rPr>
        <w:t xml:space="preserve"> 48,6 milj. latu jeb 6,5% no kopējiem izdevumiem.</w:t>
      </w:r>
    </w:p>
    <w:p w:rsidR="00F53D19" w:rsidRPr="00EC77B9" w:rsidRDefault="00F53D19" w:rsidP="00322AE6">
      <w:pPr>
        <w:rPr>
          <w:rFonts w:eastAsia="Times New Roman"/>
          <w:szCs w:val="20"/>
        </w:rPr>
      </w:pPr>
    </w:p>
    <w:p w:rsidR="00F53D19" w:rsidRPr="003927D1" w:rsidRDefault="00B55D5C" w:rsidP="00EA480A">
      <w:pPr>
        <w:pStyle w:val="Heading33"/>
      </w:pPr>
      <w:bookmarkStart w:id="88" w:name="_Toc293496376"/>
      <w:bookmarkStart w:id="89" w:name="_Toc325101928"/>
      <w:r>
        <w:t>2.4</w:t>
      </w:r>
      <w:r w:rsidR="00F53D19">
        <w:t>.2. </w:t>
      </w:r>
      <w:r w:rsidR="006A276C" w:rsidRPr="003927D1">
        <w:t>Sociālās apdrošināšanas budžeta izpilde</w:t>
      </w:r>
      <w:bookmarkEnd w:id="82"/>
      <w:bookmarkEnd w:id="83"/>
      <w:bookmarkEnd w:id="84"/>
      <w:bookmarkEnd w:id="85"/>
      <w:bookmarkEnd w:id="88"/>
      <w:bookmarkEnd w:id="89"/>
    </w:p>
    <w:p w:rsidR="00322AE6" w:rsidRPr="00322AE6" w:rsidRDefault="00322AE6" w:rsidP="00CB01DD">
      <w:pPr>
        <w:ind w:firstLine="720"/>
        <w:rPr>
          <w:rFonts w:eastAsia="Times New Roman"/>
          <w:szCs w:val="20"/>
        </w:rPr>
      </w:pPr>
      <w:r w:rsidRPr="00322AE6">
        <w:rPr>
          <w:rFonts w:eastAsia="Times New Roman"/>
          <w:b/>
          <w:szCs w:val="20"/>
        </w:rPr>
        <w:t>Valsts speciālā budžeta</w:t>
      </w:r>
      <w:r w:rsidRPr="00322AE6">
        <w:rPr>
          <w:rFonts w:eastAsia="Times New Roman"/>
          <w:szCs w:val="20"/>
        </w:rPr>
        <w:t xml:space="preserve"> izlietotie līdzekļi 2012. gada pirmajā ceturksnī, salīdzinot ar 2011. gada atbilstošo periodu, palielinājušies par 23,0 milj. latu jeb 6,6 procentiem. Izdevumi subsīdijām, dotācijām un sociālajiem pabalstiem palielinājušies par 22,8 milj. latu jeb 6,6%, tai skaitā sociālajiem pabalstiem naudā – par 22,8 milj. latu jeb 6,7%. Par 0,2 milj. latu jeb 11,8% palielinājušies kārtējie izdevumi, tai skaitā atlīdzība par 0,2 milj. latu (atalgojums par 0,2 milj. latu).</w:t>
      </w:r>
    </w:p>
    <w:p w:rsidR="00322AE6" w:rsidRPr="00322AE6" w:rsidRDefault="00322AE6" w:rsidP="00CB01DD">
      <w:pPr>
        <w:ind w:firstLine="720"/>
        <w:rPr>
          <w:rFonts w:eastAsia="Times New Roman"/>
          <w:szCs w:val="20"/>
        </w:rPr>
      </w:pPr>
      <w:r w:rsidRPr="00322AE6">
        <w:rPr>
          <w:rFonts w:eastAsia="Times New Roman"/>
          <w:szCs w:val="20"/>
        </w:rPr>
        <w:t xml:space="preserve">2012. gada pirmajā ceturksnī speciālajā budžetā kopumā izlietoti 369,5 milj. latu. Kārtējiem izdevumiem izlietoti 2,0 milj. latu tai skaitā atlīdzībai izlietoti 1,5 milj. latu (no tiem atalgojumiem 1,1 milj. latu). Subsīdijām, dotācijām un sociālajiem pabalstiem izlietoti 367,4 milj. latu, tajā skaitā sociāliem pabalstiem naudā 366,1 milj. latu, no kuriem valsts pensijām – </w:t>
      </w:r>
      <w:r w:rsidRPr="00322AE6">
        <w:rPr>
          <w:rFonts w:eastAsia="Times New Roman"/>
          <w:szCs w:val="20"/>
        </w:rPr>
        <w:lastRenderedPageBreak/>
        <w:t>320,8 milj. latu, valsts sociālās apdrošināšanas pabal</w:t>
      </w:r>
      <w:r w:rsidRPr="00322AE6">
        <w:rPr>
          <w:rFonts w:eastAsia="Times New Roman"/>
          <w:szCs w:val="20"/>
        </w:rPr>
        <w:softHyphen/>
        <w:t xml:space="preserve">stiem naudā – 33,5 milj. latu, valsts un pašvaldības nodarbinātības pabalstiem – 11,2 milj. latu. </w:t>
      </w:r>
    </w:p>
    <w:p w:rsidR="00322AE6" w:rsidRPr="00322AE6" w:rsidRDefault="00FF02EC" w:rsidP="00FF02EC">
      <w:pPr>
        <w:ind w:firstLine="0"/>
        <w:jc w:val="right"/>
        <w:rPr>
          <w:rFonts w:eastAsia="Times New Roman"/>
          <w:b/>
          <w:i/>
          <w:szCs w:val="20"/>
        </w:rPr>
      </w:pPr>
      <w:r>
        <w:rPr>
          <w:rFonts w:eastAsia="Times New Roman"/>
          <w:b/>
          <w:i/>
          <w:szCs w:val="20"/>
        </w:rPr>
        <w:t>9</w:t>
      </w:r>
      <w:r w:rsidR="00322AE6" w:rsidRPr="00322AE6">
        <w:rPr>
          <w:rFonts w:eastAsia="Times New Roman"/>
          <w:b/>
          <w:i/>
          <w:szCs w:val="20"/>
        </w:rPr>
        <w:t xml:space="preserve">. tabula. Valsts speciālā budžeta izdevumi pēc ekonomiskās </w:t>
      </w:r>
      <w:proofErr w:type="spellStart"/>
      <w:r w:rsidR="00322AE6" w:rsidRPr="00322AE6">
        <w:rPr>
          <w:rFonts w:eastAsia="Times New Roman"/>
          <w:b/>
          <w:i/>
          <w:szCs w:val="20"/>
        </w:rPr>
        <w:t>klasifikācijas, tūkst</w:t>
      </w:r>
      <w:proofErr w:type="spellEnd"/>
      <w:r w:rsidR="00322AE6" w:rsidRPr="00322AE6">
        <w:rPr>
          <w:rFonts w:eastAsia="Times New Roman"/>
          <w:b/>
          <w:i/>
          <w:szCs w:val="20"/>
        </w:rPr>
        <w:t>. latu</w:t>
      </w:r>
    </w:p>
    <w:p w:rsidR="00322AE6" w:rsidRPr="00CB01DD" w:rsidRDefault="00322AE6" w:rsidP="00CB01DD">
      <w:pPr>
        <w:ind w:firstLine="0"/>
        <w:rPr>
          <w:rFonts w:eastAsia="Times New Roman"/>
          <w:sz w:val="20"/>
          <w:szCs w:val="20"/>
        </w:rPr>
      </w:pPr>
      <w:r w:rsidRPr="00CB01DD">
        <w:rPr>
          <w:rFonts w:eastAsia="Times New Roman"/>
          <w:sz w:val="20"/>
          <w:szCs w:val="20"/>
        </w:rPr>
        <w:t>(Labklājības ministrijas valsts sociālās apdrošināšanas speciālais budžets)</w:t>
      </w:r>
    </w:p>
    <w:tbl>
      <w:tblPr>
        <w:tblW w:w="10127"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43"/>
        <w:gridCol w:w="993"/>
        <w:gridCol w:w="972"/>
        <w:gridCol w:w="992"/>
        <w:gridCol w:w="992"/>
        <w:gridCol w:w="993"/>
        <w:gridCol w:w="950"/>
        <w:gridCol w:w="992"/>
      </w:tblGrid>
      <w:tr w:rsidR="00322AE6" w:rsidRPr="00AA1204" w:rsidTr="00A761F0">
        <w:trPr>
          <w:cantSplit/>
          <w:tblHeader/>
          <w:jc w:val="center"/>
        </w:trPr>
        <w:tc>
          <w:tcPr>
            <w:tcW w:w="3243" w:type="dxa"/>
            <w:tcBorders>
              <w:top w:val="single" w:sz="4" w:space="0" w:color="auto"/>
              <w:left w:val="single" w:sz="4" w:space="0" w:color="auto"/>
            </w:tcBorders>
          </w:tcPr>
          <w:p w:rsidR="00322AE6" w:rsidRPr="00514A1F" w:rsidRDefault="00322AE6" w:rsidP="00073A67">
            <w:pPr>
              <w:spacing w:after="0"/>
              <w:ind w:firstLine="0"/>
              <w:rPr>
                <w:rFonts w:eastAsia="Times New Roman"/>
                <w:snapToGrid w:val="0"/>
                <w:sz w:val="20"/>
                <w:szCs w:val="20"/>
              </w:rPr>
            </w:pPr>
            <w:r w:rsidRPr="00514A1F">
              <w:rPr>
                <w:rFonts w:eastAsia="Times New Roman"/>
                <w:snapToGrid w:val="0"/>
                <w:sz w:val="20"/>
                <w:szCs w:val="20"/>
              </w:rPr>
              <w:t>Rādītāji</w:t>
            </w:r>
          </w:p>
          <w:p w:rsidR="00322AE6" w:rsidRPr="00514A1F" w:rsidRDefault="00322AE6" w:rsidP="00073A67">
            <w:pPr>
              <w:spacing w:after="0"/>
              <w:ind w:firstLine="0"/>
              <w:rPr>
                <w:rFonts w:eastAsia="Times New Roman"/>
                <w:szCs w:val="20"/>
              </w:rPr>
            </w:pPr>
          </w:p>
          <w:p w:rsidR="00322AE6" w:rsidRPr="00514A1F" w:rsidRDefault="00322AE6" w:rsidP="00073A67">
            <w:pPr>
              <w:spacing w:after="0"/>
              <w:ind w:firstLine="0"/>
              <w:rPr>
                <w:rFonts w:eastAsia="Times New Roman"/>
                <w:szCs w:val="20"/>
              </w:rPr>
            </w:pPr>
          </w:p>
        </w:tc>
        <w:tc>
          <w:tcPr>
            <w:tcW w:w="993" w:type="dxa"/>
            <w:tcBorders>
              <w:top w:val="single" w:sz="4" w:space="0" w:color="auto"/>
            </w:tcBorders>
          </w:tcPr>
          <w:p w:rsidR="00322AE6" w:rsidRPr="00514A1F" w:rsidRDefault="00322AE6" w:rsidP="00073A67">
            <w:pPr>
              <w:spacing w:after="0"/>
              <w:ind w:firstLine="0"/>
              <w:jc w:val="center"/>
              <w:rPr>
                <w:rFonts w:eastAsia="Times New Roman"/>
                <w:snapToGrid w:val="0"/>
                <w:sz w:val="20"/>
                <w:szCs w:val="20"/>
              </w:rPr>
            </w:pPr>
            <w:r w:rsidRPr="00514A1F">
              <w:rPr>
                <w:rFonts w:eastAsia="Times New Roman"/>
                <w:snapToGrid w:val="0"/>
                <w:sz w:val="20"/>
                <w:szCs w:val="20"/>
              </w:rPr>
              <w:t>2011.g.</w:t>
            </w:r>
          </w:p>
          <w:p w:rsidR="00322AE6" w:rsidRPr="00514A1F" w:rsidRDefault="00322AE6" w:rsidP="00073A67">
            <w:pPr>
              <w:spacing w:after="0"/>
              <w:ind w:firstLine="0"/>
              <w:jc w:val="center"/>
              <w:rPr>
                <w:rFonts w:eastAsia="Times New Roman"/>
                <w:snapToGrid w:val="0"/>
                <w:sz w:val="20"/>
                <w:szCs w:val="20"/>
              </w:rPr>
            </w:pPr>
            <w:r w:rsidRPr="00514A1F">
              <w:rPr>
                <w:rFonts w:eastAsia="Times New Roman"/>
                <w:snapToGrid w:val="0"/>
                <w:sz w:val="20"/>
                <w:szCs w:val="20"/>
              </w:rPr>
              <w:t>3 mēnešu izpilde</w:t>
            </w:r>
          </w:p>
        </w:tc>
        <w:tc>
          <w:tcPr>
            <w:tcW w:w="972" w:type="dxa"/>
            <w:tcBorders>
              <w:top w:val="single" w:sz="4" w:space="0" w:color="auto"/>
            </w:tcBorders>
          </w:tcPr>
          <w:p w:rsidR="00322AE6" w:rsidRPr="00514A1F" w:rsidRDefault="00322AE6" w:rsidP="00073A67">
            <w:pPr>
              <w:spacing w:after="0"/>
              <w:ind w:firstLine="0"/>
              <w:jc w:val="center"/>
              <w:rPr>
                <w:rFonts w:eastAsia="Times New Roman"/>
                <w:snapToGrid w:val="0"/>
                <w:sz w:val="20"/>
                <w:szCs w:val="20"/>
              </w:rPr>
            </w:pPr>
            <w:r w:rsidRPr="00514A1F">
              <w:rPr>
                <w:rFonts w:eastAsia="Times New Roman"/>
                <w:snapToGrid w:val="0"/>
                <w:sz w:val="20"/>
                <w:szCs w:val="20"/>
              </w:rPr>
              <w:t>2012.g.</w:t>
            </w:r>
          </w:p>
          <w:p w:rsidR="00322AE6" w:rsidRPr="00514A1F" w:rsidRDefault="00322AE6" w:rsidP="00073A67">
            <w:pPr>
              <w:spacing w:after="0"/>
              <w:ind w:firstLine="0"/>
              <w:jc w:val="center"/>
              <w:rPr>
                <w:rFonts w:eastAsia="Times New Roman"/>
                <w:snapToGrid w:val="0"/>
                <w:sz w:val="20"/>
                <w:szCs w:val="20"/>
              </w:rPr>
            </w:pPr>
            <w:r w:rsidRPr="00514A1F">
              <w:rPr>
                <w:rFonts w:eastAsia="Times New Roman"/>
                <w:snapToGrid w:val="0"/>
                <w:sz w:val="20"/>
                <w:szCs w:val="20"/>
              </w:rPr>
              <w:t>3 mēnešu</w:t>
            </w:r>
          </w:p>
          <w:p w:rsidR="00322AE6" w:rsidRPr="00514A1F" w:rsidRDefault="00322AE6" w:rsidP="00073A67">
            <w:pPr>
              <w:spacing w:after="0"/>
              <w:ind w:firstLine="0"/>
              <w:jc w:val="center"/>
              <w:rPr>
                <w:rFonts w:eastAsia="Times New Roman"/>
                <w:snapToGrid w:val="0"/>
                <w:sz w:val="20"/>
                <w:szCs w:val="20"/>
              </w:rPr>
            </w:pPr>
            <w:r w:rsidRPr="00514A1F">
              <w:rPr>
                <w:rFonts w:eastAsia="Times New Roman"/>
                <w:snapToGrid w:val="0"/>
                <w:sz w:val="20"/>
                <w:szCs w:val="20"/>
              </w:rPr>
              <w:t>plāns</w:t>
            </w:r>
          </w:p>
        </w:tc>
        <w:tc>
          <w:tcPr>
            <w:tcW w:w="992" w:type="dxa"/>
            <w:tcBorders>
              <w:top w:val="single" w:sz="4" w:space="0" w:color="auto"/>
            </w:tcBorders>
          </w:tcPr>
          <w:p w:rsidR="00322AE6" w:rsidRPr="00514A1F" w:rsidRDefault="00322AE6" w:rsidP="00073A67">
            <w:pPr>
              <w:spacing w:after="0"/>
              <w:ind w:firstLine="0"/>
              <w:jc w:val="center"/>
              <w:rPr>
                <w:rFonts w:eastAsia="Times New Roman"/>
                <w:snapToGrid w:val="0"/>
                <w:sz w:val="20"/>
                <w:szCs w:val="20"/>
              </w:rPr>
            </w:pPr>
            <w:r w:rsidRPr="00514A1F">
              <w:rPr>
                <w:rFonts w:eastAsia="Times New Roman"/>
                <w:snapToGrid w:val="0"/>
                <w:sz w:val="20"/>
                <w:szCs w:val="20"/>
              </w:rPr>
              <w:t>2012.g.</w:t>
            </w:r>
          </w:p>
          <w:p w:rsidR="00322AE6" w:rsidRPr="00514A1F" w:rsidRDefault="00322AE6" w:rsidP="00073A67">
            <w:pPr>
              <w:spacing w:after="0"/>
              <w:ind w:firstLine="0"/>
              <w:jc w:val="center"/>
              <w:rPr>
                <w:rFonts w:eastAsia="Times New Roman"/>
                <w:snapToGrid w:val="0"/>
                <w:sz w:val="20"/>
                <w:szCs w:val="20"/>
              </w:rPr>
            </w:pPr>
            <w:r w:rsidRPr="00514A1F">
              <w:rPr>
                <w:rFonts w:eastAsia="Times New Roman"/>
                <w:snapToGrid w:val="0"/>
                <w:sz w:val="20"/>
                <w:szCs w:val="20"/>
              </w:rPr>
              <w:t>3 mēnešu izpilde</w:t>
            </w:r>
          </w:p>
        </w:tc>
        <w:tc>
          <w:tcPr>
            <w:tcW w:w="992" w:type="dxa"/>
            <w:tcBorders>
              <w:top w:val="single" w:sz="4" w:space="0" w:color="auto"/>
            </w:tcBorders>
          </w:tcPr>
          <w:p w:rsidR="00322AE6" w:rsidRPr="00514A1F" w:rsidRDefault="00322AE6" w:rsidP="00073A67">
            <w:pPr>
              <w:spacing w:after="0"/>
              <w:ind w:firstLine="0"/>
              <w:jc w:val="center"/>
              <w:rPr>
                <w:rFonts w:eastAsia="Times New Roman"/>
                <w:snapToGrid w:val="0"/>
                <w:sz w:val="20"/>
                <w:szCs w:val="20"/>
              </w:rPr>
            </w:pPr>
            <w:r w:rsidRPr="00514A1F">
              <w:rPr>
                <w:rFonts w:eastAsia="Times New Roman"/>
                <w:snapToGrid w:val="0"/>
                <w:sz w:val="20"/>
                <w:szCs w:val="20"/>
              </w:rPr>
              <w:t>Likumā apstipri</w:t>
            </w:r>
            <w:r w:rsidRPr="00514A1F">
              <w:rPr>
                <w:rFonts w:eastAsia="Times New Roman"/>
                <w:snapToGrid w:val="0"/>
                <w:sz w:val="20"/>
                <w:szCs w:val="20"/>
              </w:rPr>
              <w:softHyphen/>
              <w:t>nā</w:t>
            </w:r>
            <w:r w:rsidRPr="00514A1F">
              <w:rPr>
                <w:rFonts w:eastAsia="Times New Roman"/>
                <w:snapToGrid w:val="0"/>
                <w:sz w:val="20"/>
                <w:szCs w:val="20"/>
              </w:rPr>
              <w:softHyphen/>
              <w:t>tais 2012.g. plāns *</w:t>
            </w:r>
          </w:p>
        </w:tc>
        <w:tc>
          <w:tcPr>
            <w:tcW w:w="993" w:type="dxa"/>
            <w:tcBorders>
              <w:top w:val="single" w:sz="4" w:space="0" w:color="auto"/>
            </w:tcBorders>
          </w:tcPr>
          <w:p w:rsidR="00322AE6" w:rsidRPr="00514A1F" w:rsidRDefault="00322AE6" w:rsidP="00073A67">
            <w:pPr>
              <w:spacing w:after="0"/>
              <w:ind w:firstLine="0"/>
              <w:jc w:val="center"/>
              <w:rPr>
                <w:rFonts w:eastAsia="Times New Roman"/>
                <w:snapToGrid w:val="0"/>
                <w:sz w:val="20"/>
                <w:szCs w:val="20"/>
              </w:rPr>
            </w:pPr>
            <w:r w:rsidRPr="00514A1F">
              <w:rPr>
                <w:rFonts w:eastAsia="Times New Roman"/>
                <w:snapToGrid w:val="0"/>
                <w:sz w:val="20"/>
                <w:szCs w:val="20"/>
              </w:rPr>
              <w:t>2012.g.</w:t>
            </w:r>
          </w:p>
          <w:p w:rsidR="00322AE6" w:rsidRPr="00514A1F" w:rsidRDefault="00322AE6" w:rsidP="00073A67">
            <w:pPr>
              <w:spacing w:after="0"/>
              <w:ind w:firstLine="0"/>
              <w:jc w:val="center"/>
              <w:rPr>
                <w:rFonts w:eastAsia="Times New Roman"/>
                <w:snapToGrid w:val="0"/>
                <w:sz w:val="20"/>
                <w:szCs w:val="20"/>
              </w:rPr>
            </w:pPr>
            <w:r w:rsidRPr="00514A1F">
              <w:rPr>
                <w:rFonts w:eastAsia="Times New Roman"/>
                <w:snapToGrid w:val="0"/>
                <w:sz w:val="20"/>
                <w:szCs w:val="20"/>
              </w:rPr>
              <w:t>3 mēnešu. izpilde</w:t>
            </w:r>
          </w:p>
          <w:p w:rsidR="00322AE6" w:rsidRPr="00514A1F" w:rsidRDefault="00322AE6" w:rsidP="00073A67">
            <w:pPr>
              <w:spacing w:after="0"/>
              <w:ind w:firstLine="0"/>
              <w:jc w:val="center"/>
              <w:rPr>
                <w:rFonts w:eastAsia="Times New Roman"/>
                <w:snapToGrid w:val="0"/>
                <w:sz w:val="20"/>
                <w:szCs w:val="20"/>
              </w:rPr>
            </w:pPr>
            <w:r w:rsidRPr="00514A1F">
              <w:rPr>
                <w:rFonts w:eastAsia="Times New Roman"/>
                <w:snapToGrid w:val="0"/>
                <w:sz w:val="20"/>
                <w:szCs w:val="20"/>
              </w:rPr>
              <w:t>salīdzinot ar 2011.g.  3 mēnešu</w:t>
            </w:r>
          </w:p>
          <w:p w:rsidR="00322AE6" w:rsidRPr="00514A1F" w:rsidRDefault="00322AE6" w:rsidP="00073A67">
            <w:pPr>
              <w:spacing w:after="0"/>
              <w:ind w:firstLine="0"/>
              <w:jc w:val="center"/>
              <w:rPr>
                <w:rFonts w:eastAsia="Times New Roman"/>
                <w:snapToGrid w:val="0"/>
                <w:sz w:val="20"/>
                <w:szCs w:val="20"/>
              </w:rPr>
            </w:pPr>
            <w:r w:rsidRPr="00514A1F">
              <w:rPr>
                <w:rFonts w:eastAsia="Times New Roman"/>
                <w:snapToGrid w:val="0"/>
                <w:sz w:val="20"/>
                <w:szCs w:val="20"/>
              </w:rPr>
              <w:t>izpildi %</w:t>
            </w:r>
          </w:p>
        </w:tc>
        <w:tc>
          <w:tcPr>
            <w:tcW w:w="950" w:type="dxa"/>
            <w:tcBorders>
              <w:top w:val="single" w:sz="4" w:space="0" w:color="auto"/>
            </w:tcBorders>
          </w:tcPr>
          <w:p w:rsidR="00322AE6" w:rsidRPr="00514A1F" w:rsidRDefault="00322AE6" w:rsidP="00073A67">
            <w:pPr>
              <w:spacing w:after="0"/>
              <w:ind w:firstLine="0"/>
              <w:jc w:val="center"/>
              <w:rPr>
                <w:rFonts w:eastAsia="Times New Roman"/>
                <w:snapToGrid w:val="0"/>
                <w:sz w:val="20"/>
                <w:szCs w:val="20"/>
              </w:rPr>
            </w:pPr>
            <w:r w:rsidRPr="00514A1F">
              <w:rPr>
                <w:rFonts w:eastAsia="Times New Roman"/>
                <w:snapToGrid w:val="0"/>
                <w:sz w:val="20"/>
                <w:szCs w:val="20"/>
              </w:rPr>
              <w:t>2012.g.</w:t>
            </w:r>
          </w:p>
          <w:p w:rsidR="00322AE6" w:rsidRPr="00514A1F" w:rsidRDefault="00322AE6" w:rsidP="00073A67">
            <w:pPr>
              <w:spacing w:after="0"/>
              <w:ind w:firstLine="0"/>
              <w:jc w:val="center"/>
              <w:rPr>
                <w:rFonts w:eastAsia="Times New Roman"/>
                <w:snapToGrid w:val="0"/>
                <w:sz w:val="20"/>
                <w:szCs w:val="20"/>
              </w:rPr>
            </w:pPr>
            <w:r w:rsidRPr="00514A1F">
              <w:rPr>
                <w:rFonts w:eastAsia="Times New Roman"/>
                <w:snapToGrid w:val="0"/>
                <w:sz w:val="20"/>
                <w:szCs w:val="20"/>
              </w:rPr>
              <w:t>3 mēnešu izpilde</w:t>
            </w:r>
          </w:p>
          <w:p w:rsidR="00322AE6" w:rsidRPr="00514A1F" w:rsidRDefault="00322AE6" w:rsidP="00073A67">
            <w:pPr>
              <w:spacing w:after="0"/>
              <w:ind w:firstLine="0"/>
              <w:jc w:val="center"/>
              <w:rPr>
                <w:rFonts w:eastAsia="Times New Roman"/>
                <w:snapToGrid w:val="0"/>
                <w:sz w:val="20"/>
                <w:szCs w:val="20"/>
              </w:rPr>
            </w:pPr>
            <w:r w:rsidRPr="00514A1F">
              <w:rPr>
                <w:rFonts w:eastAsia="Times New Roman"/>
                <w:snapToGrid w:val="0"/>
                <w:sz w:val="20"/>
                <w:szCs w:val="20"/>
              </w:rPr>
              <w:t xml:space="preserve">no </w:t>
            </w:r>
          </w:p>
          <w:p w:rsidR="00322AE6" w:rsidRPr="00514A1F" w:rsidRDefault="00322AE6" w:rsidP="00073A67">
            <w:pPr>
              <w:spacing w:after="0"/>
              <w:ind w:firstLine="0"/>
              <w:jc w:val="center"/>
              <w:rPr>
                <w:rFonts w:eastAsia="Times New Roman"/>
                <w:snapToGrid w:val="0"/>
                <w:sz w:val="20"/>
                <w:szCs w:val="20"/>
              </w:rPr>
            </w:pPr>
            <w:r w:rsidRPr="00514A1F">
              <w:rPr>
                <w:rFonts w:eastAsia="Times New Roman"/>
                <w:snapToGrid w:val="0"/>
                <w:sz w:val="20"/>
                <w:szCs w:val="20"/>
              </w:rPr>
              <w:t>3 mēnešu plāna %</w:t>
            </w:r>
          </w:p>
        </w:tc>
        <w:tc>
          <w:tcPr>
            <w:tcW w:w="992" w:type="dxa"/>
            <w:tcBorders>
              <w:top w:val="single" w:sz="4" w:space="0" w:color="auto"/>
              <w:right w:val="single" w:sz="4" w:space="0" w:color="auto"/>
            </w:tcBorders>
          </w:tcPr>
          <w:p w:rsidR="00322AE6" w:rsidRPr="00514A1F" w:rsidRDefault="00322AE6" w:rsidP="00073A67">
            <w:pPr>
              <w:spacing w:after="0"/>
              <w:ind w:firstLine="0"/>
              <w:jc w:val="center"/>
              <w:rPr>
                <w:rFonts w:eastAsia="Times New Roman"/>
                <w:snapToGrid w:val="0"/>
                <w:sz w:val="20"/>
                <w:szCs w:val="20"/>
              </w:rPr>
            </w:pPr>
            <w:r w:rsidRPr="00514A1F">
              <w:rPr>
                <w:rFonts w:eastAsia="Times New Roman"/>
                <w:snapToGrid w:val="0"/>
                <w:sz w:val="20"/>
                <w:szCs w:val="20"/>
              </w:rPr>
              <w:t>2012.g.</w:t>
            </w:r>
          </w:p>
          <w:p w:rsidR="00322AE6" w:rsidRPr="00514A1F" w:rsidRDefault="00322AE6" w:rsidP="00073A67">
            <w:pPr>
              <w:spacing w:after="0"/>
              <w:ind w:firstLine="0"/>
              <w:jc w:val="center"/>
              <w:rPr>
                <w:rFonts w:eastAsia="Times New Roman"/>
                <w:snapToGrid w:val="0"/>
                <w:sz w:val="20"/>
                <w:szCs w:val="20"/>
              </w:rPr>
            </w:pPr>
            <w:r w:rsidRPr="00514A1F">
              <w:rPr>
                <w:rFonts w:eastAsia="Times New Roman"/>
                <w:snapToGrid w:val="0"/>
                <w:sz w:val="20"/>
                <w:szCs w:val="20"/>
              </w:rPr>
              <w:t xml:space="preserve"> 3 mēnešu</w:t>
            </w:r>
          </w:p>
          <w:p w:rsidR="00322AE6" w:rsidRPr="00514A1F" w:rsidRDefault="00322AE6" w:rsidP="00073A67">
            <w:pPr>
              <w:spacing w:after="0"/>
              <w:ind w:firstLine="0"/>
              <w:jc w:val="center"/>
              <w:rPr>
                <w:rFonts w:eastAsia="Times New Roman"/>
                <w:snapToGrid w:val="0"/>
                <w:sz w:val="20"/>
                <w:szCs w:val="20"/>
              </w:rPr>
            </w:pPr>
            <w:r w:rsidRPr="00514A1F">
              <w:rPr>
                <w:rFonts w:eastAsia="Times New Roman"/>
                <w:snapToGrid w:val="0"/>
                <w:sz w:val="20"/>
                <w:szCs w:val="20"/>
              </w:rPr>
              <w:t>izpilde</w:t>
            </w:r>
          </w:p>
          <w:p w:rsidR="00322AE6" w:rsidRPr="00514A1F" w:rsidRDefault="00322AE6" w:rsidP="00073A67">
            <w:pPr>
              <w:spacing w:after="0"/>
              <w:ind w:firstLine="0"/>
              <w:jc w:val="center"/>
              <w:rPr>
                <w:rFonts w:eastAsia="Times New Roman"/>
                <w:snapToGrid w:val="0"/>
                <w:sz w:val="20"/>
                <w:szCs w:val="20"/>
              </w:rPr>
            </w:pPr>
            <w:r w:rsidRPr="00514A1F">
              <w:rPr>
                <w:rFonts w:eastAsia="Times New Roman"/>
                <w:snapToGrid w:val="0"/>
                <w:sz w:val="20"/>
                <w:szCs w:val="20"/>
              </w:rPr>
              <w:t>no gada*</w:t>
            </w:r>
          </w:p>
          <w:p w:rsidR="00322AE6" w:rsidRPr="00514A1F" w:rsidRDefault="00322AE6" w:rsidP="00073A67">
            <w:pPr>
              <w:spacing w:after="0"/>
              <w:ind w:firstLine="0"/>
              <w:jc w:val="center"/>
              <w:rPr>
                <w:rFonts w:eastAsia="Times New Roman"/>
                <w:snapToGrid w:val="0"/>
                <w:sz w:val="20"/>
                <w:szCs w:val="20"/>
              </w:rPr>
            </w:pPr>
            <w:r w:rsidRPr="00514A1F">
              <w:rPr>
                <w:rFonts w:eastAsia="Times New Roman"/>
                <w:snapToGrid w:val="0"/>
                <w:sz w:val="20"/>
                <w:szCs w:val="20"/>
              </w:rPr>
              <w:t>plāna %</w:t>
            </w:r>
          </w:p>
        </w:tc>
      </w:tr>
      <w:tr w:rsidR="00322AE6" w:rsidRPr="00AA1204" w:rsidTr="00A761F0">
        <w:trPr>
          <w:cantSplit/>
          <w:jc w:val="center"/>
        </w:trPr>
        <w:tc>
          <w:tcPr>
            <w:tcW w:w="3243" w:type="dxa"/>
            <w:tcBorders>
              <w:left w:val="single" w:sz="4" w:space="0" w:color="auto"/>
            </w:tcBorders>
          </w:tcPr>
          <w:p w:rsidR="00322AE6" w:rsidRPr="00C034BF" w:rsidRDefault="00322AE6" w:rsidP="00073A67">
            <w:pPr>
              <w:spacing w:after="0"/>
              <w:ind w:firstLine="0"/>
              <w:rPr>
                <w:rFonts w:eastAsia="Times New Roman"/>
                <w:snapToGrid w:val="0"/>
                <w:sz w:val="20"/>
                <w:szCs w:val="20"/>
              </w:rPr>
            </w:pPr>
            <w:r w:rsidRPr="00C034BF">
              <w:rPr>
                <w:rFonts w:eastAsia="Times New Roman"/>
                <w:b/>
                <w:snapToGrid w:val="0"/>
                <w:sz w:val="20"/>
                <w:szCs w:val="20"/>
              </w:rPr>
              <w:t>1. Izdevumi — kopā (1.1.+1.2.)</w:t>
            </w:r>
          </w:p>
        </w:tc>
        <w:tc>
          <w:tcPr>
            <w:tcW w:w="993" w:type="dxa"/>
          </w:tcPr>
          <w:p w:rsidR="00322AE6" w:rsidRPr="00346E71" w:rsidRDefault="00322AE6" w:rsidP="00073A67">
            <w:pPr>
              <w:tabs>
                <w:tab w:val="decimal" w:pos="794"/>
              </w:tabs>
              <w:spacing w:after="0"/>
              <w:ind w:firstLine="0"/>
              <w:rPr>
                <w:rFonts w:eastAsia="Arial Unicode MS"/>
                <w:sz w:val="20"/>
                <w:szCs w:val="20"/>
              </w:rPr>
            </w:pPr>
            <w:r w:rsidRPr="00346E71">
              <w:rPr>
                <w:rFonts w:eastAsia="Times New Roman"/>
                <w:b/>
                <w:sz w:val="20"/>
                <w:szCs w:val="20"/>
              </w:rPr>
              <w:t>346 487</w:t>
            </w:r>
          </w:p>
        </w:tc>
        <w:tc>
          <w:tcPr>
            <w:tcW w:w="972" w:type="dxa"/>
          </w:tcPr>
          <w:p w:rsidR="00322AE6" w:rsidRPr="008212BD" w:rsidRDefault="00322AE6" w:rsidP="00073A67">
            <w:pPr>
              <w:tabs>
                <w:tab w:val="decimal" w:pos="794"/>
              </w:tabs>
              <w:spacing w:after="0"/>
              <w:ind w:firstLine="0"/>
              <w:rPr>
                <w:rFonts w:eastAsia="Times New Roman"/>
                <w:b/>
                <w:sz w:val="20"/>
                <w:szCs w:val="20"/>
              </w:rPr>
            </w:pPr>
            <w:r w:rsidRPr="008212BD">
              <w:rPr>
                <w:rFonts w:eastAsia="Times New Roman"/>
                <w:b/>
                <w:sz w:val="20"/>
                <w:szCs w:val="20"/>
              </w:rPr>
              <w:t>371 168</w:t>
            </w:r>
          </w:p>
        </w:tc>
        <w:tc>
          <w:tcPr>
            <w:tcW w:w="992" w:type="dxa"/>
          </w:tcPr>
          <w:p w:rsidR="00322AE6" w:rsidRPr="008212BD" w:rsidRDefault="00322AE6" w:rsidP="00073A67">
            <w:pPr>
              <w:tabs>
                <w:tab w:val="decimal" w:pos="794"/>
              </w:tabs>
              <w:spacing w:after="0"/>
              <w:ind w:firstLine="0"/>
              <w:rPr>
                <w:rFonts w:eastAsia="Arial Unicode MS"/>
                <w:sz w:val="20"/>
                <w:szCs w:val="20"/>
              </w:rPr>
            </w:pPr>
            <w:r w:rsidRPr="008212BD">
              <w:rPr>
                <w:rFonts w:eastAsia="Times New Roman"/>
                <w:b/>
                <w:sz w:val="20"/>
                <w:szCs w:val="20"/>
              </w:rPr>
              <w:t>369 519</w:t>
            </w:r>
          </w:p>
        </w:tc>
        <w:tc>
          <w:tcPr>
            <w:tcW w:w="992" w:type="dxa"/>
          </w:tcPr>
          <w:p w:rsidR="00322AE6" w:rsidRPr="00326A4A" w:rsidRDefault="00322AE6" w:rsidP="00073A67">
            <w:pPr>
              <w:tabs>
                <w:tab w:val="decimal" w:pos="794"/>
              </w:tabs>
              <w:spacing w:after="0"/>
              <w:ind w:firstLine="0"/>
              <w:rPr>
                <w:rFonts w:eastAsia="Arial Unicode MS"/>
                <w:sz w:val="20"/>
                <w:szCs w:val="20"/>
              </w:rPr>
            </w:pPr>
            <w:bookmarkStart w:id="90" w:name="OLE_LINK4"/>
            <w:r w:rsidRPr="00326A4A">
              <w:rPr>
                <w:rFonts w:eastAsia="Times New Roman"/>
                <w:b/>
                <w:sz w:val="20"/>
                <w:szCs w:val="20"/>
              </w:rPr>
              <w:t xml:space="preserve">1 402 </w:t>
            </w:r>
            <w:bookmarkEnd w:id="90"/>
            <w:r w:rsidRPr="00326A4A">
              <w:rPr>
                <w:rFonts w:eastAsia="Times New Roman"/>
                <w:b/>
                <w:sz w:val="20"/>
                <w:szCs w:val="20"/>
              </w:rPr>
              <w:t>794</w:t>
            </w:r>
          </w:p>
        </w:tc>
        <w:tc>
          <w:tcPr>
            <w:tcW w:w="993" w:type="dxa"/>
          </w:tcPr>
          <w:p w:rsidR="00322AE6" w:rsidRPr="00371B1F" w:rsidRDefault="00322AE6" w:rsidP="00073A67">
            <w:pPr>
              <w:tabs>
                <w:tab w:val="decimal" w:pos="794"/>
              </w:tabs>
              <w:spacing w:after="0"/>
              <w:ind w:firstLine="0"/>
              <w:rPr>
                <w:rFonts w:eastAsia="Times New Roman"/>
                <w:b/>
                <w:sz w:val="20"/>
                <w:szCs w:val="20"/>
              </w:rPr>
            </w:pPr>
            <w:r w:rsidRPr="00371B1F">
              <w:rPr>
                <w:rFonts w:eastAsia="Times New Roman"/>
                <w:b/>
                <w:sz w:val="20"/>
                <w:szCs w:val="20"/>
              </w:rPr>
              <w:t>106,6</w:t>
            </w:r>
          </w:p>
        </w:tc>
        <w:tc>
          <w:tcPr>
            <w:tcW w:w="950" w:type="dxa"/>
          </w:tcPr>
          <w:p w:rsidR="00322AE6" w:rsidRPr="009815B2" w:rsidRDefault="00322AE6" w:rsidP="00073A67">
            <w:pPr>
              <w:tabs>
                <w:tab w:val="decimal" w:pos="411"/>
              </w:tabs>
              <w:spacing w:after="0"/>
              <w:ind w:firstLine="0"/>
              <w:rPr>
                <w:rFonts w:eastAsia="Times New Roman"/>
                <w:b/>
                <w:sz w:val="20"/>
                <w:szCs w:val="20"/>
              </w:rPr>
            </w:pPr>
            <w:r w:rsidRPr="009815B2">
              <w:rPr>
                <w:rFonts w:eastAsia="Times New Roman"/>
                <w:b/>
                <w:sz w:val="20"/>
                <w:szCs w:val="20"/>
              </w:rPr>
              <w:t>99,6</w:t>
            </w:r>
          </w:p>
        </w:tc>
        <w:tc>
          <w:tcPr>
            <w:tcW w:w="992" w:type="dxa"/>
            <w:tcBorders>
              <w:right w:val="single" w:sz="4" w:space="0" w:color="auto"/>
            </w:tcBorders>
          </w:tcPr>
          <w:p w:rsidR="00322AE6" w:rsidRPr="00F11139" w:rsidRDefault="00322AE6" w:rsidP="00073A67">
            <w:pPr>
              <w:tabs>
                <w:tab w:val="decimal" w:pos="401"/>
              </w:tabs>
              <w:spacing w:after="0"/>
              <w:ind w:firstLine="0"/>
              <w:rPr>
                <w:rFonts w:eastAsia="Arial Unicode MS"/>
                <w:sz w:val="20"/>
                <w:szCs w:val="20"/>
              </w:rPr>
            </w:pPr>
            <w:r w:rsidRPr="00F11139">
              <w:rPr>
                <w:rFonts w:eastAsia="Times New Roman"/>
                <w:b/>
                <w:sz w:val="20"/>
                <w:szCs w:val="20"/>
              </w:rPr>
              <w:t>26,3</w:t>
            </w:r>
          </w:p>
        </w:tc>
      </w:tr>
      <w:tr w:rsidR="00322AE6" w:rsidRPr="00AA1204" w:rsidTr="00A761F0">
        <w:trPr>
          <w:cantSplit/>
          <w:jc w:val="center"/>
        </w:trPr>
        <w:tc>
          <w:tcPr>
            <w:tcW w:w="3243" w:type="dxa"/>
            <w:tcBorders>
              <w:left w:val="single" w:sz="4" w:space="0" w:color="auto"/>
              <w:bottom w:val="nil"/>
            </w:tcBorders>
          </w:tcPr>
          <w:p w:rsidR="00322AE6" w:rsidRPr="00C034BF" w:rsidRDefault="00322AE6" w:rsidP="00073A67">
            <w:pPr>
              <w:spacing w:after="0"/>
              <w:ind w:firstLine="0"/>
              <w:rPr>
                <w:rFonts w:eastAsia="Times New Roman"/>
                <w:snapToGrid w:val="0"/>
                <w:sz w:val="20"/>
                <w:szCs w:val="20"/>
              </w:rPr>
            </w:pPr>
            <w:r w:rsidRPr="00C034BF">
              <w:rPr>
                <w:rFonts w:eastAsia="Times New Roman"/>
                <w:b/>
                <w:snapToGrid w:val="0"/>
                <w:sz w:val="20"/>
                <w:szCs w:val="20"/>
              </w:rPr>
              <w:t>1.1. Uzturēšanas izdevumi</w:t>
            </w:r>
          </w:p>
        </w:tc>
        <w:tc>
          <w:tcPr>
            <w:tcW w:w="993" w:type="dxa"/>
            <w:tcBorders>
              <w:bottom w:val="nil"/>
            </w:tcBorders>
          </w:tcPr>
          <w:p w:rsidR="00322AE6" w:rsidRPr="00346E71" w:rsidRDefault="00322AE6" w:rsidP="00073A67">
            <w:pPr>
              <w:tabs>
                <w:tab w:val="decimal" w:pos="794"/>
              </w:tabs>
              <w:spacing w:after="0"/>
              <w:ind w:firstLine="0"/>
              <w:rPr>
                <w:rFonts w:eastAsia="Arial Unicode MS"/>
                <w:sz w:val="20"/>
                <w:szCs w:val="20"/>
              </w:rPr>
            </w:pPr>
            <w:r w:rsidRPr="00346E71">
              <w:rPr>
                <w:rFonts w:eastAsia="Times New Roman"/>
                <w:b/>
                <w:sz w:val="20"/>
                <w:szCs w:val="20"/>
              </w:rPr>
              <w:t>346 487</w:t>
            </w:r>
          </w:p>
        </w:tc>
        <w:tc>
          <w:tcPr>
            <w:tcW w:w="972" w:type="dxa"/>
            <w:tcBorders>
              <w:bottom w:val="nil"/>
            </w:tcBorders>
          </w:tcPr>
          <w:p w:rsidR="00322AE6" w:rsidRPr="008212BD" w:rsidRDefault="00322AE6" w:rsidP="00073A67">
            <w:pPr>
              <w:tabs>
                <w:tab w:val="decimal" w:pos="794"/>
              </w:tabs>
              <w:spacing w:after="0"/>
              <w:ind w:firstLine="0"/>
              <w:rPr>
                <w:rFonts w:eastAsia="Times New Roman"/>
                <w:b/>
                <w:sz w:val="20"/>
                <w:szCs w:val="20"/>
              </w:rPr>
            </w:pPr>
            <w:r w:rsidRPr="008212BD">
              <w:rPr>
                <w:rFonts w:eastAsia="Times New Roman"/>
                <w:b/>
                <w:sz w:val="20"/>
                <w:szCs w:val="20"/>
              </w:rPr>
              <w:t>371 155</w:t>
            </w:r>
          </w:p>
        </w:tc>
        <w:tc>
          <w:tcPr>
            <w:tcW w:w="992" w:type="dxa"/>
            <w:tcBorders>
              <w:bottom w:val="nil"/>
            </w:tcBorders>
          </w:tcPr>
          <w:p w:rsidR="00322AE6" w:rsidRPr="008212BD" w:rsidRDefault="00322AE6" w:rsidP="00073A67">
            <w:pPr>
              <w:tabs>
                <w:tab w:val="decimal" w:pos="794"/>
              </w:tabs>
              <w:spacing w:after="0"/>
              <w:ind w:firstLine="0"/>
              <w:rPr>
                <w:rFonts w:eastAsia="Arial Unicode MS"/>
                <w:sz w:val="20"/>
                <w:szCs w:val="20"/>
              </w:rPr>
            </w:pPr>
            <w:r w:rsidRPr="008212BD">
              <w:rPr>
                <w:rFonts w:eastAsia="Times New Roman"/>
                <w:b/>
                <w:sz w:val="20"/>
                <w:szCs w:val="20"/>
              </w:rPr>
              <w:t>369 506</w:t>
            </w:r>
          </w:p>
        </w:tc>
        <w:tc>
          <w:tcPr>
            <w:tcW w:w="992" w:type="dxa"/>
            <w:tcBorders>
              <w:bottom w:val="nil"/>
            </w:tcBorders>
          </w:tcPr>
          <w:p w:rsidR="00322AE6" w:rsidRPr="00326A4A" w:rsidRDefault="00322AE6" w:rsidP="00073A67">
            <w:pPr>
              <w:tabs>
                <w:tab w:val="decimal" w:pos="794"/>
              </w:tabs>
              <w:spacing w:after="0"/>
              <w:ind w:firstLine="0"/>
              <w:rPr>
                <w:rFonts w:eastAsia="Arial Unicode MS"/>
                <w:sz w:val="20"/>
                <w:szCs w:val="20"/>
              </w:rPr>
            </w:pPr>
            <w:r w:rsidRPr="00326A4A">
              <w:rPr>
                <w:rFonts w:eastAsia="Times New Roman"/>
                <w:b/>
                <w:sz w:val="20"/>
                <w:szCs w:val="20"/>
              </w:rPr>
              <w:t>1 402 224</w:t>
            </w:r>
          </w:p>
        </w:tc>
        <w:tc>
          <w:tcPr>
            <w:tcW w:w="993" w:type="dxa"/>
            <w:tcBorders>
              <w:bottom w:val="nil"/>
            </w:tcBorders>
          </w:tcPr>
          <w:p w:rsidR="00322AE6" w:rsidRPr="00371B1F" w:rsidRDefault="00322AE6" w:rsidP="00073A67">
            <w:pPr>
              <w:tabs>
                <w:tab w:val="decimal" w:pos="794"/>
              </w:tabs>
              <w:spacing w:after="0"/>
              <w:ind w:firstLine="0"/>
              <w:rPr>
                <w:rFonts w:eastAsia="Times New Roman"/>
                <w:b/>
                <w:sz w:val="20"/>
                <w:szCs w:val="20"/>
              </w:rPr>
            </w:pPr>
            <w:r w:rsidRPr="00371B1F">
              <w:rPr>
                <w:rFonts w:eastAsia="Times New Roman"/>
                <w:b/>
                <w:sz w:val="20"/>
                <w:szCs w:val="20"/>
              </w:rPr>
              <w:t>106,6</w:t>
            </w:r>
          </w:p>
        </w:tc>
        <w:tc>
          <w:tcPr>
            <w:tcW w:w="950" w:type="dxa"/>
            <w:tcBorders>
              <w:bottom w:val="nil"/>
            </w:tcBorders>
          </w:tcPr>
          <w:p w:rsidR="00322AE6" w:rsidRPr="009815B2" w:rsidRDefault="00322AE6" w:rsidP="00073A67">
            <w:pPr>
              <w:tabs>
                <w:tab w:val="decimal" w:pos="411"/>
              </w:tabs>
              <w:spacing w:after="0"/>
              <w:ind w:firstLine="0"/>
              <w:rPr>
                <w:rFonts w:eastAsia="Times New Roman"/>
                <w:b/>
                <w:sz w:val="20"/>
                <w:szCs w:val="20"/>
              </w:rPr>
            </w:pPr>
            <w:r w:rsidRPr="009815B2">
              <w:rPr>
                <w:rFonts w:eastAsia="Times New Roman"/>
                <w:b/>
                <w:sz w:val="20"/>
                <w:szCs w:val="20"/>
              </w:rPr>
              <w:t>99,6</w:t>
            </w:r>
          </w:p>
        </w:tc>
        <w:tc>
          <w:tcPr>
            <w:tcW w:w="992" w:type="dxa"/>
            <w:tcBorders>
              <w:bottom w:val="nil"/>
              <w:right w:val="single" w:sz="4" w:space="0" w:color="auto"/>
            </w:tcBorders>
          </w:tcPr>
          <w:p w:rsidR="00322AE6" w:rsidRPr="00F11139" w:rsidRDefault="00322AE6" w:rsidP="00073A67">
            <w:pPr>
              <w:tabs>
                <w:tab w:val="decimal" w:pos="401"/>
              </w:tabs>
              <w:spacing w:after="0"/>
              <w:ind w:firstLine="0"/>
              <w:rPr>
                <w:rFonts w:eastAsia="Arial Unicode MS"/>
                <w:sz w:val="20"/>
                <w:szCs w:val="20"/>
              </w:rPr>
            </w:pPr>
            <w:r w:rsidRPr="00F11139">
              <w:rPr>
                <w:rFonts w:eastAsia="Times New Roman"/>
                <w:b/>
                <w:sz w:val="20"/>
                <w:szCs w:val="20"/>
              </w:rPr>
              <w:t>26,4</w:t>
            </w:r>
          </w:p>
        </w:tc>
      </w:tr>
      <w:tr w:rsidR="00322AE6" w:rsidRPr="00AA1204" w:rsidTr="00A761F0">
        <w:trPr>
          <w:cantSplit/>
          <w:jc w:val="center"/>
        </w:trPr>
        <w:tc>
          <w:tcPr>
            <w:tcW w:w="3243" w:type="dxa"/>
            <w:tcBorders>
              <w:left w:val="single" w:sz="4" w:space="0" w:color="auto"/>
              <w:bottom w:val="nil"/>
            </w:tcBorders>
          </w:tcPr>
          <w:p w:rsidR="00322AE6" w:rsidRPr="00C034BF" w:rsidRDefault="00322AE6" w:rsidP="00073A67">
            <w:pPr>
              <w:spacing w:after="0"/>
              <w:ind w:firstLine="0"/>
              <w:rPr>
                <w:rFonts w:eastAsia="Times New Roman"/>
                <w:b/>
                <w:snapToGrid w:val="0"/>
                <w:sz w:val="20"/>
                <w:szCs w:val="20"/>
              </w:rPr>
            </w:pPr>
            <w:r w:rsidRPr="00C034BF">
              <w:rPr>
                <w:rFonts w:eastAsia="Times New Roman"/>
                <w:b/>
                <w:snapToGrid w:val="0"/>
                <w:sz w:val="20"/>
                <w:szCs w:val="20"/>
              </w:rPr>
              <w:t>Kārtējie izdevumi</w:t>
            </w:r>
          </w:p>
          <w:p w:rsidR="00322AE6" w:rsidRPr="00C034BF" w:rsidRDefault="00322AE6" w:rsidP="00073A67">
            <w:pPr>
              <w:spacing w:after="0"/>
              <w:ind w:firstLine="0"/>
              <w:rPr>
                <w:rFonts w:eastAsia="Times New Roman"/>
                <w:snapToGrid w:val="0"/>
                <w:sz w:val="20"/>
                <w:szCs w:val="20"/>
              </w:rPr>
            </w:pPr>
            <w:r w:rsidRPr="00C034BF">
              <w:rPr>
                <w:rFonts w:eastAsia="Times New Roman"/>
                <w:snapToGrid w:val="0"/>
                <w:sz w:val="20"/>
                <w:szCs w:val="20"/>
              </w:rPr>
              <w:t>Atlīdzība</w:t>
            </w:r>
          </w:p>
        </w:tc>
        <w:tc>
          <w:tcPr>
            <w:tcW w:w="993" w:type="dxa"/>
            <w:tcBorders>
              <w:bottom w:val="nil"/>
            </w:tcBorders>
          </w:tcPr>
          <w:p w:rsidR="00322AE6" w:rsidRPr="00346E71" w:rsidRDefault="00322AE6" w:rsidP="00073A67">
            <w:pPr>
              <w:tabs>
                <w:tab w:val="decimal" w:pos="794"/>
              </w:tabs>
              <w:spacing w:after="0"/>
              <w:ind w:firstLine="0"/>
              <w:rPr>
                <w:rFonts w:eastAsia="Times New Roman"/>
                <w:b/>
                <w:sz w:val="20"/>
                <w:szCs w:val="20"/>
              </w:rPr>
            </w:pPr>
            <w:r w:rsidRPr="00346E71">
              <w:rPr>
                <w:rFonts w:eastAsia="Times New Roman"/>
                <w:b/>
                <w:sz w:val="20"/>
                <w:szCs w:val="20"/>
              </w:rPr>
              <w:t>1 829</w:t>
            </w:r>
          </w:p>
          <w:p w:rsidR="00322AE6" w:rsidRPr="00346E71" w:rsidRDefault="00322AE6" w:rsidP="00073A67">
            <w:pPr>
              <w:tabs>
                <w:tab w:val="decimal" w:pos="794"/>
              </w:tabs>
              <w:spacing w:after="0"/>
              <w:ind w:firstLine="0"/>
              <w:rPr>
                <w:rFonts w:eastAsia="Arial Unicode MS"/>
                <w:sz w:val="20"/>
                <w:szCs w:val="20"/>
              </w:rPr>
            </w:pPr>
            <w:r w:rsidRPr="00346E71">
              <w:rPr>
                <w:rFonts w:eastAsia="Times New Roman"/>
                <w:sz w:val="20"/>
                <w:szCs w:val="20"/>
              </w:rPr>
              <w:t>1 248</w:t>
            </w:r>
          </w:p>
        </w:tc>
        <w:tc>
          <w:tcPr>
            <w:tcW w:w="972" w:type="dxa"/>
            <w:tcBorders>
              <w:bottom w:val="nil"/>
            </w:tcBorders>
          </w:tcPr>
          <w:p w:rsidR="00322AE6" w:rsidRPr="008212BD" w:rsidRDefault="00322AE6" w:rsidP="00073A67">
            <w:pPr>
              <w:tabs>
                <w:tab w:val="decimal" w:pos="794"/>
              </w:tabs>
              <w:spacing w:after="0"/>
              <w:ind w:firstLine="0"/>
              <w:rPr>
                <w:rFonts w:eastAsia="Times New Roman"/>
                <w:b/>
                <w:sz w:val="20"/>
                <w:szCs w:val="20"/>
              </w:rPr>
            </w:pPr>
            <w:r w:rsidRPr="008212BD">
              <w:rPr>
                <w:rFonts w:eastAsia="Times New Roman"/>
                <w:b/>
                <w:sz w:val="20"/>
                <w:szCs w:val="20"/>
              </w:rPr>
              <w:t>2  044</w:t>
            </w:r>
          </w:p>
          <w:p w:rsidR="00322AE6" w:rsidRPr="008212BD" w:rsidRDefault="00322AE6" w:rsidP="00073A67">
            <w:pPr>
              <w:tabs>
                <w:tab w:val="decimal" w:pos="794"/>
              </w:tabs>
              <w:spacing w:after="0"/>
              <w:ind w:firstLine="0"/>
              <w:rPr>
                <w:rFonts w:eastAsia="Times New Roman"/>
                <w:sz w:val="20"/>
                <w:szCs w:val="20"/>
              </w:rPr>
            </w:pPr>
            <w:r w:rsidRPr="008212BD">
              <w:rPr>
                <w:rFonts w:eastAsia="Times New Roman"/>
                <w:sz w:val="20"/>
                <w:szCs w:val="20"/>
              </w:rPr>
              <w:t>1 462</w:t>
            </w:r>
          </w:p>
        </w:tc>
        <w:tc>
          <w:tcPr>
            <w:tcW w:w="992" w:type="dxa"/>
            <w:tcBorders>
              <w:bottom w:val="nil"/>
            </w:tcBorders>
          </w:tcPr>
          <w:p w:rsidR="00322AE6" w:rsidRPr="008212BD" w:rsidRDefault="00322AE6" w:rsidP="00073A67">
            <w:pPr>
              <w:tabs>
                <w:tab w:val="decimal" w:pos="794"/>
              </w:tabs>
              <w:spacing w:after="0"/>
              <w:ind w:firstLine="0"/>
              <w:rPr>
                <w:rFonts w:eastAsia="Times New Roman"/>
                <w:b/>
                <w:sz w:val="20"/>
                <w:szCs w:val="20"/>
              </w:rPr>
            </w:pPr>
            <w:r w:rsidRPr="008212BD">
              <w:rPr>
                <w:rFonts w:eastAsia="Times New Roman"/>
                <w:b/>
                <w:sz w:val="20"/>
                <w:szCs w:val="20"/>
              </w:rPr>
              <w:t>2 044</w:t>
            </w:r>
          </w:p>
          <w:p w:rsidR="00322AE6" w:rsidRPr="008212BD" w:rsidRDefault="00322AE6" w:rsidP="00073A67">
            <w:pPr>
              <w:tabs>
                <w:tab w:val="decimal" w:pos="794"/>
              </w:tabs>
              <w:spacing w:after="0"/>
              <w:ind w:firstLine="0"/>
              <w:rPr>
                <w:rFonts w:eastAsia="Arial Unicode MS"/>
                <w:sz w:val="20"/>
                <w:szCs w:val="20"/>
              </w:rPr>
            </w:pPr>
            <w:r w:rsidRPr="008212BD">
              <w:rPr>
                <w:rFonts w:eastAsia="Times New Roman"/>
                <w:sz w:val="20"/>
                <w:szCs w:val="20"/>
              </w:rPr>
              <w:t>1 462</w:t>
            </w:r>
          </w:p>
        </w:tc>
        <w:tc>
          <w:tcPr>
            <w:tcW w:w="992" w:type="dxa"/>
            <w:tcBorders>
              <w:bottom w:val="nil"/>
            </w:tcBorders>
          </w:tcPr>
          <w:p w:rsidR="00322AE6" w:rsidRPr="00326A4A" w:rsidRDefault="00322AE6" w:rsidP="00073A67">
            <w:pPr>
              <w:tabs>
                <w:tab w:val="decimal" w:pos="794"/>
              </w:tabs>
              <w:spacing w:after="0"/>
              <w:ind w:firstLine="0"/>
              <w:rPr>
                <w:rFonts w:eastAsia="Times New Roman"/>
                <w:b/>
                <w:sz w:val="20"/>
                <w:szCs w:val="20"/>
              </w:rPr>
            </w:pPr>
            <w:r w:rsidRPr="00326A4A">
              <w:rPr>
                <w:rFonts w:eastAsia="Times New Roman"/>
                <w:b/>
                <w:sz w:val="20"/>
                <w:szCs w:val="20"/>
              </w:rPr>
              <w:t>9 290</w:t>
            </w:r>
          </w:p>
          <w:p w:rsidR="00322AE6" w:rsidRPr="00326A4A" w:rsidRDefault="00322AE6" w:rsidP="00073A67">
            <w:pPr>
              <w:tabs>
                <w:tab w:val="decimal" w:pos="794"/>
              </w:tabs>
              <w:spacing w:after="0"/>
              <w:ind w:firstLine="0"/>
              <w:rPr>
                <w:rFonts w:eastAsia="Arial Unicode MS"/>
                <w:sz w:val="20"/>
                <w:szCs w:val="20"/>
              </w:rPr>
            </w:pPr>
            <w:r w:rsidRPr="00326A4A">
              <w:rPr>
                <w:rFonts w:eastAsia="Times New Roman"/>
                <w:sz w:val="20"/>
                <w:szCs w:val="20"/>
              </w:rPr>
              <w:t>6 866</w:t>
            </w:r>
          </w:p>
        </w:tc>
        <w:tc>
          <w:tcPr>
            <w:tcW w:w="993" w:type="dxa"/>
            <w:tcBorders>
              <w:bottom w:val="nil"/>
            </w:tcBorders>
          </w:tcPr>
          <w:p w:rsidR="00322AE6" w:rsidRPr="00BD360F" w:rsidRDefault="00322AE6" w:rsidP="00073A67">
            <w:pPr>
              <w:tabs>
                <w:tab w:val="decimal" w:pos="794"/>
              </w:tabs>
              <w:spacing w:after="0"/>
              <w:ind w:firstLine="0"/>
              <w:rPr>
                <w:rFonts w:eastAsia="Times New Roman"/>
                <w:b/>
                <w:sz w:val="20"/>
                <w:szCs w:val="20"/>
              </w:rPr>
            </w:pPr>
            <w:r w:rsidRPr="00BD360F">
              <w:rPr>
                <w:rFonts w:eastAsia="Times New Roman"/>
                <w:b/>
                <w:sz w:val="20"/>
                <w:szCs w:val="20"/>
              </w:rPr>
              <w:t>111,8</w:t>
            </w:r>
          </w:p>
          <w:p w:rsidR="00322AE6" w:rsidRPr="00BD360F" w:rsidRDefault="00322AE6" w:rsidP="00073A67">
            <w:pPr>
              <w:tabs>
                <w:tab w:val="decimal" w:pos="794"/>
              </w:tabs>
              <w:spacing w:after="0"/>
              <w:ind w:firstLine="0"/>
              <w:rPr>
                <w:rFonts w:eastAsia="Times New Roman"/>
                <w:sz w:val="20"/>
                <w:szCs w:val="20"/>
              </w:rPr>
            </w:pPr>
            <w:r w:rsidRPr="00BD360F">
              <w:rPr>
                <w:rFonts w:eastAsia="Times New Roman"/>
                <w:sz w:val="20"/>
                <w:szCs w:val="20"/>
              </w:rPr>
              <w:t>117,1</w:t>
            </w:r>
          </w:p>
        </w:tc>
        <w:tc>
          <w:tcPr>
            <w:tcW w:w="950" w:type="dxa"/>
            <w:tcBorders>
              <w:bottom w:val="nil"/>
            </w:tcBorders>
          </w:tcPr>
          <w:p w:rsidR="00322AE6" w:rsidRPr="009815B2" w:rsidRDefault="00322AE6" w:rsidP="00073A67">
            <w:pPr>
              <w:tabs>
                <w:tab w:val="decimal" w:pos="411"/>
              </w:tabs>
              <w:spacing w:after="0"/>
              <w:ind w:firstLine="0"/>
              <w:rPr>
                <w:rFonts w:eastAsia="Times New Roman"/>
                <w:b/>
                <w:sz w:val="20"/>
                <w:szCs w:val="20"/>
              </w:rPr>
            </w:pPr>
            <w:r w:rsidRPr="009815B2">
              <w:rPr>
                <w:rFonts w:eastAsia="Times New Roman"/>
                <w:b/>
                <w:sz w:val="20"/>
                <w:szCs w:val="20"/>
              </w:rPr>
              <w:t>100,0</w:t>
            </w:r>
          </w:p>
        </w:tc>
        <w:tc>
          <w:tcPr>
            <w:tcW w:w="992" w:type="dxa"/>
            <w:tcBorders>
              <w:bottom w:val="nil"/>
              <w:right w:val="single" w:sz="4" w:space="0" w:color="auto"/>
            </w:tcBorders>
          </w:tcPr>
          <w:p w:rsidR="00322AE6" w:rsidRPr="00F11139" w:rsidRDefault="00322AE6" w:rsidP="00073A67">
            <w:pPr>
              <w:tabs>
                <w:tab w:val="decimal" w:pos="401"/>
              </w:tabs>
              <w:spacing w:after="0"/>
              <w:ind w:firstLine="0"/>
              <w:rPr>
                <w:rFonts w:eastAsia="Times New Roman"/>
                <w:b/>
                <w:sz w:val="20"/>
                <w:szCs w:val="20"/>
              </w:rPr>
            </w:pPr>
            <w:r w:rsidRPr="00F11139">
              <w:rPr>
                <w:rFonts w:eastAsia="Times New Roman"/>
                <w:b/>
                <w:sz w:val="20"/>
                <w:szCs w:val="20"/>
              </w:rPr>
              <w:t>22,0</w:t>
            </w:r>
          </w:p>
          <w:p w:rsidR="00322AE6" w:rsidRPr="00F11139" w:rsidRDefault="00322AE6" w:rsidP="00073A67">
            <w:pPr>
              <w:tabs>
                <w:tab w:val="decimal" w:pos="401"/>
              </w:tabs>
              <w:spacing w:after="0"/>
              <w:ind w:firstLine="0"/>
              <w:rPr>
                <w:rFonts w:eastAsia="Arial Unicode MS"/>
                <w:sz w:val="20"/>
                <w:szCs w:val="20"/>
              </w:rPr>
            </w:pPr>
            <w:r w:rsidRPr="00F11139">
              <w:rPr>
                <w:rFonts w:eastAsia="Times New Roman"/>
                <w:sz w:val="20"/>
                <w:szCs w:val="20"/>
              </w:rPr>
              <w:t>21,3</w:t>
            </w:r>
          </w:p>
        </w:tc>
      </w:tr>
      <w:tr w:rsidR="00322AE6" w:rsidRPr="00AA1204" w:rsidTr="00A761F0">
        <w:trPr>
          <w:cantSplit/>
          <w:jc w:val="center"/>
        </w:trPr>
        <w:tc>
          <w:tcPr>
            <w:tcW w:w="3243" w:type="dxa"/>
            <w:tcBorders>
              <w:top w:val="nil"/>
              <w:left w:val="single" w:sz="4" w:space="0" w:color="auto"/>
              <w:bottom w:val="nil"/>
            </w:tcBorders>
          </w:tcPr>
          <w:p w:rsidR="00322AE6" w:rsidRPr="00C034BF" w:rsidRDefault="00322AE6" w:rsidP="00073A67">
            <w:pPr>
              <w:spacing w:after="0"/>
              <w:ind w:firstLine="0"/>
              <w:rPr>
                <w:rFonts w:eastAsia="Times New Roman"/>
                <w:i/>
                <w:snapToGrid w:val="0"/>
                <w:sz w:val="20"/>
                <w:szCs w:val="20"/>
              </w:rPr>
            </w:pPr>
            <w:r w:rsidRPr="00C034BF">
              <w:rPr>
                <w:rFonts w:eastAsia="Times New Roman"/>
                <w:i/>
                <w:snapToGrid w:val="0"/>
                <w:sz w:val="20"/>
                <w:szCs w:val="20"/>
              </w:rPr>
              <w:t xml:space="preserve">  Atalgojums</w:t>
            </w:r>
          </w:p>
        </w:tc>
        <w:tc>
          <w:tcPr>
            <w:tcW w:w="993" w:type="dxa"/>
            <w:tcBorders>
              <w:top w:val="nil"/>
              <w:bottom w:val="nil"/>
            </w:tcBorders>
          </w:tcPr>
          <w:p w:rsidR="00322AE6" w:rsidRPr="00346E71" w:rsidRDefault="00322AE6" w:rsidP="00073A67">
            <w:pPr>
              <w:tabs>
                <w:tab w:val="decimal" w:pos="794"/>
              </w:tabs>
              <w:spacing w:after="0"/>
              <w:ind w:firstLine="0"/>
              <w:rPr>
                <w:rFonts w:eastAsia="Arial Unicode MS"/>
                <w:i/>
                <w:sz w:val="20"/>
                <w:szCs w:val="20"/>
              </w:rPr>
            </w:pPr>
            <w:r w:rsidRPr="00346E71">
              <w:rPr>
                <w:rFonts w:eastAsia="Arial Unicode MS"/>
                <w:i/>
                <w:sz w:val="20"/>
                <w:szCs w:val="20"/>
              </w:rPr>
              <w:t>916</w:t>
            </w:r>
          </w:p>
        </w:tc>
        <w:tc>
          <w:tcPr>
            <w:tcW w:w="972" w:type="dxa"/>
            <w:tcBorders>
              <w:top w:val="nil"/>
              <w:bottom w:val="nil"/>
            </w:tcBorders>
          </w:tcPr>
          <w:p w:rsidR="00322AE6" w:rsidRPr="008212BD" w:rsidRDefault="00322AE6" w:rsidP="00073A67">
            <w:pPr>
              <w:tabs>
                <w:tab w:val="decimal" w:pos="794"/>
              </w:tabs>
              <w:spacing w:after="0"/>
              <w:ind w:firstLine="0"/>
              <w:rPr>
                <w:rFonts w:eastAsia="Times New Roman"/>
                <w:i/>
                <w:sz w:val="20"/>
                <w:szCs w:val="20"/>
              </w:rPr>
            </w:pPr>
            <w:r w:rsidRPr="008212BD">
              <w:rPr>
                <w:rFonts w:eastAsia="Times New Roman"/>
                <w:i/>
                <w:sz w:val="20"/>
                <w:szCs w:val="20"/>
              </w:rPr>
              <w:t>1 123</w:t>
            </w:r>
          </w:p>
        </w:tc>
        <w:tc>
          <w:tcPr>
            <w:tcW w:w="992" w:type="dxa"/>
            <w:tcBorders>
              <w:top w:val="nil"/>
              <w:bottom w:val="nil"/>
            </w:tcBorders>
          </w:tcPr>
          <w:p w:rsidR="00322AE6" w:rsidRPr="008212BD" w:rsidRDefault="00322AE6" w:rsidP="00073A67">
            <w:pPr>
              <w:tabs>
                <w:tab w:val="decimal" w:pos="794"/>
              </w:tabs>
              <w:spacing w:after="0"/>
              <w:ind w:firstLine="0"/>
              <w:rPr>
                <w:rFonts w:eastAsia="Arial Unicode MS"/>
                <w:i/>
                <w:sz w:val="20"/>
                <w:szCs w:val="20"/>
              </w:rPr>
            </w:pPr>
            <w:r w:rsidRPr="008212BD">
              <w:rPr>
                <w:rFonts w:eastAsia="Arial Unicode MS"/>
                <w:i/>
                <w:sz w:val="20"/>
                <w:szCs w:val="20"/>
              </w:rPr>
              <w:t>1 123</w:t>
            </w:r>
          </w:p>
        </w:tc>
        <w:tc>
          <w:tcPr>
            <w:tcW w:w="992" w:type="dxa"/>
            <w:tcBorders>
              <w:top w:val="nil"/>
              <w:bottom w:val="nil"/>
            </w:tcBorders>
          </w:tcPr>
          <w:p w:rsidR="00322AE6" w:rsidRPr="00326A4A" w:rsidRDefault="00322AE6" w:rsidP="00073A67">
            <w:pPr>
              <w:tabs>
                <w:tab w:val="decimal" w:pos="794"/>
              </w:tabs>
              <w:spacing w:after="0"/>
              <w:ind w:firstLine="0"/>
              <w:rPr>
                <w:rFonts w:eastAsia="Arial Unicode MS"/>
                <w:i/>
                <w:sz w:val="20"/>
                <w:szCs w:val="20"/>
              </w:rPr>
            </w:pPr>
            <w:r w:rsidRPr="00326A4A">
              <w:rPr>
                <w:rFonts w:eastAsia="Times New Roman"/>
                <w:i/>
                <w:sz w:val="20"/>
                <w:szCs w:val="20"/>
              </w:rPr>
              <w:t>5 537</w:t>
            </w:r>
          </w:p>
        </w:tc>
        <w:tc>
          <w:tcPr>
            <w:tcW w:w="993" w:type="dxa"/>
            <w:tcBorders>
              <w:top w:val="nil"/>
              <w:bottom w:val="nil"/>
            </w:tcBorders>
          </w:tcPr>
          <w:p w:rsidR="00322AE6" w:rsidRPr="00BD360F" w:rsidRDefault="00322AE6" w:rsidP="00073A67">
            <w:pPr>
              <w:tabs>
                <w:tab w:val="decimal" w:pos="794"/>
              </w:tabs>
              <w:spacing w:after="0"/>
              <w:ind w:firstLine="0"/>
              <w:rPr>
                <w:rFonts w:eastAsia="Times New Roman"/>
                <w:i/>
                <w:sz w:val="20"/>
                <w:szCs w:val="20"/>
              </w:rPr>
            </w:pPr>
            <w:r w:rsidRPr="00BD360F">
              <w:rPr>
                <w:rFonts w:eastAsia="Times New Roman"/>
                <w:i/>
                <w:sz w:val="20"/>
                <w:szCs w:val="20"/>
              </w:rPr>
              <w:t>122,6</w:t>
            </w:r>
          </w:p>
        </w:tc>
        <w:tc>
          <w:tcPr>
            <w:tcW w:w="950" w:type="dxa"/>
            <w:tcBorders>
              <w:top w:val="nil"/>
              <w:bottom w:val="nil"/>
            </w:tcBorders>
          </w:tcPr>
          <w:p w:rsidR="00322AE6" w:rsidRPr="009815B2" w:rsidRDefault="00322AE6" w:rsidP="00073A67">
            <w:pPr>
              <w:tabs>
                <w:tab w:val="decimal" w:pos="411"/>
              </w:tabs>
              <w:spacing w:after="0"/>
              <w:ind w:firstLine="0"/>
              <w:rPr>
                <w:rFonts w:eastAsia="Times New Roman"/>
                <w:i/>
                <w:sz w:val="20"/>
                <w:szCs w:val="20"/>
              </w:rPr>
            </w:pPr>
            <w:r w:rsidRPr="009815B2">
              <w:rPr>
                <w:rFonts w:eastAsia="Times New Roman"/>
                <w:i/>
                <w:sz w:val="20"/>
                <w:szCs w:val="20"/>
              </w:rPr>
              <w:t>100,0</w:t>
            </w:r>
          </w:p>
        </w:tc>
        <w:tc>
          <w:tcPr>
            <w:tcW w:w="992" w:type="dxa"/>
            <w:tcBorders>
              <w:top w:val="nil"/>
              <w:bottom w:val="nil"/>
              <w:right w:val="single" w:sz="4" w:space="0" w:color="auto"/>
            </w:tcBorders>
          </w:tcPr>
          <w:p w:rsidR="00322AE6" w:rsidRPr="00F11139" w:rsidRDefault="00322AE6" w:rsidP="00073A67">
            <w:pPr>
              <w:tabs>
                <w:tab w:val="decimal" w:pos="401"/>
              </w:tabs>
              <w:spacing w:after="0"/>
              <w:ind w:firstLine="0"/>
              <w:rPr>
                <w:rFonts w:eastAsia="Arial Unicode MS"/>
                <w:i/>
                <w:sz w:val="20"/>
                <w:szCs w:val="20"/>
              </w:rPr>
            </w:pPr>
            <w:r w:rsidRPr="00F11139">
              <w:rPr>
                <w:rFonts w:eastAsia="Times New Roman"/>
                <w:i/>
                <w:sz w:val="20"/>
                <w:szCs w:val="20"/>
              </w:rPr>
              <w:t>20,3</w:t>
            </w:r>
          </w:p>
        </w:tc>
      </w:tr>
      <w:tr w:rsidR="00322AE6" w:rsidRPr="00AA1204" w:rsidTr="00A761F0">
        <w:trPr>
          <w:cantSplit/>
          <w:jc w:val="center"/>
        </w:trPr>
        <w:tc>
          <w:tcPr>
            <w:tcW w:w="3243" w:type="dxa"/>
            <w:tcBorders>
              <w:top w:val="nil"/>
              <w:left w:val="single" w:sz="4" w:space="0" w:color="auto"/>
              <w:bottom w:val="nil"/>
            </w:tcBorders>
          </w:tcPr>
          <w:p w:rsidR="00322AE6" w:rsidRPr="00C034BF" w:rsidRDefault="00322AE6" w:rsidP="00073A67">
            <w:pPr>
              <w:spacing w:after="0"/>
              <w:ind w:firstLine="0"/>
              <w:rPr>
                <w:rFonts w:eastAsia="Times New Roman"/>
                <w:i/>
                <w:snapToGrid w:val="0"/>
                <w:sz w:val="20"/>
                <w:szCs w:val="20"/>
              </w:rPr>
            </w:pPr>
            <w:r w:rsidRPr="00C034BF">
              <w:rPr>
                <w:rFonts w:eastAsia="Times New Roman"/>
                <w:i/>
                <w:snapToGrid w:val="0"/>
                <w:sz w:val="20"/>
                <w:szCs w:val="20"/>
              </w:rPr>
              <w:t xml:space="preserve">  Valsts sociālās apdrošināša</w:t>
            </w:r>
            <w:r w:rsidRPr="00C034BF">
              <w:rPr>
                <w:rFonts w:eastAsia="Times New Roman"/>
                <w:i/>
                <w:snapToGrid w:val="0"/>
                <w:sz w:val="20"/>
                <w:szCs w:val="20"/>
              </w:rPr>
              <w:softHyphen/>
              <w:t>nas obligātās iemaksas, sociāla rakstura pabalsti un kompensācijas</w:t>
            </w:r>
          </w:p>
        </w:tc>
        <w:tc>
          <w:tcPr>
            <w:tcW w:w="993" w:type="dxa"/>
            <w:tcBorders>
              <w:top w:val="nil"/>
              <w:bottom w:val="nil"/>
            </w:tcBorders>
          </w:tcPr>
          <w:p w:rsidR="00322AE6" w:rsidRPr="00346E71" w:rsidRDefault="00322AE6" w:rsidP="00073A67">
            <w:pPr>
              <w:tabs>
                <w:tab w:val="decimal" w:pos="794"/>
              </w:tabs>
              <w:spacing w:after="0"/>
              <w:ind w:firstLine="0"/>
              <w:rPr>
                <w:rFonts w:eastAsia="Arial Unicode MS"/>
                <w:i/>
                <w:sz w:val="20"/>
                <w:szCs w:val="20"/>
              </w:rPr>
            </w:pPr>
            <w:r w:rsidRPr="00346E71">
              <w:rPr>
                <w:rFonts w:eastAsia="Arial Unicode MS"/>
                <w:i/>
                <w:sz w:val="20"/>
                <w:szCs w:val="20"/>
              </w:rPr>
              <w:t>332</w:t>
            </w:r>
          </w:p>
          <w:p w:rsidR="00322AE6" w:rsidRPr="00346E71" w:rsidRDefault="00322AE6" w:rsidP="00073A67">
            <w:pPr>
              <w:tabs>
                <w:tab w:val="decimal" w:pos="794"/>
              </w:tabs>
              <w:spacing w:after="0"/>
              <w:ind w:firstLine="0"/>
              <w:rPr>
                <w:rFonts w:eastAsia="Arial Unicode MS"/>
                <w:i/>
                <w:sz w:val="20"/>
                <w:szCs w:val="20"/>
              </w:rPr>
            </w:pPr>
          </w:p>
          <w:p w:rsidR="00322AE6" w:rsidRPr="00346E71" w:rsidRDefault="00322AE6" w:rsidP="00073A67">
            <w:pPr>
              <w:tabs>
                <w:tab w:val="decimal" w:pos="794"/>
              </w:tabs>
              <w:spacing w:after="0"/>
              <w:ind w:firstLine="0"/>
              <w:rPr>
                <w:rFonts w:eastAsia="Arial Unicode MS"/>
                <w:i/>
                <w:sz w:val="20"/>
                <w:szCs w:val="20"/>
              </w:rPr>
            </w:pPr>
          </w:p>
        </w:tc>
        <w:tc>
          <w:tcPr>
            <w:tcW w:w="972" w:type="dxa"/>
            <w:tcBorders>
              <w:top w:val="nil"/>
              <w:bottom w:val="nil"/>
            </w:tcBorders>
          </w:tcPr>
          <w:p w:rsidR="00322AE6" w:rsidRPr="008212BD" w:rsidRDefault="00322AE6" w:rsidP="00073A67">
            <w:pPr>
              <w:tabs>
                <w:tab w:val="decimal" w:pos="794"/>
              </w:tabs>
              <w:spacing w:after="0"/>
              <w:ind w:firstLine="0"/>
              <w:rPr>
                <w:rFonts w:eastAsia="Arial Unicode MS"/>
                <w:i/>
                <w:sz w:val="20"/>
                <w:szCs w:val="20"/>
              </w:rPr>
            </w:pPr>
          </w:p>
        </w:tc>
        <w:tc>
          <w:tcPr>
            <w:tcW w:w="992" w:type="dxa"/>
            <w:tcBorders>
              <w:top w:val="nil"/>
              <w:bottom w:val="nil"/>
            </w:tcBorders>
          </w:tcPr>
          <w:p w:rsidR="00322AE6" w:rsidRPr="008212BD" w:rsidRDefault="00322AE6" w:rsidP="00073A67">
            <w:pPr>
              <w:tabs>
                <w:tab w:val="decimal" w:pos="794"/>
              </w:tabs>
              <w:spacing w:after="0"/>
              <w:ind w:firstLine="0"/>
              <w:rPr>
                <w:rFonts w:eastAsia="Arial Unicode MS"/>
                <w:i/>
                <w:sz w:val="20"/>
                <w:szCs w:val="20"/>
              </w:rPr>
            </w:pPr>
            <w:r w:rsidRPr="008212BD">
              <w:rPr>
                <w:rFonts w:eastAsia="Arial Unicode MS"/>
                <w:i/>
                <w:sz w:val="20"/>
                <w:szCs w:val="20"/>
              </w:rPr>
              <w:t>340</w:t>
            </w:r>
          </w:p>
          <w:p w:rsidR="00322AE6" w:rsidRPr="008212BD" w:rsidRDefault="00322AE6" w:rsidP="00073A67">
            <w:pPr>
              <w:tabs>
                <w:tab w:val="decimal" w:pos="794"/>
              </w:tabs>
              <w:spacing w:after="0"/>
              <w:ind w:firstLine="0"/>
              <w:rPr>
                <w:rFonts w:eastAsia="Arial Unicode MS"/>
                <w:i/>
                <w:sz w:val="20"/>
                <w:szCs w:val="20"/>
              </w:rPr>
            </w:pPr>
          </w:p>
          <w:p w:rsidR="00322AE6" w:rsidRPr="008212BD" w:rsidRDefault="00322AE6" w:rsidP="00073A67">
            <w:pPr>
              <w:tabs>
                <w:tab w:val="decimal" w:pos="794"/>
              </w:tabs>
              <w:spacing w:after="0"/>
              <w:ind w:firstLine="0"/>
              <w:rPr>
                <w:rFonts w:eastAsia="Arial Unicode MS"/>
                <w:i/>
                <w:sz w:val="20"/>
                <w:szCs w:val="20"/>
              </w:rPr>
            </w:pPr>
          </w:p>
        </w:tc>
        <w:tc>
          <w:tcPr>
            <w:tcW w:w="992" w:type="dxa"/>
            <w:tcBorders>
              <w:top w:val="nil"/>
              <w:bottom w:val="nil"/>
            </w:tcBorders>
          </w:tcPr>
          <w:p w:rsidR="00322AE6" w:rsidRPr="00326A4A" w:rsidRDefault="00322AE6" w:rsidP="00073A67">
            <w:pPr>
              <w:tabs>
                <w:tab w:val="decimal" w:pos="794"/>
              </w:tabs>
              <w:spacing w:after="0"/>
              <w:ind w:firstLine="0"/>
              <w:rPr>
                <w:rFonts w:eastAsia="Arial Unicode MS"/>
                <w:i/>
                <w:sz w:val="20"/>
                <w:szCs w:val="20"/>
              </w:rPr>
            </w:pPr>
          </w:p>
        </w:tc>
        <w:tc>
          <w:tcPr>
            <w:tcW w:w="993" w:type="dxa"/>
            <w:tcBorders>
              <w:top w:val="nil"/>
              <w:bottom w:val="nil"/>
            </w:tcBorders>
          </w:tcPr>
          <w:p w:rsidR="00322AE6" w:rsidRPr="00BD360F" w:rsidRDefault="00322AE6" w:rsidP="00073A67">
            <w:pPr>
              <w:tabs>
                <w:tab w:val="decimal" w:pos="794"/>
              </w:tabs>
              <w:spacing w:after="0"/>
              <w:ind w:firstLine="0"/>
              <w:rPr>
                <w:rFonts w:eastAsia="Times New Roman"/>
                <w:i/>
                <w:sz w:val="20"/>
                <w:szCs w:val="20"/>
              </w:rPr>
            </w:pPr>
            <w:r w:rsidRPr="00BD360F">
              <w:rPr>
                <w:rFonts w:eastAsia="Times New Roman"/>
                <w:i/>
                <w:sz w:val="20"/>
                <w:szCs w:val="20"/>
              </w:rPr>
              <w:t>102,4</w:t>
            </w:r>
          </w:p>
        </w:tc>
        <w:tc>
          <w:tcPr>
            <w:tcW w:w="950" w:type="dxa"/>
            <w:tcBorders>
              <w:top w:val="nil"/>
              <w:bottom w:val="nil"/>
            </w:tcBorders>
          </w:tcPr>
          <w:p w:rsidR="00322AE6" w:rsidRPr="009815B2" w:rsidRDefault="00322AE6" w:rsidP="00073A67">
            <w:pPr>
              <w:tabs>
                <w:tab w:val="decimal" w:pos="411"/>
              </w:tabs>
              <w:spacing w:after="0"/>
              <w:ind w:firstLine="0"/>
              <w:rPr>
                <w:rFonts w:eastAsia="Times New Roman"/>
                <w:i/>
                <w:sz w:val="20"/>
                <w:szCs w:val="20"/>
              </w:rPr>
            </w:pPr>
          </w:p>
        </w:tc>
        <w:tc>
          <w:tcPr>
            <w:tcW w:w="992" w:type="dxa"/>
            <w:tcBorders>
              <w:top w:val="nil"/>
              <w:bottom w:val="nil"/>
              <w:right w:val="single" w:sz="4" w:space="0" w:color="auto"/>
            </w:tcBorders>
          </w:tcPr>
          <w:p w:rsidR="00322AE6" w:rsidRPr="00F11139" w:rsidRDefault="00322AE6" w:rsidP="00073A67">
            <w:pPr>
              <w:tabs>
                <w:tab w:val="decimal" w:pos="401"/>
              </w:tabs>
              <w:spacing w:after="0"/>
              <w:ind w:firstLine="0"/>
              <w:rPr>
                <w:rFonts w:eastAsia="Arial Unicode MS"/>
                <w:i/>
                <w:sz w:val="20"/>
                <w:szCs w:val="20"/>
              </w:rPr>
            </w:pPr>
          </w:p>
        </w:tc>
      </w:tr>
      <w:tr w:rsidR="00322AE6" w:rsidRPr="00AA1204" w:rsidTr="00A761F0">
        <w:trPr>
          <w:cantSplit/>
          <w:jc w:val="center"/>
        </w:trPr>
        <w:tc>
          <w:tcPr>
            <w:tcW w:w="3243" w:type="dxa"/>
            <w:tcBorders>
              <w:top w:val="nil"/>
              <w:left w:val="single" w:sz="4" w:space="0" w:color="auto"/>
              <w:bottom w:val="nil"/>
            </w:tcBorders>
          </w:tcPr>
          <w:p w:rsidR="00322AE6" w:rsidRPr="00C034BF" w:rsidRDefault="00322AE6" w:rsidP="00073A67">
            <w:pPr>
              <w:spacing w:after="0"/>
              <w:ind w:firstLine="0"/>
              <w:rPr>
                <w:rFonts w:eastAsia="Times New Roman"/>
                <w:snapToGrid w:val="0"/>
                <w:sz w:val="20"/>
                <w:szCs w:val="20"/>
              </w:rPr>
            </w:pPr>
            <w:r w:rsidRPr="00C034BF">
              <w:rPr>
                <w:rFonts w:eastAsia="Times New Roman"/>
                <w:snapToGrid w:val="0"/>
                <w:sz w:val="20"/>
                <w:szCs w:val="20"/>
              </w:rPr>
              <w:t xml:space="preserve"> Preces un pakalpojumi</w:t>
            </w:r>
          </w:p>
        </w:tc>
        <w:tc>
          <w:tcPr>
            <w:tcW w:w="993" w:type="dxa"/>
            <w:tcBorders>
              <w:top w:val="nil"/>
              <w:bottom w:val="nil"/>
            </w:tcBorders>
          </w:tcPr>
          <w:p w:rsidR="00322AE6" w:rsidRPr="00346E71" w:rsidRDefault="00322AE6" w:rsidP="00073A67">
            <w:pPr>
              <w:tabs>
                <w:tab w:val="decimal" w:pos="794"/>
              </w:tabs>
              <w:spacing w:after="0"/>
              <w:ind w:firstLine="0"/>
              <w:rPr>
                <w:rFonts w:eastAsia="Arial Unicode MS"/>
                <w:sz w:val="20"/>
                <w:szCs w:val="20"/>
              </w:rPr>
            </w:pPr>
            <w:r w:rsidRPr="00346E71">
              <w:rPr>
                <w:rFonts w:eastAsia="Arial Unicode MS"/>
                <w:sz w:val="20"/>
                <w:szCs w:val="20"/>
              </w:rPr>
              <w:t>581</w:t>
            </w:r>
          </w:p>
        </w:tc>
        <w:tc>
          <w:tcPr>
            <w:tcW w:w="972" w:type="dxa"/>
            <w:tcBorders>
              <w:top w:val="nil"/>
              <w:bottom w:val="nil"/>
            </w:tcBorders>
          </w:tcPr>
          <w:p w:rsidR="00322AE6" w:rsidRPr="008212BD" w:rsidRDefault="00322AE6" w:rsidP="00073A67">
            <w:pPr>
              <w:tabs>
                <w:tab w:val="decimal" w:pos="794"/>
              </w:tabs>
              <w:spacing w:after="0"/>
              <w:ind w:firstLine="0"/>
              <w:rPr>
                <w:rFonts w:eastAsia="Arial Unicode MS"/>
                <w:sz w:val="20"/>
                <w:szCs w:val="20"/>
              </w:rPr>
            </w:pPr>
            <w:r w:rsidRPr="008212BD">
              <w:rPr>
                <w:rFonts w:eastAsia="Arial Unicode MS"/>
                <w:sz w:val="20"/>
                <w:szCs w:val="20"/>
              </w:rPr>
              <w:t>582</w:t>
            </w:r>
          </w:p>
        </w:tc>
        <w:tc>
          <w:tcPr>
            <w:tcW w:w="992" w:type="dxa"/>
            <w:tcBorders>
              <w:top w:val="nil"/>
              <w:bottom w:val="nil"/>
            </w:tcBorders>
          </w:tcPr>
          <w:p w:rsidR="00322AE6" w:rsidRPr="008212BD" w:rsidRDefault="00322AE6" w:rsidP="00073A67">
            <w:pPr>
              <w:tabs>
                <w:tab w:val="decimal" w:pos="794"/>
              </w:tabs>
              <w:spacing w:after="0"/>
              <w:ind w:firstLine="0"/>
              <w:rPr>
                <w:rFonts w:eastAsia="Arial Unicode MS"/>
                <w:sz w:val="20"/>
                <w:szCs w:val="20"/>
              </w:rPr>
            </w:pPr>
            <w:r w:rsidRPr="008212BD">
              <w:rPr>
                <w:rFonts w:eastAsia="Arial Unicode MS"/>
                <w:sz w:val="20"/>
                <w:szCs w:val="20"/>
              </w:rPr>
              <w:t>582</w:t>
            </w:r>
          </w:p>
        </w:tc>
        <w:tc>
          <w:tcPr>
            <w:tcW w:w="992" w:type="dxa"/>
            <w:tcBorders>
              <w:top w:val="nil"/>
              <w:bottom w:val="nil"/>
            </w:tcBorders>
          </w:tcPr>
          <w:p w:rsidR="00322AE6" w:rsidRPr="00326A4A" w:rsidRDefault="00322AE6" w:rsidP="00073A67">
            <w:pPr>
              <w:tabs>
                <w:tab w:val="decimal" w:pos="794"/>
              </w:tabs>
              <w:spacing w:after="0"/>
              <w:ind w:firstLine="0"/>
              <w:rPr>
                <w:rFonts w:eastAsia="Arial Unicode MS"/>
                <w:sz w:val="20"/>
                <w:szCs w:val="20"/>
              </w:rPr>
            </w:pPr>
            <w:r w:rsidRPr="00326A4A">
              <w:rPr>
                <w:rFonts w:eastAsia="Times New Roman"/>
                <w:sz w:val="20"/>
                <w:szCs w:val="20"/>
              </w:rPr>
              <w:t>2 424</w:t>
            </w:r>
          </w:p>
        </w:tc>
        <w:tc>
          <w:tcPr>
            <w:tcW w:w="993" w:type="dxa"/>
            <w:tcBorders>
              <w:top w:val="nil"/>
              <w:bottom w:val="nil"/>
            </w:tcBorders>
          </w:tcPr>
          <w:p w:rsidR="00322AE6" w:rsidRPr="00BD360F" w:rsidRDefault="00322AE6" w:rsidP="00073A67">
            <w:pPr>
              <w:tabs>
                <w:tab w:val="decimal" w:pos="794"/>
              </w:tabs>
              <w:spacing w:after="0"/>
              <w:ind w:firstLine="0"/>
              <w:rPr>
                <w:rFonts w:eastAsia="Times New Roman"/>
                <w:sz w:val="20"/>
                <w:szCs w:val="20"/>
              </w:rPr>
            </w:pPr>
            <w:r w:rsidRPr="00BD360F">
              <w:rPr>
                <w:rFonts w:eastAsia="Times New Roman"/>
                <w:sz w:val="20"/>
                <w:szCs w:val="20"/>
              </w:rPr>
              <w:t>100,2</w:t>
            </w:r>
          </w:p>
        </w:tc>
        <w:tc>
          <w:tcPr>
            <w:tcW w:w="950" w:type="dxa"/>
            <w:tcBorders>
              <w:top w:val="nil"/>
              <w:bottom w:val="nil"/>
            </w:tcBorders>
          </w:tcPr>
          <w:p w:rsidR="00322AE6" w:rsidRPr="009815B2" w:rsidRDefault="00322AE6" w:rsidP="00073A67">
            <w:pPr>
              <w:tabs>
                <w:tab w:val="decimal" w:pos="411"/>
              </w:tabs>
              <w:spacing w:after="0"/>
              <w:ind w:firstLine="0"/>
              <w:rPr>
                <w:rFonts w:eastAsia="Times New Roman"/>
                <w:sz w:val="20"/>
                <w:szCs w:val="20"/>
              </w:rPr>
            </w:pPr>
            <w:r w:rsidRPr="009815B2">
              <w:rPr>
                <w:rFonts w:eastAsia="Times New Roman"/>
                <w:sz w:val="20"/>
                <w:szCs w:val="20"/>
              </w:rPr>
              <w:t>100,0</w:t>
            </w:r>
          </w:p>
        </w:tc>
        <w:tc>
          <w:tcPr>
            <w:tcW w:w="992" w:type="dxa"/>
            <w:tcBorders>
              <w:top w:val="nil"/>
              <w:bottom w:val="nil"/>
              <w:right w:val="single" w:sz="4" w:space="0" w:color="auto"/>
            </w:tcBorders>
          </w:tcPr>
          <w:p w:rsidR="00322AE6" w:rsidRPr="00F11139" w:rsidRDefault="00322AE6" w:rsidP="00073A67">
            <w:pPr>
              <w:tabs>
                <w:tab w:val="decimal" w:pos="401"/>
              </w:tabs>
              <w:spacing w:after="0"/>
              <w:ind w:firstLine="0"/>
              <w:rPr>
                <w:rFonts w:eastAsia="Arial Unicode MS"/>
                <w:sz w:val="20"/>
                <w:szCs w:val="20"/>
              </w:rPr>
            </w:pPr>
            <w:r w:rsidRPr="00F11139">
              <w:rPr>
                <w:rFonts w:eastAsia="Times New Roman"/>
                <w:sz w:val="20"/>
                <w:szCs w:val="20"/>
              </w:rPr>
              <w:t>24,0 </w:t>
            </w:r>
          </w:p>
        </w:tc>
      </w:tr>
      <w:tr w:rsidR="00322AE6" w:rsidRPr="00AA1204" w:rsidTr="00A761F0">
        <w:trPr>
          <w:cantSplit/>
          <w:jc w:val="center"/>
        </w:trPr>
        <w:tc>
          <w:tcPr>
            <w:tcW w:w="3243" w:type="dxa"/>
            <w:tcBorders>
              <w:left w:val="single" w:sz="4" w:space="0" w:color="auto"/>
              <w:bottom w:val="nil"/>
            </w:tcBorders>
          </w:tcPr>
          <w:p w:rsidR="00322AE6" w:rsidRPr="00C034BF" w:rsidRDefault="00322AE6" w:rsidP="00073A67">
            <w:pPr>
              <w:spacing w:after="0"/>
              <w:ind w:firstLine="0"/>
              <w:rPr>
                <w:rFonts w:eastAsia="Times New Roman"/>
                <w:b/>
                <w:i/>
                <w:snapToGrid w:val="0"/>
                <w:sz w:val="20"/>
                <w:szCs w:val="20"/>
              </w:rPr>
            </w:pPr>
            <w:r w:rsidRPr="00C034BF">
              <w:rPr>
                <w:rFonts w:eastAsia="Times New Roman"/>
                <w:b/>
                <w:snapToGrid w:val="0"/>
                <w:sz w:val="20"/>
                <w:szCs w:val="20"/>
              </w:rPr>
              <w:t>Procentu  izdevumi</w:t>
            </w:r>
          </w:p>
          <w:p w:rsidR="00322AE6" w:rsidRPr="00C034BF" w:rsidRDefault="00322AE6" w:rsidP="00073A67">
            <w:pPr>
              <w:spacing w:after="0"/>
              <w:ind w:firstLine="0"/>
              <w:rPr>
                <w:rFonts w:eastAsia="Times New Roman"/>
                <w:i/>
                <w:snapToGrid w:val="0"/>
                <w:sz w:val="20"/>
                <w:szCs w:val="20"/>
              </w:rPr>
            </w:pPr>
            <w:r w:rsidRPr="00C034BF">
              <w:rPr>
                <w:rFonts w:eastAsia="Times New Roman"/>
                <w:i/>
                <w:snapToGrid w:val="0"/>
                <w:sz w:val="20"/>
                <w:szCs w:val="20"/>
              </w:rPr>
              <w:t>Pārējie procentu maksājumi</w:t>
            </w:r>
          </w:p>
        </w:tc>
        <w:tc>
          <w:tcPr>
            <w:tcW w:w="993" w:type="dxa"/>
            <w:tcBorders>
              <w:bottom w:val="nil"/>
            </w:tcBorders>
          </w:tcPr>
          <w:p w:rsidR="00322AE6" w:rsidRPr="00346E71" w:rsidRDefault="00322AE6" w:rsidP="00073A67">
            <w:pPr>
              <w:tabs>
                <w:tab w:val="decimal" w:pos="794"/>
              </w:tabs>
              <w:spacing w:after="0"/>
              <w:ind w:firstLine="0"/>
              <w:rPr>
                <w:rFonts w:eastAsia="Arial Unicode MS"/>
                <w:i/>
                <w:sz w:val="20"/>
                <w:szCs w:val="20"/>
              </w:rPr>
            </w:pPr>
            <w:r w:rsidRPr="00346E71">
              <w:rPr>
                <w:rFonts w:eastAsia="Times New Roman"/>
                <w:b/>
                <w:sz w:val="20"/>
                <w:szCs w:val="20"/>
              </w:rPr>
              <w:t>0</w:t>
            </w:r>
          </w:p>
        </w:tc>
        <w:tc>
          <w:tcPr>
            <w:tcW w:w="972" w:type="dxa"/>
            <w:tcBorders>
              <w:bottom w:val="nil"/>
            </w:tcBorders>
          </w:tcPr>
          <w:p w:rsidR="00322AE6" w:rsidRPr="00326A4A" w:rsidRDefault="00322AE6" w:rsidP="00073A67">
            <w:pPr>
              <w:tabs>
                <w:tab w:val="decimal" w:pos="794"/>
              </w:tabs>
              <w:spacing w:after="0"/>
              <w:ind w:firstLine="0"/>
              <w:rPr>
                <w:rFonts w:eastAsia="Times New Roman"/>
                <w:b/>
                <w:sz w:val="20"/>
                <w:szCs w:val="20"/>
              </w:rPr>
            </w:pPr>
            <w:r w:rsidRPr="00326A4A">
              <w:rPr>
                <w:rFonts w:eastAsia="Times New Roman"/>
                <w:b/>
                <w:sz w:val="20"/>
                <w:szCs w:val="20"/>
              </w:rPr>
              <w:t>0</w:t>
            </w:r>
          </w:p>
        </w:tc>
        <w:tc>
          <w:tcPr>
            <w:tcW w:w="992" w:type="dxa"/>
            <w:tcBorders>
              <w:bottom w:val="nil"/>
            </w:tcBorders>
          </w:tcPr>
          <w:p w:rsidR="00322AE6" w:rsidRPr="00326A4A" w:rsidRDefault="00322AE6" w:rsidP="00073A67">
            <w:pPr>
              <w:tabs>
                <w:tab w:val="decimal" w:pos="794"/>
              </w:tabs>
              <w:spacing w:after="0"/>
              <w:ind w:firstLine="0"/>
              <w:rPr>
                <w:rFonts w:eastAsia="Arial Unicode MS"/>
                <w:i/>
                <w:sz w:val="20"/>
                <w:szCs w:val="20"/>
              </w:rPr>
            </w:pPr>
            <w:r w:rsidRPr="00326A4A">
              <w:rPr>
                <w:rFonts w:eastAsia="Times New Roman"/>
                <w:b/>
                <w:sz w:val="20"/>
                <w:szCs w:val="20"/>
              </w:rPr>
              <w:t>0</w:t>
            </w:r>
          </w:p>
        </w:tc>
        <w:tc>
          <w:tcPr>
            <w:tcW w:w="992" w:type="dxa"/>
            <w:tcBorders>
              <w:bottom w:val="nil"/>
            </w:tcBorders>
          </w:tcPr>
          <w:p w:rsidR="00322AE6" w:rsidRPr="00326A4A" w:rsidRDefault="00322AE6" w:rsidP="00073A67">
            <w:pPr>
              <w:tabs>
                <w:tab w:val="decimal" w:pos="794"/>
              </w:tabs>
              <w:spacing w:after="0"/>
              <w:ind w:firstLine="0"/>
              <w:rPr>
                <w:rFonts w:eastAsia="Times New Roman"/>
                <w:b/>
                <w:i/>
                <w:sz w:val="20"/>
                <w:szCs w:val="20"/>
              </w:rPr>
            </w:pPr>
            <w:r w:rsidRPr="00326A4A">
              <w:rPr>
                <w:rFonts w:eastAsia="Times New Roman"/>
                <w:b/>
                <w:i/>
                <w:sz w:val="20"/>
                <w:szCs w:val="20"/>
              </w:rPr>
              <w:t>514</w:t>
            </w:r>
          </w:p>
          <w:p w:rsidR="00322AE6" w:rsidRPr="00326A4A" w:rsidRDefault="00322AE6" w:rsidP="00073A67">
            <w:pPr>
              <w:tabs>
                <w:tab w:val="decimal" w:pos="794"/>
              </w:tabs>
              <w:spacing w:after="0"/>
              <w:ind w:firstLine="0"/>
              <w:rPr>
                <w:rFonts w:eastAsia="Arial Unicode MS"/>
                <w:i/>
                <w:sz w:val="20"/>
                <w:szCs w:val="20"/>
              </w:rPr>
            </w:pPr>
          </w:p>
        </w:tc>
        <w:tc>
          <w:tcPr>
            <w:tcW w:w="993" w:type="dxa"/>
            <w:tcBorders>
              <w:bottom w:val="nil"/>
            </w:tcBorders>
          </w:tcPr>
          <w:p w:rsidR="00322AE6" w:rsidRPr="00AA1204" w:rsidRDefault="00322AE6" w:rsidP="00073A67">
            <w:pPr>
              <w:tabs>
                <w:tab w:val="decimal" w:pos="794"/>
              </w:tabs>
              <w:spacing w:after="0"/>
              <w:ind w:firstLine="0"/>
              <w:rPr>
                <w:rFonts w:eastAsia="Times New Roman"/>
                <w:b/>
                <w:i/>
                <w:sz w:val="20"/>
                <w:szCs w:val="20"/>
                <w:highlight w:val="yellow"/>
              </w:rPr>
            </w:pPr>
            <w:r w:rsidRPr="00BD360F">
              <w:rPr>
                <w:rFonts w:eastAsia="Times New Roman"/>
                <w:b/>
                <w:sz w:val="20"/>
                <w:szCs w:val="20"/>
              </w:rPr>
              <w:t>-</w:t>
            </w:r>
          </w:p>
        </w:tc>
        <w:tc>
          <w:tcPr>
            <w:tcW w:w="950" w:type="dxa"/>
            <w:tcBorders>
              <w:bottom w:val="nil"/>
            </w:tcBorders>
          </w:tcPr>
          <w:p w:rsidR="00322AE6" w:rsidRPr="00AA1204" w:rsidRDefault="00322AE6" w:rsidP="00073A67">
            <w:pPr>
              <w:tabs>
                <w:tab w:val="decimal" w:pos="411"/>
              </w:tabs>
              <w:spacing w:after="0"/>
              <w:ind w:firstLine="0"/>
              <w:rPr>
                <w:rFonts w:eastAsia="Times New Roman"/>
                <w:b/>
                <w:sz w:val="20"/>
                <w:szCs w:val="20"/>
                <w:highlight w:val="yellow"/>
              </w:rPr>
            </w:pPr>
            <w:r w:rsidRPr="009815B2">
              <w:rPr>
                <w:rFonts w:eastAsia="Times New Roman"/>
                <w:b/>
                <w:sz w:val="20"/>
                <w:szCs w:val="20"/>
              </w:rPr>
              <w:t>-</w:t>
            </w:r>
          </w:p>
        </w:tc>
        <w:tc>
          <w:tcPr>
            <w:tcW w:w="992" w:type="dxa"/>
            <w:tcBorders>
              <w:bottom w:val="nil"/>
              <w:right w:val="single" w:sz="4" w:space="0" w:color="auto"/>
            </w:tcBorders>
          </w:tcPr>
          <w:p w:rsidR="00322AE6" w:rsidRPr="00F11139" w:rsidRDefault="00322AE6" w:rsidP="00073A67">
            <w:pPr>
              <w:tabs>
                <w:tab w:val="decimal" w:pos="401"/>
              </w:tabs>
              <w:spacing w:after="0"/>
              <w:ind w:firstLine="0"/>
              <w:rPr>
                <w:rFonts w:eastAsia="Times New Roman"/>
                <w:b/>
                <w:sz w:val="20"/>
                <w:szCs w:val="20"/>
              </w:rPr>
            </w:pPr>
            <w:r w:rsidRPr="00F11139">
              <w:rPr>
                <w:rFonts w:eastAsia="Times New Roman"/>
                <w:b/>
                <w:sz w:val="20"/>
                <w:szCs w:val="20"/>
              </w:rPr>
              <w:t>-</w:t>
            </w:r>
          </w:p>
          <w:p w:rsidR="00322AE6" w:rsidRPr="00F11139" w:rsidRDefault="00322AE6" w:rsidP="00073A67">
            <w:pPr>
              <w:tabs>
                <w:tab w:val="decimal" w:pos="401"/>
              </w:tabs>
              <w:spacing w:after="0"/>
              <w:ind w:firstLine="0"/>
              <w:rPr>
                <w:rFonts w:eastAsia="Arial Unicode MS"/>
                <w:i/>
                <w:sz w:val="20"/>
                <w:szCs w:val="20"/>
              </w:rPr>
            </w:pPr>
          </w:p>
        </w:tc>
      </w:tr>
      <w:tr w:rsidR="00322AE6" w:rsidRPr="00AA1204" w:rsidTr="00A761F0">
        <w:trPr>
          <w:cantSplit/>
          <w:jc w:val="center"/>
        </w:trPr>
        <w:tc>
          <w:tcPr>
            <w:tcW w:w="3243" w:type="dxa"/>
            <w:tcBorders>
              <w:left w:val="single" w:sz="4" w:space="0" w:color="auto"/>
              <w:bottom w:val="nil"/>
            </w:tcBorders>
          </w:tcPr>
          <w:p w:rsidR="00322AE6" w:rsidRPr="00C034BF" w:rsidRDefault="00322AE6" w:rsidP="00073A67">
            <w:pPr>
              <w:spacing w:after="0"/>
              <w:ind w:firstLine="0"/>
              <w:rPr>
                <w:rFonts w:eastAsia="Times New Roman"/>
                <w:b/>
                <w:snapToGrid w:val="0"/>
                <w:sz w:val="20"/>
                <w:szCs w:val="20"/>
              </w:rPr>
            </w:pPr>
            <w:r w:rsidRPr="00C034BF">
              <w:rPr>
                <w:rFonts w:eastAsia="Times New Roman"/>
                <w:b/>
                <w:snapToGrid w:val="0"/>
                <w:sz w:val="20"/>
                <w:szCs w:val="20"/>
              </w:rPr>
              <w:t>Subsīdijas, dotācijas un sociālie pabalsti</w:t>
            </w:r>
          </w:p>
        </w:tc>
        <w:tc>
          <w:tcPr>
            <w:tcW w:w="993" w:type="dxa"/>
            <w:tcBorders>
              <w:bottom w:val="nil"/>
            </w:tcBorders>
          </w:tcPr>
          <w:p w:rsidR="00322AE6" w:rsidRPr="00346E71" w:rsidRDefault="00322AE6" w:rsidP="00073A67">
            <w:pPr>
              <w:tabs>
                <w:tab w:val="decimal" w:pos="794"/>
              </w:tabs>
              <w:spacing w:after="0"/>
              <w:ind w:firstLine="0"/>
              <w:rPr>
                <w:rFonts w:eastAsia="Arial Unicode MS"/>
                <w:b/>
                <w:sz w:val="20"/>
                <w:szCs w:val="20"/>
              </w:rPr>
            </w:pPr>
            <w:r w:rsidRPr="00346E71">
              <w:rPr>
                <w:rFonts w:eastAsia="Times New Roman"/>
                <w:b/>
                <w:sz w:val="20"/>
                <w:szCs w:val="20"/>
              </w:rPr>
              <w:t>344 545</w:t>
            </w:r>
          </w:p>
        </w:tc>
        <w:tc>
          <w:tcPr>
            <w:tcW w:w="972" w:type="dxa"/>
            <w:tcBorders>
              <w:bottom w:val="nil"/>
            </w:tcBorders>
          </w:tcPr>
          <w:p w:rsidR="00322AE6" w:rsidRPr="00326A4A" w:rsidRDefault="00322AE6" w:rsidP="00073A67">
            <w:pPr>
              <w:tabs>
                <w:tab w:val="decimal" w:pos="794"/>
              </w:tabs>
              <w:spacing w:after="0"/>
              <w:ind w:firstLine="0"/>
              <w:rPr>
                <w:rFonts w:eastAsia="Times New Roman"/>
                <w:b/>
                <w:sz w:val="20"/>
                <w:szCs w:val="20"/>
              </w:rPr>
            </w:pPr>
            <w:r w:rsidRPr="00326A4A">
              <w:rPr>
                <w:rFonts w:eastAsia="Times New Roman"/>
                <w:b/>
                <w:sz w:val="20"/>
                <w:szCs w:val="20"/>
              </w:rPr>
              <w:t xml:space="preserve">369 016 </w:t>
            </w:r>
          </w:p>
        </w:tc>
        <w:tc>
          <w:tcPr>
            <w:tcW w:w="992" w:type="dxa"/>
            <w:tcBorders>
              <w:bottom w:val="nil"/>
            </w:tcBorders>
          </w:tcPr>
          <w:p w:rsidR="00322AE6" w:rsidRPr="00326A4A" w:rsidRDefault="00322AE6" w:rsidP="00073A67">
            <w:pPr>
              <w:tabs>
                <w:tab w:val="decimal" w:pos="794"/>
              </w:tabs>
              <w:spacing w:after="0"/>
              <w:ind w:firstLine="0"/>
              <w:rPr>
                <w:rFonts w:eastAsia="Arial Unicode MS"/>
                <w:b/>
                <w:sz w:val="20"/>
                <w:szCs w:val="20"/>
              </w:rPr>
            </w:pPr>
            <w:r w:rsidRPr="00326A4A">
              <w:rPr>
                <w:rFonts w:eastAsia="Times New Roman"/>
                <w:b/>
                <w:sz w:val="20"/>
                <w:szCs w:val="20"/>
              </w:rPr>
              <w:t>367 367</w:t>
            </w:r>
          </w:p>
        </w:tc>
        <w:tc>
          <w:tcPr>
            <w:tcW w:w="992" w:type="dxa"/>
            <w:tcBorders>
              <w:bottom w:val="nil"/>
            </w:tcBorders>
          </w:tcPr>
          <w:p w:rsidR="00322AE6" w:rsidRPr="00326A4A" w:rsidRDefault="00322AE6" w:rsidP="00073A67">
            <w:pPr>
              <w:tabs>
                <w:tab w:val="decimal" w:pos="794"/>
              </w:tabs>
              <w:spacing w:after="0"/>
              <w:ind w:firstLine="0"/>
              <w:rPr>
                <w:rFonts w:eastAsia="Arial Unicode MS"/>
                <w:b/>
                <w:sz w:val="20"/>
                <w:szCs w:val="20"/>
              </w:rPr>
            </w:pPr>
            <w:r w:rsidRPr="00326A4A">
              <w:rPr>
                <w:rFonts w:eastAsia="Times New Roman"/>
                <w:b/>
                <w:sz w:val="20"/>
                <w:szCs w:val="20"/>
              </w:rPr>
              <w:t>1 390 418</w:t>
            </w:r>
          </w:p>
        </w:tc>
        <w:tc>
          <w:tcPr>
            <w:tcW w:w="993" w:type="dxa"/>
            <w:tcBorders>
              <w:bottom w:val="nil"/>
            </w:tcBorders>
          </w:tcPr>
          <w:p w:rsidR="00322AE6" w:rsidRPr="00AA1204" w:rsidRDefault="00322AE6" w:rsidP="00073A67">
            <w:pPr>
              <w:tabs>
                <w:tab w:val="decimal" w:pos="794"/>
              </w:tabs>
              <w:spacing w:after="0"/>
              <w:ind w:firstLine="0"/>
              <w:rPr>
                <w:rFonts w:eastAsia="Times New Roman"/>
                <w:b/>
                <w:sz w:val="20"/>
                <w:szCs w:val="20"/>
                <w:highlight w:val="yellow"/>
              </w:rPr>
            </w:pPr>
            <w:r w:rsidRPr="00BD360F">
              <w:rPr>
                <w:rFonts w:eastAsia="Times New Roman"/>
                <w:b/>
                <w:sz w:val="20"/>
                <w:szCs w:val="20"/>
              </w:rPr>
              <w:t>106,6</w:t>
            </w:r>
          </w:p>
        </w:tc>
        <w:tc>
          <w:tcPr>
            <w:tcW w:w="950" w:type="dxa"/>
            <w:tcBorders>
              <w:bottom w:val="nil"/>
            </w:tcBorders>
          </w:tcPr>
          <w:p w:rsidR="00322AE6" w:rsidRPr="00AA1204" w:rsidRDefault="00322AE6" w:rsidP="00073A67">
            <w:pPr>
              <w:tabs>
                <w:tab w:val="decimal" w:pos="411"/>
              </w:tabs>
              <w:spacing w:after="0"/>
              <w:ind w:firstLine="0"/>
              <w:rPr>
                <w:rFonts w:eastAsia="Times New Roman"/>
                <w:b/>
                <w:sz w:val="20"/>
                <w:szCs w:val="20"/>
                <w:highlight w:val="yellow"/>
              </w:rPr>
            </w:pPr>
            <w:r w:rsidRPr="009815B2">
              <w:rPr>
                <w:rFonts w:eastAsia="Times New Roman"/>
                <w:b/>
                <w:sz w:val="20"/>
                <w:szCs w:val="20"/>
              </w:rPr>
              <w:t>99,6</w:t>
            </w:r>
          </w:p>
        </w:tc>
        <w:tc>
          <w:tcPr>
            <w:tcW w:w="992" w:type="dxa"/>
            <w:tcBorders>
              <w:bottom w:val="nil"/>
              <w:right w:val="single" w:sz="4" w:space="0" w:color="auto"/>
            </w:tcBorders>
          </w:tcPr>
          <w:p w:rsidR="00322AE6" w:rsidRPr="00AA1204" w:rsidRDefault="00322AE6" w:rsidP="00073A67">
            <w:pPr>
              <w:tabs>
                <w:tab w:val="decimal" w:pos="401"/>
              </w:tabs>
              <w:spacing w:after="0"/>
              <w:ind w:firstLine="0"/>
              <w:rPr>
                <w:rFonts w:eastAsia="Arial Unicode MS"/>
                <w:b/>
                <w:sz w:val="20"/>
                <w:szCs w:val="20"/>
                <w:highlight w:val="yellow"/>
              </w:rPr>
            </w:pPr>
            <w:r w:rsidRPr="00F11139">
              <w:rPr>
                <w:rFonts w:eastAsia="Times New Roman"/>
                <w:b/>
                <w:sz w:val="20"/>
                <w:szCs w:val="20"/>
              </w:rPr>
              <w:t>26,4</w:t>
            </w:r>
          </w:p>
        </w:tc>
      </w:tr>
      <w:tr w:rsidR="00322AE6" w:rsidRPr="00AA1204" w:rsidTr="00A761F0">
        <w:trPr>
          <w:cantSplit/>
          <w:jc w:val="center"/>
        </w:trPr>
        <w:tc>
          <w:tcPr>
            <w:tcW w:w="3243" w:type="dxa"/>
            <w:tcBorders>
              <w:top w:val="nil"/>
              <w:left w:val="single" w:sz="4" w:space="0" w:color="auto"/>
              <w:bottom w:val="single" w:sz="4" w:space="0" w:color="auto"/>
            </w:tcBorders>
          </w:tcPr>
          <w:p w:rsidR="00322AE6" w:rsidRPr="00C034BF" w:rsidRDefault="00322AE6" w:rsidP="00073A67">
            <w:pPr>
              <w:spacing w:after="0"/>
              <w:ind w:firstLine="0"/>
              <w:rPr>
                <w:rFonts w:eastAsia="Times New Roman"/>
                <w:snapToGrid w:val="0"/>
                <w:sz w:val="20"/>
                <w:szCs w:val="20"/>
              </w:rPr>
            </w:pPr>
            <w:r w:rsidRPr="00C034BF">
              <w:rPr>
                <w:rFonts w:eastAsia="Times New Roman"/>
                <w:snapToGrid w:val="0"/>
                <w:sz w:val="20"/>
                <w:szCs w:val="20"/>
              </w:rPr>
              <w:t xml:space="preserve">   Subsīdijas un dotācijas</w:t>
            </w:r>
          </w:p>
          <w:p w:rsidR="00322AE6" w:rsidRPr="00C034BF" w:rsidRDefault="00322AE6" w:rsidP="00073A67">
            <w:pPr>
              <w:spacing w:after="0"/>
              <w:ind w:firstLine="0"/>
              <w:rPr>
                <w:rFonts w:eastAsia="Times New Roman"/>
                <w:snapToGrid w:val="0"/>
                <w:sz w:val="20"/>
                <w:szCs w:val="20"/>
              </w:rPr>
            </w:pPr>
            <w:r w:rsidRPr="00C034BF">
              <w:rPr>
                <w:rFonts w:eastAsia="Times New Roman"/>
                <w:snapToGrid w:val="0"/>
                <w:sz w:val="20"/>
                <w:szCs w:val="20"/>
              </w:rPr>
              <w:t xml:space="preserve">   Sociālie pabalsti:</w:t>
            </w:r>
          </w:p>
          <w:p w:rsidR="00322AE6" w:rsidRPr="00C034BF" w:rsidRDefault="00322AE6" w:rsidP="00073A67">
            <w:pPr>
              <w:spacing w:after="0"/>
              <w:ind w:firstLine="0"/>
              <w:rPr>
                <w:rFonts w:eastAsia="Times New Roman"/>
                <w:i/>
                <w:snapToGrid w:val="0"/>
                <w:sz w:val="20"/>
                <w:szCs w:val="20"/>
              </w:rPr>
            </w:pPr>
            <w:r w:rsidRPr="00C034BF">
              <w:rPr>
                <w:rFonts w:eastAsia="Times New Roman"/>
                <w:snapToGrid w:val="0"/>
                <w:sz w:val="20"/>
                <w:szCs w:val="20"/>
              </w:rPr>
              <w:t xml:space="preserve">       </w:t>
            </w:r>
            <w:r w:rsidRPr="00C034BF">
              <w:rPr>
                <w:rFonts w:eastAsia="Times New Roman"/>
                <w:i/>
                <w:snapToGrid w:val="0"/>
                <w:sz w:val="20"/>
                <w:szCs w:val="20"/>
              </w:rPr>
              <w:t>Valsts pensijas</w:t>
            </w:r>
          </w:p>
          <w:p w:rsidR="00322AE6" w:rsidRPr="00C034BF" w:rsidRDefault="00322AE6" w:rsidP="00073A67">
            <w:pPr>
              <w:spacing w:after="0"/>
              <w:ind w:firstLine="0"/>
              <w:rPr>
                <w:rFonts w:eastAsia="Times New Roman"/>
                <w:i/>
                <w:snapToGrid w:val="0"/>
                <w:sz w:val="20"/>
                <w:szCs w:val="20"/>
              </w:rPr>
            </w:pPr>
            <w:r w:rsidRPr="00C034BF">
              <w:rPr>
                <w:rFonts w:eastAsia="Times New Roman"/>
                <w:i/>
                <w:snapToGrid w:val="0"/>
                <w:sz w:val="20"/>
                <w:szCs w:val="20"/>
              </w:rPr>
              <w:t xml:space="preserve">       Valsts sociālās apdrošināšanas pabalsti  naudā</w:t>
            </w:r>
          </w:p>
          <w:p w:rsidR="00322AE6" w:rsidRPr="00C034BF" w:rsidRDefault="00322AE6" w:rsidP="00073A67">
            <w:pPr>
              <w:spacing w:after="0"/>
              <w:ind w:firstLine="0"/>
              <w:rPr>
                <w:rFonts w:eastAsia="Times New Roman"/>
                <w:i/>
                <w:snapToGrid w:val="0"/>
                <w:sz w:val="20"/>
                <w:szCs w:val="20"/>
              </w:rPr>
            </w:pPr>
            <w:r w:rsidRPr="00C034BF">
              <w:rPr>
                <w:rFonts w:eastAsia="Times New Roman"/>
                <w:i/>
                <w:snapToGrid w:val="0"/>
                <w:sz w:val="20"/>
                <w:szCs w:val="20"/>
              </w:rPr>
              <w:t xml:space="preserve">       Valsts nodarbinātības pabalsti</w:t>
            </w:r>
          </w:p>
          <w:p w:rsidR="00322AE6" w:rsidRPr="00C034BF" w:rsidRDefault="00322AE6" w:rsidP="00073A67">
            <w:pPr>
              <w:spacing w:after="0"/>
              <w:ind w:firstLine="0"/>
              <w:rPr>
                <w:rFonts w:eastAsia="Times New Roman"/>
                <w:snapToGrid w:val="0"/>
                <w:sz w:val="20"/>
                <w:szCs w:val="20"/>
              </w:rPr>
            </w:pPr>
            <w:r w:rsidRPr="00C034BF">
              <w:rPr>
                <w:rFonts w:eastAsia="Times New Roman"/>
                <w:i/>
                <w:snapToGrid w:val="0"/>
                <w:sz w:val="20"/>
                <w:szCs w:val="20"/>
              </w:rPr>
              <w:t xml:space="preserve">       Pārējie maksājumi iedzīvotājiem</w:t>
            </w:r>
          </w:p>
        </w:tc>
        <w:tc>
          <w:tcPr>
            <w:tcW w:w="993" w:type="dxa"/>
            <w:tcBorders>
              <w:top w:val="nil"/>
              <w:bottom w:val="single" w:sz="4" w:space="0" w:color="auto"/>
            </w:tcBorders>
          </w:tcPr>
          <w:p w:rsidR="00322AE6" w:rsidRPr="00346E71" w:rsidRDefault="00322AE6" w:rsidP="00073A67">
            <w:pPr>
              <w:tabs>
                <w:tab w:val="decimal" w:pos="794"/>
              </w:tabs>
              <w:spacing w:after="0"/>
              <w:ind w:firstLine="0"/>
              <w:rPr>
                <w:rFonts w:eastAsia="Arial Unicode MS"/>
                <w:sz w:val="20"/>
                <w:szCs w:val="20"/>
              </w:rPr>
            </w:pPr>
            <w:r w:rsidRPr="00346E71">
              <w:rPr>
                <w:rFonts w:eastAsia="Arial Unicode MS"/>
                <w:sz w:val="20"/>
                <w:szCs w:val="20"/>
              </w:rPr>
              <w:t>1 275</w:t>
            </w:r>
          </w:p>
          <w:p w:rsidR="00322AE6" w:rsidRPr="00346E71" w:rsidRDefault="00322AE6" w:rsidP="00073A67">
            <w:pPr>
              <w:tabs>
                <w:tab w:val="decimal" w:pos="794"/>
              </w:tabs>
              <w:spacing w:after="0"/>
              <w:ind w:firstLine="0"/>
              <w:rPr>
                <w:rFonts w:eastAsia="Arial Unicode MS"/>
                <w:sz w:val="20"/>
                <w:szCs w:val="20"/>
              </w:rPr>
            </w:pPr>
            <w:r w:rsidRPr="00346E71">
              <w:rPr>
                <w:rFonts w:eastAsia="Arial Unicode MS"/>
                <w:sz w:val="20"/>
                <w:szCs w:val="20"/>
              </w:rPr>
              <w:t>343 270</w:t>
            </w:r>
          </w:p>
          <w:p w:rsidR="00322AE6" w:rsidRPr="00346E71" w:rsidRDefault="00322AE6" w:rsidP="00073A67">
            <w:pPr>
              <w:tabs>
                <w:tab w:val="decimal" w:pos="794"/>
              </w:tabs>
              <w:spacing w:after="0"/>
              <w:ind w:firstLine="0"/>
              <w:rPr>
                <w:rFonts w:eastAsia="Arial Unicode MS"/>
                <w:i/>
                <w:sz w:val="20"/>
                <w:szCs w:val="20"/>
              </w:rPr>
            </w:pPr>
            <w:r w:rsidRPr="00346E71">
              <w:rPr>
                <w:rFonts w:eastAsia="Arial Unicode MS"/>
                <w:i/>
                <w:sz w:val="20"/>
                <w:szCs w:val="20"/>
              </w:rPr>
              <w:t>29</w:t>
            </w:r>
            <w:r>
              <w:rPr>
                <w:rFonts w:eastAsia="Arial Unicode MS"/>
                <w:i/>
                <w:sz w:val="20"/>
                <w:szCs w:val="20"/>
              </w:rPr>
              <w:t>2</w:t>
            </w:r>
            <w:r w:rsidRPr="00346E71">
              <w:rPr>
                <w:rFonts w:eastAsia="Arial Unicode MS"/>
                <w:i/>
                <w:sz w:val="20"/>
                <w:szCs w:val="20"/>
              </w:rPr>
              <w:t> 384</w:t>
            </w:r>
          </w:p>
          <w:p w:rsidR="00322AE6" w:rsidRPr="00346E71" w:rsidRDefault="00322AE6" w:rsidP="00073A67">
            <w:pPr>
              <w:tabs>
                <w:tab w:val="decimal" w:pos="794"/>
              </w:tabs>
              <w:spacing w:after="0"/>
              <w:ind w:firstLine="0"/>
              <w:rPr>
                <w:rFonts w:eastAsia="Arial Unicode MS"/>
                <w:i/>
                <w:sz w:val="20"/>
                <w:szCs w:val="20"/>
              </w:rPr>
            </w:pPr>
          </w:p>
          <w:p w:rsidR="00322AE6" w:rsidRPr="00346E71" w:rsidRDefault="00322AE6" w:rsidP="00073A67">
            <w:pPr>
              <w:tabs>
                <w:tab w:val="decimal" w:pos="794"/>
              </w:tabs>
              <w:spacing w:after="0"/>
              <w:ind w:firstLine="0"/>
              <w:rPr>
                <w:rFonts w:eastAsia="Arial Unicode MS"/>
                <w:i/>
                <w:sz w:val="20"/>
                <w:szCs w:val="20"/>
              </w:rPr>
            </w:pPr>
            <w:r w:rsidRPr="00346E71">
              <w:rPr>
                <w:rFonts w:eastAsia="Arial Unicode MS"/>
                <w:i/>
                <w:sz w:val="20"/>
                <w:szCs w:val="20"/>
              </w:rPr>
              <w:t>38 153</w:t>
            </w:r>
          </w:p>
          <w:p w:rsidR="00322AE6" w:rsidRPr="00346E71" w:rsidRDefault="00322AE6" w:rsidP="00073A67">
            <w:pPr>
              <w:tabs>
                <w:tab w:val="decimal" w:pos="794"/>
              </w:tabs>
              <w:spacing w:after="0"/>
              <w:ind w:firstLine="0"/>
              <w:rPr>
                <w:rFonts w:eastAsia="Arial Unicode MS"/>
                <w:i/>
                <w:sz w:val="20"/>
                <w:szCs w:val="20"/>
              </w:rPr>
            </w:pPr>
            <w:r w:rsidRPr="00346E71">
              <w:rPr>
                <w:rFonts w:eastAsia="Arial Unicode MS"/>
                <w:i/>
                <w:sz w:val="20"/>
                <w:szCs w:val="20"/>
              </w:rPr>
              <w:t>12 286</w:t>
            </w:r>
          </w:p>
          <w:p w:rsidR="00322AE6" w:rsidRPr="00346E71" w:rsidRDefault="00322AE6" w:rsidP="00073A67">
            <w:pPr>
              <w:tabs>
                <w:tab w:val="decimal" w:pos="794"/>
              </w:tabs>
              <w:spacing w:after="0"/>
              <w:ind w:firstLine="0"/>
              <w:rPr>
                <w:rFonts w:eastAsia="Arial Unicode MS"/>
                <w:sz w:val="20"/>
                <w:szCs w:val="20"/>
              </w:rPr>
            </w:pPr>
            <w:r w:rsidRPr="00346E71">
              <w:rPr>
                <w:rFonts w:eastAsia="Arial Unicode MS"/>
                <w:i/>
                <w:sz w:val="20"/>
                <w:szCs w:val="20"/>
              </w:rPr>
              <w:t>447</w:t>
            </w:r>
          </w:p>
        </w:tc>
        <w:tc>
          <w:tcPr>
            <w:tcW w:w="972" w:type="dxa"/>
            <w:tcBorders>
              <w:top w:val="nil"/>
              <w:bottom w:val="single" w:sz="4" w:space="0" w:color="auto"/>
            </w:tcBorders>
          </w:tcPr>
          <w:p w:rsidR="00322AE6" w:rsidRPr="00326A4A" w:rsidRDefault="00322AE6" w:rsidP="00073A67">
            <w:pPr>
              <w:tabs>
                <w:tab w:val="decimal" w:pos="794"/>
              </w:tabs>
              <w:spacing w:after="0"/>
              <w:ind w:firstLine="0"/>
              <w:rPr>
                <w:rFonts w:eastAsia="Arial Unicode MS"/>
                <w:sz w:val="20"/>
                <w:szCs w:val="20"/>
              </w:rPr>
            </w:pPr>
            <w:r w:rsidRPr="00326A4A">
              <w:rPr>
                <w:rFonts w:eastAsia="Arial Unicode MS"/>
                <w:sz w:val="20"/>
                <w:szCs w:val="20"/>
              </w:rPr>
              <w:t>1 259</w:t>
            </w:r>
          </w:p>
          <w:p w:rsidR="00322AE6" w:rsidRPr="00326A4A" w:rsidRDefault="00322AE6" w:rsidP="00073A67">
            <w:pPr>
              <w:tabs>
                <w:tab w:val="decimal" w:pos="794"/>
              </w:tabs>
              <w:spacing w:after="0"/>
              <w:ind w:firstLine="0"/>
              <w:rPr>
                <w:rFonts w:eastAsia="Arial Unicode MS"/>
                <w:sz w:val="20"/>
                <w:szCs w:val="20"/>
              </w:rPr>
            </w:pPr>
            <w:r w:rsidRPr="00326A4A">
              <w:rPr>
                <w:rFonts w:eastAsia="Arial Unicode MS"/>
                <w:sz w:val="20"/>
                <w:szCs w:val="20"/>
              </w:rPr>
              <w:t>367 757</w:t>
            </w:r>
          </w:p>
          <w:p w:rsidR="00322AE6" w:rsidRPr="00AA1204" w:rsidRDefault="00322AE6" w:rsidP="00073A67">
            <w:pPr>
              <w:tabs>
                <w:tab w:val="decimal" w:pos="794"/>
              </w:tabs>
              <w:spacing w:after="0"/>
              <w:ind w:firstLine="0"/>
              <w:rPr>
                <w:rFonts w:eastAsia="Arial Unicode MS"/>
                <w:sz w:val="20"/>
                <w:szCs w:val="20"/>
                <w:highlight w:val="yellow"/>
              </w:rPr>
            </w:pPr>
          </w:p>
          <w:p w:rsidR="00322AE6" w:rsidRPr="00AA1204" w:rsidRDefault="00322AE6" w:rsidP="00073A67">
            <w:pPr>
              <w:tabs>
                <w:tab w:val="decimal" w:pos="794"/>
              </w:tabs>
              <w:spacing w:after="0"/>
              <w:ind w:firstLine="0"/>
              <w:rPr>
                <w:rFonts w:eastAsia="Arial Unicode MS"/>
                <w:sz w:val="20"/>
                <w:szCs w:val="20"/>
                <w:highlight w:val="yellow"/>
              </w:rPr>
            </w:pPr>
          </w:p>
          <w:p w:rsidR="00322AE6" w:rsidRPr="00AA1204" w:rsidRDefault="00322AE6" w:rsidP="00073A67">
            <w:pPr>
              <w:tabs>
                <w:tab w:val="decimal" w:pos="794"/>
              </w:tabs>
              <w:spacing w:after="0"/>
              <w:ind w:firstLine="0"/>
              <w:rPr>
                <w:rFonts w:eastAsia="Arial Unicode MS"/>
                <w:sz w:val="20"/>
                <w:szCs w:val="20"/>
                <w:highlight w:val="yellow"/>
              </w:rPr>
            </w:pPr>
          </w:p>
          <w:p w:rsidR="00322AE6" w:rsidRPr="00AA1204" w:rsidRDefault="00322AE6" w:rsidP="00073A67">
            <w:pPr>
              <w:tabs>
                <w:tab w:val="decimal" w:pos="794"/>
              </w:tabs>
              <w:spacing w:after="0"/>
              <w:ind w:firstLine="0"/>
              <w:rPr>
                <w:rFonts w:eastAsia="Arial Unicode MS"/>
                <w:sz w:val="20"/>
                <w:szCs w:val="20"/>
                <w:highlight w:val="yellow"/>
              </w:rPr>
            </w:pPr>
          </w:p>
        </w:tc>
        <w:tc>
          <w:tcPr>
            <w:tcW w:w="992" w:type="dxa"/>
            <w:tcBorders>
              <w:top w:val="nil"/>
              <w:bottom w:val="single" w:sz="4" w:space="0" w:color="auto"/>
            </w:tcBorders>
          </w:tcPr>
          <w:p w:rsidR="00322AE6" w:rsidRPr="00326A4A" w:rsidRDefault="00322AE6" w:rsidP="00073A67">
            <w:pPr>
              <w:tabs>
                <w:tab w:val="decimal" w:pos="794"/>
              </w:tabs>
              <w:spacing w:after="0"/>
              <w:ind w:firstLine="0"/>
              <w:rPr>
                <w:rFonts w:eastAsia="Arial Unicode MS"/>
                <w:sz w:val="20"/>
                <w:szCs w:val="20"/>
              </w:rPr>
            </w:pPr>
            <w:r w:rsidRPr="00326A4A">
              <w:rPr>
                <w:rFonts w:eastAsia="Arial Unicode MS"/>
                <w:sz w:val="20"/>
                <w:szCs w:val="20"/>
              </w:rPr>
              <w:t>1 259</w:t>
            </w:r>
          </w:p>
          <w:p w:rsidR="00322AE6" w:rsidRPr="00326A4A" w:rsidRDefault="00322AE6" w:rsidP="00073A67">
            <w:pPr>
              <w:tabs>
                <w:tab w:val="decimal" w:pos="794"/>
              </w:tabs>
              <w:spacing w:after="0"/>
              <w:ind w:firstLine="0"/>
              <w:rPr>
                <w:rFonts w:eastAsia="Arial Unicode MS"/>
                <w:sz w:val="20"/>
                <w:szCs w:val="20"/>
              </w:rPr>
            </w:pPr>
            <w:r w:rsidRPr="00326A4A">
              <w:rPr>
                <w:rFonts w:eastAsia="Arial Unicode MS"/>
                <w:sz w:val="20"/>
                <w:szCs w:val="20"/>
              </w:rPr>
              <w:t>366 108</w:t>
            </w:r>
          </w:p>
          <w:p w:rsidR="00322AE6" w:rsidRPr="00D21049" w:rsidRDefault="00322AE6" w:rsidP="00073A67">
            <w:pPr>
              <w:tabs>
                <w:tab w:val="decimal" w:pos="794"/>
              </w:tabs>
              <w:spacing w:after="0"/>
              <w:ind w:firstLine="0"/>
              <w:rPr>
                <w:rFonts w:eastAsia="Arial Unicode MS"/>
                <w:i/>
                <w:sz w:val="20"/>
                <w:szCs w:val="20"/>
              </w:rPr>
            </w:pPr>
            <w:r w:rsidRPr="00D21049">
              <w:rPr>
                <w:rFonts w:eastAsia="Arial Unicode MS"/>
                <w:i/>
                <w:sz w:val="20"/>
                <w:szCs w:val="20"/>
              </w:rPr>
              <w:t>3</w:t>
            </w:r>
            <w:r>
              <w:rPr>
                <w:rFonts w:eastAsia="Arial Unicode MS"/>
                <w:i/>
                <w:sz w:val="20"/>
                <w:szCs w:val="20"/>
              </w:rPr>
              <w:t>20</w:t>
            </w:r>
            <w:r w:rsidRPr="00D21049">
              <w:rPr>
                <w:rFonts w:eastAsia="Arial Unicode MS"/>
                <w:i/>
                <w:sz w:val="20"/>
                <w:szCs w:val="20"/>
              </w:rPr>
              <w:t> </w:t>
            </w:r>
            <w:r>
              <w:rPr>
                <w:rFonts w:eastAsia="Arial Unicode MS"/>
                <w:i/>
                <w:sz w:val="20"/>
                <w:szCs w:val="20"/>
              </w:rPr>
              <w:t>797</w:t>
            </w:r>
          </w:p>
          <w:p w:rsidR="00322AE6" w:rsidRPr="00514A1F" w:rsidRDefault="00322AE6" w:rsidP="00073A67">
            <w:pPr>
              <w:tabs>
                <w:tab w:val="decimal" w:pos="794"/>
              </w:tabs>
              <w:spacing w:after="0"/>
              <w:ind w:firstLine="0"/>
              <w:rPr>
                <w:rFonts w:eastAsia="Arial Unicode MS"/>
                <w:i/>
                <w:sz w:val="20"/>
                <w:szCs w:val="20"/>
                <w:highlight w:val="yellow"/>
              </w:rPr>
            </w:pPr>
          </w:p>
          <w:p w:rsidR="00322AE6" w:rsidRPr="00D21049" w:rsidRDefault="00322AE6" w:rsidP="00073A67">
            <w:pPr>
              <w:tabs>
                <w:tab w:val="decimal" w:pos="794"/>
              </w:tabs>
              <w:spacing w:after="0"/>
              <w:ind w:firstLine="0"/>
              <w:rPr>
                <w:rFonts w:eastAsia="Arial Unicode MS"/>
                <w:i/>
                <w:sz w:val="20"/>
                <w:szCs w:val="20"/>
              </w:rPr>
            </w:pPr>
            <w:r w:rsidRPr="00D21049">
              <w:rPr>
                <w:rFonts w:eastAsia="Arial Unicode MS"/>
                <w:i/>
                <w:sz w:val="20"/>
                <w:szCs w:val="20"/>
              </w:rPr>
              <w:t>33 534</w:t>
            </w:r>
          </w:p>
          <w:p w:rsidR="00322AE6" w:rsidRPr="00D21049" w:rsidRDefault="00322AE6" w:rsidP="00073A67">
            <w:pPr>
              <w:tabs>
                <w:tab w:val="decimal" w:pos="794"/>
              </w:tabs>
              <w:spacing w:after="0"/>
              <w:ind w:firstLine="0"/>
              <w:rPr>
                <w:rFonts w:eastAsia="Arial Unicode MS"/>
                <w:i/>
                <w:sz w:val="20"/>
                <w:szCs w:val="20"/>
              </w:rPr>
            </w:pPr>
            <w:r w:rsidRPr="00D21049">
              <w:rPr>
                <w:rFonts w:eastAsia="Arial Unicode MS"/>
                <w:i/>
                <w:sz w:val="20"/>
                <w:szCs w:val="20"/>
              </w:rPr>
              <w:t>11 248</w:t>
            </w:r>
          </w:p>
          <w:p w:rsidR="00322AE6" w:rsidRPr="00514A1F" w:rsidRDefault="00322AE6" w:rsidP="00073A67">
            <w:pPr>
              <w:tabs>
                <w:tab w:val="decimal" w:pos="794"/>
              </w:tabs>
              <w:spacing w:after="0"/>
              <w:ind w:firstLine="0"/>
              <w:rPr>
                <w:rFonts w:eastAsia="Arial Unicode MS"/>
                <w:sz w:val="20"/>
                <w:szCs w:val="20"/>
                <w:highlight w:val="yellow"/>
              </w:rPr>
            </w:pPr>
            <w:r w:rsidRPr="00D21049">
              <w:rPr>
                <w:rFonts w:eastAsia="Arial Unicode MS"/>
                <w:sz w:val="20"/>
                <w:szCs w:val="20"/>
              </w:rPr>
              <w:t>529</w:t>
            </w:r>
          </w:p>
        </w:tc>
        <w:tc>
          <w:tcPr>
            <w:tcW w:w="992" w:type="dxa"/>
            <w:tcBorders>
              <w:top w:val="nil"/>
              <w:bottom w:val="single" w:sz="4" w:space="0" w:color="auto"/>
            </w:tcBorders>
          </w:tcPr>
          <w:p w:rsidR="00322AE6" w:rsidRPr="00326A4A" w:rsidRDefault="00322AE6" w:rsidP="00073A67">
            <w:pPr>
              <w:tabs>
                <w:tab w:val="decimal" w:pos="794"/>
              </w:tabs>
              <w:spacing w:after="0"/>
              <w:ind w:firstLine="0"/>
              <w:rPr>
                <w:rFonts w:eastAsia="Times New Roman"/>
                <w:sz w:val="20"/>
                <w:szCs w:val="20"/>
              </w:rPr>
            </w:pPr>
            <w:r w:rsidRPr="00326A4A">
              <w:rPr>
                <w:rFonts w:eastAsia="Times New Roman"/>
                <w:sz w:val="20"/>
                <w:szCs w:val="20"/>
              </w:rPr>
              <w:t>4 132</w:t>
            </w:r>
          </w:p>
          <w:p w:rsidR="00322AE6" w:rsidRPr="00326A4A" w:rsidRDefault="00322AE6" w:rsidP="00073A67">
            <w:pPr>
              <w:tabs>
                <w:tab w:val="decimal" w:pos="794"/>
              </w:tabs>
              <w:spacing w:after="0"/>
              <w:ind w:firstLine="0"/>
              <w:rPr>
                <w:rFonts w:eastAsia="Times New Roman"/>
                <w:sz w:val="20"/>
                <w:szCs w:val="20"/>
              </w:rPr>
            </w:pPr>
            <w:r w:rsidRPr="00326A4A">
              <w:rPr>
                <w:rFonts w:eastAsia="Times New Roman"/>
                <w:sz w:val="20"/>
                <w:szCs w:val="20"/>
              </w:rPr>
              <w:t>1 386 286 </w:t>
            </w:r>
          </w:p>
          <w:p w:rsidR="00322AE6" w:rsidRPr="00AA1204" w:rsidRDefault="00322AE6" w:rsidP="00073A67">
            <w:pPr>
              <w:tabs>
                <w:tab w:val="decimal" w:pos="794"/>
              </w:tabs>
              <w:spacing w:after="0"/>
              <w:ind w:firstLine="0"/>
              <w:rPr>
                <w:rFonts w:eastAsia="Times New Roman"/>
                <w:sz w:val="20"/>
                <w:szCs w:val="20"/>
                <w:highlight w:val="yellow"/>
              </w:rPr>
            </w:pPr>
          </w:p>
          <w:p w:rsidR="00322AE6" w:rsidRPr="00AA1204" w:rsidRDefault="00322AE6" w:rsidP="00073A67">
            <w:pPr>
              <w:tabs>
                <w:tab w:val="decimal" w:pos="794"/>
              </w:tabs>
              <w:spacing w:after="0"/>
              <w:ind w:firstLine="0"/>
              <w:rPr>
                <w:rFonts w:eastAsia="Times New Roman"/>
                <w:sz w:val="20"/>
                <w:szCs w:val="20"/>
                <w:highlight w:val="yellow"/>
              </w:rPr>
            </w:pPr>
          </w:p>
          <w:p w:rsidR="00322AE6" w:rsidRPr="00AA1204" w:rsidRDefault="00322AE6" w:rsidP="00073A67">
            <w:pPr>
              <w:tabs>
                <w:tab w:val="decimal" w:pos="794"/>
              </w:tabs>
              <w:spacing w:after="0"/>
              <w:ind w:firstLine="0"/>
              <w:rPr>
                <w:rFonts w:eastAsia="Times New Roman"/>
                <w:sz w:val="20"/>
                <w:szCs w:val="20"/>
                <w:highlight w:val="yellow"/>
              </w:rPr>
            </w:pPr>
          </w:p>
          <w:p w:rsidR="00322AE6" w:rsidRPr="00AA1204" w:rsidRDefault="00322AE6" w:rsidP="00073A67">
            <w:pPr>
              <w:tabs>
                <w:tab w:val="decimal" w:pos="794"/>
              </w:tabs>
              <w:spacing w:after="0"/>
              <w:ind w:firstLine="0"/>
              <w:rPr>
                <w:rFonts w:eastAsia="Arial Unicode MS"/>
                <w:sz w:val="20"/>
                <w:szCs w:val="20"/>
                <w:highlight w:val="yellow"/>
              </w:rPr>
            </w:pPr>
          </w:p>
        </w:tc>
        <w:tc>
          <w:tcPr>
            <w:tcW w:w="993" w:type="dxa"/>
            <w:tcBorders>
              <w:top w:val="nil"/>
              <w:bottom w:val="single" w:sz="4" w:space="0" w:color="auto"/>
            </w:tcBorders>
          </w:tcPr>
          <w:p w:rsidR="00322AE6" w:rsidRPr="00591B06" w:rsidRDefault="00322AE6" w:rsidP="00073A67">
            <w:pPr>
              <w:tabs>
                <w:tab w:val="decimal" w:pos="794"/>
              </w:tabs>
              <w:spacing w:after="0"/>
              <w:ind w:firstLine="0"/>
              <w:rPr>
                <w:rFonts w:eastAsia="Times New Roman"/>
                <w:sz w:val="20"/>
                <w:szCs w:val="20"/>
              </w:rPr>
            </w:pPr>
            <w:r w:rsidRPr="00591B06">
              <w:rPr>
                <w:rFonts w:eastAsia="Times New Roman"/>
                <w:sz w:val="20"/>
                <w:szCs w:val="20"/>
              </w:rPr>
              <w:t>98,7</w:t>
            </w:r>
          </w:p>
          <w:p w:rsidR="00322AE6" w:rsidRPr="00591B06" w:rsidRDefault="00322AE6" w:rsidP="00073A67">
            <w:pPr>
              <w:tabs>
                <w:tab w:val="decimal" w:pos="794"/>
              </w:tabs>
              <w:spacing w:after="0"/>
              <w:ind w:firstLine="0"/>
              <w:rPr>
                <w:rFonts w:eastAsia="Times New Roman"/>
                <w:sz w:val="20"/>
                <w:szCs w:val="20"/>
              </w:rPr>
            </w:pPr>
            <w:r w:rsidRPr="00591B06">
              <w:rPr>
                <w:rFonts w:eastAsia="Times New Roman"/>
                <w:sz w:val="20"/>
                <w:szCs w:val="20"/>
              </w:rPr>
              <w:t>106,7</w:t>
            </w:r>
          </w:p>
          <w:p w:rsidR="00322AE6" w:rsidRPr="00591B06" w:rsidRDefault="00322AE6" w:rsidP="00073A67">
            <w:pPr>
              <w:tabs>
                <w:tab w:val="decimal" w:pos="794"/>
              </w:tabs>
              <w:spacing w:after="0"/>
              <w:ind w:firstLine="0"/>
              <w:rPr>
                <w:rFonts w:eastAsia="Times New Roman"/>
                <w:sz w:val="20"/>
                <w:szCs w:val="20"/>
              </w:rPr>
            </w:pPr>
            <w:r w:rsidRPr="00591B06">
              <w:rPr>
                <w:rFonts w:eastAsia="Times New Roman"/>
                <w:sz w:val="20"/>
                <w:szCs w:val="20"/>
              </w:rPr>
              <w:t>109,7</w:t>
            </w:r>
          </w:p>
          <w:p w:rsidR="00322AE6" w:rsidRPr="00591B06" w:rsidRDefault="00322AE6" w:rsidP="00073A67">
            <w:pPr>
              <w:tabs>
                <w:tab w:val="decimal" w:pos="794"/>
              </w:tabs>
              <w:spacing w:after="0"/>
              <w:ind w:firstLine="0"/>
              <w:rPr>
                <w:rFonts w:eastAsia="Times New Roman"/>
                <w:sz w:val="20"/>
                <w:szCs w:val="20"/>
              </w:rPr>
            </w:pPr>
            <w:r w:rsidRPr="00591B06">
              <w:rPr>
                <w:rFonts w:eastAsia="Times New Roman"/>
                <w:sz w:val="20"/>
                <w:szCs w:val="20"/>
              </w:rPr>
              <w:t>87,9</w:t>
            </w:r>
          </w:p>
          <w:p w:rsidR="00322AE6" w:rsidRPr="00591B06" w:rsidRDefault="00322AE6" w:rsidP="00073A67">
            <w:pPr>
              <w:tabs>
                <w:tab w:val="decimal" w:pos="794"/>
              </w:tabs>
              <w:spacing w:after="0"/>
              <w:ind w:firstLine="0"/>
              <w:rPr>
                <w:rFonts w:eastAsia="Times New Roman"/>
                <w:sz w:val="20"/>
                <w:szCs w:val="20"/>
              </w:rPr>
            </w:pPr>
          </w:p>
          <w:p w:rsidR="00322AE6" w:rsidRPr="00591B06" w:rsidRDefault="00322AE6" w:rsidP="00073A67">
            <w:pPr>
              <w:tabs>
                <w:tab w:val="decimal" w:pos="794"/>
              </w:tabs>
              <w:spacing w:after="0"/>
              <w:ind w:firstLine="0"/>
              <w:rPr>
                <w:rFonts w:eastAsia="Times New Roman"/>
                <w:sz w:val="20"/>
                <w:szCs w:val="20"/>
              </w:rPr>
            </w:pPr>
            <w:r w:rsidRPr="00591B06">
              <w:rPr>
                <w:rFonts w:eastAsia="Times New Roman"/>
                <w:sz w:val="20"/>
                <w:szCs w:val="20"/>
              </w:rPr>
              <w:t>91,6</w:t>
            </w:r>
          </w:p>
          <w:p w:rsidR="00322AE6" w:rsidRPr="00AA1204" w:rsidRDefault="00322AE6" w:rsidP="00073A67">
            <w:pPr>
              <w:tabs>
                <w:tab w:val="decimal" w:pos="794"/>
              </w:tabs>
              <w:spacing w:after="0"/>
              <w:ind w:firstLine="0"/>
              <w:rPr>
                <w:rFonts w:eastAsia="Times New Roman"/>
                <w:sz w:val="20"/>
                <w:szCs w:val="20"/>
                <w:highlight w:val="yellow"/>
              </w:rPr>
            </w:pPr>
            <w:r w:rsidRPr="00591B06">
              <w:rPr>
                <w:rFonts w:eastAsia="Times New Roman"/>
                <w:sz w:val="20"/>
                <w:szCs w:val="20"/>
              </w:rPr>
              <w:t>118,3</w:t>
            </w:r>
          </w:p>
        </w:tc>
        <w:tc>
          <w:tcPr>
            <w:tcW w:w="950" w:type="dxa"/>
            <w:tcBorders>
              <w:top w:val="nil"/>
              <w:bottom w:val="single" w:sz="4" w:space="0" w:color="auto"/>
            </w:tcBorders>
          </w:tcPr>
          <w:p w:rsidR="00322AE6" w:rsidRPr="00264935" w:rsidRDefault="00322AE6" w:rsidP="00073A67">
            <w:pPr>
              <w:tabs>
                <w:tab w:val="decimal" w:pos="411"/>
              </w:tabs>
              <w:spacing w:after="0"/>
              <w:ind w:firstLine="0"/>
              <w:rPr>
                <w:rFonts w:eastAsia="Times New Roman"/>
                <w:sz w:val="20"/>
                <w:szCs w:val="20"/>
              </w:rPr>
            </w:pPr>
            <w:r w:rsidRPr="00264935">
              <w:rPr>
                <w:rFonts w:eastAsia="Times New Roman"/>
                <w:sz w:val="20"/>
                <w:szCs w:val="20"/>
              </w:rPr>
              <w:t>100,0</w:t>
            </w:r>
          </w:p>
          <w:p w:rsidR="00322AE6" w:rsidRPr="00264935" w:rsidRDefault="00322AE6" w:rsidP="00073A67">
            <w:pPr>
              <w:tabs>
                <w:tab w:val="decimal" w:pos="411"/>
              </w:tabs>
              <w:spacing w:after="0"/>
              <w:ind w:firstLine="0"/>
              <w:rPr>
                <w:rFonts w:eastAsia="Times New Roman"/>
                <w:sz w:val="20"/>
                <w:szCs w:val="20"/>
              </w:rPr>
            </w:pPr>
            <w:r w:rsidRPr="00264935">
              <w:rPr>
                <w:rFonts w:eastAsia="Times New Roman"/>
                <w:sz w:val="20"/>
                <w:szCs w:val="20"/>
              </w:rPr>
              <w:t>99,6</w:t>
            </w:r>
          </w:p>
          <w:p w:rsidR="00322AE6" w:rsidRPr="00264935" w:rsidRDefault="00322AE6" w:rsidP="00073A67">
            <w:pPr>
              <w:tabs>
                <w:tab w:val="decimal" w:pos="411"/>
              </w:tabs>
              <w:spacing w:after="0"/>
              <w:ind w:firstLine="0"/>
              <w:rPr>
                <w:rFonts w:eastAsia="Times New Roman"/>
                <w:sz w:val="20"/>
                <w:szCs w:val="20"/>
              </w:rPr>
            </w:pPr>
          </w:p>
          <w:p w:rsidR="00322AE6" w:rsidRPr="00264935" w:rsidRDefault="00322AE6" w:rsidP="00073A67">
            <w:pPr>
              <w:tabs>
                <w:tab w:val="decimal" w:pos="411"/>
              </w:tabs>
              <w:spacing w:after="0"/>
              <w:ind w:firstLine="0"/>
              <w:rPr>
                <w:rFonts w:eastAsia="Times New Roman"/>
                <w:sz w:val="20"/>
                <w:szCs w:val="20"/>
              </w:rPr>
            </w:pPr>
          </w:p>
          <w:p w:rsidR="00322AE6" w:rsidRPr="00264935" w:rsidRDefault="00322AE6" w:rsidP="00073A67">
            <w:pPr>
              <w:tabs>
                <w:tab w:val="decimal" w:pos="411"/>
              </w:tabs>
              <w:spacing w:after="0"/>
              <w:ind w:firstLine="0"/>
              <w:rPr>
                <w:rFonts w:eastAsia="Times New Roman"/>
                <w:sz w:val="20"/>
                <w:szCs w:val="20"/>
              </w:rPr>
            </w:pPr>
          </w:p>
          <w:p w:rsidR="00322AE6" w:rsidRPr="00264935" w:rsidRDefault="00322AE6" w:rsidP="00073A67">
            <w:pPr>
              <w:tabs>
                <w:tab w:val="decimal" w:pos="411"/>
              </w:tabs>
              <w:spacing w:after="0"/>
              <w:ind w:firstLine="0"/>
              <w:rPr>
                <w:rFonts w:eastAsia="Times New Roman"/>
                <w:sz w:val="20"/>
                <w:szCs w:val="20"/>
              </w:rPr>
            </w:pPr>
          </w:p>
        </w:tc>
        <w:tc>
          <w:tcPr>
            <w:tcW w:w="992" w:type="dxa"/>
            <w:tcBorders>
              <w:top w:val="nil"/>
              <w:bottom w:val="single" w:sz="4" w:space="0" w:color="auto"/>
              <w:right w:val="single" w:sz="4" w:space="0" w:color="auto"/>
            </w:tcBorders>
          </w:tcPr>
          <w:p w:rsidR="00322AE6" w:rsidRPr="00F11139" w:rsidRDefault="00322AE6" w:rsidP="00073A67">
            <w:pPr>
              <w:tabs>
                <w:tab w:val="decimal" w:pos="401"/>
              </w:tabs>
              <w:spacing w:after="0"/>
              <w:ind w:firstLine="0"/>
              <w:rPr>
                <w:rFonts w:eastAsia="Times New Roman"/>
                <w:sz w:val="20"/>
                <w:szCs w:val="20"/>
              </w:rPr>
            </w:pPr>
            <w:r w:rsidRPr="00F11139">
              <w:rPr>
                <w:rFonts w:eastAsia="Times New Roman"/>
                <w:sz w:val="20"/>
                <w:szCs w:val="20"/>
              </w:rPr>
              <w:t>30,5</w:t>
            </w:r>
          </w:p>
          <w:p w:rsidR="00322AE6" w:rsidRPr="00F11139" w:rsidRDefault="00322AE6" w:rsidP="00073A67">
            <w:pPr>
              <w:tabs>
                <w:tab w:val="decimal" w:pos="401"/>
              </w:tabs>
              <w:spacing w:after="0"/>
              <w:ind w:firstLine="0"/>
              <w:rPr>
                <w:rFonts w:eastAsia="Times New Roman"/>
                <w:sz w:val="20"/>
                <w:szCs w:val="20"/>
              </w:rPr>
            </w:pPr>
            <w:r w:rsidRPr="00F11139">
              <w:rPr>
                <w:rFonts w:eastAsia="Times New Roman"/>
                <w:sz w:val="20"/>
                <w:szCs w:val="20"/>
              </w:rPr>
              <w:t xml:space="preserve">26,4  </w:t>
            </w:r>
          </w:p>
          <w:p w:rsidR="00322AE6" w:rsidRPr="00F11139" w:rsidRDefault="00322AE6" w:rsidP="00073A67">
            <w:pPr>
              <w:tabs>
                <w:tab w:val="decimal" w:pos="401"/>
              </w:tabs>
              <w:spacing w:after="0"/>
              <w:ind w:firstLine="0"/>
              <w:rPr>
                <w:rFonts w:eastAsia="Times New Roman"/>
                <w:sz w:val="20"/>
                <w:szCs w:val="20"/>
              </w:rPr>
            </w:pPr>
            <w:r w:rsidRPr="00F11139">
              <w:rPr>
                <w:rFonts w:eastAsia="Times New Roman"/>
                <w:sz w:val="20"/>
                <w:szCs w:val="20"/>
              </w:rPr>
              <w:t> </w:t>
            </w:r>
          </w:p>
          <w:p w:rsidR="00322AE6" w:rsidRPr="00F11139" w:rsidRDefault="00322AE6" w:rsidP="00073A67">
            <w:pPr>
              <w:tabs>
                <w:tab w:val="decimal" w:pos="401"/>
              </w:tabs>
              <w:spacing w:after="0"/>
              <w:ind w:firstLine="0"/>
              <w:rPr>
                <w:rFonts w:eastAsia="Times New Roman"/>
                <w:sz w:val="20"/>
                <w:szCs w:val="20"/>
              </w:rPr>
            </w:pPr>
          </w:p>
          <w:p w:rsidR="00322AE6" w:rsidRPr="00F11139" w:rsidRDefault="00322AE6" w:rsidP="00073A67">
            <w:pPr>
              <w:tabs>
                <w:tab w:val="decimal" w:pos="401"/>
              </w:tabs>
              <w:spacing w:after="0"/>
              <w:ind w:firstLine="0"/>
              <w:rPr>
                <w:rFonts w:eastAsia="Times New Roman"/>
                <w:sz w:val="20"/>
                <w:szCs w:val="20"/>
              </w:rPr>
            </w:pPr>
          </w:p>
          <w:p w:rsidR="00322AE6" w:rsidRPr="00AA1204" w:rsidRDefault="00322AE6" w:rsidP="00073A67">
            <w:pPr>
              <w:tabs>
                <w:tab w:val="decimal" w:pos="401"/>
              </w:tabs>
              <w:spacing w:after="0"/>
              <w:ind w:firstLine="0"/>
              <w:rPr>
                <w:rFonts w:eastAsia="Arial Unicode MS"/>
                <w:sz w:val="20"/>
                <w:szCs w:val="20"/>
                <w:highlight w:val="yellow"/>
              </w:rPr>
            </w:pPr>
          </w:p>
        </w:tc>
      </w:tr>
      <w:tr w:rsidR="00322AE6" w:rsidRPr="00AA1204" w:rsidTr="00A761F0">
        <w:trPr>
          <w:cantSplit/>
          <w:jc w:val="center"/>
        </w:trPr>
        <w:tc>
          <w:tcPr>
            <w:tcW w:w="3243" w:type="dxa"/>
            <w:tcBorders>
              <w:left w:val="single" w:sz="4" w:space="0" w:color="auto"/>
              <w:bottom w:val="single" w:sz="4" w:space="0" w:color="auto"/>
            </w:tcBorders>
          </w:tcPr>
          <w:p w:rsidR="00322AE6" w:rsidRPr="00C034BF" w:rsidRDefault="00322AE6" w:rsidP="00073A67">
            <w:pPr>
              <w:spacing w:after="0"/>
              <w:ind w:firstLine="0"/>
              <w:rPr>
                <w:rFonts w:eastAsia="Times New Roman"/>
                <w:b/>
                <w:snapToGrid w:val="0"/>
                <w:sz w:val="20"/>
                <w:szCs w:val="20"/>
              </w:rPr>
            </w:pPr>
            <w:r w:rsidRPr="00C034BF">
              <w:rPr>
                <w:rFonts w:eastAsia="Times New Roman"/>
                <w:b/>
                <w:snapToGrid w:val="0"/>
                <w:sz w:val="20"/>
                <w:szCs w:val="20"/>
              </w:rPr>
              <w:t xml:space="preserve">Kārtējie maksājumi Eiropas </w:t>
            </w:r>
            <w:r>
              <w:rPr>
                <w:rFonts w:eastAsia="Times New Roman"/>
                <w:b/>
                <w:snapToGrid w:val="0"/>
                <w:sz w:val="20"/>
                <w:szCs w:val="20"/>
              </w:rPr>
              <w:t>Savienības</w:t>
            </w:r>
            <w:r w:rsidRPr="00C034BF">
              <w:rPr>
                <w:rFonts w:eastAsia="Times New Roman"/>
                <w:b/>
                <w:snapToGrid w:val="0"/>
                <w:sz w:val="20"/>
                <w:szCs w:val="20"/>
              </w:rPr>
              <w:t xml:space="preserve"> budžetā un starptautiskā sadarbība</w:t>
            </w:r>
          </w:p>
          <w:p w:rsidR="00322AE6" w:rsidRPr="00C034BF" w:rsidRDefault="00322AE6" w:rsidP="00073A67">
            <w:pPr>
              <w:spacing w:after="0"/>
              <w:ind w:firstLine="0"/>
              <w:rPr>
                <w:rFonts w:eastAsia="Times New Roman"/>
                <w:i/>
                <w:snapToGrid w:val="0"/>
                <w:sz w:val="20"/>
                <w:szCs w:val="20"/>
              </w:rPr>
            </w:pPr>
            <w:r w:rsidRPr="00C034BF">
              <w:rPr>
                <w:rFonts w:eastAsia="Times New Roman"/>
                <w:snapToGrid w:val="0"/>
                <w:sz w:val="20"/>
                <w:szCs w:val="20"/>
              </w:rPr>
              <w:t xml:space="preserve">   </w:t>
            </w:r>
            <w:r w:rsidRPr="00C034BF">
              <w:rPr>
                <w:rFonts w:eastAsia="Times New Roman"/>
                <w:i/>
                <w:snapToGrid w:val="0"/>
                <w:sz w:val="20"/>
                <w:szCs w:val="20"/>
              </w:rPr>
              <w:t xml:space="preserve">Kārtējie maksājumi Eiropas </w:t>
            </w:r>
            <w:r>
              <w:rPr>
                <w:rFonts w:eastAsia="Times New Roman"/>
                <w:i/>
                <w:snapToGrid w:val="0"/>
                <w:sz w:val="20"/>
                <w:szCs w:val="20"/>
              </w:rPr>
              <w:t xml:space="preserve">Savienības </w:t>
            </w:r>
            <w:r w:rsidRPr="00C034BF">
              <w:rPr>
                <w:rFonts w:eastAsia="Times New Roman"/>
                <w:i/>
                <w:snapToGrid w:val="0"/>
                <w:sz w:val="20"/>
                <w:szCs w:val="20"/>
              </w:rPr>
              <w:t>budžetā</w:t>
            </w:r>
          </w:p>
          <w:p w:rsidR="00322AE6" w:rsidRPr="00C034BF" w:rsidRDefault="00322AE6" w:rsidP="00073A67">
            <w:pPr>
              <w:spacing w:after="0"/>
              <w:ind w:firstLine="0"/>
              <w:rPr>
                <w:rFonts w:eastAsia="Times New Roman"/>
                <w:b/>
                <w:snapToGrid w:val="0"/>
                <w:sz w:val="20"/>
                <w:szCs w:val="20"/>
              </w:rPr>
            </w:pPr>
            <w:r w:rsidRPr="00C034BF">
              <w:rPr>
                <w:rFonts w:eastAsia="Times New Roman"/>
                <w:i/>
                <w:snapToGrid w:val="0"/>
                <w:sz w:val="20"/>
                <w:szCs w:val="20"/>
              </w:rPr>
              <w:t xml:space="preserve">   Starptautiskā sadarbība</w:t>
            </w:r>
          </w:p>
        </w:tc>
        <w:tc>
          <w:tcPr>
            <w:tcW w:w="993" w:type="dxa"/>
            <w:tcBorders>
              <w:bottom w:val="single" w:sz="4" w:space="0" w:color="auto"/>
            </w:tcBorders>
          </w:tcPr>
          <w:p w:rsidR="00322AE6" w:rsidRPr="00073A67" w:rsidRDefault="00322AE6" w:rsidP="00073A67">
            <w:pPr>
              <w:tabs>
                <w:tab w:val="decimal" w:pos="794"/>
              </w:tabs>
              <w:spacing w:after="0"/>
              <w:ind w:firstLine="0"/>
              <w:rPr>
                <w:rFonts w:eastAsia="Arial Unicode MS" w:cs="Times New Roman"/>
                <w:b/>
                <w:sz w:val="20"/>
                <w:szCs w:val="20"/>
              </w:rPr>
            </w:pPr>
          </w:p>
          <w:p w:rsidR="00322AE6" w:rsidRPr="00073A67" w:rsidRDefault="00322AE6" w:rsidP="00073A67">
            <w:pPr>
              <w:tabs>
                <w:tab w:val="decimal" w:pos="794"/>
              </w:tabs>
              <w:spacing w:after="0"/>
              <w:ind w:firstLine="0"/>
              <w:rPr>
                <w:rFonts w:eastAsia="Arial Unicode MS" w:cs="Times New Roman"/>
                <w:b/>
                <w:sz w:val="20"/>
                <w:szCs w:val="20"/>
              </w:rPr>
            </w:pPr>
          </w:p>
          <w:p w:rsidR="00322AE6" w:rsidRPr="00073A67" w:rsidRDefault="00322AE6" w:rsidP="00073A67">
            <w:pPr>
              <w:tabs>
                <w:tab w:val="decimal" w:pos="794"/>
              </w:tabs>
              <w:spacing w:after="0"/>
              <w:ind w:firstLine="0"/>
              <w:rPr>
                <w:rFonts w:eastAsia="Arial Unicode MS" w:cs="Times New Roman"/>
                <w:b/>
                <w:sz w:val="20"/>
                <w:szCs w:val="20"/>
              </w:rPr>
            </w:pPr>
            <w:r w:rsidRPr="00073A67">
              <w:rPr>
                <w:rFonts w:eastAsia="Arial Unicode MS" w:cs="Times New Roman"/>
                <w:b/>
                <w:sz w:val="20"/>
                <w:szCs w:val="20"/>
              </w:rPr>
              <w:t>11</w:t>
            </w:r>
          </w:p>
          <w:p w:rsidR="00322AE6" w:rsidRPr="00073A67" w:rsidRDefault="00322AE6" w:rsidP="00073A67">
            <w:pPr>
              <w:tabs>
                <w:tab w:val="decimal" w:pos="794"/>
              </w:tabs>
              <w:spacing w:after="0"/>
              <w:ind w:firstLine="0"/>
              <w:rPr>
                <w:rFonts w:eastAsia="Arial Unicode MS" w:cs="Times New Roman"/>
                <w:b/>
                <w:sz w:val="20"/>
                <w:szCs w:val="20"/>
              </w:rPr>
            </w:pPr>
          </w:p>
          <w:p w:rsidR="00322AE6" w:rsidRPr="00073A67" w:rsidRDefault="00322AE6" w:rsidP="00073A67">
            <w:pPr>
              <w:tabs>
                <w:tab w:val="decimal" w:pos="794"/>
              </w:tabs>
              <w:spacing w:after="0"/>
              <w:ind w:firstLine="0"/>
              <w:rPr>
                <w:rFonts w:eastAsia="Arial Unicode MS" w:cs="Times New Roman"/>
                <w:b/>
                <w:sz w:val="20"/>
                <w:szCs w:val="20"/>
              </w:rPr>
            </w:pPr>
          </w:p>
          <w:p w:rsidR="00322AE6" w:rsidRPr="00073A67" w:rsidRDefault="00322AE6" w:rsidP="00073A67">
            <w:pPr>
              <w:tabs>
                <w:tab w:val="decimal" w:pos="794"/>
              </w:tabs>
              <w:spacing w:after="0"/>
              <w:ind w:firstLine="0"/>
              <w:rPr>
                <w:rFonts w:eastAsia="Arial Unicode MS" w:cs="Times New Roman"/>
                <w:i/>
                <w:sz w:val="20"/>
                <w:szCs w:val="20"/>
              </w:rPr>
            </w:pPr>
            <w:r w:rsidRPr="00073A67">
              <w:rPr>
                <w:rFonts w:eastAsia="Arial Unicode MS" w:cs="Times New Roman"/>
                <w:i/>
                <w:sz w:val="20"/>
                <w:szCs w:val="20"/>
              </w:rPr>
              <w:t>11</w:t>
            </w:r>
          </w:p>
        </w:tc>
        <w:tc>
          <w:tcPr>
            <w:tcW w:w="972" w:type="dxa"/>
            <w:tcBorders>
              <w:bottom w:val="single" w:sz="4" w:space="0" w:color="auto"/>
            </w:tcBorders>
          </w:tcPr>
          <w:p w:rsidR="00322AE6" w:rsidRPr="00073A67" w:rsidRDefault="00322AE6" w:rsidP="00073A67">
            <w:pPr>
              <w:tabs>
                <w:tab w:val="decimal" w:pos="794"/>
              </w:tabs>
              <w:spacing w:after="0"/>
              <w:ind w:firstLine="0"/>
              <w:rPr>
                <w:rFonts w:eastAsia="Times New Roman" w:cs="Times New Roman"/>
                <w:b/>
                <w:sz w:val="20"/>
                <w:szCs w:val="20"/>
              </w:rPr>
            </w:pPr>
          </w:p>
          <w:p w:rsidR="00322AE6" w:rsidRPr="00073A67" w:rsidRDefault="00322AE6" w:rsidP="00073A67">
            <w:pPr>
              <w:tabs>
                <w:tab w:val="decimal" w:pos="794"/>
              </w:tabs>
              <w:spacing w:after="0"/>
              <w:ind w:firstLine="0"/>
              <w:rPr>
                <w:rFonts w:eastAsia="Times New Roman" w:cs="Times New Roman"/>
                <w:b/>
                <w:sz w:val="20"/>
                <w:szCs w:val="20"/>
              </w:rPr>
            </w:pPr>
          </w:p>
          <w:p w:rsidR="00322AE6" w:rsidRPr="00073A67" w:rsidRDefault="00322AE6" w:rsidP="00073A67">
            <w:pPr>
              <w:tabs>
                <w:tab w:val="decimal" w:pos="794"/>
              </w:tabs>
              <w:spacing w:after="0"/>
              <w:ind w:firstLine="0"/>
              <w:rPr>
                <w:rFonts w:eastAsia="Times New Roman" w:cs="Times New Roman"/>
                <w:b/>
                <w:sz w:val="20"/>
                <w:szCs w:val="20"/>
              </w:rPr>
            </w:pPr>
            <w:r w:rsidRPr="00073A67">
              <w:rPr>
                <w:rFonts w:eastAsia="Times New Roman" w:cs="Times New Roman"/>
                <w:b/>
                <w:sz w:val="20"/>
                <w:szCs w:val="20"/>
              </w:rPr>
              <w:t>12</w:t>
            </w:r>
          </w:p>
          <w:p w:rsidR="00322AE6" w:rsidRPr="00073A67" w:rsidRDefault="00322AE6" w:rsidP="00073A67">
            <w:pPr>
              <w:tabs>
                <w:tab w:val="decimal" w:pos="794"/>
              </w:tabs>
              <w:spacing w:after="0"/>
              <w:ind w:firstLine="0"/>
              <w:rPr>
                <w:rFonts w:eastAsia="Times New Roman" w:cs="Times New Roman"/>
                <w:b/>
                <w:sz w:val="20"/>
                <w:szCs w:val="20"/>
              </w:rPr>
            </w:pPr>
          </w:p>
          <w:p w:rsidR="00322AE6" w:rsidRPr="00073A67" w:rsidRDefault="00322AE6" w:rsidP="00073A67">
            <w:pPr>
              <w:tabs>
                <w:tab w:val="decimal" w:pos="794"/>
              </w:tabs>
              <w:spacing w:after="0"/>
              <w:ind w:firstLine="0"/>
              <w:rPr>
                <w:rFonts w:eastAsia="Times New Roman" w:cs="Times New Roman"/>
                <w:b/>
                <w:sz w:val="20"/>
                <w:szCs w:val="20"/>
              </w:rPr>
            </w:pPr>
          </w:p>
          <w:p w:rsidR="00322AE6" w:rsidRPr="00073A67" w:rsidRDefault="00322AE6" w:rsidP="00073A67">
            <w:pPr>
              <w:tabs>
                <w:tab w:val="decimal" w:pos="794"/>
              </w:tabs>
              <w:spacing w:after="0"/>
              <w:ind w:firstLine="0"/>
              <w:rPr>
                <w:rFonts w:eastAsia="Times New Roman" w:cs="Times New Roman"/>
                <w:i/>
                <w:sz w:val="20"/>
                <w:szCs w:val="20"/>
              </w:rPr>
            </w:pPr>
            <w:r w:rsidRPr="00073A67">
              <w:rPr>
                <w:rFonts w:eastAsia="Times New Roman" w:cs="Times New Roman"/>
                <w:i/>
                <w:sz w:val="20"/>
                <w:szCs w:val="20"/>
              </w:rPr>
              <w:t>12</w:t>
            </w:r>
          </w:p>
        </w:tc>
        <w:tc>
          <w:tcPr>
            <w:tcW w:w="992" w:type="dxa"/>
            <w:tcBorders>
              <w:bottom w:val="single" w:sz="4" w:space="0" w:color="auto"/>
            </w:tcBorders>
          </w:tcPr>
          <w:p w:rsidR="00322AE6" w:rsidRPr="00073A67" w:rsidRDefault="00322AE6" w:rsidP="00073A67">
            <w:pPr>
              <w:tabs>
                <w:tab w:val="decimal" w:pos="794"/>
              </w:tabs>
              <w:spacing w:after="0"/>
              <w:ind w:firstLine="0"/>
              <w:rPr>
                <w:rFonts w:eastAsia="Arial Unicode MS" w:cs="Times New Roman"/>
                <w:b/>
                <w:sz w:val="20"/>
                <w:szCs w:val="20"/>
              </w:rPr>
            </w:pPr>
          </w:p>
          <w:p w:rsidR="00322AE6" w:rsidRPr="00073A67" w:rsidRDefault="00322AE6" w:rsidP="00073A67">
            <w:pPr>
              <w:tabs>
                <w:tab w:val="decimal" w:pos="794"/>
              </w:tabs>
              <w:spacing w:after="0"/>
              <w:ind w:firstLine="0"/>
              <w:rPr>
                <w:rFonts w:eastAsia="Arial Unicode MS" w:cs="Times New Roman"/>
                <w:b/>
                <w:sz w:val="20"/>
                <w:szCs w:val="20"/>
              </w:rPr>
            </w:pPr>
          </w:p>
          <w:p w:rsidR="00322AE6" w:rsidRPr="00073A67" w:rsidRDefault="00322AE6" w:rsidP="00073A67">
            <w:pPr>
              <w:tabs>
                <w:tab w:val="decimal" w:pos="794"/>
              </w:tabs>
              <w:spacing w:after="0"/>
              <w:ind w:firstLine="0"/>
              <w:rPr>
                <w:rFonts w:eastAsia="Arial Unicode MS" w:cs="Times New Roman"/>
                <w:b/>
                <w:sz w:val="20"/>
                <w:szCs w:val="20"/>
              </w:rPr>
            </w:pPr>
            <w:r w:rsidRPr="00073A67">
              <w:rPr>
                <w:rFonts w:eastAsia="Arial Unicode MS" w:cs="Times New Roman"/>
                <w:b/>
                <w:sz w:val="20"/>
                <w:szCs w:val="20"/>
              </w:rPr>
              <w:t>12</w:t>
            </w:r>
          </w:p>
          <w:p w:rsidR="00322AE6" w:rsidRPr="00073A67" w:rsidRDefault="00322AE6" w:rsidP="00073A67">
            <w:pPr>
              <w:tabs>
                <w:tab w:val="decimal" w:pos="794"/>
              </w:tabs>
              <w:spacing w:after="0"/>
              <w:ind w:firstLine="0"/>
              <w:rPr>
                <w:rFonts w:eastAsia="Arial Unicode MS" w:cs="Times New Roman"/>
                <w:b/>
                <w:sz w:val="20"/>
                <w:szCs w:val="20"/>
              </w:rPr>
            </w:pPr>
          </w:p>
          <w:p w:rsidR="00322AE6" w:rsidRPr="00073A67" w:rsidRDefault="00322AE6" w:rsidP="00073A67">
            <w:pPr>
              <w:tabs>
                <w:tab w:val="decimal" w:pos="794"/>
              </w:tabs>
              <w:spacing w:after="0"/>
              <w:ind w:firstLine="0"/>
              <w:rPr>
                <w:rFonts w:eastAsia="Arial Unicode MS" w:cs="Times New Roman"/>
                <w:b/>
                <w:sz w:val="20"/>
                <w:szCs w:val="20"/>
              </w:rPr>
            </w:pPr>
          </w:p>
          <w:p w:rsidR="00322AE6" w:rsidRPr="00073A67" w:rsidRDefault="00322AE6" w:rsidP="00073A67">
            <w:pPr>
              <w:tabs>
                <w:tab w:val="decimal" w:pos="794"/>
              </w:tabs>
              <w:spacing w:after="0"/>
              <w:ind w:firstLine="0"/>
              <w:rPr>
                <w:rFonts w:eastAsia="Arial Unicode MS" w:cs="Times New Roman"/>
                <w:i/>
                <w:sz w:val="20"/>
                <w:szCs w:val="20"/>
              </w:rPr>
            </w:pPr>
            <w:r w:rsidRPr="00073A67">
              <w:rPr>
                <w:rFonts w:eastAsia="Arial Unicode MS" w:cs="Times New Roman"/>
                <w:i/>
                <w:sz w:val="20"/>
                <w:szCs w:val="20"/>
              </w:rPr>
              <w:t>12</w:t>
            </w:r>
          </w:p>
        </w:tc>
        <w:tc>
          <w:tcPr>
            <w:tcW w:w="992" w:type="dxa"/>
            <w:tcBorders>
              <w:bottom w:val="single" w:sz="4" w:space="0" w:color="auto"/>
            </w:tcBorders>
          </w:tcPr>
          <w:p w:rsidR="00322AE6" w:rsidRPr="00073A67" w:rsidRDefault="00322AE6" w:rsidP="00073A67">
            <w:pPr>
              <w:tabs>
                <w:tab w:val="decimal" w:pos="794"/>
              </w:tabs>
              <w:spacing w:after="0"/>
              <w:ind w:firstLine="0"/>
              <w:rPr>
                <w:rFonts w:eastAsia="Arial Unicode MS" w:cs="Times New Roman"/>
                <w:b/>
                <w:sz w:val="20"/>
                <w:szCs w:val="20"/>
              </w:rPr>
            </w:pPr>
          </w:p>
          <w:p w:rsidR="00322AE6" w:rsidRPr="00073A67" w:rsidRDefault="00322AE6" w:rsidP="00073A67">
            <w:pPr>
              <w:tabs>
                <w:tab w:val="decimal" w:pos="794"/>
              </w:tabs>
              <w:spacing w:after="0"/>
              <w:ind w:firstLine="0"/>
              <w:rPr>
                <w:rFonts w:eastAsia="Arial Unicode MS" w:cs="Times New Roman"/>
                <w:b/>
                <w:sz w:val="20"/>
                <w:szCs w:val="20"/>
              </w:rPr>
            </w:pPr>
          </w:p>
          <w:p w:rsidR="00322AE6" w:rsidRPr="00073A67" w:rsidRDefault="00322AE6" w:rsidP="00073A67">
            <w:pPr>
              <w:tabs>
                <w:tab w:val="decimal" w:pos="794"/>
              </w:tabs>
              <w:spacing w:after="0"/>
              <w:ind w:firstLine="0"/>
              <w:rPr>
                <w:rFonts w:eastAsia="Arial Unicode MS" w:cs="Times New Roman"/>
                <w:b/>
                <w:sz w:val="20"/>
                <w:szCs w:val="20"/>
              </w:rPr>
            </w:pPr>
            <w:r w:rsidRPr="00073A67">
              <w:rPr>
                <w:rFonts w:eastAsia="Arial Unicode MS" w:cs="Times New Roman"/>
                <w:b/>
                <w:sz w:val="20"/>
                <w:szCs w:val="20"/>
              </w:rPr>
              <w:t>12</w:t>
            </w:r>
          </w:p>
          <w:p w:rsidR="00322AE6" w:rsidRPr="00073A67" w:rsidRDefault="00322AE6" w:rsidP="00073A67">
            <w:pPr>
              <w:tabs>
                <w:tab w:val="decimal" w:pos="794"/>
              </w:tabs>
              <w:spacing w:after="0"/>
              <w:ind w:firstLine="0"/>
              <w:rPr>
                <w:rFonts w:eastAsia="Arial Unicode MS" w:cs="Times New Roman"/>
                <w:b/>
                <w:sz w:val="20"/>
                <w:szCs w:val="20"/>
              </w:rPr>
            </w:pPr>
          </w:p>
          <w:p w:rsidR="00322AE6" w:rsidRPr="00073A67" w:rsidRDefault="00322AE6" w:rsidP="00073A67">
            <w:pPr>
              <w:tabs>
                <w:tab w:val="decimal" w:pos="794"/>
              </w:tabs>
              <w:spacing w:after="0"/>
              <w:ind w:firstLine="0"/>
              <w:rPr>
                <w:rFonts w:eastAsia="Arial Unicode MS" w:cs="Times New Roman"/>
                <w:b/>
                <w:sz w:val="20"/>
                <w:szCs w:val="20"/>
              </w:rPr>
            </w:pPr>
          </w:p>
          <w:p w:rsidR="00322AE6" w:rsidRPr="00073A67" w:rsidRDefault="00322AE6" w:rsidP="00073A67">
            <w:pPr>
              <w:tabs>
                <w:tab w:val="decimal" w:pos="794"/>
              </w:tabs>
              <w:spacing w:after="0"/>
              <w:ind w:firstLine="0"/>
              <w:rPr>
                <w:rFonts w:eastAsia="Arial Unicode MS" w:cs="Times New Roman"/>
                <w:i/>
                <w:sz w:val="20"/>
                <w:szCs w:val="20"/>
              </w:rPr>
            </w:pPr>
            <w:r w:rsidRPr="00073A67">
              <w:rPr>
                <w:rFonts w:eastAsia="Arial Unicode MS" w:cs="Times New Roman"/>
                <w:i/>
                <w:sz w:val="20"/>
                <w:szCs w:val="20"/>
              </w:rPr>
              <w:t>12</w:t>
            </w:r>
          </w:p>
        </w:tc>
        <w:tc>
          <w:tcPr>
            <w:tcW w:w="993" w:type="dxa"/>
            <w:tcBorders>
              <w:bottom w:val="single" w:sz="4" w:space="0" w:color="auto"/>
            </w:tcBorders>
          </w:tcPr>
          <w:p w:rsidR="00322AE6" w:rsidRPr="00073A67" w:rsidRDefault="00322AE6" w:rsidP="00073A67">
            <w:pPr>
              <w:tabs>
                <w:tab w:val="decimal" w:pos="794"/>
              </w:tabs>
              <w:spacing w:after="0"/>
              <w:ind w:firstLine="0"/>
              <w:rPr>
                <w:rFonts w:eastAsia="Times New Roman" w:cs="Times New Roman"/>
                <w:b/>
                <w:sz w:val="20"/>
                <w:szCs w:val="20"/>
                <w:highlight w:val="yellow"/>
              </w:rPr>
            </w:pPr>
          </w:p>
          <w:p w:rsidR="00322AE6" w:rsidRPr="00073A67" w:rsidRDefault="00322AE6" w:rsidP="00073A67">
            <w:pPr>
              <w:tabs>
                <w:tab w:val="decimal" w:pos="794"/>
              </w:tabs>
              <w:spacing w:after="0"/>
              <w:ind w:firstLine="0"/>
              <w:rPr>
                <w:rFonts w:eastAsia="Times New Roman" w:cs="Times New Roman"/>
                <w:b/>
                <w:sz w:val="20"/>
                <w:szCs w:val="20"/>
                <w:highlight w:val="yellow"/>
              </w:rPr>
            </w:pPr>
          </w:p>
          <w:p w:rsidR="00322AE6" w:rsidRPr="00073A67" w:rsidRDefault="00322AE6" w:rsidP="00073A67">
            <w:pPr>
              <w:tabs>
                <w:tab w:val="decimal" w:pos="794"/>
              </w:tabs>
              <w:spacing w:after="0"/>
              <w:ind w:firstLine="0"/>
              <w:rPr>
                <w:rFonts w:eastAsia="Times New Roman" w:cs="Times New Roman"/>
                <w:b/>
                <w:sz w:val="20"/>
                <w:szCs w:val="20"/>
              </w:rPr>
            </w:pPr>
            <w:r w:rsidRPr="00073A67">
              <w:rPr>
                <w:rFonts w:eastAsia="Times New Roman" w:cs="Times New Roman"/>
                <w:b/>
                <w:sz w:val="20"/>
                <w:szCs w:val="20"/>
              </w:rPr>
              <w:t>109,1</w:t>
            </w:r>
          </w:p>
          <w:p w:rsidR="00322AE6" w:rsidRPr="00073A67" w:rsidRDefault="00322AE6" w:rsidP="00073A67">
            <w:pPr>
              <w:tabs>
                <w:tab w:val="decimal" w:pos="794"/>
              </w:tabs>
              <w:spacing w:after="0"/>
              <w:ind w:firstLine="0"/>
              <w:rPr>
                <w:rFonts w:eastAsia="Times New Roman" w:cs="Times New Roman"/>
                <w:b/>
                <w:sz w:val="20"/>
                <w:szCs w:val="20"/>
              </w:rPr>
            </w:pPr>
          </w:p>
          <w:p w:rsidR="00322AE6" w:rsidRPr="00073A67" w:rsidRDefault="00322AE6" w:rsidP="00073A67">
            <w:pPr>
              <w:tabs>
                <w:tab w:val="decimal" w:pos="794"/>
              </w:tabs>
              <w:spacing w:after="0"/>
              <w:ind w:firstLine="0"/>
              <w:rPr>
                <w:rFonts w:eastAsia="Times New Roman" w:cs="Times New Roman"/>
                <w:b/>
                <w:sz w:val="20"/>
                <w:szCs w:val="20"/>
              </w:rPr>
            </w:pPr>
          </w:p>
          <w:p w:rsidR="00322AE6" w:rsidRPr="00073A67" w:rsidRDefault="00322AE6" w:rsidP="00073A67">
            <w:pPr>
              <w:tabs>
                <w:tab w:val="decimal" w:pos="794"/>
              </w:tabs>
              <w:spacing w:after="0"/>
              <w:ind w:firstLine="0"/>
              <w:rPr>
                <w:rFonts w:eastAsia="Times New Roman" w:cs="Times New Roman"/>
                <w:i/>
                <w:sz w:val="20"/>
                <w:szCs w:val="20"/>
                <w:highlight w:val="yellow"/>
              </w:rPr>
            </w:pPr>
            <w:r w:rsidRPr="00073A67">
              <w:rPr>
                <w:rFonts w:eastAsia="Times New Roman" w:cs="Times New Roman"/>
                <w:i/>
                <w:sz w:val="20"/>
                <w:szCs w:val="20"/>
              </w:rPr>
              <w:t>109,1</w:t>
            </w:r>
          </w:p>
        </w:tc>
        <w:tc>
          <w:tcPr>
            <w:tcW w:w="950" w:type="dxa"/>
            <w:tcBorders>
              <w:bottom w:val="single" w:sz="4" w:space="0" w:color="auto"/>
            </w:tcBorders>
          </w:tcPr>
          <w:p w:rsidR="00322AE6" w:rsidRPr="00073A67" w:rsidRDefault="00322AE6" w:rsidP="00073A67">
            <w:pPr>
              <w:tabs>
                <w:tab w:val="decimal" w:pos="411"/>
              </w:tabs>
              <w:spacing w:after="0"/>
              <w:ind w:firstLine="0"/>
              <w:rPr>
                <w:rFonts w:eastAsia="Times New Roman" w:cs="Times New Roman"/>
                <w:b/>
                <w:sz w:val="20"/>
                <w:szCs w:val="20"/>
              </w:rPr>
            </w:pPr>
          </w:p>
          <w:p w:rsidR="00322AE6" w:rsidRPr="00073A67" w:rsidRDefault="00322AE6" w:rsidP="00073A67">
            <w:pPr>
              <w:tabs>
                <w:tab w:val="decimal" w:pos="411"/>
              </w:tabs>
              <w:spacing w:after="0"/>
              <w:ind w:firstLine="0"/>
              <w:rPr>
                <w:rFonts w:eastAsia="Times New Roman" w:cs="Times New Roman"/>
                <w:b/>
                <w:sz w:val="20"/>
                <w:szCs w:val="20"/>
              </w:rPr>
            </w:pPr>
          </w:p>
          <w:p w:rsidR="00322AE6" w:rsidRPr="00073A67" w:rsidRDefault="00322AE6" w:rsidP="00073A67">
            <w:pPr>
              <w:tabs>
                <w:tab w:val="decimal" w:pos="411"/>
              </w:tabs>
              <w:spacing w:after="0"/>
              <w:ind w:firstLine="0"/>
              <w:rPr>
                <w:rFonts w:eastAsia="Times New Roman" w:cs="Times New Roman"/>
                <w:b/>
                <w:sz w:val="20"/>
                <w:szCs w:val="20"/>
              </w:rPr>
            </w:pPr>
            <w:r w:rsidRPr="00073A67">
              <w:rPr>
                <w:rFonts w:eastAsia="Times New Roman" w:cs="Times New Roman"/>
                <w:b/>
                <w:sz w:val="20"/>
                <w:szCs w:val="20"/>
              </w:rPr>
              <w:t>100,0</w:t>
            </w:r>
          </w:p>
          <w:p w:rsidR="00322AE6" w:rsidRPr="00073A67" w:rsidRDefault="00322AE6" w:rsidP="00073A67">
            <w:pPr>
              <w:tabs>
                <w:tab w:val="decimal" w:pos="411"/>
              </w:tabs>
              <w:spacing w:after="0"/>
              <w:ind w:firstLine="0"/>
              <w:rPr>
                <w:rFonts w:eastAsia="Times New Roman" w:cs="Times New Roman"/>
                <w:b/>
                <w:sz w:val="20"/>
                <w:szCs w:val="20"/>
              </w:rPr>
            </w:pPr>
          </w:p>
          <w:p w:rsidR="00322AE6" w:rsidRPr="00073A67" w:rsidRDefault="00322AE6" w:rsidP="00073A67">
            <w:pPr>
              <w:tabs>
                <w:tab w:val="decimal" w:pos="411"/>
              </w:tabs>
              <w:spacing w:after="0"/>
              <w:ind w:firstLine="0"/>
              <w:rPr>
                <w:rFonts w:eastAsia="Times New Roman" w:cs="Times New Roman"/>
                <w:b/>
                <w:sz w:val="20"/>
                <w:szCs w:val="20"/>
              </w:rPr>
            </w:pPr>
          </w:p>
          <w:p w:rsidR="00322AE6" w:rsidRPr="00073A67" w:rsidRDefault="00322AE6" w:rsidP="00073A67">
            <w:pPr>
              <w:tabs>
                <w:tab w:val="decimal" w:pos="411"/>
              </w:tabs>
              <w:spacing w:after="0"/>
              <w:ind w:firstLine="0"/>
              <w:rPr>
                <w:rFonts w:eastAsia="Times New Roman" w:cs="Times New Roman"/>
                <w:i/>
                <w:sz w:val="20"/>
                <w:szCs w:val="20"/>
              </w:rPr>
            </w:pPr>
            <w:r w:rsidRPr="00073A67">
              <w:rPr>
                <w:rFonts w:eastAsia="Times New Roman" w:cs="Times New Roman"/>
                <w:i/>
                <w:sz w:val="20"/>
                <w:szCs w:val="20"/>
              </w:rPr>
              <w:t>100,0</w:t>
            </w:r>
          </w:p>
        </w:tc>
        <w:tc>
          <w:tcPr>
            <w:tcW w:w="992" w:type="dxa"/>
            <w:tcBorders>
              <w:bottom w:val="single" w:sz="4" w:space="0" w:color="auto"/>
              <w:right w:val="single" w:sz="4" w:space="0" w:color="auto"/>
            </w:tcBorders>
          </w:tcPr>
          <w:p w:rsidR="00322AE6" w:rsidRPr="00073A67" w:rsidRDefault="00322AE6" w:rsidP="00073A67">
            <w:pPr>
              <w:tabs>
                <w:tab w:val="decimal" w:pos="401"/>
              </w:tabs>
              <w:spacing w:after="0"/>
              <w:ind w:firstLine="0"/>
              <w:rPr>
                <w:rFonts w:eastAsia="Times New Roman" w:cs="Times New Roman"/>
                <w:b/>
                <w:sz w:val="20"/>
                <w:szCs w:val="20"/>
                <w:highlight w:val="yellow"/>
              </w:rPr>
            </w:pPr>
          </w:p>
          <w:p w:rsidR="00322AE6" w:rsidRPr="00073A67" w:rsidRDefault="00322AE6" w:rsidP="00073A67">
            <w:pPr>
              <w:tabs>
                <w:tab w:val="decimal" w:pos="401"/>
              </w:tabs>
              <w:spacing w:after="0"/>
              <w:ind w:firstLine="0"/>
              <w:rPr>
                <w:rFonts w:eastAsia="Times New Roman" w:cs="Times New Roman"/>
                <w:b/>
                <w:sz w:val="20"/>
                <w:szCs w:val="20"/>
              </w:rPr>
            </w:pPr>
          </w:p>
          <w:p w:rsidR="00322AE6" w:rsidRPr="00073A67" w:rsidRDefault="00322AE6" w:rsidP="00073A67">
            <w:pPr>
              <w:tabs>
                <w:tab w:val="decimal" w:pos="411"/>
              </w:tabs>
              <w:spacing w:after="0"/>
              <w:ind w:firstLine="0"/>
              <w:rPr>
                <w:rFonts w:eastAsia="Times New Roman" w:cs="Times New Roman"/>
                <w:b/>
                <w:sz w:val="20"/>
                <w:szCs w:val="20"/>
              </w:rPr>
            </w:pPr>
            <w:r w:rsidRPr="00073A67">
              <w:rPr>
                <w:rFonts w:eastAsia="Times New Roman" w:cs="Times New Roman"/>
                <w:b/>
                <w:sz w:val="20"/>
                <w:szCs w:val="20"/>
              </w:rPr>
              <w:t>100,0</w:t>
            </w:r>
          </w:p>
          <w:p w:rsidR="00322AE6" w:rsidRPr="00073A67" w:rsidRDefault="00322AE6" w:rsidP="00073A67">
            <w:pPr>
              <w:tabs>
                <w:tab w:val="decimal" w:pos="411"/>
              </w:tabs>
              <w:spacing w:after="0"/>
              <w:ind w:firstLine="0"/>
              <w:rPr>
                <w:rFonts w:eastAsia="Times New Roman" w:cs="Times New Roman"/>
                <w:b/>
                <w:sz w:val="20"/>
                <w:szCs w:val="20"/>
              </w:rPr>
            </w:pPr>
          </w:p>
          <w:p w:rsidR="00322AE6" w:rsidRPr="00073A67" w:rsidRDefault="00322AE6" w:rsidP="00073A67">
            <w:pPr>
              <w:tabs>
                <w:tab w:val="decimal" w:pos="411"/>
              </w:tabs>
              <w:spacing w:after="0"/>
              <w:ind w:firstLine="0"/>
              <w:rPr>
                <w:rFonts w:eastAsia="Times New Roman" w:cs="Times New Roman"/>
                <w:b/>
                <w:sz w:val="20"/>
                <w:szCs w:val="20"/>
              </w:rPr>
            </w:pPr>
          </w:p>
          <w:p w:rsidR="00322AE6" w:rsidRPr="00073A67" w:rsidRDefault="00322AE6" w:rsidP="00073A67">
            <w:pPr>
              <w:tabs>
                <w:tab w:val="decimal" w:pos="401"/>
              </w:tabs>
              <w:spacing w:after="0"/>
              <w:ind w:firstLine="0"/>
              <w:rPr>
                <w:rFonts w:eastAsia="Times New Roman" w:cs="Times New Roman"/>
                <w:b/>
                <w:sz w:val="20"/>
                <w:szCs w:val="20"/>
                <w:highlight w:val="yellow"/>
              </w:rPr>
            </w:pPr>
            <w:r w:rsidRPr="00073A67">
              <w:rPr>
                <w:rFonts w:eastAsia="Times New Roman" w:cs="Times New Roman"/>
                <w:i/>
                <w:sz w:val="20"/>
                <w:szCs w:val="20"/>
              </w:rPr>
              <w:t>100,0</w:t>
            </w:r>
          </w:p>
        </w:tc>
      </w:tr>
      <w:tr w:rsidR="00322AE6" w:rsidRPr="00BB7187" w:rsidTr="00A761F0">
        <w:trPr>
          <w:cantSplit/>
          <w:jc w:val="center"/>
        </w:trPr>
        <w:tc>
          <w:tcPr>
            <w:tcW w:w="3243" w:type="dxa"/>
            <w:tcBorders>
              <w:left w:val="single" w:sz="4" w:space="0" w:color="auto"/>
              <w:bottom w:val="nil"/>
            </w:tcBorders>
          </w:tcPr>
          <w:p w:rsidR="00322AE6" w:rsidRPr="00C034BF" w:rsidRDefault="00322AE6" w:rsidP="00073A67">
            <w:pPr>
              <w:spacing w:after="0"/>
              <w:ind w:firstLine="0"/>
              <w:rPr>
                <w:rFonts w:eastAsia="Times New Roman"/>
                <w:b/>
                <w:snapToGrid w:val="0"/>
                <w:sz w:val="20"/>
                <w:szCs w:val="20"/>
              </w:rPr>
            </w:pPr>
            <w:r w:rsidRPr="00C034BF">
              <w:rPr>
                <w:rFonts w:eastAsia="Times New Roman"/>
                <w:b/>
                <w:snapToGrid w:val="0"/>
                <w:sz w:val="20"/>
                <w:szCs w:val="20"/>
              </w:rPr>
              <w:t>Uzturēšanas izdevumu transferti</w:t>
            </w:r>
          </w:p>
          <w:p w:rsidR="00322AE6" w:rsidRDefault="00322AE6" w:rsidP="00073A67">
            <w:pPr>
              <w:spacing w:after="0"/>
              <w:ind w:firstLine="0"/>
              <w:rPr>
                <w:rFonts w:eastAsia="Times New Roman"/>
                <w:i/>
                <w:snapToGrid w:val="0"/>
                <w:sz w:val="20"/>
                <w:szCs w:val="20"/>
              </w:rPr>
            </w:pPr>
            <w:r>
              <w:rPr>
                <w:rFonts w:eastAsia="Times New Roman"/>
                <w:i/>
                <w:snapToGrid w:val="0"/>
                <w:sz w:val="20"/>
                <w:szCs w:val="20"/>
              </w:rPr>
              <w:t xml:space="preserve">  </w:t>
            </w:r>
            <w:r w:rsidRPr="00C034BF">
              <w:rPr>
                <w:rFonts w:eastAsia="Times New Roman"/>
                <w:i/>
                <w:snapToGrid w:val="0"/>
                <w:sz w:val="20"/>
                <w:szCs w:val="20"/>
              </w:rPr>
              <w:t xml:space="preserve"> Valsts budžeta </w:t>
            </w:r>
            <w:r>
              <w:rPr>
                <w:rFonts w:eastAsia="Times New Roman"/>
                <w:i/>
                <w:snapToGrid w:val="0"/>
                <w:sz w:val="20"/>
                <w:szCs w:val="20"/>
              </w:rPr>
              <w:t>uzturēšanas izdevumu transferti citiem budžetiem noteiktam mērķim</w:t>
            </w:r>
          </w:p>
          <w:p w:rsidR="00322AE6" w:rsidRPr="00C034BF" w:rsidRDefault="00322AE6" w:rsidP="00073A67">
            <w:pPr>
              <w:spacing w:after="0"/>
              <w:ind w:firstLine="0"/>
              <w:rPr>
                <w:rFonts w:eastAsia="Times New Roman"/>
                <w:b/>
                <w:snapToGrid w:val="0"/>
                <w:sz w:val="20"/>
                <w:szCs w:val="20"/>
              </w:rPr>
            </w:pPr>
            <w:r>
              <w:rPr>
                <w:rFonts w:eastAsia="Times New Roman"/>
                <w:i/>
                <w:snapToGrid w:val="0"/>
                <w:sz w:val="20"/>
                <w:szCs w:val="20"/>
              </w:rPr>
              <w:t xml:space="preserve">       Valsts budžeta uzturēšanas izdevumu transferti pašvaldībām noteiktam mērķim</w:t>
            </w:r>
          </w:p>
        </w:tc>
        <w:tc>
          <w:tcPr>
            <w:tcW w:w="993" w:type="dxa"/>
            <w:tcBorders>
              <w:bottom w:val="nil"/>
            </w:tcBorders>
          </w:tcPr>
          <w:p w:rsidR="00322AE6" w:rsidRPr="00073A67" w:rsidRDefault="00322AE6" w:rsidP="00073A67">
            <w:pPr>
              <w:tabs>
                <w:tab w:val="decimal" w:pos="794"/>
              </w:tabs>
              <w:spacing w:after="0"/>
              <w:ind w:firstLine="0"/>
              <w:rPr>
                <w:rFonts w:eastAsia="Times New Roman" w:cs="Times New Roman"/>
                <w:b/>
                <w:sz w:val="20"/>
                <w:szCs w:val="20"/>
              </w:rPr>
            </w:pPr>
            <w:r w:rsidRPr="00073A67">
              <w:rPr>
                <w:rFonts w:eastAsia="Times New Roman" w:cs="Times New Roman"/>
                <w:b/>
                <w:sz w:val="20"/>
                <w:szCs w:val="20"/>
              </w:rPr>
              <w:t>102</w:t>
            </w:r>
          </w:p>
          <w:p w:rsidR="00322AE6" w:rsidRPr="00073A67" w:rsidRDefault="00322AE6" w:rsidP="00073A67">
            <w:pPr>
              <w:tabs>
                <w:tab w:val="decimal" w:pos="794"/>
              </w:tabs>
              <w:spacing w:after="0"/>
              <w:ind w:firstLine="0"/>
              <w:rPr>
                <w:rFonts w:eastAsia="Times New Roman" w:cs="Times New Roman"/>
                <w:i/>
                <w:sz w:val="20"/>
                <w:szCs w:val="20"/>
              </w:rPr>
            </w:pPr>
          </w:p>
          <w:p w:rsidR="00322AE6" w:rsidRPr="00073A67" w:rsidRDefault="00322AE6" w:rsidP="00073A67">
            <w:pPr>
              <w:tabs>
                <w:tab w:val="decimal" w:pos="794"/>
              </w:tabs>
              <w:spacing w:after="0"/>
              <w:ind w:firstLine="0"/>
              <w:rPr>
                <w:rFonts w:eastAsia="Arial Unicode MS" w:cs="Times New Roman"/>
                <w:i/>
                <w:sz w:val="20"/>
                <w:szCs w:val="20"/>
              </w:rPr>
            </w:pPr>
            <w:r w:rsidRPr="00073A67">
              <w:rPr>
                <w:rFonts w:eastAsia="Arial Unicode MS" w:cs="Times New Roman"/>
                <w:i/>
                <w:sz w:val="20"/>
                <w:szCs w:val="20"/>
              </w:rPr>
              <w:t>102</w:t>
            </w:r>
          </w:p>
          <w:p w:rsidR="00322AE6" w:rsidRPr="00073A67" w:rsidRDefault="00322AE6" w:rsidP="00073A67">
            <w:pPr>
              <w:tabs>
                <w:tab w:val="decimal" w:pos="794"/>
              </w:tabs>
              <w:spacing w:after="0"/>
              <w:ind w:firstLine="0"/>
              <w:rPr>
                <w:rFonts w:eastAsia="Arial Unicode MS" w:cs="Times New Roman"/>
                <w:i/>
                <w:sz w:val="20"/>
                <w:szCs w:val="20"/>
              </w:rPr>
            </w:pPr>
          </w:p>
          <w:p w:rsidR="00322AE6" w:rsidRPr="00073A67" w:rsidRDefault="00322AE6" w:rsidP="00073A67">
            <w:pPr>
              <w:tabs>
                <w:tab w:val="decimal" w:pos="794"/>
              </w:tabs>
              <w:spacing w:after="0"/>
              <w:ind w:firstLine="0"/>
              <w:rPr>
                <w:rFonts w:eastAsia="Arial Unicode MS" w:cs="Times New Roman"/>
                <w:i/>
                <w:sz w:val="20"/>
                <w:szCs w:val="20"/>
              </w:rPr>
            </w:pPr>
          </w:p>
          <w:p w:rsidR="00322AE6" w:rsidRPr="00073A67" w:rsidRDefault="00322AE6" w:rsidP="00073A67">
            <w:pPr>
              <w:tabs>
                <w:tab w:val="decimal" w:pos="794"/>
              </w:tabs>
              <w:spacing w:after="0"/>
              <w:ind w:firstLine="0"/>
              <w:rPr>
                <w:rFonts w:eastAsia="Arial Unicode MS" w:cs="Times New Roman"/>
                <w:i/>
                <w:sz w:val="20"/>
                <w:szCs w:val="20"/>
              </w:rPr>
            </w:pPr>
            <w:r w:rsidRPr="00073A67">
              <w:rPr>
                <w:rFonts w:eastAsia="Arial Unicode MS" w:cs="Times New Roman"/>
                <w:i/>
                <w:sz w:val="20"/>
                <w:szCs w:val="20"/>
              </w:rPr>
              <w:t>x</w:t>
            </w:r>
          </w:p>
        </w:tc>
        <w:tc>
          <w:tcPr>
            <w:tcW w:w="972" w:type="dxa"/>
            <w:tcBorders>
              <w:bottom w:val="nil"/>
            </w:tcBorders>
          </w:tcPr>
          <w:p w:rsidR="00322AE6" w:rsidRPr="00073A67" w:rsidRDefault="00322AE6" w:rsidP="00073A67">
            <w:pPr>
              <w:tabs>
                <w:tab w:val="decimal" w:pos="794"/>
              </w:tabs>
              <w:spacing w:after="0"/>
              <w:ind w:firstLine="0"/>
              <w:rPr>
                <w:rFonts w:eastAsia="Times New Roman" w:cs="Times New Roman"/>
                <w:b/>
                <w:sz w:val="20"/>
                <w:szCs w:val="20"/>
              </w:rPr>
            </w:pPr>
            <w:r w:rsidRPr="00073A67">
              <w:rPr>
                <w:rFonts w:eastAsia="Times New Roman" w:cs="Times New Roman"/>
                <w:b/>
                <w:sz w:val="20"/>
                <w:szCs w:val="20"/>
              </w:rPr>
              <w:t>83</w:t>
            </w:r>
          </w:p>
          <w:p w:rsidR="00322AE6" w:rsidRPr="00073A67" w:rsidRDefault="00322AE6" w:rsidP="00073A67">
            <w:pPr>
              <w:tabs>
                <w:tab w:val="decimal" w:pos="794"/>
              </w:tabs>
              <w:spacing w:after="0"/>
              <w:ind w:firstLine="0"/>
              <w:rPr>
                <w:rFonts w:eastAsia="Times New Roman" w:cs="Times New Roman"/>
                <w:i/>
                <w:sz w:val="20"/>
                <w:szCs w:val="20"/>
                <w:highlight w:val="yellow"/>
              </w:rPr>
            </w:pPr>
          </w:p>
          <w:p w:rsidR="00322AE6" w:rsidRPr="00073A67" w:rsidRDefault="00322AE6" w:rsidP="00073A67">
            <w:pPr>
              <w:tabs>
                <w:tab w:val="decimal" w:pos="794"/>
              </w:tabs>
              <w:spacing w:after="0"/>
              <w:ind w:firstLine="0"/>
              <w:rPr>
                <w:rFonts w:eastAsia="Times New Roman" w:cs="Times New Roman"/>
                <w:i/>
                <w:sz w:val="20"/>
                <w:szCs w:val="20"/>
              </w:rPr>
            </w:pPr>
            <w:r w:rsidRPr="00073A67">
              <w:rPr>
                <w:rFonts w:eastAsia="Times New Roman" w:cs="Times New Roman"/>
                <w:i/>
                <w:sz w:val="20"/>
                <w:szCs w:val="20"/>
              </w:rPr>
              <w:t>83</w:t>
            </w:r>
          </w:p>
          <w:p w:rsidR="00322AE6" w:rsidRPr="00073A67" w:rsidRDefault="00322AE6" w:rsidP="00073A67">
            <w:pPr>
              <w:tabs>
                <w:tab w:val="decimal" w:pos="794"/>
              </w:tabs>
              <w:spacing w:after="0"/>
              <w:ind w:firstLine="0"/>
              <w:rPr>
                <w:rFonts w:eastAsia="Times New Roman" w:cs="Times New Roman"/>
                <w:i/>
                <w:sz w:val="20"/>
                <w:szCs w:val="20"/>
              </w:rPr>
            </w:pPr>
          </w:p>
          <w:p w:rsidR="00322AE6" w:rsidRPr="00073A67" w:rsidRDefault="00322AE6" w:rsidP="00073A67">
            <w:pPr>
              <w:tabs>
                <w:tab w:val="decimal" w:pos="794"/>
              </w:tabs>
              <w:spacing w:after="0"/>
              <w:ind w:firstLine="0"/>
              <w:rPr>
                <w:rFonts w:eastAsia="Times New Roman" w:cs="Times New Roman"/>
                <w:i/>
                <w:sz w:val="20"/>
                <w:szCs w:val="20"/>
              </w:rPr>
            </w:pPr>
          </w:p>
          <w:p w:rsidR="00322AE6" w:rsidRPr="00073A67" w:rsidRDefault="00322AE6" w:rsidP="00073A67">
            <w:pPr>
              <w:tabs>
                <w:tab w:val="decimal" w:pos="794"/>
              </w:tabs>
              <w:spacing w:after="0"/>
              <w:ind w:firstLine="0"/>
              <w:rPr>
                <w:rFonts w:eastAsia="Times New Roman" w:cs="Times New Roman"/>
                <w:i/>
                <w:sz w:val="20"/>
                <w:szCs w:val="20"/>
                <w:highlight w:val="yellow"/>
              </w:rPr>
            </w:pPr>
            <w:r w:rsidRPr="00073A67">
              <w:rPr>
                <w:rFonts w:eastAsia="Times New Roman" w:cs="Times New Roman"/>
                <w:i/>
                <w:sz w:val="20"/>
                <w:szCs w:val="20"/>
              </w:rPr>
              <w:t>73</w:t>
            </w:r>
          </w:p>
        </w:tc>
        <w:tc>
          <w:tcPr>
            <w:tcW w:w="992" w:type="dxa"/>
            <w:tcBorders>
              <w:bottom w:val="nil"/>
            </w:tcBorders>
          </w:tcPr>
          <w:p w:rsidR="00322AE6" w:rsidRPr="00073A67" w:rsidRDefault="00322AE6" w:rsidP="00073A67">
            <w:pPr>
              <w:tabs>
                <w:tab w:val="decimal" w:pos="794"/>
              </w:tabs>
              <w:spacing w:after="0"/>
              <w:ind w:firstLine="0"/>
              <w:rPr>
                <w:rFonts w:eastAsia="Times New Roman" w:cs="Times New Roman"/>
                <w:b/>
                <w:sz w:val="20"/>
                <w:szCs w:val="20"/>
              </w:rPr>
            </w:pPr>
            <w:r w:rsidRPr="00073A67">
              <w:rPr>
                <w:rFonts w:eastAsia="Times New Roman" w:cs="Times New Roman"/>
                <w:b/>
                <w:sz w:val="20"/>
                <w:szCs w:val="20"/>
              </w:rPr>
              <w:t>83</w:t>
            </w:r>
          </w:p>
          <w:p w:rsidR="00322AE6" w:rsidRPr="00073A67" w:rsidRDefault="00322AE6" w:rsidP="00073A67">
            <w:pPr>
              <w:tabs>
                <w:tab w:val="decimal" w:pos="794"/>
              </w:tabs>
              <w:spacing w:after="0"/>
              <w:ind w:firstLine="0"/>
              <w:rPr>
                <w:rFonts w:eastAsia="Times New Roman" w:cs="Times New Roman"/>
                <w:i/>
                <w:sz w:val="20"/>
                <w:szCs w:val="20"/>
                <w:highlight w:val="yellow"/>
              </w:rPr>
            </w:pPr>
          </w:p>
          <w:p w:rsidR="00322AE6" w:rsidRPr="00073A67" w:rsidRDefault="00322AE6" w:rsidP="00073A67">
            <w:pPr>
              <w:tabs>
                <w:tab w:val="decimal" w:pos="794"/>
              </w:tabs>
              <w:spacing w:after="0"/>
              <w:ind w:firstLine="0"/>
              <w:rPr>
                <w:rFonts w:eastAsia="Arial Unicode MS" w:cs="Times New Roman"/>
                <w:i/>
                <w:sz w:val="20"/>
                <w:szCs w:val="20"/>
              </w:rPr>
            </w:pPr>
            <w:r w:rsidRPr="00073A67">
              <w:rPr>
                <w:rFonts w:eastAsia="Arial Unicode MS" w:cs="Times New Roman"/>
                <w:i/>
                <w:sz w:val="20"/>
                <w:szCs w:val="20"/>
              </w:rPr>
              <w:t>83</w:t>
            </w:r>
          </w:p>
          <w:p w:rsidR="00322AE6" w:rsidRPr="00073A67" w:rsidRDefault="00322AE6" w:rsidP="00073A67">
            <w:pPr>
              <w:tabs>
                <w:tab w:val="decimal" w:pos="794"/>
              </w:tabs>
              <w:spacing w:after="0"/>
              <w:ind w:firstLine="0"/>
              <w:rPr>
                <w:rFonts w:eastAsia="Arial Unicode MS" w:cs="Times New Roman"/>
                <w:i/>
                <w:sz w:val="20"/>
                <w:szCs w:val="20"/>
              </w:rPr>
            </w:pPr>
          </w:p>
          <w:p w:rsidR="00322AE6" w:rsidRPr="00073A67" w:rsidRDefault="00322AE6" w:rsidP="00073A67">
            <w:pPr>
              <w:tabs>
                <w:tab w:val="decimal" w:pos="794"/>
              </w:tabs>
              <w:spacing w:after="0"/>
              <w:ind w:firstLine="0"/>
              <w:rPr>
                <w:rFonts w:eastAsia="Arial Unicode MS" w:cs="Times New Roman"/>
                <w:i/>
                <w:sz w:val="20"/>
                <w:szCs w:val="20"/>
              </w:rPr>
            </w:pPr>
          </w:p>
          <w:p w:rsidR="00322AE6" w:rsidRPr="00073A67" w:rsidRDefault="00322AE6" w:rsidP="00073A67">
            <w:pPr>
              <w:tabs>
                <w:tab w:val="decimal" w:pos="794"/>
              </w:tabs>
              <w:spacing w:after="0"/>
              <w:ind w:firstLine="0"/>
              <w:rPr>
                <w:rFonts w:eastAsia="Arial Unicode MS" w:cs="Times New Roman"/>
                <w:i/>
                <w:sz w:val="20"/>
                <w:szCs w:val="20"/>
                <w:highlight w:val="yellow"/>
              </w:rPr>
            </w:pPr>
            <w:r w:rsidRPr="00073A67">
              <w:rPr>
                <w:rFonts w:eastAsia="Arial Unicode MS" w:cs="Times New Roman"/>
                <w:i/>
                <w:sz w:val="20"/>
                <w:szCs w:val="20"/>
              </w:rPr>
              <w:t>73</w:t>
            </w:r>
          </w:p>
        </w:tc>
        <w:tc>
          <w:tcPr>
            <w:tcW w:w="992" w:type="dxa"/>
            <w:tcBorders>
              <w:bottom w:val="nil"/>
            </w:tcBorders>
          </w:tcPr>
          <w:p w:rsidR="00322AE6" w:rsidRPr="00073A67" w:rsidRDefault="00322AE6" w:rsidP="00073A67">
            <w:pPr>
              <w:tabs>
                <w:tab w:val="decimal" w:pos="794"/>
              </w:tabs>
              <w:spacing w:after="0"/>
              <w:ind w:firstLine="0"/>
              <w:rPr>
                <w:rFonts w:eastAsia="Times New Roman" w:cs="Times New Roman"/>
                <w:b/>
                <w:sz w:val="20"/>
                <w:szCs w:val="20"/>
              </w:rPr>
            </w:pPr>
            <w:r w:rsidRPr="00073A67">
              <w:rPr>
                <w:rFonts w:eastAsia="Times New Roman" w:cs="Times New Roman"/>
                <w:b/>
                <w:sz w:val="20"/>
                <w:szCs w:val="20"/>
              </w:rPr>
              <w:t>1 990</w:t>
            </w:r>
          </w:p>
          <w:p w:rsidR="00322AE6" w:rsidRPr="00073A67" w:rsidRDefault="00322AE6" w:rsidP="00073A67">
            <w:pPr>
              <w:tabs>
                <w:tab w:val="decimal" w:pos="794"/>
              </w:tabs>
              <w:spacing w:after="0"/>
              <w:ind w:firstLine="0"/>
              <w:rPr>
                <w:rFonts w:eastAsia="Times New Roman" w:cs="Times New Roman"/>
                <w:i/>
                <w:sz w:val="20"/>
                <w:szCs w:val="20"/>
                <w:highlight w:val="yellow"/>
              </w:rPr>
            </w:pPr>
          </w:p>
          <w:p w:rsidR="00322AE6" w:rsidRPr="00073A67" w:rsidRDefault="00322AE6" w:rsidP="00073A67">
            <w:pPr>
              <w:tabs>
                <w:tab w:val="decimal" w:pos="794"/>
              </w:tabs>
              <w:spacing w:after="0"/>
              <w:ind w:firstLine="0"/>
              <w:rPr>
                <w:rFonts w:eastAsia="Arial Unicode MS" w:cs="Times New Roman"/>
                <w:i/>
                <w:sz w:val="20"/>
                <w:szCs w:val="20"/>
              </w:rPr>
            </w:pPr>
            <w:r w:rsidRPr="00073A67">
              <w:rPr>
                <w:rFonts w:eastAsia="Arial Unicode MS" w:cs="Times New Roman"/>
                <w:i/>
                <w:sz w:val="20"/>
                <w:szCs w:val="20"/>
              </w:rPr>
              <w:t>1 990</w:t>
            </w:r>
          </w:p>
          <w:p w:rsidR="00322AE6" w:rsidRPr="00073A67" w:rsidRDefault="00322AE6" w:rsidP="00073A67">
            <w:pPr>
              <w:tabs>
                <w:tab w:val="decimal" w:pos="794"/>
              </w:tabs>
              <w:spacing w:after="0"/>
              <w:ind w:firstLine="0"/>
              <w:rPr>
                <w:rFonts w:eastAsia="Arial Unicode MS" w:cs="Times New Roman"/>
                <w:i/>
                <w:sz w:val="20"/>
                <w:szCs w:val="20"/>
              </w:rPr>
            </w:pPr>
          </w:p>
          <w:p w:rsidR="00322AE6" w:rsidRPr="00073A67" w:rsidRDefault="00322AE6" w:rsidP="00073A67">
            <w:pPr>
              <w:tabs>
                <w:tab w:val="decimal" w:pos="794"/>
              </w:tabs>
              <w:spacing w:after="0"/>
              <w:ind w:firstLine="0"/>
              <w:rPr>
                <w:rFonts w:eastAsia="Arial Unicode MS" w:cs="Times New Roman"/>
                <w:i/>
                <w:sz w:val="20"/>
                <w:szCs w:val="20"/>
              </w:rPr>
            </w:pPr>
          </w:p>
          <w:p w:rsidR="00322AE6" w:rsidRPr="00073A67" w:rsidRDefault="00322AE6" w:rsidP="00073A67">
            <w:pPr>
              <w:tabs>
                <w:tab w:val="decimal" w:pos="794"/>
              </w:tabs>
              <w:spacing w:after="0"/>
              <w:ind w:firstLine="0"/>
              <w:rPr>
                <w:rFonts w:eastAsia="Arial Unicode MS" w:cs="Times New Roman"/>
                <w:i/>
                <w:sz w:val="20"/>
                <w:szCs w:val="20"/>
                <w:highlight w:val="yellow"/>
              </w:rPr>
            </w:pPr>
            <w:r w:rsidRPr="00073A67">
              <w:rPr>
                <w:rFonts w:eastAsia="Arial Unicode MS" w:cs="Times New Roman"/>
                <w:i/>
                <w:sz w:val="20"/>
                <w:szCs w:val="20"/>
              </w:rPr>
              <w:t>1904</w:t>
            </w:r>
          </w:p>
        </w:tc>
        <w:tc>
          <w:tcPr>
            <w:tcW w:w="993" w:type="dxa"/>
            <w:tcBorders>
              <w:bottom w:val="nil"/>
            </w:tcBorders>
          </w:tcPr>
          <w:p w:rsidR="00322AE6" w:rsidRPr="00073A67" w:rsidRDefault="00322AE6" w:rsidP="00073A67">
            <w:pPr>
              <w:tabs>
                <w:tab w:val="decimal" w:pos="794"/>
              </w:tabs>
              <w:spacing w:after="0"/>
              <w:ind w:firstLine="0"/>
              <w:rPr>
                <w:rFonts w:eastAsia="Times New Roman" w:cs="Times New Roman"/>
                <w:b/>
                <w:sz w:val="20"/>
                <w:szCs w:val="20"/>
              </w:rPr>
            </w:pPr>
            <w:r w:rsidRPr="00073A67">
              <w:rPr>
                <w:rFonts w:eastAsia="Times New Roman" w:cs="Times New Roman"/>
                <w:b/>
                <w:sz w:val="20"/>
                <w:szCs w:val="20"/>
              </w:rPr>
              <w:t>81,4</w:t>
            </w:r>
          </w:p>
          <w:p w:rsidR="00322AE6" w:rsidRPr="00073A67" w:rsidRDefault="00322AE6" w:rsidP="00073A67">
            <w:pPr>
              <w:tabs>
                <w:tab w:val="decimal" w:pos="794"/>
              </w:tabs>
              <w:spacing w:after="0"/>
              <w:ind w:firstLine="0"/>
              <w:rPr>
                <w:rFonts w:eastAsia="Times New Roman" w:cs="Times New Roman"/>
                <w:b/>
                <w:sz w:val="20"/>
                <w:szCs w:val="20"/>
              </w:rPr>
            </w:pPr>
          </w:p>
          <w:p w:rsidR="00322AE6" w:rsidRPr="00073A67" w:rsidRDefault="00322AE6" w:rsidP="00073A67">
            <w:pPr>
              <w:tabs>
                <w:tab w:val="decimal" w:pos="794"/>
              </w:tabs>
              <w:spacing w:after="0"/>
              <w:ind w:firstLine="0"/>
              <w:rPr>
                <w:rFonts w:eastAsia="Times New Roman" w:cs="Times New Roman"/>
                <w:i/>
                <w:sz w:val="20"/>
                <w:szCs w:val="20"/>
              </w:rPr>
            </w:pPr>
            <w:r w:rsidRPr="00073A67">
              <w:rPr>
                <w:rFonts w:eastAsia="Times New Roman" w:cs="Times New Roman"/>
                <w:i/>
                <w:sz w:val="20"/>
                <w:szCs w:val="20"/>
              </w:rPr>
              <w:t>81,4</w:t>
            </w:r>
          </w:p>
          <w:p w:rsidR="00322AE6" w:rsidRPr="00073A67" w:rsidRDefault="00322AE6" w:rsidP="00073A67">
            <w:pPr>
              <w:tabs>
                <w:tab w:val="decimal" w:pos="794"/>
              </w:tabs>
              <w:spacing w:after="0"/>
              <w:ind w:firstLine="0"/>
              <w:rPr>
                <w:rFonts w:eastAsia="Times New Roman" w:cs="Times New Roman"/>
                <w:i/>
                <w:sz w:val="20"/>
                <w:szCs w:val="20"/>
              </w:rPr>
            </w:pPr>
          </w:p>
          <w:p w:rsidR="00322AE6" w:rsidRPr="00073A67" w:rsidRDefault="00322AE6" w:rsidP="00073A67">
            <w:pPr>
              <w:tabs>
                <w:tab w:val="decimal" w:pos="794"/>
              </w:tabs>
              <w:spacing w:after="0"/>
              <w:ind w:firstLine="0"/>
              <w:rPr>
                <w:rFonts w:eastAsia="Times New Roman" w:cs="Times New Roman"/>
                <w:i/>
                <w:sz w:val="20"/>
                <w:szCs w:val="20"/>
              </w:rPr>
            </w:pPr>
          </w:p>
          <w:p w:rsidR="00322AE6" w:rsidRPr="00073A67" w:rsidRDefault="00322AE6" w:rsidP="00073A67">
            <w:pPr>
              <w:tabs>
                <w:tab w:val="decimal" w:pos="794"/>
              </w:tabs>
              <w:spacing w:after="0"/>
              <w:ind w:firstLine="0"/>
              <w:rPr>
                <w:rFonts w:eastAsia="Times New Roman" w:cs="Times New Roman"/>
                <w:i/>
                <w:sz w:val="20"/>
                <w:szCs w:val="20"/>
              </w:rPr>
            </w:pPr>
            <w:r w:rsidRPr="00073A67">
              <w:rPr>
                <w:rFonts w:eastAsia="Times New Roman" w:cs="Times New Roman"/>
                <w:i/>
                <w:sz w:val="20"/>
                <w:szCs w:val="20"/>
              </w:rPr>
              <w:t>x</w:t>
            </w:r>
          </w:p>
        </w:tc>
        <w:tc>
          <w:tcPr>
            <w:tcW w:w="950" w:type="dxa"/>
            <w:tcBorders>
              <w:bottom w:val="nil"/>
            </w:tcBorders>
          </w:tcPr>
          <w:p w:rsidR="00322AE6" w:rsidRPr="00073A67" w:rsidRDefault="00322AE6" w:rsidP="00073A67">
            <w:pPr>
              <w:tabs>
                <w:tab w:val="decimal" w:pos="411"/>
              </w:tabs>
              <w:spacing w:after="0"/>
              <w:ind w:firstLine="0"/>
              <w:rPr>
                <w:rFonts w:eastAsia="Times New Roman" w:cs="Times New Roman"/>
                <w:b/>
                <w:sz w:val="20"/>
                <w:szCs w:val="20"/>
              </w:rPr>
            </w:pPr>
            <w:r w:rsidRPr="00073A67">
              <w:rPr>
                <w:rFonts w:eastAsia="Times New Roman" w:cs="Times New Roman"/>
                <w:b/>
                <w:sz w:val="20"/>
                <w:szCs w:val="20"/>
              </w:rPr>
              <w:t>100,0</w:t>
            </w:r>
          </w:p>
          <w:p w:rsidR="00322AE6" w:rsidRPr="00073A67" w:rsidRDefault="00322AE6" w:rsidP="00073A67">
            <w:pPr>
              <w:tabs>
                <w:tab w:val="decimal" w:pos="411"/>
              </w:tabs>
              <w:spacing w:after="0"/>
              <w:ind w:firstLine="0"/>
              <w:rPr>
                <w:rFonts w:eastAsia="Times New Roman" w:cs="Times New Roman"/>
                <w:sz w:val="20"/>
                <w:szCs w:val="20"/>
              </w:rPr>
            </w:pPr>
          </w:p>
          <w:p w:rsidR="00322AE6" w:rsidRPr="00073A67" w:rsidRDefault="00322AE6" w:rsidP="00073A67">
            <w:pPr>
              <w:tabs>
                <w:tab w:val="decimal" w:pos="411"/>
              </w:tabs>
              <w:spacing w:after="0"/>
              <w:ind w:firstLine="0"/>
              <w:rPr>
                <w:rFonts w:eastAsia="Times New Roman" w:cs="Times New Roman"/>
                <w:i/>
                <w:sz w:val="20"/>
                <w:szCs w:val="20"/>
              </w:rPr>
            </w:pPr>
            <w:r w:rsidRPr="00073A67">
              <w:rPr>
                <w:rFonts w:eastAsia="Times New Roman" w:cs="Times New Roman"/>
                <w:i/>
                <w:sz w:val="20"/>
                <w:szCs w:val="20"/>
              </w:rPr>
              <w:t>100,0</w:t>
            </w:r>
          </w:p>
          <w:p w:rsidR="00322AE6" w:rsidRPr="00073A67" w:rsidRDefault="00322AE6" w:rsidP="00073A67">
            <w:pPr>
              <w:tabs>
                <w:tab w:val="decimal" w:pos="411"/>
              </w:tabs>
              <w:spacing w:after="0"/>
              <w:ind w:firstLine="0"/>
              <w:rPr>
                <w:rFonts w:eastAsia="Times New Roman" w:cs="Times New Roman"/>
                <w:i/>
                <w:sz w:val="20"/>
                <w:szCs w:val="20"/>
              </w:rPr>
            </w:pPr>
          </w:p>
          <w:p w:rsidR="00322AE6" w:rsidRPr="00073A67" w:rsidRDefault="00322AE6" w:rsidP="00073A67">
            <w:pPr>
              <w:tabs>
                <w:tab w:val="decimal" w:pos="411"/>
              </w:tabs>
              <w:spacing w:after="0"/>
              <w:ind w:firstLine="0"/>
              <w:rPr>
                <w:rFonts w:eastAsia="Times New Roman" w:cs="Times New Roman"/>
                <w:i/>
                <w:sz w:val="20"/>
                <w:szCs w:val="20"/>
              </w:rPr>
            </w:pPr>
          </w:p>
          <w:p w:rsidR="00322AE6" w:rsidRPr="00073A67" w:rsidRDefault="00322AE6" w:rsidP="00073A67">
            <w:pPr>
              <w:tabs>
                <w:tab w:val="decimal" w:pos="411"/>
              </w:tabs>
              <w:spacing w:after="0"/>
              <w:ind w:firstLine="0"/>
              <w:rPr>
                <w:rFonts w:eastAsia="Times New Roman" w:cs="Times New Roman"/>
                <w:i/>
                <w:sz w:val="20"/>
                <w:szCs w:val="20"/>
              </w:rPr>
            </w:pPr>
            <w:r w:rsidRPr="00073A67">
              <w:rPr>
                <w:rFonts w:eastAsia="Times New Roman" w:cs="Times New Roman"/>
                <w:i/>
                <w:sz w:val="20"/>
                <w:szCs w:val="20"/>
              </w:rPr>
              <w:t>100,0</w:t>
            </w:r>
          </w:p>
        </w:tc>
        <w:tc>
          <w:tcPr>
            <w:tcW w:w="992" w:type="dxa"/>
            <w:tcBorders>
              <w:bottom w:val="nil"/>
              <w:right w:val="single" w:sz="4" w:space="0" w:color="auto"/>
            </w:tcBorders>
          </w:tcPr>
          <w:p w:rsidR="00322AE6" w:rsidRPr="00073A67" w:rsidRDefault="00322AE6" w:rsidP="00073A67">
            <w:pPr>
              <w:tabs>
                <w:tab w:val="decimal" w:pos="411"/>
              </w:tabs>
              <w:spacing w:after="0"/>
              <w:ind w:firstLine="0"/>
              <w:rPr>
                <w:rFonts w:eastAsia="Times New Roman" w:cs="Times New Roman"/>
                <w:b/>
                <w:sz w:val="20"/>
                <w:szCs w:val="20"/>
              </w:rPr>
            </w:pPr>
            <w:r w:rsidRPr="00073A67">
              <w:rPr>
                <w:rFonts w:eastAsia="Times New Roman" w:cs="Times New Roman"/>
                <w:b/>
                <w:sz w:val="20"/>
                <w:szCs w:val="20"/>
              </w:rPr>
              <w:t>4,2</w:t>
            </w:r>
          </w:p>
          <w:p w:rsidR="00322AE6" w:rsidRPr="00073A67" w:rsidRDefault="00322AE6" w:rsidP="00073A67">
            <w:pPr>
              <w:tabs>
                <w:tab w:val="decimal" w:pos="411"/>
              </w:tabs>
              <w:spacing w:after="0"/>
              <w:ind w:firstLine="0"/>
              <w:rPr>
                <w:rFonts w:eastAsia="Times New Roman" w:cs="Times New Roman"/>
                <w:i/>
                <w:sz w:val="20"/>
                <w:szCs w:val="20"/>
              </w:rPr>
            </w:pPr>
          </w:p>
          <w:p w:rsidR="00322AE6" w:rsidRPr="00073A67" w:rsidRDefault="00322AE6" w:rsidP="00073A67">
            <w:pPr>
              <w:tabs>
                <w:tab w:val="decimal" w:pos="401"/>
              </w:tabs>
              <w:spacing w:after="0"/>
              <w:ind w:firstLine="0"/>
              <w:rPr>
                <w:rFonts w:eastAsia="Times New Roman" w:cs="Times New Roman"/>
                <w:i/>
                <w:sz w:val="20"/>
                <w:szCs w:val="20"/>
              </w:rPr>
            </w:pPr>
            <w:r w:rsidRPr="00073A67">
              <w:rPr>
                <w:rFonts w:eastAsia="Times New Roman" w:cs="Times New Roman"/>
                <w:i/>
                <w:sz w:val="20"/>
                <w:szCs w:val="20"/>
              </w:rPr>
              <w:t>4,2</w:t>
            </w:r>
          </w:p>
          <w:p w:rsidR="00322AE6" w:rsidRPr="00073A67" w:rsidRDefault="00322AE6" w:rsidP="00073A67">
            <w:pPr>
              <w:tabs>
                <w:tab w:val="decimal" w:pos="401"/>
              </w:tabs>
              <w:spacing w:after="0"/>
              <w:ind w:firstLine="0"/>
              <w:rPr>
                <w:rFonts w:eastAsia="Times New Roman" w:cs="Times New Roman"/>
                <w:i/>
                <w:sz w:val="20"/>
                <w:szCs w:val="20"/>
              </w:rPr>
            </w:pPr>
          </w:p>
          <w:p w:rsidR="00322AE6" w:rsidRPr="00073A67" w:rsidRDefault="00322AE6" w:rsidP="00073A67">
            <w:pPr>
              <w:tabs>
                <w:tab w:val="decimal" w:pos="401"/>
              </w:tabs>
              <w:spacing w:after="0"/>
              <w:ind w:firstLine="0"/>
              <w:rPr>
                <w:rFonts w:eastAsia="Times New Roman" w:cs="Times New Roman"/>
                <w:i/>
                <w:sz w:val="20"/>
                <w:szCs w:val="20"/>
              </w:rPr>
            </w:pPr>
          </w:p>
          <w:p w:rsidR="00322AE6" w:rsidRPr="00073A67" w:rsidRDefault="00322AE6" w:rsidP="00073A67">
            <w:pPr>
              <w:tabs>
                <w:tab w:val="decimal" w:pos="401"/>
              </w:tabs>
              <w:spacing w:after="0"/>
              <w:ind w:firstLine="0"/>
              <w:rPr>
                <w:rFonts w:eastAsia="Times New Roman" w:cs="Times New Roman"/>
                <w:b/>
                <w:sz w:val="20"/>
                <w:szCs w:val="20"/>
              </w:rPr>
            </w:pPr>
            <w:r w:rsidRPr="00073A67">
              <w:rPr>
                <w:rFonts w:eastAsia="Times New Roman" w:cs="Times New Roman"/>
                <w:i/>
                <w:sz w:val="20"/>
                <w:szCs w:val="20"/>
              </w:rPr>
              <w:t>3,8</w:t>
            </w:r>
          </w:p>
        </w:tc>
      </w:tr>
      <w:tr w:rsidR="00322AE6" w:rsidRPr="00BB7187" w:rsidTr="00A761F0">
        <w:trPr>
          <w:cantSplit/>
          <w:jc w:val="center"/>
        </w:trPr>
        <w:tc>
          <w:tcPr>
            <w:tcW w:w="3243" w:type="dxa"/>
            <w:tcBorders>
              <w:top w:val="nil"/>
              <w:left w:val="single" w:sz="4" w:space="0" w:color="auto"/>
              <w:bottom w:val="single" w:sz="4" w:space="0" w:color="auto"/>
            </w:tcBorders>
          </w:tcPr>
          <w:p w:rsidR="00322AE6" w:rsidRPr="00C034BF" w:rsidRDefault="00322AE6" w:rsidP="00073A67">
            <w:pPr>
              <w:spacing w:after="0"/>
              <w:ind w:firstLine="0"/>
              <w:rPr>
                <w:rFonts w:eastAsia="Times New Roman"/>
                <w:b/>
                <w:snapToGrid w:val="0"/>
                <w:sz w:val="20"/>
                <w:szCs w:val="20"/>
              </w:rPr>
            </w:pPr>
            <w:r>
              <w:rPr>
                <w:i/>
                <w:snapToGrid w:val="0"/>
                <w:sz w:val="20"/>
                <w:szCs w:val="20"/>
              </w:rPr>
              <w:t xml:space="preserve">       </w:t>
            </w:r>
            <w:r w:rsidRPr="00C034BF">
              <w:rPr>
                <w:i/>
                <w:snapToGrid w:val="0"/>
                <w:sz w:val="20"/>
                <w:szCs w:val="20"/>
              </w:rPr>
              <w:t xml:space="preserve">Valsts budžeta transferti valsts budžeta daļēji finansētām </w:t>
            </w:r>
            <w:r>
              <w:rPr>
                <w:i/>
                <w:snapToGrid w:val="0"/>
                <w:sz w:val="20"/>
                <w:szCs w:val="20"/>
              </w:rPr>
              <w:t xml:space="preserve">atvasinātajām </w:t>
            </w:r>
            <w:r w:rsidRPr="00C034BF">
              <w:rPr>
                <w:i/>
                <w:snapToGrid w:val="0"/>
                <w:sz w:val="20"/>
                <w:szCs w:val="20"/>
              </w:rPr>
              <w:t xml:space="preserve">publiskajām personām un </w:t>
            </w:r>
            <w:r>
              <w:rPr>
                <w:i/>
                <w:snapToGrid w:val="0"/>
                <w:sz w:val="20"/>
                <w:szCs w:val="20"/>
              </w:rPr>
              <w:t>budžeta nefinansētām iestādēm noteiktam mērķim</w:t>
            </w:r>
          </w:p>
        </w:tc>
        <w:tc>
          <w:tcPr>
            <w:tcW w:w="993" w:type="dxa"/>
            <w:tcBorders>
              <w:top w:val="nil"/>
              <w:bottom w:val="single" w:sz="4" w:space="0" w:color="auto"/>
            </w:tcBorders>
          </w:tcPr>
          <w:p w:rsidR="00322AE6" w:rsidRPr="00073A67" w:rsidRDefault="00322AE6" w:rsidP="00073A67">
            <w:pPr>
              <w:tabs>
                <w:tab w:val="decimal" w:pos="794"/>
              </w:tabs>
              <w:spacing w:after="0"/>
              <w:ind w:firstLine="0"/>
              <w:rPr>
                <w:rFonts w:eastAsia="Arial Unicode MS" w:cs="Times New Roman"/>
                <w:i/>
                <w:sz w:val="20"/>
                <w:szCs w:val="20"/>
              </w:rPr>
            </w:pPr>
          </w:p>
          <w:p w:rsidR="00322AE6" w:rsidRPr="00073A67" w:rsidRDefault="00322AE6" w:rsidP="00073A67">
            <w:pPr>
              <w:tabs>
                <w:tab w:val="decimal" w:pos="794"/>
              </w:tabs>
              <w:spacing w:after="0"/>
              <w:ind w:firstLine="0"/>
              <w:rPr>
                <w:rFonts w:eastAsia="Arial Unicode MS" w:cs="Times New Roman"/>
                <w:i/>
                <w:sz w:val="20"/>
                <w:szCs w:val="20"/>
              </w:rPr>
            </w:pPr>
            <w:r w:rsidRPr="00073A67">
              <w:rPr>
                <w:rFonts w:eastAsia="Arial Unicode MS" w:cs="Times New Roman"/>
                <w:i/>
                <w:sz w:val="20"/>
                <w:szCs w:val="20"/>
              </w:rPr>
              <w:t>x</w:t>
            </w:r>
          </w:p>
        </w:tc>
        <w:tc>
          <w:tcPr>
            <w:tcW w:w="972" w:type="dxa"/>
            <w:tcBorders>
              <w:top w:val="nil"/>
              <w:bottom w:val="single" w:sz="4" w:space="0" w:color="auto"/>
            </w:tcBorders>
          </w:tcPr>
          <w:p w:rsidR="00322AE6" w:rsidRPr="00073A67" w:rsidRDefault="00322AE6" w:rsidP="00073A67">
            <w:pPr>
              <w:tabs>
                <w:tab w:val="decimal" w:pos="794"/>
              </w:tabs>
              <w:spacing w:after="0"/>
              <w:ind w:firstLine="0"/>
              <w:rPr>
                <w:rFonts w:eastAsia="Times New Roman" w:cs="Times New Roman"/>
                <w:i/>
                <w:sz w:val="20"/>
                <w:szCs w:val="20"/>
              </w:rPr>
            </w:pPr>
          </w:p>
          <w:p w:rsidR="00322AE6" w:rsidRPr="00073A67" w:rsidRDefault="00322AE6" w:rsidP="00073A67">
            <w:pPr>
              <w:tabs>
                <w:tab w:val="decimal" w:pos="794"/>
              </w:tabs>
              <w:spacing w:after="0"/>
              <w:ind w:firstLine="0"/>
              <w:rPr>
                <w:rFonts w:eastAsia="Times New Roman" w:cs="Times New Roman"/>
                <w:i/>
                <w:sz w:val="20"/>
                <w:szCs w:val="20"/>
              </w:rPr>
            </w:pPr>
            <w:r w:rsidRPr="00073A67">
              <w:rPr>
                <w:rFonts w:eastAsia="Times New Roman" w:cs="Times New Roman"/>
                <w:i/>
                <w:sz w:val="20"/>
                <w:szCs w:val="20"/>
              </w:rPr>
              <w:t>10</w:t>
            </w:r>
          </w:p>
        </w:tc>
        <w:tc>
          <w:tcPr>
            <w:tcW w:w="992" w:type="dxa"/>
            <w:tcBorders>
              <w:top w:val="nil"/>
              <w:bottom w:val="single" w:sz="4" w:space="0" w:color="auto"/>
            </w:tcBorders>
          </w:tcPr>
          <w:p w:rsidR="00322AE6" w:rsidRPr="00073A67" w:rsidRDefault="00322AE6" w:rsidP="00073A67">
            <w:pPr>
              <w:tabs>
                <w:tab w:val="decimal" w:pos="794"/>
              </w:tabs>
              <w:spacing w:after="0"/>
              <w:ind w:firstLine="0"/>
              <w:rPr>
                <w:rFonts w:eastAsia="Arial Unicode MS" w:cs="Times New Roman"/>
                <w:i/>
                <w:sz w:val="20"/>
                <w:szCs w:val="20"/>
              </w:rPr>
            </w:pPr>
          </w:p>
          <w:p w:rsidR="00322AE6" w:rsidRPr="00073A67" w:rsidRDefault="00322AE6" w:rsidP="00073A67">
            <w:pPr>
              <w:tabs>
                <w:tab w:val="decimal" w:pos="794"/>
              </w:tabs>
              <w:spacing w:after="0"/>
              <w:ind w:firstLine="0"/>
              <w:rPr>
                <w:rFonts w:eastAsia="Arial Unicode MS" w:cs="Times New Roman"/>
                <w:i/>
                <w:sz w:val="20"/>
                <w:szCs w:val="20"/>
              </w:rPr>
            </w:pPr>
            <w:r w:rsidRPr="00073A67">
              <w:rPr>
                <w:rFonts w:eastAsia="Arial Unicode MS" w:cs="Times New Roman"/>
                <w:i/>
                <w:sz w:val="20"/>
                <w:szCs w:val="20"/>
              </w:rPr>
              <w:t>10</w:t>
            </w:r>
          </w:p>
        </w:tc>
        <w:tc>
          <w:tcPr>
            <w:tcW w:w="992" w:type="dxa"/>
            <w:tcBorders>
              <w:top w:val="nil"/>
              <w:bottom w:val="single" w:sz="4" w:space="0" w:color="auto"/>
            </w:tcBorders>
          </w:tcPr>
          <w:p w:rsidR="00322AE6" w:rsidRPr="00073A67" w:rsidRDefault="00322AE6" w:rsidP="00073A67">
            <w:pPr>
              <w:tabs>
                <w:tab w:val="decimal" w:pos="794"/>
              </w:tabs>
              <w:spacing w:after="0"/>
              <w:ind w:firstLine="0"/>
              <w:rPr>
                <w:rFonts w:cs="Times New Roman"/>
                <w:i/>
                <w:sz w:val="20"/>
                <w:szCs w:val="20"/>
              </w:rPr>
            </w:pPr>
          </w:p>
          <w:p w:rsidR="00322AE6" w:rsidRPr="00073A67" w:rsidRDefault="00322AE6" w:rsidP="00073A67">
            <w:pPr>
              <w:tabs>
                <w:tab w:val="decimal" w:pos="794"/>
              </w:tabs>
              <w:spacing w:after="0"/>
              <w:ind w:firstLine="0"/>
              <w:rPr>
                <w:rFonts w:eastAsia="Arial Unicode MS" w:cs="Times New Roman"/>
                <w:b/>
                <w:sz w:val="20"/>
                <w:szCs w:val="20"/>
              </w:rPr>
            </w:pPr>
            <w:r w:rsidRPr="00073A67">
              <w:rPr>
                <w:rFonts w:cs="Times New Roman"/>
                <w:i/>
                <w:sz w:val="20"/>
                <w:szCs w:val="20"/>
              </w:rPr>
              <w:t>86</w:t>
            </w:r>
          </w:p>
        </w:tc>
        <w:tc>
          <w:tcPr>
            <w:tcW w:w="993" w:type="dxa"/>
            <w:tcBorders>
              <w:top w:val="nil"/>
              <w:bottom w:val="single" w:sz="4" w:space="0" w:color="auto"/>
            </w:tcBorders>
          </w:tcPr>
          <w:p w:rsidR="00322AE6" w:rsidRPr="00073A67" w:rsidRDefault="00322AE6" w:rsidP="00073A67">
            <w:pPr>
              <w:tabs>
                <w:tab w:val="decimal" w:pos="794"/>
              </w:tabs>
              <w:spacing w:after="0"/>
              <w:ind w:firstLine="0"/>
              <w:rPr>
                <w:rFonts w:eastAsia="Times New Roman" w:cs="Times New Roman"/>
                <w:sz w:val="20"/>
                <w:szCs w:val="20"/>
              </w:rPr>
            </w:pPr>
          </w:p>
          <w:p w:rsidR="00322AE6" w:rsidRPr="00073A67" w:rsidRDefault="00322AE6" w:rsidP="00073A67">
            <w:pPr>
              <w:tabs>
                <w:tab w:val="decimal" w:pos="794"/>
              </w:tabs>
              <w:spacing w:after="0"/>
              <w:ind w:firstLine="0"/>
              <w:rPr>
                <w:rFonts w:eastAsia="Times New Roman" w:cs="Times New Roman"/>
                <w:i/>
                <w:sz w:val="20"/>
                <w:szCs w:val="20"/>
              </w:rPr>
            </w:pPr>
            <w:r w:rsidRPr="00073A67">
              <w:rPr>
                <w:rFonts w:eastAsia="Times New Roman" w:cs="Times New Roman"/>
                <w:i/>
                <w:sz w:val="20"/>
                <w:szCs w:val="20"/>
              </w:rPr>
              <w:t>x</w:t>
            </w:r>
          </w:p>
        </w:tc>
        <w:tc>
          <w:tcPr>
            <w:tcW w:w="950" w:type="dxa"/>
            <w:tcBorders>
              <w:top w:val="nil"/>
              <w:bottom w:val="single" w:sz="4" w:space="0" w:color="auto"/>
            </w:tcBorders>
          </w:tcPr>
          <w:p w:rsidR="00322AE6" w:rsidRPr="00073A67" w:rsidRDefault="00322AE6" w:rsidP="00073A67">
            <w:pPr>
              <w:tabs>
                <w:tab w:val="decimal" w:pos="411"/>
              </w:tabs>
              <w:spacing w:after="0"/>
              <w:ind w:firstLine="0"/>
              <w:rPr>
                <w:rFonts w:eastAsia="Times New Roman" w:cs="Times New Roman"/>
                <w:i/>
                <w:sz w:val="20"/>
                <w:szCs w:val="20"/>
              </w:rPr>
            </w:pPr>
          </w:p>
          <w:p w:rsidR="00322AE6" w:rsidRPr="00073A67" w:rsidRDefault="00322AE6" w:rsidP="00073A67">
            <w:pPr>
              <w:tabs>
                <w:tab w:val="decimal" w:pos="411"/>
              </w:tabs>
              <w:spacing w:after="0"/>
              <w:ind w:firstLine="0"/>
              <w:rPr>
                <w:rFonts w:eastAsia="Times New Roman" w:cs="Times New Roman"/>
                <w:i/>
                <w:sz w:val="20"/>
                <w:szCs w:val="20"/>
              </w:rPr>
            </w:pPr>
            <w:r w:rsidRPr="00073A67">
              <w:rPr>
                <w:rFonts w:eastAsia="Times New Roman" w:cs="Times New Roman"/>
                <w:i/>
                <w:sz w:val="20"/>
                <w:szCs w:val="20"/>
              </w:rPr>
              <w:t>100,0</w:t>
            </w:r>
          </w:p>
        </w:tc>
        <w:tc>
          <w:tcPr>
            <w:tcW w:w="992" w:type="dxa"/>
            <w:tcBorders>
              <w:top w:val="nil"/>
              <w:bottom w:val="single" w:sz="4" w:space="0" w:color="auto"/>
              <w:right w:val="single" w:sz="4" w:space="0" w:color="auto"/>
            </w:tcBorders>
          </w:tcPr>
          <w:p w:rsidR="00322AE6" w:rsidRPr="00073A67" w:rsidRDefault="00322AE6" w:rsidP="00073A67">
            <w:pPr>
              <w:tabs>
                <w:tab w:val="decimal" w:pos="401"/>
              </w:tabs>
              <w:spacing w:after="0"/>
              <w:ind w:firstLine="0"/>
              <w:rPr>
                <w:rFonts w:eastAsia="Times New Roman" w:cs="Times New Roman"/>
                <w:i/>
                <w:sz w:val="20"/>
                <w:szCs w:val="20"/>
              </w:rPr>
            </w:pPr>
          </w:p>
          <w:p w:rsidR="00322AE6" w:rsidRPr="00073A67" w:rsidRDefault="00322AE6" w:rsidP="00073A67">
            <w:pPr>
              <w:tabs>
                <w:tab w:val="decimal" w:pos="401"/>
              </w:tabs>
              <w:spacing w:after="0"/>
              <w:ind w:firstLine="0"/>
              <w:rPr>
                <w:rFonts w:eastAsia="Times New Roman" w:cs="Times New Roman"/>
                <w:i/>
                <w:sz w:val="20"/>
                <w:szCs w:val="20"/>
              </w:rPr>
            </w:pPr>
            <w:r w:rsidRPr="00073A67">
              <w:rPr>
                <w:rFonts w:eastAsia="Times New Roman" w:cs="Times New Roman"/>
                <w:i/>
                <w:sz w:val="20"/>
                <w:szCs w:val="20"/>
              </w:rPr>
              <w:t>11,6</w:t>
            </w:r>
          </w:p>
        </w:tc>
      </w:tr>
      <w:tr w:rsidR="00322AE6" w:rsidRPr="00BB7187" w:rsidTr="00A761F0">
        <w:trPr>
          <w:cantSplit/>
          <w:jc w:val="center"/>
        </w:trPr>
        <w:tc>
          <w:tcPr>
            <w:tcW w:w="3243" w:type="dxa"/>
            <w:tcBorders>
              <w:left w:val="single" w:sz="4" w:space="0" w:color="auto"/>
              <w:bottom w:val="single" w:sz="4" w:space="0" w:color="auto"/>
            </w:tcBorders>
          </w:tcPr>
          <w:p w:rsidR="00322AE6" w:rsidRPr="00C034BF" w:rsidRDefault="00322AE6" w:rsidP="00073A67">
            <w:pPr>
              <w:spacing w:after="0"/>
              <w:ind w:firstLine="0"/>
              <w:rPr>
                <w:rFonts w:eastAsia="Times New Roman"/>
                <w:snapToGrid w:val="0"/>
                <w:sz w:val="20"/>
                <w:szCs w:val="20"/>
              </w:rPr>
            </w:pPr>
            <w:r w:rsidRPr="00C034BF">
              <w:rPr>
                <w:rFonts w:eastAsia="Times New Roman"/>
                <w:b/>
                <w:snapToGrid w:val="0"/>
                <w:sz w:val="20"/>
                <w:szCs w:val="20"/>
              </w:rPr>
              <w:t xml:space="preserve">1.2. Kapitālie izdevumi </w:t>
            </w:r>
          </w:p>
        </w:tc>
        <w:tc>
          <w:tcPr>
            <w:tcW w:w="993" w:type="dxa"/>
            <w:tcBorders>
              <w:bottom w:val="single" w:sz="4" w:space="0" w:color="auto"/>
            </w:tcBorders>
          </w:tcPr>
          <w:p w:rsidR="00322AE6" w:rsidRPr="00073A67" w:rsidRDefault="00322AE6" w:rsidP="00073A67">
            <w:pPr>
              <w:tabs>
                <w:tab w:val="decimal" w:pos="794"/>
              </w:tabs>
              <w:spacing w:after="0"/>
              <w:ind w:firstLine="0"/>
              <w:rPr>
                <w:rFonts w:eastAsia="Arial Unicode MS" w:cs="Times New Roman"/>
                <w:b/>
                <w:sz w:val="20"/>
                <w:szCs w:val="20"/>
              </w:rPr>
            </w:pPr>
            <w:r w:rsidRPr="00073A67">
              <w:rPr>
                <w:rFonts w:eastAsia="Arial Unicode MS" w:cs="Times New Roman"/>
                <w:b/>
                <w:sz w:val="20"/>
                <w:szCs w:val="20"/>
              </w:rPr>
              <w:t>0</w:t>
            </w:r>
          </w:p>
        </w:tc>
        <w:tc>
          <w:tcPr>
            <w:tcW w:w="972" w:type="dxa"/>
            <w:tcBorders>
              <w:bottom w:val="single" w:sz="4" w:space="0" w:color="auto"/>
            </w:tcBorders>
          </w:tcPr>
          <w:p w:rsidR="00322AE6" w:rsidRPr="00073A67" w:rsidRDefault="00322AE6" w:rsidP="00073A67">
            <w:pPr>
              <w:tabs>
                <w:tab w:val="decimal" w:pos="794"/>
              </w:tabs>
              <w:spacing w:after="0"/>
              <w:ind w:firstLine="0"/>
              <w:rPr>
                <w:rFonts w:eastAsia="Times New Roman" w:cs="Times New Roman"/>
                <w:b/>
                <w:sz w:val="20"/>
                <w:szCs w:val="20"/>
              </w:rPr>
            </w:pPr>
            <w:r w:rsidRPr="00073A67">
              <w:rPr>
                <w:rFonts w:eastAsia="Times New Roman" w:cs="Times New Roman"/>
                <w:b/>
                <w:sz w:val="20"/>
                <w:szCs w:val="20"/>
              </w:rPr>
              <w:t>13</w:t>
            </w:r>
          </w:p>
        </w:tc>
        <w:tc>
          <w:tcPr>
            <w:tcW w:w="992" w:type="dxa"/>
            <w:tcBorders>
              <w:bottom w:val="single" w:sz="4" w:space="0" w:color="auto"/>
            </w:tcBorders>
          </w:tcPr>
          <w:p w:rsidR="00322AE6" w:rsidRPr="00073A67" w:rsidRDefault="00322AE6" w:rsidP="00073A67">
            <w:pPr>
              <w:tabs>
                <w:tab w:val="decimal" w:pos="794"/>
              </w:tabs>
              <w:spacing w:after="0"/>
              <w:ind w:firstLine="0"/>
              <w:rPr>
                <w:rFonts w:eastAsia="Arial Unicode MS" w:cs="Times New Roman"/>
                <w:b/>
                <w:sz w:val="20"/>
                <w:szCs w:val="20"/>
              </w:rPr>
            </w:pPr>
            <w:r w:rsidRPr="00073A67">
              <w:rPr>
                <w:rFonts w:eastAsia="Arial Unicode MS" w:cs="Times New Roman"/>
                <w:b/>
                <w:sz w:val="20"/>
                <w:szCs w:val="20"/>
              </w:rPr>
              <w:t>13</w:t>
            </w:r>
          </w:p>
        </w:tc>
        <w:tc>
          <w:tcPr>
            <w:tcW w:w="992" w:type="dxa"/>
            <w:tcBorders>
              <w:bottom w:val="single" w:sz="4" w:space="0" w:color="auto"/>
            </w:tcBorders>
          </w:tcPr>
          <w:p w:rsidR="00322AE6" w:rsidRPr="00073A67" w:rsidRDefault="00322AE6" w:rsidP="00073A67">
            <w:pPr>
              <w:tabs>
                <w:tab w:val="decimal" w:pos="794"/>
              </w:tabs>
              <w:spacing w:after="0"/>
              <w:ind w:firstLine="0"/>
              <w:rPr>
                <w:rFonts w:eastAsia="Arial Unicode MS" w:cs="Times New Roman"/>
                <w:b/>
                <w:sz w:val="20"/>
                <w:szCs w:val="20"/>
              </w:rPr>
            </w:pPr>
            <w:r w:rsidRPr="00073A67">
              <w:rPr>
                <w:rFonts w:eastAsia="Arial Unicode MS" w:cs="Times New Roman"/>
                <w:b/>
                <w:sz w:val="20"/>
                <w:szCs w:val="20"/>
              </w:rPr>
              <w:t>570</w:t>
            </w:r>
          </w:p>
        </w:tc>
        <w:tc>
          <w:tcPr>
            <w:tcW w:w="993" w:type="dxa"/>
            <w:tcBorders>
              <w:bottom w:val="single" w:sz="4" w:space="0" w:color="auto"/>
            </w:tcBorders>
          </w:tcPr>
          <w:p w:rsidR="00322AE6" w:rsidRPr="00073A67" w:rsidRDefault="00322AE6" w:rsidP="00073A67">
            <w:pPr>
              <w:tabs>
                <w:tab w:val="decimal" w:pos="794"/>
              </w:tabs>
              <w:spacing w:after="0"/>
              <w:ind w:firstLine="0"/>
              <w:rPr>
                <w:rFonts w:eastAsia="Times New Roman" w:cs="Times New Roman"/>
                <w:b/>
                <w:sz w:val="20"/>
                <w:szCs w:val="20"/>
              </w:rPr>
            </w:pPr>
            <w:r w:rsidRPr="00073A67">
              <w:rPr>
                <w:rFonts w:eastAsia="Times New Roman" w:cs="Times New Roman"/>
                <w:b/>
                <w:sz w:val="20"/>
                <w:szCs w:val="20"/>
              </w:rPr>
              <w:t>-</w:t>
            </w:r>
          </w:p>
        </w:tc>
        <w:tc>
          <w:tcPr>
            <w:tcW w:w="950" w:type="dxa"/>
            <w:tcBorders>
              <w:bottom w:val="single" w:sz="4" w:space="0" w:color="auto"/>
            </w:tcBorders>
          </w:tcPr>
          <w:p w:rsidR="00322AE6" w:rsidRPr="00073A67" w:rsidRDefault="00322AE6" w:rsidP="00073A67">
            <w:pPr>
              <w:tabs>
                <w:tab w:val="decimal" w:pos="411"/>
              </w:tabs>
              <w:spacing w:after="0"/>
              <w:ind w:firstLine="0"/>
              <w:rPr>
                <w:rFonts w:eastAsia="Times New Roman" w:cs="Times New Roman"/>
                <w:b/>
                <w:sz w:val="20"/>
                <w:szCs w:val="20"/>
              </w:rPr>
            </w:pPr>
            <w:r w:rsidRPr="00073A67">
              <w:rPr>
                <w:rFonts w:eastAsia="Times New Roman" w:cs="Times New Roman"/>
                <w:b/>
                <w:sz w:val="20"/>
                <w:szCs w:val="20"/>
              </w:rPr>
              <w:t>100,0</w:t>
            </w:r>
          </w:p>
        </w:tc>
        <w:tc>
          <w:tcPr>
            <w:tcW w:w="992" w:type="dxa"/>
            <w:tcBorders>
              <w:bottom w:val="single" w:sz="4" w:space="0" w:color="auto"/>
              <w:right w:val="single" w:sz="4" w:space="0" w:color="auto"/>
            </w:tcBorders>
          </w:tcPr>
          <w:p w:rsidR="00322AE6" w:rsidRPr="00073A67" w:rsidRDefault="00322AE6" w:rsidP="00073A67">
            <w:pPr>
              <w:tabs>
                <w:tab w:val="decimal" w:pos="401"/>
              </w:tabs>
              <w:spacing w:after="0"/>
              <w:ind w:firstLine="0"/>
              <w:rPr>
                <w:rFonts w:eastAsia="Arial Unicode MS" w:cs="Times New Roman"/>
                <w:b/>
                <w:sz w:val="20"/>
                <w:szCs w:val="20"/>
              </w:rPr>
            </w:pPr>
            <w:r w:rsidRPr="00073A67">
              <w:rPr>
                <w:rFonts w:eastAsia="Times New Roman" w:cs="Times New Roman"/>
                <w:b/>
                <w:sz w:val="20"/>
                <w:szCs w:val="20"/>
              </w:rPr>
              <w:t>2,3</w:t>
            </w:r>
          </w:p>
        </w:tc>
      </w:tr>
      <w:tr w:rsidR="00322AE6" w:rsidRPr="00BB7187" w:rsidTr="00A761F0">
        <w:trPr>
          <w:cantSplit/>
          <w:jc w:val="center"/>
        </w:trPr>
        <w:tc>
          <w:tcPr>
            <w:tcW w:w="3243" w:type="dxa"/>
            <w:tcBorders>
              <w:left w:val="single" w:sz="4" w:space="0" w:color="auto"/>
              <w:bottom w:val="single" w:sz="4" w:space="0" w:color="auto"/>
            </w:tcBorders>
          </w:tcPr>
          <w:p w:rsidR="00322AE6" w:rsidRPr="00C034BF" w:rsidRDefault="00322AE6" w:rsidP="00073A67">
            <w:pPr>
              <w:spacing w:after="0"/>
              <w:ind w:firstLine="0"/>
              <w:rPr>
                <w:rFonts w:eastAsia="Times New Roman"/>
                <w:snapToGrid w:val="0"/>
                <w:sz w:val="20"/>
                <w:szCs w:val="20"/>
              </w:rPr>
            </w:pPr>
            <w:r w:rsidRPr="00C034BF">
              <w:rPr>
                <w:rFonts w:eastAsia="Times New Roman"/>
                <w:snapToGrid w:val="0"/>
                <w:sz w:val="20"/>
                <w:szCs w:val="20"/>
              </w:rPr>
              <w:t xml:space="preserve">  Pamatkapitāla veidošana</w:t>
            </w:r>
          </w:p>
        </w:tc>
        <w:tc>
          <w:tcPr>
            <w:tcW w:w="993" w:type="dxa"/>
            <w:tcBorders>
              <w:bottom w:val="single" w:sz="4" w:space="0" w:color="auto"/>
            </w:tcBorders>
          </w:tcPr>
          <w:p w:rsidR="00322AE6" w:rsidRPr="00073A67" w:rsidRDefault="00322AE6" w:rsidP="00073A67">
            <w:pPr>
              <w:tabs>
                <w:tab w:val="decimal" w:pos="794"/>
              </w:tabs>
              <w:spacing w:after="0"/>
              <w:ind w:firstLine="0"/>
              <w:rPr>
                <w:rFonts w:eastAsia="Arial Unicode MS" w:cs="Times New Roman"/>
                <w:sz w:val="20"/>
                <w:szCs w:val="20"/>
              </w:rPr>
            </w:pPr>
            <w:r w:rsidRPr="00073A67">
              <w:rPr>
                <w:rFonts w:eastAsia="Arial Unicode MS" w:cs="Times New Roman"/>
                <w:sz w:val="20"/>
                <w:szCs w:val="20"/>
              </w:rPr>
              <w:t>0</w:t>
            </w:r>
          </w:p>
        </w:tc>
        <w:tc>
          <w:tcPr>
            <w:tcW w:w="972" w:type="dxa"/>
            <w:tcBorders>
              <w:bottom w:val="single" w:sz="4" w:space="0" w:color="auto"/>
            </w:tcBorders>
          </w:tcPr>
          <w:p w:rsidR="00322AE6" w:rsidRPr="00073A67" w:rsidRDefault="00322AE6" w:rsidP="00073A67">
            <w:pPr>
              <w:tabs>
                <w:tab w:val="decimal" w:pos="794"/>
              </w:tabs>
              <w:spacing w:after="0"/>
              <w:ind w:firstLine="0"/>
              <w:rPr>
                <w:rFonts w:eastAsia="Times New Roman" w:cs="Times New Roman"/>
                <w:sz w:val="20"/>
                <w:szCs w:val="20"/>
              </w:rPr>
            </w:pPr>
            <w:r w:rsidRPr="00073A67">
              <w:rPr>
                <w:rFonts w:eastAsia="Times New Roman" w:cs="Times New Roman"/>
                <w:sz w:val="20"/>
                <w:szCs w:val="20"/>
              </w:rPr>
              <w:t>13</w:t>
            </w:r>
          </w:p>
        </w:tc>
        <w:tc>
          <w:tcPr>
            <w:tcW w:w="992" w:type="dxa"/>
            <w:tcBorders>
              <w:bottom w:val="single" w:sz="4" w:space="0" w:color="auto"/>
            </w:tcBorders>
          </w:tcPr>
          <w:p w:rsidR="00322AE6" w:rsidRPr="00073A67" w:rsidRDefault="00322AE6" w:rsidP="00073A67">
            <w:pPr>
              <w:tabs>
                <w:tab w:val="decimal" w:pos="794"/>
              </w:tabs>
              <w:spacing w:after="0"/>
              <w:ind w:firstLine="0"/>
              <w:rPr>
                <w:rFonts w:eastAsia="Arial Unicode MS" w:cs="Times New Roman"/>
                <w:sz w:val="20"/>
                <w:szCs w:val="20"/>
              </w:rPr>
            </w:pPr>
            <w:r w:rsidRPr="00073A67">
              <w:rPr>
                <w:rFonts w:eastAsia="Arial Unicode MS" w:cs="Times New Roman"/>
                <w:sz w:val="20"/>
                <w:szCs w:val="20"/>
              </w:rPr>
              <w:t>13</w:t>
            </w:r>
          </w:p>
        </w:tc>
        <w:tc>
          <w:tcPr>
            <w:tcW w:w="992" w:type="dxa"/>
            <w:tcBorders>
              <w:bottom w:val="single" w:sz="4" w:space="0" w:color="auto"/>
            </w:tcBorders>
          </w:tcPr>
          <w:p w:rsidR="00322AE6" w:rsidRPr="00073A67" w:rsidRDefault="00322AE6" w:rsidP="00073A67">
            <w:pPr>
              <w:tabs>
                <w:tab w:val="decimal" w:pos="794"/>
              </w:tabs>
              <w:spacing w:after="0"/>
              <w:ind w:firstLine="0"/>
              <w:rPr>
                <w:rFonts w:eastAsia="Arial Unicode MS" w:cs="Times New Roman"/>
                <w:sz w:val="20"/>
                <w:szCs w:val="20"/>
              </w:rPr>
            </w:pPr>
            <w:r w:rsidRPr="00073A67">
              <w:rPr>
                <w:rFonts w:eastAsia="Arial Unicode MS" w:cs="Times New Roman"/>
                <w:sz w:val="20"/>
                <w:szCs w:val="20"/>
              </w:rPr>
              <w:t>570</w:t>
            </w:r>
          </w:p>
        </w:tc>
        <w:tc>
          <w:tcPr>
            <w:tcW w:w="993" w:type="dxa"/>
            <w:tcBorders>
              <w:bottom w:val="single" w:sz="4" w:space="0" w:color="auto"/>
            </w:tcBorders>
          </w:tcPr>
          <w:p w:rsidR="00322AE6" w:rsidRPr="00073A67" w:rsidRDefault="00322AE6" w:rsidP="00073A67">
            <w:pPr>
              <w:tabs>
                <w:tab w:val="decimal" w:pos="794"/>
              </w:tabs>
              <w:spacing w:after="0"/>
              <w:ind w:firstLine="0"/>
              <w:rPr>
                <w:rFonts w:eastAsia="Times New Roman" w:cs="Times New Roman"/>
                <w:sz w:val="20"/>
                <w:szCs w:val="20"/>
              </w:rPr>
            </w:pPr>
            <w:r w:rsidRPr="00073A67">
              <w:rPr>
                <w:rFonts w:eastAsia="Times New Roman" w:cs="Times New Roman"/>
                <w:sz w:val="20"/>
                <w:szCs w:val="20"/>
              </w:rPr>
              <w:t>-</w:t>
            </w:r>
          </w:p>
        </w:tc>
        <w:tc>
          <w:tcPr>
            <w:tcW w:w="950" w:type="dxa"/>
            <w:tcBorders>
              <w:bottom w:val="single" w:sz="4" w:space="0" w:color="auto"/>
            </w:tcBorders>
          </w:tcPr>
          <w:p w:rsidR="00322AE6" w:rsidRPr="00073A67" w:rsidRDefault="00322AE6" w:rsidP="00073A67">
            <w:pPr>
              <w:tabs>
                <w:tab w:val="decimal" w:pos="411"/>
              </w:tabs>
              <w:spacing w:after="0"/>
              <w:ind w:firstLine="0"/>
              <w:rPr>
                <w:rFonts w:eastAsia="Times New Roman" w:cs="Times New Roman"/>
                <w:sz w:val="20"/>
                <w:szCs w:val="20"/>
              </w:rPr>
            </w:pPr>
            <w:r w:rsidRPr="00073A67">
              <w:rPr>
                <w:rFonts w:eastAsia="Times New Roman" w:cs="Times New Roman"/>
                <w:sz w:val="20"/>
                <w:szCs w:val="20"/>
              </w:rPr>
              <w:t>100,0</w:t>
            </w:r>
          </w:p>
        </w:tc>
        <w:tc>
          <w:tcPr>
            <w:tcW w:w="992" w:type="dxa"/>
            <w:tcBorders>
              <w:bottom w:val="single" w:sz="4" w:space="0" w:color="auto"/>
              <w:right w:val="single" w:sz="4" w:space="0" w:color="auto"/>
            </w:tcBorders>
          </w:tcPr>
          <w:p w:rsidR="00322AE6" w:rsidRPr="00073A67" w:rsidRDefault="00322AE6" w:rsidP="00073A67">
            <w:pPr>
              <w:tabs>
                <w:tab w:val="decimal" w:pos="401"/>
              </w:tabs>
              <w:spacing w:after="0"/>
              <w:ind w:firstLine="0"/>
              <w:rPr>
                <w:rFonts w:eastAsia="Arial Unicode MS" w:cs="Times New Roman"/>
                <w:sz w:val="20"/>
                <w:szCs w:val="20"/>
              </w:rPr>
            </w:pPr>
            <w:r w:rsidRPr="00073A67">
              <w:rPr>
                <w:rFonts w:eastAsia="Times New Roman" w:cs="Times New Roman"/>
                <w:sz w:val="20"/>
                <w:szCs w:val="20"/>
              </w:rPr>
              <w:t>2,3</w:t>
            </w:r>
          </w:p>
        </w:tc>
      </w:tr>
    </w:tbl>
    <w:p w:rsidR="00322AE6" w:rsidRPr="00CB01DD" w:rsidRDefault="00322AE6" w:rsidP="00CB01DD">
      <w:pPr>
        <w:ind w:firstLine="0"/>
        <w:rPr>
          <w:rFonts w:eastAsia="Times New Roman"/>
          <w:sz w:val="20"/>
          <w:szCs w:val="20"/>
        </w:rPr>
      </w:pPr>
      <w:r w:rsidRPr="00CB01DD">
        <w:rPr>
          <w:rFonts w:eastAsia="Times New Roman"/>
          <w:sz w:val="20"/>
          <w:szCs w:val="20"/>
        </w:rPr>
        <w:t>* Pārskata periodā spēkā esošais 2012.gada plāns atbilstoši likumam „Par valsts budžetu 2012.gadam” ar Finanšu ministrijas rīkojumiem</w:t>
      </w:r>
    </w:p>
    <w:p w:rsidR="00322AE6" w:rsidRPr="00322AE6" w:rsidRDefault="00322AE6" w:rsidP="00CB01DD">
      <w:pPr>
        <w:ind w:firstLine="720"/>
        <w:rPr>
          <w:rFonts w:eastAsia="Times New Roman"/>
          <w:szCs w:val="20"/>
        </w:rPr>
      </w:pPr>
      <w:r w:rsidRPr="00322AE6">
        <w:rPr>
          <w:rFonts w:eastAsia="Times New Roman"/>
          <w:szCs w:val="20"/>
        </w:rPr>
        <w:t xml:space="preserve">Valsts obligātā sociālā apdrošināšana sociālās apdrošināšanas iemaksu veicējam daļēji kompensē līdzšinējos ienākumus, ja viņš tos zaudējis, aiziedams </w:t>
      </w:r>
      <w:r w:rsidRPr="00322AE6">
        <w:rPr>
          <w:rFonts w:eastAsia="Times New Roman"/>
          <w:szCs w:val="20"/>
        </w:rPr>
        <w:lastRenderedPageBreak/>
        <w:t>pensijā, zaudēdams darbu, iegūdams invaliditāti, zaudēdams apgādnieku, sa</w:t>
      </w:r>
      <w:r w:rsidRPr="00322AE6">
        <w:rPr>
          <w:rFonts w:eastAsia="Times New Roman"/>
          <w:szCs w:val="20"/>
        </w:rPr>
        <w:softHyphen/>
        <w:t>slimdams, ejot pirmsdzemdību un pēcdzemdību atvaļinājumā, kā arī ciezdams nelaimes gadījumā vai iegūdams arodslimību.</w:t>
      </w:r>
    </w:p>
    <w:p w:rsidR="00322AE6" w:rsidRPr="00322AE6" w:rsidRDefault="00322AE6" w:rsidP="00322AE6">
      <w:pPr>
        <w:ind w:firstLine="0"/>
        <w:rPr>
          <w:rFonts w:eastAsia="Times New Roman"/>
          <w:szCs w:val="20"/>
        </w:rPr>
      </w:pPr>
      <w:r>
        <w:rPr>
          <w:noProof/>
          <w:lang w:eastAsia="lv-LV"/>
        </w:rPr>
        <w:drawing>
          <wp:inline distT="0" distB="0" distL="0" distR="0" wp14:anchorId="2B51F609" wp14:editId="0258825A">
            <wp:extent cx="4695825"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22AE6" w:rsidRPr="00322AE6" w:rsidRDefault="00EA480A" w:rsidP="00FF02EC">
      <w:pPr>
        <w:ind w:firstLine="0"/>
        <w:jc w:val="center"/>
        <w:rPr>
          <w:rFonts w:eastAsia="Times New Roman"/>
          <w:b/>
          <w:i/>
          <w:szCs w:val="20"/>
        </w:rPr>
      </w:pPr>
      <w:r>
        <w:rPr>
          <w:rFonts w:eastAsia="Times New Roman"/>
          <w:b/>
          <w:i/>
          <w:szCs w:val="20"/>
        </w:rPr>
        <w:t>36</w:t>
      </w:r>
      <w:r w:rsidR="00322AE6" w:rsidRPr="00322AE6">
        <w:rPr>
          <w:rFonts w:eastAsia="Times New Roman"/>
          <w:b/>
          <w:i/>
          <w:szCs w:val="20"/>
        </w:rPr>
        <w:t xml:space="preserve">. </w:t>
      </w:r>
      <w:proofErr w:type="spellStart"/>
      <w:r w:rsidR="00322AE6" w:rsidRPr="00322AE6">
        <w:rPr>
          <w:rFonts w:eastAsia="Times New Roman"/>
          <w:b/>
          <w:i/>
          <w:szCs w:val="20"/>
        </w:rPr>
        <w:t>att</w:t>
      </w:r>
      <w:proofErr w:type="spellEnd"/>
      <w:r w:rsidR="00322AE6" w:rsidRPr="00322AE6">
        <w:rPr>
          <w:rFonts w:eastAsia="Times New Roman"/>
          <w:b/>
          <w:i/>
          <w:szCs w:val="20"/>
        </w:rPr>
        <w:t>. Valsts speciālā budžeta izdevumu izpilde 2012. gada pirmajā ceturksnī atbilstoši ekonomiskajām kategorijām.</w:t>
      </w:r>
    </w:p>
    <w:p w:rsidR="00322AE6" w:rsidRDefault="00322AE6" w:rsidP="00322AE6">
      <w:pPr>
        <w:ind w:firstLine="0"/>
        <w:rPr>
          <w:rFonts w:eastAsia="Times New Roman"/>
          <w:b/>
          <w:i/>
          <w:szCs w:val="20"/>
        </w:rPr>
      </w:pPr>
    </w:p>
    <w:p w:rsidR="00322AE6" w:rsidRDefault="00322AE6" w:rsidP="00E03FA7">
      <w:pPr>
        <w:rPr>
          <w:rFonts w:eastAsia="Times New Roman"/>
          <w:snapToGrid w:val="0"/>
        </w:rPr>
      </w:pPr>
      <w:r w:rsidRPr="00322AE6">
        <w:rPr>
          <w:rFonts w:eastAsia="Times New Roman"/>
        </w:rPr>
        <w:t xml:space="preserve">Valsts speciālā budžeta līdzekļi atbilstoši funkcionālajām kategorijām izlietoti </w:t>
      </w:r>
      <w:r w:rsidRPr="00322AE6">
        <w:rPr>
          <w:rFonts w:eastAsia="Times New Roman"/>
          <w:snapToGrid w:val="0"/>
        </w:rPr>
        <w:t>Sociālajai aizsardzībai.</w:t>
      </w:r>
      <w:bookmarkStart w:id="91" w:name="_Toc4467568"/>
      <w:bookmarkStart w:id="92" w:name="_Toc97362247"/>
      <w:bookmarkEnd w:id="91"/>
      <w:bookmarkEnd w:id="92"/>
    </w:p>
    <w:p w:rsidR="00683D7A" w:rsidRPr="00322AE6" w:rsidRDefault="00683D7A" w:rsidP="00322AE6">
      <w:pPr>
        <w:ind w:firstLine="0"/>
        <w:rPr>
          <w:rFonts w:eastAsia="Times New Roman"/>
          <w:snapToGrid w:val="0"/>
        </w:rPr>
      </w:pPr>
    </w:p>
    <w:p w:rsidR="00683D7A" w:rsidRPr="00F53D19" w:rsidRDefault="00FF02EC" w:rsidP="00F53D19">
      <w:pPr>
        <w:pStyle w:val="Heading33"/>
      </w:pPr>
      <w:bookmarkStart w:id="93" w:name="_Toc325101929"/>
      <w:r w:rsidRPr="00F53D19">
        <w:t>2.</w:t>
      </w:r>
      <w:r w:rsidR="00B55D5C">
        <w:t>4</w:t>
      </w:r>
      <w:r w:rsidR="00683D7A" w:rsidRPr="00F53D19">
        <w:t>.</w:t>
      </w:r>
      <w:r w:rsidR="00073A67">
        <w:t>3</w:t>
      </w:r>
      <w:r w:rsidRPr="00F53D19">
        <w:t>.</w:t>
      </w:r>
      <w:r w:rsidR="00683D7A" w:rsidRPr="00F53D19">
        <w:t xml:space="preserve"> Valsts pamatbudžeta izpilde valsts pamatfunkciju un </w:t>
      </w:r>
      <w:r w:rsidR="00683D7A" w:rsidRPr="00F53D19">
        <w:rPr>
          <w:lang w:eastAsia="lv-LV"/>
        </w:rPr>
        <w:t>Eiropas Savienības politiku instrumentu un pārējās ārvalstu finanšu palīdzības līdzfinansēto un finansēto projektu un pasākumu īstenošanai</w:t>
      </w:r>
      <w:bookmarkEnd w:id="93"/>
    </w:p>
    <w:p w:rsidR="00683D7A" w:rsidRPr="0026440D" w:rsidRDefault="00683D7A" w:rsidP="00683D7A">
      <w:pPr>
        <w:ind w:firstLine="720"/>
      </w:pPr>
      <w:r w:rsidRPr="0026440D">
        <w:t>Valsts pamatbudžetā</w:t>
      </w:r>
      <w:r w:rsidRPr="0026440D">
        <w:rPr>
          <w:b/>
        </w:rPr>
        <w:t xml:space="preserve"> </w:t>
      </w:r>
      <w:r w:rsidRPr="0026440D">
        <w:t xml:space="preserve">2012. gada pirmajā ceturksnī kopējie izdevumi bija 743,9 </w:t>
      </w:r>
      <w:proofErr w:type="spellStart"/>
      <w:r w:rsidRPr="0026440D">
        <w:t>milj</w:t>
      </w:r>
      <w:proofErr w:type="spellEnd"/>
      <w:r w:rsidRPr="0026440D">
        <w:t xml:space="preserve">. latu, no kuriem 577,9 </w:t>
      </w:r>
      <w:proofErr w:type="spellStart"/>
      <w:r w:rsidRPr="0026440D">
        <w:t>milj</w:t>
      </w:r>
      <w:proofErr w:type="spellEnd"/>
      <w:r w:rsidRPr="0026440D">
        <w:t xml:space="preserve">. latu jeb 77,7% bija izdevumi valsts pamatfunkciju īstenošanai, savukārt 166,0 </w:t>
      </w:r>
      <w:proofErr w:type="spellStart"/>
      <w:r w:rsidRPr="0026440D">
        <w:t>milj</w:t>
      </w:r>
      <w:proofErr w:type="spellEnd"/>
      <w:r w:rsidRPr="0026440D">
        <w:t xml:space="preserve">. latu jeb 22,3% bija izdevumi ES politiku instrumentu un pārējās ārvalstu finanšu palīdzības līdzfinansēto un finansēto projektu un pasākumu īstenošanai. 2011.gada atbilstošajā periodā valsts pamatfunkciju īstenošanai tika izlietoti 570,7 </w:t>
      </w:r>
      <w:proofErr w:type="spellStart"/>
      <w:r w:rsidRPr="0026440D">
        <w:t>milj</w:t>
      </w:r>
      <w:proofErr w:type="spellEnd"/>
      <w:r w:rsidRPr="0026440D">
        <w:t xml:space="preserve">. latu, bet ES fondu apguvei – 159,9 </w:t>
      </w:r>
      <w:proofErr w:type="spellStart"/>
      <w:r w:rsidRPr="0026440D">
        <w:t>milj</w:t>
      </w:r>
      <w:proofErr w:type="spellEnd"/>
      <w:r w:rsidRPr="0026440D">
        <w:t>. latu.</w:t>
      </w:r>
    </w:p>
    <w:p w:rsidR="00683D7A" w:rsidRPr="0026440D" w:rsidRDefault="00683D7A" w:rsidP="00683D7A">
      <w:pPr>
        <w:ind w:firstLine="720"/>
      </w:pPr>
      <w:r w:rsidRPr="0026440D">
        <w:rPr>
          <w:rFonts w:eastAsia="Times New Roman"/>
          <w:szCs w:val="20"/>
        </w:rPr>
        <w:t>2012. gada pirmajā ceturksnī i</w:t>
      </w:r>
      <w:r w:rsidRPr="0026440D">
        <w:t xml:space="preserve">zdevumi ES politiku instrumentu un pārējās ārvalstu finanšu palīdzības apguvei ir izlietoti par 13,6 </w:t>
      </w:r>
      <w:proofErr w:type="spellStart"/>
      <w:r w:rsidRPr="0026440D">
        <w:t>milj</w:t>
      </w:r>
      <w:proofErr w:type="spellEnd"/>
      <w:r w:rsidRPr="0026440D">
        <w:t xml:space="preserve">. latu mazāk nekā plānots, bet izdevumi valsts pamatfunkciju īstenošanai apgūti par14,0 </w:t>
      </w:r>
      <w:proofErr w:type="spellStart"/>
      <w:r w:rsidRPr="0026440D">
        <w:t>milj</w:t>
      </w:r>
      <w:proofErr w:type="spellEnd"/>
      <w:r w:rsidRPr="0026440D">
        <w:t>. latu mazāk nekā plānots.</w:t>
      </w:r>
    </w:p>
    <w:p w:rsidR="00EA480A" w:rsidRDefault="00683D7A" w:rsidP="00EA480A">
      <w:pPr>
        <w:ind w:firstLine="720"/>
      </w:pPr>
      <w:r w:rsidRPr="0026440D">
        <w:t>Valsts pamatbudžeta izdevumi ES politiku instrumentu un pārējās ārvalstu finanšu palīdzības apguvei</w:t>
      </w:r>
      <w:r w:rsidRPr="0026440D">
        <w:rPr>
          <w:rFonts w:eastAsia="Times New Roman"/>
          <w:szCs w:val="20"/>
        </w:rPr>
        <w:t xml:space="preserve"> 2012. gada pirmajā ceturksnī, salīdzinot ar </w:t>
      </w:r>
      <w:r w:rsidRPr="0026440D">
        <w:rPr>
          <w:rFonts w:eastAsia="Times New Roman"/>
          <w:szCs w:val="20"/>
        </w:rPr>
        <w:lastRenderedPageBreak/>
        <w:t xml:space="preserve">2011. gada atbilstošo periodu, palielinājušies </w:t>
      </w:r>
      <w:r w:rsidRPr="0026440D">
        <w:t xml:space="preserve">par 6,0 </w:t>
      </w:r>
      <w:proofErr w:type="spellStart"/>
      <w:r w:rsidRPr="0026440D">
        <w:t>milj</w:t>
      </w:r>
      <w:proofErr w:type="spellEnd"/>
      <w:r w:rsidRPr="0026440D">
        <w:t xml:space="preserve">. latu jeb 3,8%, savukārt izdevumi valsts pamatfunkciju īstenošanai ir palielinājušies par 7,2 </w:t>
      </w:r>
      <w:proofErr w:type="spellStart"/>
      <w:r w:rsidRPr="0026440D">
        <w:t>milj</w:t>
      </w:r>
      <w:proofErr w:type="spellEnd"/>
      <w:r w:rsidRPr="0026440D">
        <w:t>. latu jeb 1,3 procentiem.</w:t>
      </w:r>
    </w:p>
    <w:p w:rsidR="00683D7A" w:rsidRPr="00EA480A" w:rsidRDefault="00EA480A" w:rsidP="00EA480A">
      <w:pPr>
        <w:ind w:firstLine="720"/>
        <w:jc w:val="right"/>
        <w:rPr>
          <w:b/>
          <w:i/>
        </w:rPr>
      </w:pPr>
      <w:r w:rsidRPr="00EA480A">
        <w:rPr>
          <w:b/>
          <w:bCs/>
          <w:i/>
        </w:rPr>
        <w:t>10.tabula</w:t>
      </w:r>
      <w:r>
        <w:rPr>
          <w:b/>
          <w:bCs/>
          <w:i/>
        </w:rPr>
        <w:t>.</w:t>
      </w:r>
      <w:r w:rsidRPr="00EA480A">
        <w:rPr>
          <w:b/>
          <w:bCs/>
          <w:i/>
        </w:rPr>
        <w:t xml:space="preserve"> </w:t>
      </w:r>
      <w:r w:rsidR="00683D7A" w:rsidRPr="00EA480A">
        <w:rPr>
          <w:b/>
          <w:bCs/>
          <w:i/>
        </w:rPr>
        <w:t>F</w:t>
      </w:r>
      <w:r w:rsidRPr="00EA480A">
        <w:rPr>
          <w:b/>
          <w:bCs/>
          <w:i/>
        </w:rPr>
        <w:t>inansiālo rādītāju kopsavilkums</w:t>
      </w:r>
    </w:p>
    <w:tbl>
      <w:tblPr>
        <w:tblW w:w="5700" w:type="pct"/>
        <w:jc w:val="center"/>
        <w:tblBorders>
          <w:top w:val="outset" w:sz="6" w:space="0" w:color="000000"/>
          <w:left w:val="outset" w:sz="6" w:space="0" w:color="000000"/>
          <w:bottom w:val="outset" w:sz="6" w:space="0" w:color="000000"/>
          <w:right w:val="outset" w:sz="6" w:space="0" w:color="000000"/>
        </w:tblBorders>
        <w:shd w:val="clear" w:color="auto" w:fill="FFFFFF" w:themeFill="background1"/>
        <w:tblCellMar>
          <w:top w:w="30" w:type="dxa"/>
          <w:left w:w="30" w:type="dxa"/>
          <w:bottom w:w="30" w:type="dxa"/>
          <w:right w:w="30" w:type="dxa"/>
        </w:tblCellMar>
        <w:tblLook w:val="04A0" w:firstRow="1" w:lastRow="0" w:firstColumn="1" w:lastColumn="0" w:noHBand="0" w:noVBand="1"/>
      </w:tblPr>
      <w:tblGrid>
        <w:gridCol w:w="2368"/>
        <w:gridCol w:w="939"/>
        <w:gridCol w:w="960"/>
        <w:gridCol w:w="910"/>
        <w:gridCol w:w="1418"/>
        <w:gridCol w:w="1272"/>
        <w:gridCol w:w="1416"/>
        <w:gridCol w:w="1126"/>
      </w:tblGrid>
      <w:tr w:rsidR="00683D7A" w:rsidRPr="0026440D" w:rsidTr="00A761F0">
        <w:trPr>
          <w:jc w:val="center"/>
        </w:trPr>
        <w:tc>
          <w:tcPr>
            <w:tcW w:w="113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hideMark/>
          </w:tcPr>
          <w:p w:rsidR="00683D7A" w:rsidRPr="0026440D" w:rsidRDefault="00683D7A" w:rsidP="00073A67">
            <w:pPr>
              <w:spacing w:after="0"/>
              <w:ind w:firstLine="0"/>
              <w:jc w:val="center"/>
              <w:rPr>
                <w:rFonts w:eastAsia="Times New Roman"/>
                <w:iCs/>
                <w:sz w:val="20"/>
                <w:szCs w:val="20"/>
                <w:lang w:eastAsia="lv-LV"/>
              </w:rPr>
            </w:pPr>
            <w:r w:rsidRPr="0026440D">
              <w:rPr>
                <w:rFonts w:eastAsia="Times New Roman"/>
                <w:iCs/>
                <w:sz w:val="20"/>
                <w:szCs w:val="20"/>
                <w:lang w:eastAsia="lv-LV"/>
              </w:rPr>
              <w:t>Finansiālie rādītāji</w:t>
            </w:r>
          </w:p>
        </w:tc>
        <w:tc>
          <w:tcPr>
            <w:tcW w:w="45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center"/>
              <w:rPr>
                <w:sz w:val="20"/>
                <w:szCs w:val="20"/>
              </w:rPr>
            </w:pPr>
            <w:r w:rsidRPr="0026440D">
              <w:rPr>
                <w:sz w:val="20"/>
                <w:szCs w:val="20"/>
              </w:rPr>
              <w:t>2011.gada 3 mēnešu izpilde</w:t>
            </w:r>
            <w:r w:rsidRPr="0026440D">
              <w:rPr>
                <w:sz w:val="20"/>
                <w:szCs w:val="20"/>
              </w:rPr>
              <w:br/>
              <w:t>(tūkstošos latu)</w:t>
            </w:r>
          </w:p>
        </w:tc>
        <w:tc>
          <w:tcPr>
            <w:tcW w:w="46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center"/>
              <w:rPr>
                <w:sz w:val="20"/>
                <w:szCs w:val="20"/>
              </w:rPr>
            </w:pPr>
            <w:r w:rsidRPr="0026440D">
              <w:rPr>
                <w:sz w:val="20"/>
                <w:szCs w:val="20"/>
              </w:rPr>
              <w:t>2012.gada 3 mēnešu plāns</w:t>
            </w:r>
            <w:r w:rsidRPr="0026440D">
              <w:rPr>
                <w:sz w:val="20"/>
                <w:szCs w:val="20"/>
              </w:rPr>
              <w:br/>
              <w:t>(tūkstošos latu)</w:t>
            </w:r>
          </w:p>
        </w:tc>
        <w:tc>
          <w:tcPr>
            <w:tcW w:w="43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center"/>
              <w:rPr>
                <w:sz w:val="20"/>
                <w:szCs w:val="20"/>
              </w:rPr>
            </w:pPr>
            <w:r w:rsidRPr="0026440D">
              <w:rPr>
                <w:sz w:val="20"/>
                <w:szCs w:val="20"/>
              </w:rPr>
              <w:t>2012.gada 3 mēnešu izpilde</w:t>
            </w:r>
            <w:r w:rsidRPr="0026440D">
              <w:rPr>
                <w:sz w:val="20"/>
                <w:szCs w:val="20"/>
              </w:rPr>
              <w:br/>
              <w:t>(tūkstošos latu)</w:t>
            </w:r>
          </w:p>
        </w:tc>
        <w:tc>
          <w:tcPr>
            <w:tcW w:w="68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Default="00683D7A" w:rsidP="00073A67">
            <w:pPr>
              <w:spacing w:after="0"/>
              <w:ind w:firstLine="0"/>
              <w:jc w:val="center"/>
              <w:rPr>
                <w:sz w:val="20"/>
                <w:szCs w:val="20"/>
              </w:rPr>
            </w:pPr>
            <w:r w:rsidRPr="0026440D">
              <w:rPr>
                <w:sz w:val="20"/>
                <w:szCs w:val="20"/>
              </w:rPr>
              <w:t>2012.gada</w:t>
            </w:r>
          </w:p>
          <w:p w:rsidR="00683D7A" w:rsidRPr="0026440D" w:rsidRDefault="00683D7A" w:rsidP="00073A67">
            <w:pPr>
              <w:spacing w:after="0"/>
              <w:ind w:firstLine="0"/>
              <w:jc w:val="center"/>
              <w:rPr>
                <w:sz w:val="20"/>
                <w:szCs w:val="20"/>
              </w:rPr>
            </w:pPr>
            <w:r>
              <w:rPr>
                <w:sz w:val="20"/>
                <w:szCs w:val="20"/>
              </w:rPr>
              <w:t xml:space="preserve"> 3 mēnešu izpildes izmaiņas </w:t>
            </w:r>
            <w:r w:rsidRPr="0026440D">
              <w:rPr>
                <w:sz w:val="20"/>
                <w:szCs w:val="20"/>
              </w:rPr>
              <w:t>pret 2011.gada 3 mēnešu izpildi</w:t>
            </w:r>
            <w:r w:rsidRPr="0026440D">
              <w:rPr>
                <w:sz w:val="20"/>
                <w:szCs w:val="20"/>
              </w:rPr>
              <w:br/>
              <w:t>(tūkstošos latu)</w:t>
            </w:r>
          </w:p>
        </w:tc>
        <w:tc>
          <w:tcPr>
            <w:tcW w:w="61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Default="00683D7A" w:rsidP="00073A67">
            <w:pPr>
              <w:spacing w:after="0"/>
              <w:ind w:firstLine="0"/>
              <w:jc w:val="center"/>
              <w:rPr>
                <w:sz w:val="20"/>
                <w:szCs w:val="20"/>
              </w:rPr>
            </w:pPr>
            <w:r w:rsidRPr="0026440D">
              <w:rPr>
                <w:sz w:val="20"/>
                <w:szCs w:val="20"/>
              </w:rPr>
              <w:t xml:space="preserve">2012.gada </w:t>
            </w:r>
          </w:p>
          <w:p w:rsidR="00683D7A" w:rsidRPr="0026440D" w:rsidRDefault="00683D7A" w:rsidP="00073A67">
            <w:pPr>
              <w:spacing w:after="0"/>
              <w:ind w:firstLine="0"/>
              <w:jc w:val="center"/>
              <w:rPr>
                <w:sz w:val="20"/>
                <w:szCs w:val="20"/>
              </w:rPr>
            </w:pPr>
            <w:r w:rsidRPr="0026440D">
              <w:rPr>
                <w:sz w:val="20"/>
                <w:szCs w:val="20"/>
              </w:rPr>
              <w:t>3 mēnešu izpilde pret 2012.gada 3 mēnešu plānu</w:t>
            </w:r>
            <w:r w:rsidRPr="0026440D">
              <w:rPr>
                <w:sz w:val="20"/>
                <w:szCs w:val="20"/>
              </w:rPr>
              <w:br/>
              <w:t>(tūkstošos latu)</w:t>
            </w:r>
          </w:p>
        </w:tc>
        <w:tc>
          <w:tcPr>
            <w:tcW w:w="680"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A048FB" w:rsidRDefault="00683D7A" w:rsidP="00073A67">
            <w:pPr>
              <w:spacing w:after="0"/>
              <w:ind w:firstLine="0"/>
              <w:jc w:val="center"/>
              <w:rPr>
                <w:sz w:val="20"/>
                <w:szCs w:val="20"/>
              </w:rPr>
            </w:pPr>
            <w:r w:rsidRPr="0026440D">
              <w:rPr>
                <w:sz w:val="20"/>
                <w:szCs w:val="20"/>
              </w:rPr>
              <w:t>2012.gada</w:t>
            </w:r>
          </w:p>
          <w:p w:rsidR="00683D7A" w:rsidRPr="0026440D" w:rsidRDefault="00683D7A" w:rsidP="00073A67">
            <w:pPr>
              <w:spacing w:after="0"/>
              <w:ind w:firstLine="0"/>
              <w:jc w:val="center"/>
              <w:rPr>
                <w:sz w:val="20"/>
                <w:szCs w:val="20"/>
              </w:rPr>
            </w:pPr>
            <w:r w:rsidRPr="0026440D">
              <w:rPr>
                <w:sz w:val="20"/>
                <w:szCs w:val="20"/>
              </w:rPr>
              <w:t xml:space="preserve"> 3 mēnešu izpildes izmaiņas pret 2011.gada 3 mēnešu izpildi</w:t>
            </w:r>
            <w:r w:rsidRPr="0026440D">
              <w:rPr>
                <w:sz w:val="20"/>
                <w:szCs w:val="20"/>
              </w:rPr>
              <w:br/>
              <w:t>(procentos)</w:t>
            </w:r>
          </w:p>
        </w:tc>
        <w:tc>
          <w:tcPr>
            <w:tcW w:w="54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Default="00683D7A" w:rsidP="00073A67">
            <w:pPr>
              <w:spacing w:after="0"/>
              <w:ind w:firstLine="0"/>
              <w:jc w:val="center"/>
              <w:rPr>
                <w:sz w:val="20"/>
                <w:szCs w:val="20"/>
              </w:rPr>
            </w:pPr>
            <w:r w:rsidRPr="0026440D">
              <w:rPr>
                <w:sz w:val="20"/>
                <w:szCs w:val="20"/>
              </w:rPr>
              <w:t>2012.gada</w:t>
            </w:r>
          </w:p>
          <w:p w:rsidR="00683D7A" w:rsidRPr="0026440D" w:rsidRDefault="00683D7A" w:rsidP="00073A67">
            <w:pPr>
              <w:spacing w:after="0"/>
              <w:ind w:firstLine="0"/>
              <w:jc w:val="center"/>
              <w:rPr>
                <w:sz w:val="20"/>
                <w:szCs w:val="20"/>
              </w:rPr>
            </w:pPr>
            <w:r w:rsidRPr="0026440D">
              <w:rPr>
                <w:sz w:val="20"/>
                <w:szCs w:val="20"/>
              </w:rPr>
              <w:t xml:space="preserve"> 3 mēnešu izpilde no 2012.gada 3 mēnešu plāna</w:t>
            </w:r>
            <w:r w:rsidRPr="0026440D">
              <w:rPr>
                <w:sz w:val="20"/>
                <w:szCs w:val="20"/>
              </w:rPr>
              <w:br/>
              <w:t>(procentos)</w:t>
            </w:r>
          </w:p>
        </w:tc>
      </w:tr>
      <w:tr w:rsidR="00683D7A" w:rsidRPr="0026440D" w:rsidTr="00A761F0">
        <w:trPr>
          <w:jc w:val="center"/>
        </w:trPr>
        <w:tc>
          <w:tcPr>
            <w:tcW w:w="113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hideMark/>
          </w:tcPr>
          <w:p w:rsidR="00683D7A" w:rsidRPr="0026440D" w:rsidRDefault="00683D7A" w:rsidP="00073A67">
            <w:pPr>
              <w:spacing w:after="0"/>
              <w:ind w:firstLine="0"/>
              <w:jc w:val="center"/>
              <w:rPr>
                <w:rFonts w:eastAsia="Times New Roman"/>
                <w:iCs/>
                <w:sz w:val="20"/>
                <w:szCs w:val="20"/>
                <w:lang w:eastAsia="lv-LV"/>
              </w:rPr>
            </w:pPr>
            <w:r w:rsidRPr="0026440D">
              <w:rPr>
                <w:rFonts w:eastAsia="Times New Roman"/>
                <w:iCs/>
                <w:sz w:val="20"/>
                <w:szCs w:val="20"/>
                <w:lang w:eastAsia="lv-LV"/>
              </w:rPr>
              <w:t>1</w:t>
            </w:r>
          </w:p>
        </w:tc>
        <w:tc>
          <w:tcPr>
            <w:tcW w:w="45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center"/>
              <w:rPr>
                <w:sz w:val="20"/>
                <w:szCs w:val="20"/>
              </w:rPr>
            </w:pPr>
            <w:r w:rsidRPr="0026440D">
              <w:rPr>
                <w:sz w:val="20"/>
                <w:szCs w:val="20"/>
              </w:rPr>
              <w:t>2</w:t>
            </w:r>
          </w:p>
        </w:tc>
        <w:tc>
          <w:tcPr>
            <w:tcW w:w="46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center"/>
              <w:rPr>
                <w:sz w:val="20"/>
                <w:szCs w:val="20"/>
              </w:rPr>
            </w:pPr>
            <w:r w:rsidRPr="0026440D">
              <w:rPr>
                <w:sz w:val="20"/>
                <w:szCs w:val="20"/>
              </w:rPr>
              <w:t>3</w:t>
            </w:r>
          </w:p>
        </w:tc>
        <w:tc>
          <w:tcPr>
            <w:tcW w:w="43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center"/>
              <w:rPr>
                <w:sz w:val="20"/>
                <w:szCs w:val="20"/>
              </w:rPr>
            </w:pPr>
            <w:r w:rsidRPr="0026440D">
              <w:rPr>
                <w:sz w:val="20"/>
                <w:szCs w:val="20"/>
              </w:rPr>
              <w:t>4</w:t>
            </w:r>
          </w:p>
        </w:tc>
        <w:tc>
          <w:tcPr>
            <w:tcW w:w="68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center"/>
              <w:rPr>
                <w:sz w:val="20"/>
                <w:szCs w:val="20"/>
              </w:rPr>
            </w:pPr>
            <w:r w:rsidRPr="0026440D">
              <w:rPr>
                <w:sz w:val="20"/>
                <w:szCs w:val="20"/>
              </w:rPr>
              <w:t>5 = 4-2</w:t>
            </w:r>
          </w:p>
        </w:tc>
        <w:tc>
          <w:tcPr>
            <w:tcW w:w="61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center"/>
              <w:rPr>
                <w:sz w:val="20"/>
                <w:szCs w:val="20"/>
              </w:rPr>
            </w:pPr>
            <w:r w:rsidRPr="0026440D">
              <w:rPr>
                <w:sz w:val="20"/>
                <w:szCs w:val="20"/>
              </w:rPr>
              <w:t>6=4-3</w:t>
            </w:r>
          </w:p>
        </w:tc>
        <w:tc>
          <w:tcPr>
            <w:tcW w:w="680"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center"/>
              <w:rPr>
                <w:sz w:val="20"/>
                <w:szCs w:val="20"/>
              </w:rPr>
            </w:pPr>
            <w:r w:rsidRPr="0026440D">
              <w:rPr>
                <w:sz w:val="20"/>
                <w:szCs w:val="20"/>
              </w:rPr>
              <w:t>7=4/2*100-100</w:t>
            </w:r>
          </w:p>
        </w:tc>
        <w:tc>
          <w:tcPr>
            <w:tcW w:w="54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center"/>
              <w:rPr>
                <w:sz w:val="20"/>
                <w:szCs w:val="20"/>
              </w:rPr>
            </w:pPr>
            <w:r w:rsidRPr="0026440D">
              <w:rPr>
                <w:sz w:val="20"/>
                <w:szCs w:val="20"/>
              </w:rPr>
              <w:t>8=4/3*100</w:t>
            </w:r>
          </w:p>
        </w:tc>
      </w:tr>
      <w:tr w:rsidR="00683D7A" w:rsidRPr="0026440D" w:rsidTr="00A761F0">
        <w:trPr>
          <w:jc w:val="center"/>
        </w:trPr>
        <w:tc>
          <w:tcPr>
            <w:tcW w:w="113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hideMark/>
          </w:tcPr>
          <w:p w:rsidR="00683D7A" w:rsidRPr="0026440D" w:rsidRDefault="00683D7A" w:rsidP="00073A67">
            <w:pPr>
              <w:spacing w:after="0"/>
              <w:ind w:firstLine="0"/>
              <w:rPr>
                <w:rFonts w:eastAsia="Times New Roman"/>
                <w:b/>
                <w:iCs/>
                <w:sz w:val="20"/>
                <w:szCs w:val="20"/>
                <w:lang w:eastAsia="lv-LV"/>
              </w:rPr>
            </w:pPr>
            <w:r w:rsidRPr="0026440D">
              <w:rPr>
                <w:rFonts w:eastAsia="Times New Roman"/>
                <w:b/>
                <w:iCs/>
                <w:sz w:val="20"/>
                <w:szCs w:val="20"/>
                <w:lang w:eastAsia="lv-LV"/>
              </w:rPr>
              <w:t>Resursi izdevumu segšanai</w:t>
            </w:r>
          </w:p>
        </w:tc>
        <w:tc>
          <w:tcPr>
            <w:tcW w:w="45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761 499</w:t>
            </w:r>
          </w:p>
        </w:tc>
        <w:tc>
          <w:tcPr>
            <w:tcW w:w="46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776 662</w:t>
            </w:r>
          </w:p>
        </w:tc>
        <w:tc>
          <w:tcPr>
            <w:tcW w:w="43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774 978</w:t>
            </w:r>
          </w:p>
        </w:tc>
        <w:tc>
          <w:tcPr>
            <w:tcW w:w="68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13 479</w:t>
            </w:r>
          </w:p>
        </w:tc>
        <w:tc>
          <w:tcPr>
            <w:tcW w:w="61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-1 684</w:t>
            </w:r>
          </w:p>
        </w:tc>
        <w:tc>
          <w:tcPr>
            <w:tcW w:w="680"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1,8</w:t>
            </w:r>
          </w:p>
        </w:tc>
        <w:tc>
          <w:tcPr>
            <w:tcW w:w="54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99,8</w:t>
            </w:r>
          </w:p>
        </w:tc>
      </w:tr>
      <w:tr w:rsidR="00683D7A" w:rsidRPr="0026440D" w:rsidTr="00A761F0">
        <w:trPr>
          <w:jc w:val="center"/>
        </w:trPr>
        <w:tc>
          <w:tcPr>
            <w:tcW w:w="113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hideMark/>
          </w:tcPr>
          <w:p w:rsidR="00683D7A" w:rsidRPr="0026440D" w:rsidRDefault="00683D7A" w:rsidP="00073A67">
            <w:pPr>
              <w:spacing w:after="0"/>
              <w:ind w:firstLine="0"/>
              <w:rPr>
                <w:rFonts w:eastAsia="Times New Roman"/>
                <w:iCs/>
                <w:sz w:val="20"/>
                <w:szCs w:val="20"/>
                <w:lang w:eastAsia="lv-LV"/>
              </w:rPr>
            </w:pPr>
            <w:r w:rsidRPr="0026440D">
              <w:rPr>
                <w:rFonts w:eastAsia="Times New Roman"/>
                <w:iCs/>
                <w:sz w:val="20"/>
                <w:szCs w:val="20"/>
                <w:lang w:eastAsia="lv-LV"/>
              </w:rPr>
              <w:t>Ieņēmumi no maksas pakalpojumiem un citi pašu ieņēmumi</w:t>
            </w:r>
          </w:p>
        </w:tc>
        <w:tc>
          <w:tcPr>
            <w:tcW w:w="45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13 719</w:t>
            </w:r>
          </w:p>
        </w:tc>
        <w:tc>
          <w:tcPr>
            <w:tcW w:w="46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13 370</w:t>
            </w:r>
          </w:p>
        </w:tc>
        <w:tc>
          <w:tcPr>
            <w:tcW w:w="43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14 991</w:t>
            </w:r>
          </w:p>
        </w:tc>
        <w:tc>
          <w:tcPr>
            <w:tcW w:w="68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1 272</w:t>
            </w:r>
          </w:p>
        </w:tc>
        <w:tc>
          <w:tcPr>
            <w:tcW w:w="61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1 621</w:t>
            </w:r>
          </w:p>
        </w:tc>
        <w:tc>
          <w:tcPr>
            <w:tcW w:w="680"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9,3</w:t>
            </w:r>
          </w:p>
        </w:tc>
        <w:tc>
          <w:tcPr>
            <w:tcW w:w="54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112,1</w:t>
            </w:r>
          </w:p>
        </w:tc>
      </w:tr>
      <w:tr w:rsidR="00683D7A" w:rsidRPr="0026440D" w:rsidTr="00A761F0">
        <w:trPr>
          <w:jc w:val="center"/>
        </w:trPr>
        <w:tc>
          <w:tcPr>
            <w:tcW w:w="113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hideMark/>
          </w:tcPr>
          <w:p w:rsidR="00683D7A" w:rsidRPr="0026440D" w:rsidRDefault="00683D7A" w:rsidP="00073A67">
            <w:pPr>
              <w:spacing w:after="0"/>
              <w:ind w:firstLine="0"/>
              <w:rPr>
                <w:rFonts w:eastAsia="Times New Roman"/>
                <w:iCs/>
                <w:sz w:val="20"/>
                <w:szCs w:val="20"/>
                <w:lang w:eastAsia="lv-LV"/>
              </w:rPr>
            </w:pPr>
            <w:r w:rsidRPr="0026440D">
              <w:rPr>
                <w:rFonts w:eastAsia="Times New Roman"/>
                <w:iCs/>
                <w:sz w:val="20"/>
                <w:szCs w:val="20"/>
                <w:lang w:eastAsia="lv-LV"/>
              </w:rPr>
              <w:t>Ārvalstu finanšu palīdzība iestādes ieņēmumos</w:t>
            </w:r>
          </w:p>
        </w:tc>
        <w:tc>
          <w:tcPr>
            <w:tcW w:w="45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7 166</w:t>
            </w:r>
          </w:p>
        </w:tc>
        <w:tc>
          <w:tcPr>
            <w:tcW w:w="46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9 392</w:t>
            </w:r>
          </w:p>
        </w:tc>
        <w:tc>
          <w:tcPr>
            <w:tcW w:w="43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6 106</w:t>
            </w:r>
          </w:p>
        </w:tc>
        <w:tc>
          <w:tcPr>
            <w:tcW w:w="68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-1 061</w:t>
            </w:r>
          </w:p>
        </w:tc>
        <w:tc>
          <w:tcPr>
            <w:tcW w:w="61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-3 287</w:t>
            </w:r>
          </w:p>
        </w:tc>
        <w:tc>
          <w:tcPr>
            <w:tcW w:w="680"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-14,8</w:t>
            </w:r>
          </w:p>
        </w:tc>
        <w:tc>
          <w:tcPr>
            <w:tcW w:w="54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65,0</w:t>
            </w:r>
          </w:p>
        </w:tc>
      </w:tr>
      <w:tr w:rsidR="00683D7A" w:rsidRPr="0026440D" w:rsidTr="00A761F0">
        <w:trPr>
          <w:jc w:val="center"/>
        </w:trPr>
        <w:tc>
          <w:tcPr>
            <w:tcW w:w="113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hideMark/>
          </w:tcPr>
          <w:p w:rsidR="00683D7A" w:rsidRPr="0026440D" w:rsidRDefault="00683D7A" w:rsidP="00073A67">
            <w:pPr>
              <w:spacing w:after="0"/>
              <w:ind w:firstLine="0"/>
              <w:rPr>
                <w:rFonts w:eastAsia="Times New Roman"/>
                <w:iCs/>
                <w:sz w:val="20"/>
                <w:szCs w:val="20"/>
                <w:lang w:eastAsia="lv-LV"/>
              </w:rPr>
            </w:pPr>
            <w:r w:rsidRPr="0026440D">
              <w:rPr>
                <w:rFonts w:eastAsia="Times New Roman"/>
                <w:iCs/>
                <w:sz w:val="20"/>
                <w:szCs w:val="20"/>
                <w:lang w:eastAsia="lv-LV"/>
              </w:rPr>
              <w:t>Transferti</w:t>
            </w:r>
          </w:p>
        </w:tc>
        <w:tc>
          <w:tcPr>
            <w:tcW w:w="45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9</w:t>
            </w:r>
          </w:p>
        </w:tc>
        <w:tc>
          <w:tcPr>
            <w:tcW w:w="46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217</w:t>
            </w:r>
          </w:p>
        </w:tc>
        <w:tc>
          <w:tcPr>
            <w:tcW w:w="43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199</w:t>
            </w:r>
          </w:p>
        </w:tc>
        <w:tc>
          <w:tcPr>
            <w:tcW w:w="68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190</w:t>
            </w:r>
          </w:p>
        </w:tc>
        <w:tc>
          <w:tcPr>
            <w:tcW w:w="61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-18</w:t>
            </w:r>
          </w:p>
        </w:tc>
        <w:tc>
          <w:tcPr>
            <w:tcW w:w="680"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p>
        </w:tc>
        <w:tc>
          <w:tcPr>
            <w:tcW w:w="54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p>
        </w:tc>
      </w:tr>
      <w:tr w:rsidR="00683D7A" w:rsidRPr="0026440D" w:rsidTr="00A761F0">
        <w:trPr>
          <w:jc w:val="center"/>
        </w:trPr>
        <w:tc>
          <w:tcPr>
            <w:tcW w:w="113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hideMark/>
          </w:tcPr>
          <w:p w:rsidR="00683D7A" w:rsidRPr="0026440D" w:rsidRDefault="00683D7A" w:rsidP="00073A67">
            <w:pPr>
              <w:spacing w:after="0"/>
              <w:ind w:firstLine="0"/>
              <w:rPr>
                <w:rFonts w:eastAsia="Times New Roman"/>
                <w:iCs/>
                <w:sz w:val="20"/>
                <w:szCs w:val="20"/>
                <w:lang w:eastAsia="lv-LV"/>
              </w:rPr>
            </w:pPr>
            <w:r w:rsidRPr="0026440D">
              <w:rPr>
                <w:rFonts w:eastAsia="Times New Roman"/>
                <w:iCs/>
                <w:sz w:val="20"/>
                <w:szCs w:val="20"/>
                <w:lang w:eastAsia="lv-LV"/>
              </w:rPr>
              <w:t>Dotācija no vispārējiem ieņēmumiem</w:t>
            </w:r>
          </w:p>
        </w:tc>
        <w:tc>
          <w:tcPr>
            <w:tcW w:w="45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740 605</w:t>
            </w:r>
          </w:p>
        </w:tc>
        <w:tc>
          <w:tcPr>
            <w:tcW w:w="46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753 683</w:t>
            </w:r>
          </w:p>
        </w:tc>
        <w:tc>
          <w:tcPr>
            <w:tcW w:w="43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753 683</w:t>
            </w:r>
          </w:p>
        </w:tc>
        <w:tc>
          <w:tcPr>
            <w:tcW w:w="68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13 078</w:t>
            </w:r>
          </w:p>
        </w:tc>
        <w:tc>
          <w:tcPr>
            <w:tcW w:w="61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0</w:t>
            </w:r>
          </w:p>
        </w:tc>
        <w:tc>
          <w:tcPr>
            <w:tcW w:w="680"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1,8</w:t>
            </w:r>
          </w:p>
        </w:tc>
        <w:tc>
          <w:tcPr>
            <w:tcW w:w="54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100,0</w:t>
            </w:r>
          </w:p>
        </w:tc>
      </w:tr>
      <w:tr w:rsidR="00683D7A" w:rsidRPr="0026440D" w:rsidTr="00A761F0">
        <w:trPr>
          <w:jc w:val="center"/>
        </w:trPr>
        <w:tc>
          <w:tcPr>
            <w:tcW w:w="113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hideMark/>
          </w:tcPr>
          <w:p w:rsidR="00683D7A" w:rsidRPr="0026440D" w:rsidRDefault="00683D7A" w:rsidP="00073A67">
            <w:pPr>
              <w:spacing w:after="0"/>
              <w:ind w:firstLine="0"/>
              <w:rPr>
                <w:rFonts w:eastAsia="Times New Roman"/>
                <w:b/>
                <w:iCs/>
                <w:sz w:val="20"/>
                <w:szCs w:val="20"/>
                <w:lang w:eastAsia="lv-LV"/>
              </w:rPr>
            </w:pPr>
            <w:r w:rsidRPr="0026440D">
              <w:rPr>
                <w:rFonts w:eastAsia="Times New Roman"/>
                <w:b/>
                <w:iCs/>
                <w:sz w:val="20"/>
                <w:szCs w:val="20"/>
                <w:lang w:eastAsia="lv-LV"/>
              </w:rPr>
              <w:t>Izdevumi – kopā</w:t>
            </w:r>
          </w:p>
        </w:tc>
        <w:tc>
          <w:tcPr>
            <w:tcW w:w="45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730 653</w:t>
            </w:r>
          </w:p>
        </w:tc>
        <w:tc>
          <w:tcPr>
            <w:tcW w:w="46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771 479</w:t>
            </w:r>
          </w:p>
        </w:tc>
        <w:tc>
          <w:tcPr>
            <w:tcW w:w="43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743 884</w:t>
            </w:r>
          </w:p>
        </w:tc>
        <w:tc>
          <w:tcPr>
            <w:tcW w:w="68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13 230</w:t>
            </w:r>
          </w:p>
        </w:tc>
        <w:tc>
          <w:tcPr>
            <w:tcW w:w="61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-27 595</w:t>
            </w:r>
          </w:p>
        </w:tc>
        <w:tc>
          <w:tcPr>
            <w:tcW w:w="680"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1,8</w:t>
            </w:r>
          </w:p>
        </w:tc>
        <w:tc>
          <w:tcPr>
            <w:tcW w:w="54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96,4</w:t>
            </w:r>
          </w:p>
        </w:tc>
      </w:tr>
      <w:tr w:rsidR="00683D7A" w:rsidRPr="0026440D" w:rsidTr="00A761F0">
        <w:trPr>
          <w:jc w:val="center"/>
        </w:trPr>
        <w:tc>
          <w:tcPr>
            <w:tcW w:w="113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hideMark/>
          </w:tcPr>
          <w:p w:rsidR="00683D7A" w:rsidRPr="0026440D" w:rsidRDefault="00683D7A" w:rsidP="00073A67">
            <w:pPr>
              <w:spacing w:after="0"/>
              <w:ind w:firstLine="0"/>
              <w:rPr>
                <w:rFonts w:eastAsia="Times New Roman"/>
                <w:iCs/>
                <w:sz w:val="20"/>
                <w:szCs w:val="20"/>
                <w:lang w:eastAsia="lv-LV"/>
              </w:rPr>
            </w:pPr>
            <w:r w:rsidRPr="0026440D">
              <w:rPr>
                <w:rFonts w:eastAsia="Times New Roman"/>
                <w:iCs/>
                <w:sz w:val="20"/>
                <w:szCs w:val="20"/>
                <w:lang w:eastAsia="lv-LV"/>
              </w:rPr>
              <w:t>Atlīdzība</w:t>
            </w:r>
          </w:p>
        </w:tc>
        <w:tc>
          <w:tcPr>
            <w:tcW w:w="45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102 419</w:t>
            </w:r>
          </w:p>
        </w:tc>
        <w:tc>
          <w:tcPr>
            <w:tcW w:w="46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107 305</w:t>
            </w:r>
          </w:p>
        </w:tc>
        <w:tc>
          <w:tcPr>
            <w:tcW w:w="43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103 665</w:t>
            </w:r>
          </w:p>
        </w:tc>
        <w:tc>
          <w:tcPr>
            <w:tcW w:w="68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1 245</w:t>
            </w:r>
          </w:p>
        </w:tc>
        <w:tc>
          <w:tcPr>
            <w:tcW w:w="61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-3 641</w:t>
            </w:r>
          </w:p>
        </w:tc>
        <w:tc>
          <w:tcPr>
            <w:tcW w:w="680"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1,2</w:t>
            </w:r>
          </w:p>
        </w:tc>
        <w:tc>
          <w:tcPr>
            <w:tcW w:w="54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96,6</w:t>
            </w:r>
          </w:p>
        </w:tc>
      </w:tr>
      <w:tr w:rsidR="00683D7A" w:rsidRPr="0026440D" w:rsidTr="00A761F0">
        <w:trPr>
          <w:jc w:val="center"/>
        </w:trPr>
        <w:tc>
          <w:tcPr>
            <w:tcW w:w="113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hideMark/>
          </w:tcPr>
          <w:p w:rsidR="00683D7A" w:rsidRPr="0026440D" w:rsidRDefault="00683D7A" w:rsidP="00073A67">
            <w:pPr>
              <w:spacing w:after="0"/>
              <w:ind w:firstLine="0"/>
              <w:rPr>
                <w:rFonts w:eastAsia="Times New Roman"/>
                <w:i/>
                <w:iCs/>
                <w:sz w:val="20"/>
                <w:szCs w:val="20"/>
                <w:lang w:eastAsia="lv-LV"/>
              </w:rPr>
            </w:pPr>
            <w:proofErr w:type="spellStart"/>
            <w:r w:rsidRPr="0026440D">
              <w:rPr>
                <w:rFonts w:eastAsia="Times New Roman"/>
                <w:i/>
                <w:iCs/>
                <w:sz w:val="20"/>
                <w:szCs w:val="20"/>
                <w:lang w:eastAsia="lv-LV"/>
              </w:rPr>
              <w:t>t.sk</w:t>
            </w:r>
            <w:proofErr w:type="spellEnd"/>
            <w:r w:rsidRPr="0026440D">
              <w:rPr>
                <w:rFonts w:eastAsia="Times New Roman"/>
                <w:i/>
                <w:iCs/>
                <w:sz w:val="20"/>
                <w:szCs w:val="20"/>
                <w:lang w:eastAsia="lv-LV"/>
              </w:rPr>
              <w:t>. atalgojums</w:t>
            </w:r>
          </w:p>
        </w:tc>
        <w:tc>
          <w:tcPr>
            <w:tcW w:w="45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i/>
                <w:sz w:val="20"/>
                <w:szCs w:val="20"/>
              </w:rPr>
            </w:pPr>
            <w:r w:rsidRPr="0026440D">
              <w:rPr>
                <w:i/>
                <w:sz w:val="20"/>
                <w:szCs w:val="20"/>
              </w:rPr>
              <w:t>77 642</w:t>
            </w:r>
          </w:p>
        </w:tc>
        <w:tc>
          <w:tcPr>
            <w:tcW w:w="46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i/>
                <w:sz w:val="20"/>
                <w:szCs w:val="20"/>
              </w:rPr>
            </w:pPr>
            <w:r w:rsidRPr="0026440D">
              <w:rPr>
                <w:i/>
                <w:sz w:val="20"/>
                <w:szCs w:val="20"/>
              </w:rPr>
              <w:t>80 746</w:t>
            </w:r>
          </w:p>
        </w:tc>
        <w:tc>
          <w:tcPr>
            <w:tcW w:w="43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i/>
                <w:sz w:val="20"/>
                <w:szCs w:val="20"/>
              </w:rPr>
            </w:pPr>
            <w:r w:rsidRPr="0026440D">
              <w:rPr>
                <w:i/>
                <w:sz w:val="20"/>
                <w:szCs w:val="20"/>
              </w:rPr>
              <w:t>78 251</w:t>
            </w:r>
          </w:p>
        </w:tc>
        <w:tc>
          <w:tcPr>
            <w:tcW w:w="68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i/>
                <w:sz w:val="20"/>
                <w:szCs w:val="20"/>
              </w:rPr>
            </w:pPr>
            <w:r w:rsidRPr="0026440D">
              <w:rPr>
                <w:i/>
                <w:sz w:val="20"/>
                <w:szCs w:val="20"/>
              </w:rPr>
              <w:t>609</w:t>
            </w:r>
          </w:p>
        </w:tc>
        <w:tc>
          <w:tcPr>
            <w:tcW w:w="61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i/>
                <w:sz w:val="20"/>
                <w:szCs w:val="20"/>
              </w:rPr>
            </w:pPr>
            <w:r w:rsidRPr="0026440D">
              <w:rPr>
                <w:i/>
                <w:sz w:val="20"/>
                <w:szCs w:val="20"/>
              </w:rPr>
              <w:t>-2 495</w:t>
            </w:r>
          </w:p>
        </w:tc>
        <w:tc>
          <w:tcPr>
            <w:tcW w:w="680"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i/>
                <w:sz w:val="20"/>
                <w:szCs w:val="20"/>
              </w:rPr>
            </w:pPr>
            <w:r w:rsidRPr="0026440D">
              <w:rPr>
                <w:i/>
                <w:sz w:val="20"/>
                <w:szCs w:val="20"/>
              </w:rPr>
              <w:t>0,8</w:t>
            </w:r>
          </w:p>
        </w:tc>
        <w:tc>
          <w:tcPr>
            <w:tcW w:w="54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i/>
                <w:sz w:val="20"/>
                <w:szCs w:val="20"/>
              </w:rPr>
            </w:pPr>
            <w:r w:rsidRPr="0026440D">
              <w:rPr>
                <w:i/>
                <w:sz w:val="20"/>
                <w:szCs w:val="20"/>
              </w:rPr>
              <w:t>96,9</w:t>
            </w:r>
          </w:p>
        </w:tc>
      </w:tr>
    </w:tbl>
    <w:p w:rsidR="00EA480A" w:rsidRDefault="00F104D4" w:rsidP="00EA480A">
      <w:pPr>
        <w:ind w:firstLine="0"/>
        <w:rPr>
          <w:sz w:val="24"/>
        </w:rPr>
      </w:pPr>
      <w:r w:rsidRPr="006A17D8">
        <w:rPr>
          <w:i/>
          <w:sz w:val="24"/>
        </w:rPr>
        <w:t>Tai skaitā</w:t>
      </w:r>
      <w:r>
        <w:rPr>
          <w:sz w:val="24"/>
        </w:rPr>
        <w:t>:</w:t>
      </w:r>
    </w:p>
    <w:p w:rsidR="00683D7A" w:rsidRPr="00EA480A" w:rsidRDefault="00683D7A" w:rsidP="00EA480A">
      <w:pPr>
        <w:ind w:firstLine="0"/>
        <w:jc w:val="right"/>
        <w:rPr>
          <w:b/>
          <w:i/>
        </w:rPr>
      </w:pPr>
      <w:r w:rsidRPr="00EA480A">
        <w:rPr>
          <w:b/>
          <w:i/>
        </w:rPr>
        <w:t>1</w:t>
      </w:r>
      <w:r w:rsidR="00F104D4">
        <w:rPr>
          <w:b/>
          <w:i/>
        </w:rPr>
        <w:t>0.</w:t>
      </w:r>
      <w:r w:rsidR="00EA480A" w:rsidRPr="00EA480A">
        <w:rPr>
          <w:b/>
          <w:i/>
        </w:rPr>
        <w:t>1</w:t>
      </w:r>
      <w:r w:rsidRPr="00EA480A">
        <w:rPr>
          <w:b/>
          <w:i/>
        </w:rPr>
        <w:t>.</w:t>
      </w:r>
      <w:r w:rsidR="00EA480A" w:rsidRPr="00EA480A">
        <w:rPr>
          <w:b/>
          <w:i/>
        </w:rPr>
        <w:t>tabula.</w:t>
      </w:r>
      <w:r w:rsidRPr="00EA480A">
        <w:rPr>
          <w:b/>
          <w:i/>
        </w:rPr>
        <w:t xml:space="preserve"> Valsts pamatfunkciju īstenošana </w:t>
      </w:r>
    </w:p>
    <w:tbl>
      <w:tblPr>
        <w:tblW w:w="5700" w:type="pct"/>
        <w:jc w:val="center"/>
        <w:tblBorders>
          <w:top w:val="outset" w:sz="6" w:space="0" w:color="000000"/>
          <w:left w:val="outset" w:sz="6" w:space="0" w:color="000000"/>
          <w:bottom w:val="outset" w:sz="6" w:space="0" w:color="000000"/>
          <w:right w:val="outset" w:sz="6" w:space="0" w:color="000000"/>
        </w:tblBorders>
        <w:shd w:val="clear" w:color="auto" w:fill="FFFFFF" w:themeFill="background1"/>
        <w:tblCellMar>
          <w:top w:w="30" w:type="dxa"/>
          <w:left w:w="30" w:type="dxa"/>
          <w:bottom w:w="30" w:type="dxa"/>
          <w:right w:w="30" w:type="dxa"/>
        </w:tblCellMar>
        <w:tblLook w:val="04A0" w:firstRow="1" w:lastRow="0" w:firstColumn="1" w:lastColumn="0" w:noHBand="0" w:noVBand="1"/>
      </w:tblPr>
      <w:tblGrid>
        <w:gridCol w:w="2373"/>
        <w:gridCol w:w="941"/>
        <w:gridCol w:w="962"/>
        <w:gridCol w:w="889"/>
        <w:gridCol w:w="1420"/>
        <w:gridCol w:w="1274"/>
        <w:gridCol w:w="1418"/>
        <w:gridCol w:w="1132"/>
      </w:tblGrid>
      <w:tr w:rsidR="00683D7A" w:rsidRPr="0026440D" w:rsidTr="00A761F0">
        <w:trPr>
          <w:jc w:val="center"/>
        </w:trPr>
        <w:tc>
          <w:tcPr>
            <w:tcW w:w="1140"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hideMark/>
          </w:tcPr>
          <w:p w:rsidR="00683D7A" w:rsidRPr="0026440D" w:rsidRDefault="00683D7A" w:rsidP="00073A67">
            <w:pPr>
              <w:spacing w:after="0"/>
              <w:ind w:firstLine="0"/>
              <w:jc w:val="center"/>
              <w:rPr>
                <w:rFonts w:eastAsia="Times New Roman"/>
                <w:iCs/>
                <w:sz w:val="20"/>
                <w:szCs w:val="20"/>
                <w:lang w:eastAsia="lv-LV"/>
              </w:rPr>
            </w:pPr>
            <w:r w:rsidRPr="0026440D">
              <w:rPr>
                <w:rFonts w:eastAsia="Times New Roman"/>
                <w:iCs/>
                <w:sz w:val="20"/>
                <w:szCs w:val="20"/>
                <w:lang w:eastAsia="lv-LV"/>
              </w:rPr>
              <w:t>Finansiālie rādītāji</w:t>
            </w:r>
          </w:p>
        </w:tc>
        <w:tc>
          <w:tcPr>
            <w:tcW w:w="45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center"/>
              <w:rPr>
                <w:sz w:val="20"/>
                <w:szCs w:val="20"/>
              </w:rPr>
            </w:pPr>
            <w:r w:rsidRPr="0026440D">
              <w:rPr>
                <w:sz w:val="20"/>
                <w:szCs w:val="20"/>
              </w:rPr>
              <w:t>2011.gada 3 mēnešu izpilde</w:t>
            </w:r>
            <w:r w:rsidRPr="0026440D">
              <w:rPr>
                <w:sz w:val="20"/>
                <w:szCs w:val="20"/>
              </w:rPr>
              <w:br/>
              <w:t>(tūkstošos latu)</w:t>
            </w:r>
          </w:p>
        </w:tc>
        <w:tc>
          <w:tcPr>
            <w:tcW w:w="46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center"/>
              <w:rPr>
                <w:sz w:val="20"/>
                <w:szCs w:val="20"/>
              </w:rPr>
            </w:pPr>
            <w:r w:rsidRPr="0026440D">
              <w:rPr>
                <w:sz w:val="20"/>
                <w:szCs w:val="20"/>
              </w:rPr>
              <w:t>2012.gada 3 mēnešu plāns</w:t>
            </w:r>
            <w:r w:rsidRPr="0026440D">
              <w:rPr>
                <w:sz w:val="20"/>
                <w:szCs w:val="20"/>
              </w:rPr>
              <w:br/>
              <w:t>(tūkstošos latu)</w:t>
            </w:r>
          </w:p>
        </w:tc>
        <w:tc>
          <w:tcPr>
            <w:tcW w:w="42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center"/>
              <w:rPr>
                <w:sz w:val="20"/>
                <w:szCs w:val="20"/>
              </w:rPr>
            </w:pPr>
            <w:r w:rsidRPr="0026440D">
              <w:rPr>
                <w:sz w:val="20"/>
                <w:szCs w:val="20"/>
              </w:rPr>
              <w:t>2012.gada 3 mēnešu izpilde</w:t>
            </w:r>
            <w:r w:rsidRPr="0026440D">
              <w:rPr>
                <w:sz w:val="20"/>
                <w:szCs w:val="20"/>
              </w:rPr>
              <w:br/>
              <w:t>(tūkstošos latu)</w:t>
            </w:r>
          </w:p>
        </w:tc>
        <w:tc>
          <w:tcPr>
            <w:tcW w:w="68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center"/>
              <w:rPr>
                <w:sz w:val="20"/>
                <w:szCs w:val="20"/>
              </w:rPr>
            </w:pPr>
            <w:r w:rsidRPr="0026440D">
              <w:rPr>
                <w:sz w:val="20"/>
                <w:szCs w:val="20"/>
              </w:rPr>
              <w:t>2012.gada  mēnešu izpildes izmaiņas pret 2011.gada 3 mēnešu izpildi</w:t>
            </w:r>
            <w:r w:rsidRPr="0026440D">
              <w:rPr>
                <w:sz w:val="20"/>
                <w:szCs w:val="20"/>
              </w:rPr>
              <w:br/>
              <w:t>(tūkstošos latu)</w:t>
            </w:r>
          </w:p>
        </w:tc>
        <w:tc>
          <w:tcPr>
            <w:tcW w:w="61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Default="00683D7A" w:rsidP="00073A67">
            <w:pPr>
              <w:spacing w:after="0"/>
              <w:ind w:firstLine="0"/>
              <w:jc w:val="center"/>
              <w:rPr>
                <w:sz w:val="20"/>
                <w:szCs w:val="20"/>
              </w:rPr>
            </w:pPr>
            <w:r w:rsidRPr="0026440D">
              <w:rPr>
                <w:sz w:val="20"/>
                <w:szCs w:val="20"/>
              </w:rPr>
              <w:t>2012.gada</w:t>
            </w:r>
          </w:p>
          <w:p w:rsidR="00683D7A" w:rsidRPr="0026440D" w:rsidRDefault="00683D7A" w:rsidP="00073A67">
            <w:pPr>
              <w:spacing w:after="0"/>
              <w:ind w:firstLine="0"/>
              <w:jc w:val="center"/>
              <w:rPr>
                <w:sz w:val="20"/>
                <w:szCs w:val="20"/>
              </w:rPr>
            </w:pPr>
            <w:r w:rsidRPr="0026440D">
              <w:rPr>
                <w:sz w:val="20"/>
                <w:szCs w:val="20"/>
              </w:rPr>
              <w:t>3 mēnešu izpilde pret 2012.gada 3 mēnešu plānu</w:t>
            </w:r>
            <w:r w:rsidRPr="0026440D">
              <w:rPr>
                <w:sz w:val="20"/>
                <w:szCs w:val="20"/>
              </w:rPr>
              <w:br/>
              <w:t>(tūkstošos latu)</w:t>
            </w:r>
          </w:p>
        </w:tc>
        <w:tc>
          <w:tcPr>
            <w:tcW w:w="68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Default="00683D7A" w:rsidP="00073A67">
            <w:pPr>
              <w:spacing w:after="0"/>
              <w:ind w:firstLine="0"/>
              <w:jc w:val="center"/>
              <w:rPr>
                <w:sz w:val="20"/>
                <w:szCs w:val="20"/>
              </w:rPr>
            </w:pPr>
            <w:r w:rsidRPr="0026440D">
              <w:rPr>
                <w:sz w:val="20"/>
                <w:szCs w:val="20"/>
              </w:rPr>
              <w:t>2012.gada</w:t>
            </w:r>
          </w:p>
          <w:p w:rsidR="00683D7A" w:rsidRPr="0026440D" w:rsidRDefault="00683D7A" w:rsidP="00073A67">
            <w:pPr>
              <w:spacing w:after="0"/>
              <w:ind w:firstLine="0"/>
              <w:jc w:val="center"/>
              <w:rPr>
                <w:sz w:val="20"/>
                <w:szCs w:val="20"/>
              </w:rPr>
            </w:pPr>
            <w:r>
              <w:rPr>
                <w:sz w:val="20"/>
                <w:szCs w:val="20"/>
              </w:rPr>
              <w:t xml:space="preserve">3 mēnešu izpildes izmaiņas </w:t>
            </w:r>
            <w:r w:rsidRPr="0026440D">
              <w:rPr>
                <w:sz w:val="20"/>
                <w:szCs w:val="20"/>
              </w:rPr>
              <w:t>pret 2011.gada 3 mēnešu izpildi</w:t>
            </w:r>
            <w:r w:rsidRPr="0026440D">
              <w:rPr>
                <w:sz w:val="20"/>
                <w:szCs w:val="20"/>
              </w:rPr>
              <w:br/>
              <w:t>(procentos)</w:t>
            </w:r>
          </w:p>
        </w:tc>
        <w:tc>
          <w:tcPr>
            <w:tcW w:w="544"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Default="00683D7A" w:rsidP="00073A67">
            <w:pPr>
              <w:spacing w:after="0"/>
              <w:ind w:firstLine="0"/>
              <w:jc w:val="center"/>
              <w:rPr>
                <w:sz w:val="20"/>
                <w:szCs w:val="20"/>
              </w:rPr>
            </w:pPr>
            <w:r w:rsidRPr="0026440D">
              <w:rPr>
                <w:sz w:val="20"/>
                <w:szCs w:val="20"/>
              </w:rPr>
              <w:t>2012.gada</w:t>
            </w:r>
          </w:p>
          <w:p w:rsidR="00683D7A" w:rsidRPr="0026440D" w:rsidRDefault="00683D7A" w:rsidP="00073A67">
            <w:pPr>
              <w:spacing w:after="0"/>
              <w:ind w:firstLine="0"/>
              <w:jc w:val="center"/>
              <w:rPr>
                <w:sz w:val="20"/>
                <w:szCs w:val="20"/>
              </w:rPr>
            </w:pPr>
            <w:r w:rsidRPr="0026440D">
              <w:rPr>
                <w:sz w:val="20"/>
                <w:szCs w:val="20"/>
              </w:rPr>
              <w:t xml:space="preserve"> 3 mēnešu izpilde no 2012.gada 3 mēnešu plāna</w:t>
            </w:r>
            <w:r w:rsidRPr="0026440D">
              <w:rPr>
                <w:sz w:val="20"/>
                <w:szCs w:val="20"/>
              </w:rPr>
              <w:br/>
              <w:t>(procentos)</w:t>
            </w:r>
          </w:p>
        </w:tc>
      </w:tr>
      <w:tr w:rsidR="00683D7A" w:rsidRPr="0026440D" w:rsidTr="00A761F0">
        <w:trPr>
          <w:jc w:val="center"/>
        </w:trPr>
        <w:tc>
          <w:tcPr>
            <w:tcW w:w="1140"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hideMark/>
          </w:tcPr>
          <w:p w:rsidR="00683D7A" w:rsidRPr="0026440D" w:rsidRDefault="00683D7A" w:rsidP="00073A67">
            <w:pPr>
              <w:spacing w:after="0"/>
              <w:ind w:firstLine="0"/>
              <w:jc w:val="center"/>
              <w:rPr>
                <w:rFonts w:eastAsia="Times New Roman"/>
                <w:iCs/>
                <w:sz w:val="20"/>
                <w:szCs w:val="20"/>
                <w:lang w:eastAsia="lv-LV"/>
              </w:rPr>
            </w:pPr>
            <w:r w:rsidRPr="0026440D">
              <w:rPr>
                <w:rFonts w:eastAsia="Times New Roman"/>
                <w:iCs/>
                <w:sz w:val="20"/>
                <w:szCs w:val="20"/>
                <w:lang w:eastAsia="lv-LV"/>
              </w:rPr>
              <w:t>1</w:t>
            </w:r>
          </w:p>
        </w:tc>
        <w:tc>
          <w:tcPr>
            <w:tcW w:w="45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center"/>
              <w:rPr>
                <w:sz w:val="20"/>
                <w:szCs w:val="20"/>
              </w:rPr>
            </w:pPr>
            <w:r w:rsidRPr="0026440D">
              <w:rPr>
                <w:sz w:val="20"/>
                <w:szCs w:val="20"/>
              </w:rPr>
              <w:t>2</w:t>
            </w:r>
          </w:p>
        </w:tc>
        <w:tc>
          <w:tcPr>
            <w:tcW w:w="46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center"/>
              <w:rPr>
                <w:sz w:val="20"/>
                <w:szCs w:val="20"/>
              </w:rPr>
            </w:pPr>
            <w:r w:rsidRPr="0026440D">
              <w:rPr>
                <w:sz w:val="20"/>
                <w:szCs w:val="20"/>
              </w:rPr>
              <w:t>3</w:t>
            </w:r>
          </w:p>
        </w:tc>
        <w:tc>
          <w:tcPr>
            <w:tcW w:w="42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center"/>
              <w:rPr>
                <w:sz w:val="20"/>
                <w:szCs w:val="20"/>
              </w:rPr>
            </w:pPr>
            <w:r w:rsidRPr="0026440D">
              <w:rPr>
                <w:sz w:val="20"/>
                <w:szCs w:val="20"/>
              </w:rPr>
              <w:t>4</w:t>
            </w:r>
          </w:p>
        </w:tc>
        <w:tc>
          <w:tcPr>
            <w:tcW w:w="68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center"/>
              <w:rPr>
                <w:sz w:val="20"/>
                <w:szCs w:val="20"/>
              </w:rPr>
            </w:pPr>
            <w:r w:rsidRPr="0026440D">
              <w:rPr>
                <w:sz w:val="20"/>
                <w:szCs w:val="20"/>
              </w:rPr>
              <w:t>5 = 4-2</w:t>
            </w:r>
          </w:p>
        </w:tc>
        <w:tc>
          <w:tcPr>
            <w:tcW w:w="61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center"/>
              <w:rPr>
                <w:sz w:val="20"/>
                <w:szCs w:val="20"/>
              </w:rPr>
            </w:pPr>
            <w:r w:rsidRPr="0026440D">
              <w:rPr>
                <w:sz w:val="20"/>
                <w:szCs w:val="20"/>
              </w:rPr>
              <w:t>6=4-3</w:t>
            </w:r>
          </w:p>
        </w:tc>
        <w:tc>
          <w:tcPr>
            <w:tcW w:w="68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center"/>
              <w:rPr>
                <w:sz w:val="20"/>
                <w:szCs w:val="20"/>
              </w:rPr>
            </w:pPr>
            <w:r w:rsidRPr="0026440D">
              <w:rPr>
                <w:sz w:val="20"/>
                <w:szCs w:val="20"/>
              </w:rPr>
              <w:t>7=4/2*100-100</w:t>
            </w:r>
          </w:p>
        </w:tc>
        <w:tc>
          <w:tcPr>
            <w:tcW w:w="544"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center"/>
              <w:rPr>
                <w:sz w:val="20"/>
                <w:szCs w:val="20"/>
              </w:rPr>
            </w:pPr>
            <w:r w:rsidRPr="0026440D">
              <w:rPr>
                <w:sz w:val="20"/>
                <w:szCs w:val="20"/>
              </w:rPr>
              <w:t>8=4/3*100</w:t>
            </w:r>
          </w:p>
        </w:tc>
      </w:tr>
      <w:tr w:rsidR="00683D7A" w:rsidRPr="0026440D" w:rsidTr="00A761F0">
        <w:trPr>
          <w:jc w:val="center"/>
        </w:trPr>
        <w:tc>
          <w:tcPr>
            <w:tcW w:w="1140"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hideMark/>
          </w:tcPr>
          <w:p w:rsidR="00683D7A" w:rsidRPr="0026440D" w:rsidRDefault="00683D7A" w:rsidP="00073A67">
            <w:pPr>
              <w:spacing w:after="0"/>
              <w:ind w:firstLine="0"/>
              <w:rPr>
                <w:rFonts w:eastAsia="Times New Roman"/>
                <w:b/>
                <w:iCs/>
                <w:sz w:val="20"/>
                <w:szCs w:val="20"/>
                <w:lang w:eastAsia="lv-LV"/>
              </w:rPr>
            </w:pPr>
            <w:r w:rsidRPr="0026440D">
              <w:rPr>
                <w:rFonts w:eastAsia="Times New Roman"/>
                <w:b/>
                <w:iCs/>
                <w:sz w:val="20"/>
                <w:szCs w:val="20"/>
                <w:lang w:eastAsia="lv-LV"/>
              </w:rPr>
              <w:t>Resursi izdevumu segšanai</w:t>
            </w:r>
          </w:p>
        </w:tc>
        <w:tc>
          <w:tcPr>
            <w:tcW w:w="45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585 888</w:t>
            </w:r>
          </w:p>
        </w:tc>
        <w:tc>
          <w:tcPr>
            <w:tcW w:w="46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594 445</w:t>
            </w:r>
          </w:p>
        </w:tc>
        <w:tc>
          <w:tcPr>
            <w:tcW w:w="42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596 024</w:t>
            </w:r>
          </w:p>
        </w:tc>
        <w:tc>
          <w:tcPr>
            <w:tcW w:w="68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10 136</w:t>
            </w:r>
          </w:p>
        </w:tc>
        <w:tc>
          <w:tcPr>
            <w:tcW w:w="61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1 579</w:t>
            </w:r>
          </w:p>
        </w:tc>
        <w:tc>
          <w:tcPr>
            <w:tcW w:w="68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1,7</w:t>
            </w:r>
          </w:p>
        </w:tc>
        <w:tc>
          <w:tcPr>
            <w:tcW w:w="544"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100,3</w:t>
            </w:r>
          </w:p>
        </w:tc>
      </w:tr>
      <w:tr w:rsidR="00683D7A" w:rsidRPr="0026440D" w:rsidTr="00A761F0">
        <w:trPr>
          <w:jc w:val="center"/>
        </w:trPr>
        <w:tc>
          <w:tcPr>
            <w:tcW w:w="1140"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hideMark/>
          </w:tcPr>
          <w:p w:rsidR="00683D7A" w:rsidRPr="0026440D" w:rsidRDefault="00683D7A" w:rsidP="00073A67">
            <w:pPr>
              <w:spacing w:after="0"/>
              <w:ind w:firstLine="0"/>
              <w:rPr>
                <w:rFonts w:eastAsia="Times New Roman"/>
                <w:iCs/>
                <w:sz w:val="20"/>
                <w:szCs w:val="20"/>
                <w:lang w:eastAsia="lv-LV"/>
              </w:rPr>
            </w:pPr>
            <w:r w:rsidRPr="0026440D">
              <w:rPr>
                <w:rFonts w:eastAsia="Times New Roman"/>
                <w:iCs/>
                <w:sz w:val="20"/>
                <w:szCs w:val="20"/>
                <w:lang w:eastAsia="lv-LV"/>
              </w:rPr>
              <w:t>Ieņēmumi no maksas pakalpojumiem un citi pašu ieņēmumi</w:t>
            </w:r>
          </w:p>
        </w:tc>
        <w:tc>
          <w:tcPr>
            <w:tcW w:w="45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13 655</w:t>
            </w:r>
          </w:p>
        </w:tc>
        <w:tc>
          <w:tcPr>
            <w:tcW w:w="46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13 366</w:t>
            </w:r>
          </w:p>
        </w:tc>
        <w:tc>
          <w:tcPr>
            <w:tcW w:w="42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14 925</w:t>
            </w:r>
          </w:p>
        </w:tc>
        <w:tc>
          <w:tcPr>
            <w:tcW w:w="68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1 270</w:t>
            </w:r>
          </w:p>
        </w:tc>
        <w:tc>
          <w:tcPr>
            <w:tcW w:w="61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1 559</w:t>
            </w:r>
          </w:p>
        </w:tc>
        <w:tc>
          <w:tcPr>
            <w:tcW w:w="68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9,3</w:t>
            </w:r>
          </w:p>
        </w:tc>
        <w:tc>
          <w:tcPr>
            <w:tcW w:w="544"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111,7</w:t>
            </w:r>
          </w:p>
        </w:tc>
      </w:tr>
      <w:tr w:rsidR="00683D7A" w:rsidRPr="0026440D" w:rsidTr="00A761F0">
        <w:trPr>
          <w:jc w:val="center"/>
        </w:trPr>
        <w:tc>
          <w:tcPr>
            <w:tcW w:w="1140"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hideMark/>
          </w:tcPr>
          <w:p w:rsidR="00683D7A" w:rsidRPr="0026440D" w:rsidRDefault="00683D7A" w:rsidP="00073A67">
            <w:pPr>
              <w:spacing w:after="0"/>
              <w:ind w:firstLine="0"/>
              <w:rPr>
                <w:rFonts w:eastAsia="Times New Roman"/>
                <w:iCs/>
                <w:sz w:val="20"/>
                <w:szCs w:val="20"/>
                <w:lang w:eastAsia="lv-LV"/>
              </w:rPr>
            </w:pPr>
            <w:r w:rsidRPr="0026440D">
              <w:rPr>
                <w:rFonts w:eastAsia="Times New Roman"/>
                <w:iCs/>
                <w:sz w:val="20"/>
                <w:szCs w:val="20"/>
                <w:lang w:eastAsia="lv-LV"/>
              </w:rPr>
              <w:t>Ārvalstu finanšu palīdzība iestādes ieņēmumos</w:t>
            </w:r>
          </w:p>
        </w:tc>
        <w:tc>
          <w:tcPr>
            <w:tcW w:w="45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 </w:t>
            </w:r>
          </w:p>
        </w:tc>
        <w:tc>
          <w:tcPr>
            <w:tcW w:w="46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 </w:t>
            </w:r>
          </w:p>
        </w:tc>
        <w:tc>
          <w:tcPr>
            <w:tcW w:w="42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 </w:t>
            </w:r>
          </w:p>
        </w:tc>
        <w:tc>
          <w:tcPr>
            <w:tcW w:w="68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0</w:t>
            </w:r>
          </w:p>
        </w:tc>
        <w:tc>
          <w:tcPr>
            <w:tcW w:w="61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0</w:t>
            </w:r>
          </w:p>
        </w:tc>
        <w:tc>
          <w:tcPr>
            <w:tcW w:w="68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 </w:t>
            </w:r>
          </w:p>
        </w:tc>
        <w:tc>
          <w:tcPr>
            <w:tcW w:w="544"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 </w:t>
            </w:r>
          </w:p>
        </w:tc>
      </w:tr>
      <w:tr w:rsidR="00683D7A" w:rsidRPr="0026440D" w:rsidTr="00A761F0">
        <w:trPr>
          <w:jc w:val="center"/>
        </w:trPr>
        <w:tc>
          <w:tcPr>
            <w:tcW w:w="1140"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hideMark/>
          </w:tcPr>
          <w:p w:rsidR="00683D7A" w:rsidRPr="0026440D" w:rsidRDefault="00683D7A" w:rsidP="00073A67">
            <w:pPr>
              <w:spacing w:after="0"/>
              <w:ind w:firstLine="0"/>
              <w:rPr>
                <w:rFonts w:eastAsia="Times New Roman"/>
                <w:iCs/>
                <w:sz w:val="20"/>
                <w:szCs w:val="20"/>
                <w:lang w:eastAsia="lv-LV"/>
              </w:rPr>
            </w:pPr>
            <w:r w:rsidRPr="0026440D">
              <w:rPr>
                <w:rFonts w:eastAsia="Times New Roman"/>
                <w:iCs/>
                <w:sz w:val="20"/>
                <w:szCs w:val="20"/>
                <w:lang w:eastAsia="lv-LV"/>
              </w:rPr>
              <w:t>Transferti</w:t>
            </w:r>
          </w:p>
        </w:tc>
        <w:tc>
          <w:tcPr>
            <w:tcW w:w="45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9</w:t>
            </w:r>
          </w:p>
        </w:tc>
        <w:tc>
          <w:tcPr>
            <w:tcW w:w="46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0</w:t>
            </w:r>
          </w:p>
        </w:tc>
        <w:tc>
          <w:tcPr>
            <w:tcW w:w="42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20</w:t>
            </w:r>
          </w:p>
        </w:tc>
        <w:tc>
          <w:tcPr>
            <w:tcW w:w="68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11</w:t>
            </w:r>
          </w:p>
        </w:tc>
        <w:tc>
          <w:tcPr>
            <w:tcW w:w="61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20</w:t>
            </w:r>
          </w:p>
        </w:tc>
        <w:tc>
          <w:tcPr>
            <w:tcW w:w="68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 </w:t>
            </w:r>
          </w:p>
        </w:tc>
        <w:tc>
          <w:tcPr>
            <w:tcW w:w="544"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 </w:t>
            </w:r>
          </w:p>
        </w:tc>
      </w:tr>
      <w:tr w:rsidR="00683D7A" w:rsidRPr="0026440D" w:rsidTr="00A761F0">
        <w:trPr>
          <w:jc w:val="center"/>
        </w:trPr>
        <w:tc>
          <w:tcPr>
            <w:tcW w:w="1140"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hideMark/>
          </w:tcPr>
          <w:p w:rsidR="00683D7A" w:rsidRPr="0026440D" w:rsidRDefault="00683D7A" w:rsidP="00073A67">
            <w:pPr>
              <w:spacing w:after="0"/>
              <w:ind w:firstLine="0"/>
              <w:rPr>
                <w:rFonts w:eastAsia="Times New Roman"/>
                <w:iCs/>
                <w:sz w:val="20"/>
                <w:szCs w:val="20"/>
                <w:lang w:eastAsia="lv-LV"/>
              </w:rPr>
            </w:pPr>
            <w:r w:rsidRPr="0026440D">
              <w:rPr>
                <w:rFonts w:eastAsia="Times New Roman"/>
                <w:iCs/>
                <w:sz w:val="20"/>
                <w:szCs w:val="20"/>
                <w:lang w:eastAsia="lv-LV"/>
              </w:rPr>
              <w:t>Dotācija no vispārējiem ieņēmumiem</w:t>
            </w:r>
          </w:p>
        </w:tc>
        <w:tc>
          <w:tcPr>
            <w:tcW w:w="45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572 225</w:t>
            </w:r>
          </w:p>
        </w:tc>
        <w:tc>
          <w:tcPr>
            <w:tcW w:w="46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581 079</w:t>
            </w:r>
          </w:p>
        </w:tc>
        <w:tc>
          <w:tcPr>
            <w:tcW w:w="42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581 079</w:t>
            </w:r>
          </w:p>
        </w:tc>
        <w:tc>
          <w:tcPr>
            <w:tcW w:w="68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8 854</w:t>
            </w:r>
          </w:p>
        </w:tc>
        <w:tc>
          <w:tcPr>
            <w:tcW w:w="61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0</w:t>
            </w:r>
          </w:p>
        </w:tc>
        <w:tc>
          <w:tcPr>
            <w:tcW w:w="68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1,5</w:t>
            </w:r>
          </w:p>
        </w:tc>
        <w:tc>
          <w:tcPr>
            <w:tcW w:w="544"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100,0</w:t>
            </w:r>
          </w:p>
        </w:tc>
      </w:tr>
      <w:tr w:rsidR="00683D7A" w:rsidRPr="0026440D" w:rsidTr="00A761F0">
        <w:trPr>
          <w:jc w:val="center"/>
        </w:trPr>
        <w:tc>
          <w:tcPr>
            <w:tcW w:w="1140"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hideMark/>
          </w:tcPr>
          <w:p w:rsidR="00683D7A" w:rsidRPr="0026440D" w:rsidRDefault="00683D7A" w:rsidP="00073A67">
            <w:pPr>
              <w:spacing w:after="0"/>
              <w:ind w:firstLine="0"/>
              <w:rPr>
                <w:rFonts w:eastAsia="Times New Roman"/>
                <w:b/>
                <w:iCs/>
                <w:sz w:val="20"/>
                <w:szCs w:val="20"/>
                <w:lang w:eastAsia="lv-LV"/>
              </w:rPr>
            </w:pPr>
            <w:r w:rsidRPr="0026440D">
              <w:rPr>
                <w:rFonts w:eastAsia="Times New Roman"/>
                <w:b/>
                <w:iCs/>
                <w:sz w:val="20"/>
                <w:szCs w:val="20"/>
                <w:lang w:eastAsia="lv-LV"/>
              </w:rPr>
              <w:t>Izdevumi – kopā</w:t>
            </w:r>
          </w:p>
        </w:tc>
        <w:tc>
          <w:tcPr>
            <w:tcW w:w="45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570 724</w:t>
            </w:r>
          </w:p>
        </w:tc>
        <w:tc>
          <w:tcPr>
            <w:tcW w:w="46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591 950</w:t>
            </w:r>
          </w:p>
        </w:tc>
        <w:tc>
          <w:tcPr>
            <w:tcW w:w="42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577 924</w:t>
            </w:r>
          </w:p>
        </w:tc>
        <w:tc>
          <w:tcPr>
            <w:tcW w:w="68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7 200</w:t>
            </w:r>
          </w:p>
        </w:tc>
        <w:tc>
          <w:tcPr>
            <w:tcW w:w="61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-14 026</w:t>
            </w:r>
          </w:p>
        </w:tc>
        <w:tc>
          <w:tcPr>
            <w:tcW w:w="68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1,3</w:t>
            </w:r>
          </w:p>
        </w:tc>
        <w:tc>
          <w:tcPr>
            <w:tcW w:w="544"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97,6</w:t>
            </w:r>
          </w:p>
        </w:tc>
      </w:tr>
      <w:tr w:rsidR="00683D7A" w:rsidRPr="0026440D" w:rsidTr="00A761F0">
        <w:trPr>
          <w:jc w:val="center"/>
        </w:trPr>
        <w:tc>
          <w:tcPr>
            <w:tcW w:w="1140"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hideMark/>
          </w:tcPr>
          <w:p w:rsidR="00683D7A" w:rsidRPr="0026440D" w:rsidRDefault="00683D7A" w:rsidP="00073A67">
            <w:pPr>
              <w:spacing w:after="0"/>
              <w:ind w:firstLine="0"/>
              <w:rPr>
                <w:rFonts w:eastAsia="Times New Roman"/>
                <w:iCs/>
                <w:sz w:val="20"/>
                <w:szCs w:val="20"/>
                <w:lang w:eastAsia="lv-LV"/>
              </w:rPr>
            </w:pPr>
            <w:r w:rsidRPr="0026440D">
              <w:rPr>
                <w:rFonts w:eastAsia="Times New Roman"/>
                <w:iCs/>
                <w:sz w:val="20"/>
                <w:szCs w:val="20"/>
                <w:lang w:eastAsia="lv-LV"/>
              </w:rPr>
              <w:t>Atlīdzība</w:t>
            </w:r>
          </w:p>
        </w:tc>
        <w:tc>
          <w:tcPr>
            <w:tcW w:w="45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98 422</w:t>
            </w:r>
          </w:p>
        </w:tc>
        <w:tc>
          <w:tcPr>
            <w:tcW w:w="46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102 466</w:t>
            </w:r>
          </w:p>
        </w:tc>
        <w:tc>
          <w:tcPr>
            <w:tcW w:w="42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99 319</w:t>
            </w:r>
          </w:p>
        </w:tc>
        <w:tc>
          <w:tcPr>
            <w:tcW w:w="68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897</w:t>
            </w:r>
          </w:p>
        </w:tc>
        <w:tc>
          <w:tcPr>
            <w:tcW w:w="61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-3 147</w:t>
            </w:r>
          </w:p>
        </w:tc>
        <w:tc>
          <w:tcPr>
            <w:tcW w:w="68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0,9</w:t>
            </w:r>
          </w:p>
        </w:tc>
        <w:tc>
          <w:tcPr>
            <w:tcW w:w="544"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96,9</w:t>
            </w:r>
          </w:p>
        </w:tc>
      </w:tr>
      <w:tr w:rsidR="00683D7A" w:rsidRPr="0026440D" w:rsidTr="00A761F0">
        <w:trPr>
          <w:jc w:val="center"/>
        </w:trPr>
        <w:tc>
          <w:tcPr>
            <w:tcW w:w="1140"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hideMark/>
          </w:tcPr>
          <w:p w:rsidR="00683D7A" w:rsidRPr="0026440D" w:rsidRDefault="00683D7A" w:rsidP="00073A67">
            <w:pPr>
              <w:spacing w:after="0"/>
              <w:ind w:firstLine="0"/>
              <w:rPr>
                <w:rFonts w:eastAsia="Times New Roman"/>
                <w:i/>
                <w:iCs/>
                <w:sz w:val="20"/>
                <w:szCs w:val="20"/>
                <w:lang w:eastAsia="lv-LV"/>
              </w:rPr>
            </w:pPr>
            <w:proofErr w:type="spellStart"/>
            <w:r w:rsidRPr="0026440D">
              <w:rPr>
                <w:rFonts w:eastAsia="Times New Roman"/>
                <w:i/>
                <w:iCs/>
                <w:sz w:val="20"/>
                <w:szCs w:val="20"/>
                <w:lang w:eastAsia="lv-LV"/>
              </w:rPr>
              <w:t>t.sk</w:t>
            </w:r>
            <w:proofErr w:type="spellEnd"/>
            <w:r w:rsidRPr="0026440D">
              <w:rPr>
                <w:rFonts w:eastAsia="Times New Roman"/>
                <w:i/>
                <w:iCs/>
                <w:sz w:val="20"/>
                <w:szCs w:val="20"/>
                <w:lang w:eastAsia="lv-LV"/>
              </w:rPr>
              <w:t>. atalgojums</w:t>
            </w:r>
          </w:p>
        </w:tc>
        <w:tc>
          <w:tcPr>
            <w:tcW w:w="45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i/>
                <w:sz w:val="20"/>
                <w:szCs w:val="20"/>
              </w:rPr>
            </w:pPr>
            <w:r w:rsidRPr="0026440D">
              <w:rPr>
                <w:i/>
                <w:sz w:val="20"/>
                <w:szCs w:val="20"/>
              </w:rPr>
              <w:t>74 408</w:t>
            </w:r>
          </w:p>
        </w:tc>
        <w:tc>
          <w:tcPr>
            <w:tcW w:w="46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i/>
                <w:sz w:val="20"/>
                <w:szCs w:val="20"/>
              </w:rPr>
            </w:pPr>
            <w:r w:rsidRPr="0026440D">
              <w:rPr>
                <w:i/>
                <w:sz w:val="20"/>
                <w:szCs w:val="20"/>
              </w:rPr>
              <w:t>76 930</w:t>
            </w:r>
          </w:p>
        </w:tc>
        <w:tc>
          <w:tcPr>
            <w:tcW w:w="42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i/>
                <w:sz w:val="20"/>
                <w:szCs w:val="20"/>
              </w:rPr>
            </w:pPr>
            <w:r w:rsidRPr="0026440D">
              <w:rPr>
                <w:i/>
                <w:sz w:val="20"/>
                <w:szCs w:val="20"/>
              </w:rPr>
              <w:t>74 780</w:t>
            </w:r>
          </w:p>
        </w:tc>
        <w:tc>
          <w:tcPr>
            <w:tcW w:w="68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i/>
                <w:sz w:val="20"/>
                <w:szCs w:val="20"/>
              </w:rPr>
            </w:pPr>
            <w:r w:rsidRPr="0026440D">
              <w:rPr>
                <w:i/>
                <w:sz w:val="20"/>
                <w:szCs w:val="20"/>
              </w:rPr>
              <w:t>372</w:t>
            </w:r>
          </w:p>
        </w:tc>
        <w:tc>
          <w:tcPr>
            <w:tcW w:w="61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i/>
                <w:sz w:val="20"/>
                <w:szCs w:val="20"/>
              </w:rPr>
            </w:pPr>
            <w:r w:rsidRPr="0026440D">
              <w:rPr>
                <w:i/>
                <w:sz w:val="20"/>
                <w:szCs w:val="20"/>
              </w:rPr>
              <w:t>-2 150</w:t>
            </w:r>
          </w:p>
        </w:tc>
        <w:tc>
          <w:tcPr>
            <w:tcW w:w="68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i/>
                <w:sz w:val="20"/>
                <w:szCs w:val="20"/>
              </w:rPr>
            </w:pPr>
            <w:r w:rsidRPr="0026440D">
              <w:rPr>
                <w:i/>
                <w:sz w:val="20"/>
                <w:szCs w:val="20"/>
              </w:rPr>
              <w:t>0,5</w:t>
            </w:r>
          </w:p>
        </w:tc>
        <w:tc>
          <w:tcPr>
            <w:tcW w:w="544"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i/>
                <w:sz w:val="20"/>
                <w:szCs w:val="20"/>
              </w:rPr>
            </w:pPr>
            <w:r w:rsidRPr="0026440D">
              <w:rPr>
                <w:i/>
                <w:sz w:val="20"/>
                <w:szCs w:val="20"/>
              </w:rPr>
              <w:t>97,2</w:t>
            </w:r>
          </w:p>
        </w:tc>
      </w:tr>
    </w:tbl>
    <w:p w:rsidR="00683D7A" w:rsidRPr="0026440D" w:rsidRDefault="00683D7A" w:rsidP="00683D7A">
      <w:pPr>
        <w:ind w:left="360"/>
        <w:rPr>
          <w:rFonts w:eastAsia="Times New Roman"/>
          <w:sz w:val="24"/>
          <w:szCs w:val="24"/>
          <w:lang w:eastAsia="lv-LV"/>
        </w:rPr>
      </w:pPr>
    </w:p>
    <w:p w:rsidR="00683D7A" w:rsidRPr="00EA480A" w:rsidRDefault="00EA480A" w:rsidP="00EA480A">
      <w:pPr>
        <w:ind w:firstLine="0"/>
        <w:jc w:val="right"/>
        <w:rPr>
          <w:rFonts w:eastAsia="Times New Roman"/>
          <w:b/>
          <w:i/>
          <w:lang w:eastAsia="lv-LV"/>
        </w:rPr>
      </w:pPr>
      <w:r w:rsidRPr="00EA480A">
        <w:rPr>
          <w:rFonts w:eastAsia="Times New Roman"/>
          <w:b/>
          <w:i/>
          <w:lang w:eastAsia="lv-LV"/>
        </w:rPr>
        <w:lastRenderedPageBreak/>
        <w:t>1</w:t>
      </w:r>
      <w:r w:rsidR="00A048FB">
        <w:rPr>
          <w:rFonts w:eastAsia="Times New Roman"/>
          <w:b/>
          <w:i/>
          <w:lang w:eastAsia="lv-LV"/>
        </w:rPr>
        <w:t>0</w:t>
      </w:r>
      <w:r w:rsidR="00F104D4">
        <w:rPr>
          <w:rFonts w:eastAsia="Times New Roman"/>
          <w:b/>
          <w:i/>
          <w:lang w:eastAsia="lv-LV"/>
        </w:rPr>
        <w:t>.</w:t>
      </w:r>
      <w:r w:rsidR="00683D7A" w:rsidRPr="00EA480A">
        <w:rPr>
          <w:rFonts w:eastAsia="Times New Roman"/>
          <w:b/>
          <w:i/>
          <w:lang w:eastAsia="lv-LV"/>
        </w:rPr>
        <w:t>2.</w:t>
      </w:r>
      <w:r w:rsidRPr="00EA480A">
        <w:rPr>
          <w:rFonts w:eastAsia="Times New Roman"/>
          <w:b/>
          <w:i/>
          <w:lang w:eastAsia="lv-LV"/>
        </w:rPr>
        <w:t xml:space="preserve">tabula. </w:t>
      </w:r>
      <w:r w:rsidR="00683D7A" w:rsidRPr="00EA480A">
        <w:rPr>
          <w:rFonts w:eastAsia="Times New Roman"/>
          <w:b/>
          <w:i/>
          <w:lang w:eastAsia="lv-LV"/>
        </w:rPr>
        <w:t>Eiropas Savienības politiku instrumentu un pārējās ārvalstu finanšu palīdzības līdzfinansēto un finansēto projektu un pasākumu īstenošana</w:t>
      </w:r>
    </w:p>
    <w:tbl>
      <w:tblPr>
        <w:tblW w:w="5700" w:type="pct"/>
        <w:jc w:val="center"/>
        <w:tblBorders>
          <w:top w:val="outset" w:sz="6" w:space="0" w:color="000000"/>
          <w:left w:val="outset" w:sz="6" w:space="0" w:color="000000"/>
          <w:bottom w:val="outset" w:sz="6" w:space="0" w:color="000000"/>
          <w:right w:val="outset" w:sz="6" w:space="0" w:color="000000"/>
        </w:tblBorders>
        <w:shd w:val="clear" w:color="auto" w:fill="FFFFFF" w:themeFill="background1"/>
        <w:tblCellMar>
          <w:top w:w="30" w:type="dxa"/>
          <w:left w:w="30" w:type="dxa"/>
          <w:bottom w:w="30" w:type="dxa"/>
          <w:right w:w="30" w:type="dxa"/>
        </w:tblCellMar>
        <w:tblLook w:val="04A0" w:firstRow="1" w:lastRow="0" w:firstColumn="1" w:lastColumn="0" w:noHBand="0" w:noVBand="1"/>
      </w:tblPr>
      <w:tblGrid>
        <w:gridCol w:w="2373"/>
        <w:gridCol w:w="941"/>
        <w:gridCol w:w="962"/>
        <w:gridCol w:w="889"/>
        <w:gridCol w:w="1420"/>
        <w:gridCol w:w="1274"/>
        <w:gridCol w:w="1418"/>
        <w:gridCol w:w="1132"/>
      </w:tblGrid>
      <w:tr w:rsidR="00683D7A" w:rsidRPr="0026440D" w:rsidTr="00A761F0">
        <w:trPr>
          <w:jc w:val="center"/>
        </w:trPr>
        <w:tc>
          <w:tcPr>
            <w:tcW w:w="1140"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hideMark/>
          </w:tcPr>
          <w:p w:rsidR="00683D7A" w:rsidRPr="0026440D" w:rsidRDefault="00683D7A" w:rsidP="00073A67">
            <w:pPr>
              <w:spacing w:after="0"/>
              <w:ind w:firstLine="0"/>
              <w:jc w:val="center"/>
              <w:rPr>
                <w:rFonts w:eastAsia="Times New Roman"/>
                <w:iCs/>
                <w:sz w:val="20"/>
                <w:szCs w:val="20"/>
                <w:lang w:eastAsia="lv-LV"/>
              </w:rPr>
            </w:pPr>
            <w:r w:rsidRPr="0026440D">
              <w:rPr>
                <w:rFonts w:eastAsia="Times New Roman"/>
                <w:iCs/>
                <w:sz w:val="20"/>
                <w:szCs w:val="20"/>
                <w:lang w:eastAsia="lv-LV"/>
              </w:rPr>
              <w:t>Finansiālie rādītāji</w:t>
            </w:r>
          </w:p>
        </w:tc>
        <w:tc>
          <w:tcPr>
            <w:tcW w:w="45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center"/>
              <w:rPr>
                <w:sz w:val="20"/>
                <w:szCs w:val="20"/>
              </w:rPr>
            </w:pPr>
            <w:r w:rsidRPr="0026440D">
              <w:rPr>
                <w:sz w:val="20"/>
                <w:szCs w:val="20"/>
              </w:rPr>
              <w:t>2011.gada 3 mēnešu izpilde</w:t>
            </w:r>
            <w:r w:rsidRPr="0026440D">
              <w:rPr>
                <w:sz w:val="20"/>
                <w:szCs w:val="20"/>
              </w:rPr>
              <w:br/>
              <w:t>(tūkstošos latu)</w:t>
            </w:r>
          </w:p>
        </w:tc>
        <w:tc>
          <w:tcPr>
            <w:tcW w:w="46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center"/>
              <w:rPr>
                <w:sz w:val="20"/>
                <w:szCs w:val="20"/>
              </w:rPr>
            </w:pPr>
            <w:r w:rsidRPr="0026440D">
              <w:rPr>
                <w:sz w:val="20"/>
                <w:szCs w:val="20"/>
              </w:rPr>
              <w:t>2012.gada 3 mēnešu plāns</w:t>
            </w:r>
            <w:r w:rsidRPr="0026440D">
              <w:rPr>
                <w:sz w:val="20"/>
                <w:szCs w:val="20"/>
              </w:rPr>
              <w:br/>
              <w:t>(tūkstošos latu)</w:t>
            </w:r>
          </w:p>
        </w:tc>
        <w:tc>
          <w:tcPr>
            <w:tcW w:w="42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center"/>
              <w:rPr>
                <w:sz w:val="20"/>
                <w:szCs w:val="20"/>
              </w:rPr>
            </w:pPr>
            <w:r w:rsidRPr="0026440D">
              <w:rPr>
                <w:sz w:val="20"/>
                <w:szCs w:val="20"/>
              </w:rPr>
              <w:t>2012.gada 3 mēnešu izpilde</w:t>
            </w:r>
            <w:r w:rsidRPr="0026440D">
              <w:rPr>
                <w:sz w:val="20"/>
                <w:szCs w:val="20"/>
              </w:rPr>
              <w:br/>
              <w:t>(tūkstošos latu)</w:t>
            </w:r>
          </w:p>
        </w:tc>
        <w:tc>
          <w:tcPr>
            <w:tcW w:w="68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Default="00683D7A" w:rsidP="00073A67">
            <w:pPr>
              <w:spacing w:after="0"/>
              <w:ind w:firstLine="0"/>
              <w:jc w:val="center"/>
              <w:rPr>
                <w:sz w:val="20"/>
                <w:szCs w:val="20"/>
              </w:rPr>
            </w:pPr>
            <w:r w:rsidRPr="0026440D">
              <w:rPr>
                <w:sz w:val="20"/>
                <w:szCs w:val="20"/>
              </w:rPr>
              <w:t xml:space="preserve">2012.gada </w:t>
            </w:r>
          </w:p>
          <w:p w:rsidR="00683D7A" w:rsidRPr="0026440D" w:rsidRDefault="00683D7A" w:rsidP="00073A67">
            <w:pPr>
              <w:spacing w:after="0"/>
              <w:ind w:firstLine="0"/>
              <w:jc w:val="center"/>
              <w:rPr>
                <w:sz w:val="20"/>
                <w:szCs w:val="20"/>
              </w:rPr>
            </w:pPr>
            <w:r w:rsidRPr="0026440D">
              <w:rPr>
                <w:sz w:val="20"/>
                <w:szCs w:val="20"/>
              </w:rPr>
              <w:t>3 mēnešu izpildes izmaiņas pret 2011.gada 3 mēnešu izpildi</w:t>
            </w:r>
            <w:r w:rsidRPr="0026440D">
              <w:rPr>
                <w:sz w:val="20"/>
                <w:szCs w:val="20"/>
              </w:rPr>
              <w:br/>
              <w:t>(tūkstošos latu)</w:t>
            </w:r>
          </w:p>
        </w:tc>
        <w:tc>
          <w:tcPr>
            <w:tcW w:w="61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Default="00683D7A" w:rsidP="00073A67">
            <w:pPr>
              <w:spacing w:after="0"/>
              <w:ind w:firstLine="0"/>
              <w:jc w:val="center"/>
              <w:rPr>
                <w:sz w:val="20"/>
                <w:szCs w:val="20"/>
              </w:rPr>
            </w:pPr>
            <w:r w:rsidRPr="0026440D">
              <w:rPr>
                <w:sz w:val="20"/>
                <w:szCs w:val="20"/>
              </w:rPr>
              <w:t xml:space="preserve">2012.gada </w:t>
            </w:r>
          </w:p>
          <w:p w:rsidR="00683D7A" w:rsidRPr="0026440D" w:rsidRDefault="00683D7A" w:rsidP="00073A67">
            <w:pPr>
              <w:spacing w:after="0"/>
              <w:ind w:firstLine="0"/>
              <w:jc w:val="center"/>
              <w:rPr>
                <w:sz w:val="20"/>
                <w:szCs w:val="20"/>
              </w:rPr>
            </w:pPr>
            <w:r w:rsidRPr="0026440D">
              <w:rPr>
                <w:sz w:val="20"/>
                <w:szCs w:val="20"/>
              </w:rPr>
              <w:t>3 mēnešu izpilde  pret 2012.gada 3 mēnešu plānu</w:t>
            </w:r>
            <w:r w:rsidRPr="0026440D">
              <w:rPr>
                <w:sz w:val="20"/>
                <w:szCs w:val="20"/>
              </w:rPr>
              <w:br/>
              <w:t>(tūkstošos latu)</w:t>
            </w:r>
          </w:p>
        </w:tc>
        <w:tc>
          <w:tcPr>
            <w:tcW w:w="68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Default="00683D7A" w:rsidP="00073A67">
            <w:pPr>
              <w:spacing w:after="0"/>
              <w:ind w:firstLine="0"/>
              <w:jc w:val="center"/>
              <w:rPr>
                <w:sz w:val="20"/>
                <w:szCs w:val="20"/>
              </w:rPr>
            </w:pPr>
            <w:r w:rsidRPr="0026440D">
              <w:rPr>
                <w:sz w:val="20"/>
                <w:szCs w:val="20"/>
              </w:rPr>
              <w:t xml:space="preserve">2012.gada </w:t>
            </w:r>
          </w:p>
          <w:p w:rsidR="00683D7A" w:rsidRPr="0026440D" w:rsidRDefault="00683D7A" w:rsidP="00073A67">
            <w:pPr>
              <w:spacing w:after="0"/>
              <w:ind w:firstLine="0"/>
              <w:jc w:val="center"/>
              <w:rPr>
                <w:sz w:val="20"/>
                <w:szCs w:val="20"/>
              </w:rPr>
            </w:pPr>
            <w:r w:rsidRPr="0026440D">
              <w:rPr>
                <w:sz w:val="20"/>
                <w:szCs w:val="20"/>
              </w:rPr>
              <w:t>3 mēnešu izpildes izmaiņas pret 2011.gada 3 mēnešu izpildi</w:t>
            </w:r>
            <w:r w:rsidRPr="0026440D">
              <w:rPr>
                <w:sz w:val="20"/>
                <w:szCs w:val="20"/>
              </w:rPr>
              <w:br/>
              <w:t>(procentos)</w:t>
            </w:r>
          </w:p>
        </w:tc>
        <w:tc>
          <w:tcPr>
            <w:tcW w:w="544"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Default="00683D7A" w:rsidP="00073A67">
            <w:pPr>
              <w:spacing w:after="0"/>
              <w:ind w:firstLine="0"/>
              <w:jc w:val="center"/>
              <w:rPr>
                <w:sz w:val="20"/>
                <w:szCs w:val="20"/>
              </w:rPr>
            </w:pPr>
            <w:r w:rsidRPr="0026440D">
              <w:rPr>
                <w:sz w:val="20"/>
                <w:szCs w:val="20"/>
              </w:rPr>
              <w:t>2012.gada</w:t>
            </w:r>
          </w:p>
          <w:p w:rsidR="00683D7A" w:rsidRPr="0026440D" w:rsidRDefault="00683D7A" w:rsidP="00073A67">
            <w:pPr>
              <w:spacing w:after="0"/>
              <w:ind w:firstLine="0"/>
              <w:jc w:val="center"/>
              <w:rPr>
                <w:sz w:val="20"/>
                <w:szCs w:val="20"/>
              </w:rPr>
            </w:pPr>
            <w:r w:rsidRPr="0026440D">
              <w:rPr>
                <w:sz w:val="20"/>
                <w:szCs w:val="20"/>
              </w:rPr>
              <w:t xml:space="preserve"> 3 mēnešu izpilde no 2012.gada 3 mēnešu plāna</w:t>
            </w:r>
            <w:r w:rsidRPr="0026440D">
              <w:rPr>
                <w:sz w:val="20"/>
                <w:szCs w:val="20"/>
              </w:rPr>
              <w:br/>
              <w:t>(procentos)</w:t>
            </w:r>
          </w:p>
        </w:tc>
      </w:tr>
      <w:tr w:rsidR="00683D7A" w:rsidRPr="0026440D" w:rsidTr="00A761F0">
        <w:trPr>
          <w:jc w:val="center"/>
        </w:trPr>
        <w:tc>
          <w:tcPr>
            <w:tcW w:w="1140"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hideMark/>
          </w:tcPr>
          <w:p w:rsidR="00683D7A" w:rsidRPr="0026440D" w:rsidRDefault="00683D7A" w:rsidP="00073A67">
            <w:pPr>
              <w:spacing w:after="0"/>
              <w:ind w:firstLine="0"/>
              <w:jc w:val="center"/>
              <w:rPr>
                <w:rFonts w:eastAsia="Times New Roman"/>
                <w:iCs/>
                <w:sz w:val="20"/>
                <w:szCs w:val="20"/>
                <w:lang w:eastAsia="lv-LV"/>
              </w:rPr>
            </w:pPr>
            <w:r w:rsidRPr="0026440D">
              <w:rPr>
                <w:rFonts w:eastAsia="Times New Roman"/>
                <w:iCs/>
                <w:sz w:val="20"/>
                <w:szCs w:val="20"/>
                <w:lang w:eastAsia="lv-LV"/>
              </w:rPr>
              <w:t>1</w:t>
            </w:r>
          </w:p>
        </w:tc>
        <w:tc>
          <w:tcPr>
            <w:tcW w:w="45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center"/>
              <w:rPr>
                <w:sz w:val="20"/>
                <w:szCs w:val="20"/>
              </w:rPr>
            </w:pPr>
            <w:r w:rsidRPr="0026440D">
              <w:rPr>
                <w:sz w:val="20"/>
                <w:szCs w:val="20"/>
              </w:rPr>
              <w:t>2</w:t>
            </w:r>
          </w:p>
        </w:tc>
        <w:tc>
          <w:tcPr>
            <w:tcW w:w="46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center"/>
              <w:rPr>
                <w:sz w:val="20"/>
                <w:szCs w:val="20"/>
              </w:rPr>
            </w:pPr>
            <w:r w:rsidRPr="0026440D">
              <w:rPr>
                <w:sz w:val="20"/>
                <w:szCs w:val="20"/>
              </w:rPr>
              <w:t>3</w:t>
            </w:r>
          </w:p>
        </w:tc>
        <w:tc>
          <w:tcPr>
            <w:tcW w:w="42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center"/>
              <w:rPr>
                <w:sz w:val="20"/>
                <w:szCs w:val="20"/>
              </w:rPr>
            </w:pPr>
            <w:r w:rsidRPr="0026440D">
              <w:rPr>
                <w:sz w:val="20"/>
                <w:szCs w:val="20"/>
              </w:rPr>
              <w:t>4</w:t>
            </w:r>
          </w:p>
        </w:tc>
        <w:tc>
          <w:tcPr>
            <w:tcW w:w="68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center"/>
              <w:rPr>
                <w:sz w:val="20"/>
                <w:szCs w:val="20"/>
              </w:rPr>
            </w:pPr>
            <w:r w:rsidRPr="0026440D">
              <w:rPr>
                <w:sz w:val="20"/>
                <w:szCs w:val="20"/>
              </w:rPr>
              <w:t>5 = 4-2</w:t>
            </w:r>
          </w:p>
        </w:tc>
        <w:tc>
          <w:tcPr>
            <w:tcW w:w="61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center"/>
              <w:rPr>
                <w:sz w:val="20"/>
                <w:szCs w:val="20"/>
              </w:rPr>
            </w:pPr>
            <w:r w:rsidRPr="0026440D">
              <w:rPr>
                <w:sz w:val="20"/>
                <w:szCs w:val="20"/>
              </w:rPr>
              <w:t>6=4-3</w:t>
            </w:r>
          </w:p>
        </w:tc>
        <w:tc>
          <w:tcPr>
            <w:tcW w:w="68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center"/>
              <w:rPr>
                <w:sz w:val="20"/>
                <w:szCs w:val="20"/>
              </w:rPr>
            </w:pPr>
            <w:r w:rsidRPr="0026440D">
              <w:rPr>
                <w:sz w:val="20"/>
                <w:szCs w:val="20"/>
              </w:rPr>
              <w:t>7=4/2*100-100</w:t>
            </w:r>
          </w:p>
        </w:tc>
        <w:tc>
          <w:tcPr>
            <w:tcW w:w="544"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center"/>
              <w:rPr>
                <w:sz w:val="20"/>
                <w:szCs w:val="20"/>
              </w:rPr>
            </w:pPr>
            <w:r w:rsidRPr="0026440D">
              <w:rPr>
                <w:sz w:val="20"/>
                <w:szCs w:val="20"/>
              </w:rPr>
              <w:t>8=4/3*100</w:t>
            </w:r>
          </w:p>
        </w:tc>
      </w:tr>
      <w:tr w:rsidR="00683D7A" w:rsidRPr="0026440D" w:rsidTr="00A761F0">
        <w:trPr>
          <w:jc w:val="center"/>
        </w:trPr>
        <w:tc>
          <w:tcPr>
            <w:tcW w:w="1140"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hideMark/>
          </w:tcPr>
          <w:p w:rsidR="00683D7A" w:rsidRPr="0026440D" w:rsidRDefault="00683D7A" w:rsidP="00073A67">
            <w:pPr>
              <w:spacing w:after="0"/>
              <w:ind w:firstLine="0"/>
              <w:rPr>
                <w:rFonts w:eastAsia="Times New Roman"/>
                <w:b/>
                <w:iCs/>
                <w:sz w:val="20"/>
                <w:szCs w:val="20"/>
                <w:lang w:eastAsia="lv-LV"/>
              </w:rPr>
            </w:pPr>
            <w:r w:rsidRPr="0026440D">
              <w:rPr>
                <w:rFonts w:eastAsia="Times New Roman"/>
                <w:b/>
                <w:iCs/>
                <w:sz w:val="20"/>
                <w:szCs w:val="20"/>
                <w:lang w:eastAsia="lv-LV"/>
              </w:rPr>
              <w:t>Resursi izdevumu segšanai</w:t>
            </w:r>
          </w:p>
        </w:tc>
        <w:tc>
          <w:tcPr>
            <w:tcW w:w="45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175 611</w:t>
            </w:r>
          </w:p>
        </w:tc>
        <w:tc>
          <w:tcPr>
            <w:tcW w:w="46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182 217</w:t>
            </w:r>
          </w:p>
        </w:tc>
        <w:tc>
          <w:tcPr>
            <w:tcW w:w="42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178 954</w:t>
            </w:r>
          </w:p>
        </w:tc>
        <w:tc>
          <w:tcPr>
            <w:tcW w:w="68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3 343</w:t>
            </w:r>
          </w:p>
        </w:tc>
        <w:tc>
          <w:tcPr>
            <w:tcW w:w="61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-3 263</w:t>
            </w:r>
          </w:p>
        </w:tc>
        <w:tc>
          <w:tcPr>
            <w:tcW w:w="68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1,9</w:t>
            </w:r>
          </w:p>
        </w:tc>
        <w:tc>
          <w:tcPr>
            <w:tcW w:w="544"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98,2</w:t>
            </w:r>
          </w:p>
        </w:tc>
      </w:tr>
      <w:tr w:rsidR="00683D7A" w:rsidRPr="0026440D" w:rsidTr="00A761F0">
        <w:trPr>
          <w:jc w:val="center"/>
        </w:trPr>
        <w:tc>
          <w:tcPr>
            <w:tcW w:w="1140"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hideMark/>
          </w:tcPr>
          <w:p w:rsidR="00683D7A" w:rsidRPr="0026440D" w:rsidRDefault="00683D7A" w:rsidP="00073A67">
            <w:pPr>
              <w:spacing w:after="0"/>
              <w:ind w:firstLine="0"/>
              <w:rPr>
                <w:rFonts w:eastAsia="Times New Roman"/>
                <w:iCs/>
                <w:sz w:val="20"/>
                <w:szCs w:val="20"/>
                <w:lang w:eastAsia="lv-LV"/>
              </w:rPr>
            </w:pPr>
            <w:r w:rsidRPr="0026440D">
              <w:rPr>
                <w:rFonts w:eastAsia="Times New Roman"/>
                <w:iCs/>
                <w:sz w:val="20"/>
                <w:szCs w:val="20"/>
                <w:lang w:eastAsia="lv-LV"/>
              </w:rPr>
              <w:t>Ieņēmumi no maksas pakalpojumiem un citi pašu ieņēmumi</w:t>
            </w:r>
          </w:p>
        </w:tc>
        <w:tc>
          <w:tcPr>
            <w:tcW w:w="45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64</w:t>
            </w:r>
          </w:p>
        </w:tc>
        <w:tc>
          <w:tcPr>
            <w:tcW w:w="46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4</w:t>
            </w:r>
          </w:p>
        </w:tc>
        <w:tc>
          <w:tcPr>
            <w:tcW w:w="42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66</w:t>
            </w:r>
          </w:p>
        </w:tc>
        <w:tc>
          <w:tcPr>
            <w:tcW w:w="68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2</w:t>
            </w:r>
          </w:p>
        </w:tc>
        <w:tc>
          <w:tcPr>
            <w:tcW w:w="61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62</w:t>
            </w:r>
          </w:p>
        </w:tc>
        <w:tc>
          <w:tcPr>
            <w:tcW w:w="68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2,8</w:t>
            </w:r>
          </w:p>
        </w:tc>
        <w:tc>
          <w:tcPr>
            <w:tcW w:w="544"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 </w:t>
            </w:r>
          </w:p>
        </w:tc>
      </w:tr>
      <w:tr w:rsidR="00683D7A" w:rsidRPr="0026440D" w:rsidTr="00A761F0">
        <w:trPr>
          <w:jc w:val="center"/>
        </w:trPr>
        <w:tc>
          <w:tcPr>
            <w:tcW w:w="1140"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hideMark/>
          </w:tcPr>
          <w:p w:rsidR="00683D7A" w:rsidRPr="0026440D" w:rsidRDefault="00683D7A" w:rsidP="00073A67">
            <w:pPr>
              <w:spacing w:after="0"/>
              <w:ind w:firstLine="0"/>
              <w:rPr>
                <w:rFonts w:eastAsia="Times New Roman"/>
                <w:iCs/>
                <w:sz w:val="20"/>
                <w:szCs w:val="20"/>
                <w:lang w:eastAsia="lv-LV"/>
              </w:rPr>
            </w:pPr>
            <w:r w:rsidRPr="0026440D">
              <w:rPr>
                <w:rFonts w:eastAsia="Times New Roman"/>
                <w:iCs/>
                <w:sz w:val="20"/>
                <w:szCs w:val="20"/>
                <w:lang w:eastAsia="lv-LV"/>
              </w:rPr>
              <w:t>Ārvalstu finanšu palīdzība iestādes ieņēmumos</w:t>
            </w:r>
          </w:p>
        </w:tc>
        <w:tc>
          <w:tcPr>
            <w:tcW w:w="45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7 166</w:t>
            </w:r>
          </w:p>
        </w:tc>
        <w:tc>
          <w:tcPr>
            <w:tcW w:w="46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9 392</w:t>
            </w:r>
          </w:p>
        </w:tc>
        <w:tc>
          <w:tcPr>
            <w:tcW w:w="42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6 106</w:t>
            </w:r>
          </w:p>
        </w:tc>
        <w:tc>
          <w:tcPr>
            <w:tcW w:w="68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-1 061</w:t>
            </w:r>
          </w:p>
        </w:tc>
        <w:tc>
          <w:tcPr>
            <w:tcW w:w="61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-3 287</w:t>
            </w:r>
          </w:p>
        </w:tc>
        <w:tc>
          <w:tcPr>
            <w:tcW w:w="68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-14,8</w:t>
            </w:r>
          </w:p>
        </w:tc>
        <w:tc>
          <w:tcPr>
            <w:tcW w:w="544"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65,0</w:t>
            </w:r>
          </w:p>
        </w:tc>
      </w:tr>
      <w:tr w:rsidR="00683D7A" w:rsidRPr="0026440D" w:rsidTr="00A761F0">
        <w:trPr>
          <w:jc w:val="center"/>
        </w:trPr>
        <w:tc>
          <w:tcPr>
            <w:tcW w:w="1140"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hideMark/>
          </w:tcPr>
          <w:p w:rsidR="00683D7A" w:rsidRPr="0026440D" w:rsidRDefault="00683D7A" w:rsidP="00073A67">
            <w:pPr>
              <w:spacing w:after="0"/>
              <w:ind w:firstLine="0"/>
              <w:rPr>
                <w:rFonts w:eastAsia="Times New Roman"/>
                <w:iCs/>
                <w:sz w:val="20"/>
                <w:szCs w:val="20"/>
                <w:lang w:eastAsia="lv-LV"/>
              </w:rPr>
            </w:pPr>
            <w:r w:rsidRPr="0026440D">
              <w:rPr>
                <w:rFonts w:eastAsia="Times New Roman"/>
                <w:iCs/>
                <w:sz w:val="20"/>
                <w:szCs w:val="20"/>
                <w:lang w:eastAsia="lv-LV"/>
              </w:rPr>
              <w:t>Transferti</w:t>
            </w:r>
          </w:p>
        </w:tc>
        <w:tc>
          <w:tcPr>
            <w:tcW w:w="45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0</w:t>
            </w:r>
          </w:p>
        </w:tc>
        <w:tc>
          <w:tcPr>
            <w:tcW w:w="46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217</w:t>
            </w:r>
          </w:p>
        </w:tc>
        <w:tc>
          <w:tcPr>
            <w:tcW w:w="42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179</w:t>
            </w:r>
          </w:p>
        </w:tc>
        <w:tc>
          <w:tcPr>
            <w:tcW w:w="68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179</w:t>
            </w:r>
          </w:p>
        </w:tc>
        <w:tc>
          <w:tcPr>
            <w:tcW w:w="61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-38</w:t>
            </w:r>
          </w:p>
        </w:tc>
        <w:tc>
          <w:tcPr>
            <w:tcW w:w="68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 </w:t>
            </w:r>
          </w:p>
        </w:tc>
        <w:tc>
          <w:tcPr>
            <w:tcW w:w="544"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 </w:t>
            </w:r>
          </w:p>
        </w:tc>
      </w:tr>
      <w:tr w:rsidR="00683D7A" w:rsidRPr="0026440D" w:rsidTr="00A761F0">
        <w:trPr>
          <w:jc w:val="center"/>
        </w:trPr>
        <w:tc>
          <w:tcPr>
            <w:tcW w:w="1140"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hideMark/>
          </w:tcPr>
          <w:p w:rsidR="00683D7A" w:rsidRPr="0026440D" w:rsidRDefault="00683D7A" w:rsidP="00073A67">
            <w:pPr>
              <w:spacing w:after="0"/>
              <w:ind w:firstLine="0"/>
              <w:rPr>
                <w:rFonts w:eastAsia="Times New Roman"/>
                <w:iCs/>
                <w:sz w:val="20"/>
                <w:szCs w:val="20"/>
                <w:lang w:eastAsia="lv-LV"/>
              </w:rPr>
            </w:pPr>
            <w:r w:rsidRPr="0026440D">
              <w:rPr>
                <w:rFonts w:eastAsia="Times New Roman"/>
                <w:iCs/>
                <w:sz w:val="20"/>
                <w:szCs w:val="20"/>
                <w:lang w:eastAsia="lv-LV"/>
              </w:rPr>
              <w:t>Dotācija no vispārējiem ieņēmumiem</w:t>
            </w:r>
          </w:p>
        </w:tc>
        <w:tc>
          <w:tcPr>
            <w:tcW w:w="45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168 380</w:t>
            </w:r>
          </w:p>
        </w:tc>
        <w:tc>
          <w:tcPr>
            <w:tcW w:w="46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172 604</w:t>
            </w:r>
          </w:p>
        </w:tc>
        <w:tc>
          <w:tcPr>
            <w:tcW w:w="42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172 604</w:t>
            </w:r>
          </w:p>
        </w:tc>
        <w:tc>
          <w:tcPr>
            <w:tcW w:w="68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4 223</w:t>
            </w:r>
          </w:p>
        </w:tc>
        <w:tc>
          <w:tcPr>
            <w:tcW w:w="61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0</w:t>
            </w:r>
          </w:p>
        </w:tc>
        <w:tc>
          <w:tcPr>
            <w:tcW w:w="68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2,5</w:t>
            </w:r>
          </w:p>
        </w:tc>
        <w:tc>
          <w:tcPr>
            <w:tcW w:w="544"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100,0</w:t>
            </w:r>
          </w:p>
        </w:tc>
      </w:tr>
      <w:tr w:rsidR="00683D7A" w:rsidRPr="0026440D" w:rsidTr="00A761F0">
        <w:trPr>
          <w:jc w:val="center"/>
        </w:trPr>
        <w:tc>
          <w:tcPr>
            <w:tcW w:w="1140"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hideMark/>
          </w:tcPr>
          <w:p w:rsidR="00683D7A" w:rsidRPr="0026440D" w:rsidRDefault="00683D7A" w:rsidP="00073A67">
            <w:pPr>
              <w:spacing w:after="0"/>
              <w:ind w:firstLine="0"/>
              <w:rPr>
                <w:rFonts w:eastAsia="Times New Roman"/>
                <w:b/>
                <w:iCs/>
                <w:sz w:val="20"/>
                <w:szCs w:val="20"/>
                <w:lang w:eastAsia="lv-LV"/>
              </w:rPr>
            </w:pPr>
            <w:r w:rsidRPr="0026440D">
              <w:rPr>
                <w:rFonts w:eastAsia="Times New Roman"/>
                <w:b/>
                <w:iCs/>
                <w:sz w:val="20"/>
                <w:szCs w:val="20"/>
                <w:lang w:eastAsia="lv-LV"/>
              </w:rPr>
              <w:t>Izdevumi – kopā</w:t>
            </w:r>
          </w:p>
        </w:tc>
        <w:tc>
          <w:tcPr>
            <w:tcW w:w="45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159 929</w:t>
            </w:r>
          </w:p>
        </w:tc>
        <w:tc>
          <w:tcPr>
            <w:tcW w:w="46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179 529</w:t>
            </w:r>
          </w:p>
        </w:tc>
        <w:tc>
          <w:tcPr>
            <w:tcW w:w="42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165 959</w:t>
            </w:r>
          </w:p>
        </w:tc>
        <w:tc>
          <w:tcPr>
            <w:tcW w:w="68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6 030</w:t>
            </w:r>
          </w:p>
        </w:tc>
        <w:tc>
          <w:tcPr>
            <w:tcW w:w="61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-13 570</w:t>
            </w:r>
          </w:p>
        </w:tc>
        <w:tc>
          <w:tcPr>
            <w:tcW w:w="68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3,8</w:t>
            </w:r>
          </w:p>
        </w:tc>
        <w:tc>
          <w:tcPr>
            <w:tcW w:w="544"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b/>
                <w:sz w:val="20"/>
                <w:szCs w:val="20"/>
              </w:rPr>
            </w:pPr>
            <w:r w:rsidRPr="0026440D">
              <w:rPr>
                <w:b/>
                <w:sz w:val="20"/>
                <w:szCs w:val="20"/>
              </w:rPr>
              <w:t>92,4</w:t>
            </w:r>
          </w:p>
        </w:tc>
      </w:tr>
      <w:tr w:rsidR="00683D7A" w:rsidRPr="0026440D" w:rsidTr="00A761F0">
        <w:trPr>
          <w:jc w:val="center"/>
        </w:trPr>
        <w:tc>
          <w:tcPr>
            <w:tcW w:w="1140"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hideMark/>
          </w:tcPr>
          <w:p w:rsidR="00683D7A" w:rsidRPr="0026440D" w:rsidRDefault="00683D7A" w:rsidP="00073A67">
            <w:pPr>
              <w:spacing w:after="0"/>
              <w:ind w:firstLine="0"/>
              <w:rPr>
                <w:rFonts w:eastAsia="Times New Roman"/>
                <w:iCs/>
                <w:sz w:val="20"/>
                <w:szCs w:val="20"/>
                <w:lang w:eastAsia="lv-LV"/>
              </w:rPr>
            </w:pPr>
            <w:r w:rsidRPr="0026440D">
              <w:rPr>
                <w:rFonts w:eastAsia="Times New Roman"/>
                <w:iCs/>
                <w:sz w:val="20"/>
                <w:szCs w:val="20"/>
                <w:lang w:eastAsia="lv-LV"/>
              </w:rPr>
              <w:t>Atlīdzība</w:t>
            </w:r>
          </w:p>
        </w:tc>
        <w:tc>
          <w:tcPr>
            <w:tcW w:w="45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3 997</w:t>
            </w:r>
          </w:p>
        </w:tc>
        <w:tc>
          <w:tcPr>
            <w:tcW w:w="46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4 839</w:t>
            </w:r>
          </w:p>
        </w:tc>
        <w:tc>
          <w:tcPr>
            <w:tcW w:w="42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4 345</w:t>
            </w:r>
          </w:p>
        </w:tc>
        <w:tc>
          <w:tcPr>
            <w:tcW w:w="68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348</w:t>
            </w:r>
          </w:p>
        </w:tc>
        <w:tc>
          <w:tcPr>
            <w:tcW w:w="61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-494</w:t>
            </w:r>
          </w:p>
        </w:tc>
        <w:tc>
          <w:tcPr>
            <w:tcW w:w="68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8,7</w:t>
            </w:r>
          </w:p>
        </w:tc>
        <w:tc>
          <w:tcPr>
            <w:tcW w:w="544"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89,8</w:t>
            </w:r>
          </w:p>
        </w:tc>
      </w:tr>
      <w:tr w:rsidR="00683D7A" w:rsidRPr="0026440D" w:rsidTr="00A761F0">
        <w:trPr>
          <w:jc w:val="center"/>
        </w:trPr>
        <w:tc>
          <w:tcPr>
            <w:tcW w:w="1140"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hideMark/>
          </w:tcPr>
          <w:p w:rsidR="00683D7A" w:rsidRPr="0026440D" w:rsidRDefault="00683D7A" w:rsidP="00073A67">
            <w:pPr>
              <w:spacing w:after="0"/>
              <w:ind w:firstLine="0"/>
              <w:rPr>
                <w:rFonts w:eastAsia="Times New Roman"/>
                <w:iCs/>
                <w:sz w:val="20"/>
                <w:szCs w:val="20"/>
                <w:lang w:eastAsia="lv-LV"/>
              </w:rPr>
            </w:pPr>
            <w:proofErr w:type="spellStart"/>
            <w:r w:rsidRPr="0026440D">
              <w:rPr>
                <w:rFonts w:eastAsia="Times New Roman"/>
                <w:iCs/>
                <w:sz w:val="20"/>
                <w:szCs w:val="20"/>
                <w:lang w:eastAsia="lv-LV"/>
              </w:rPr>
              <w:t>t.sk</w:t>
            </w:r>
            <w:proofErr w:type="spellEnd"/>
            <w:r w:rsidRPr="0026440D">
              <w:rPr>
                <w:rFonts w:eastAsia="Times New Roman"/>
                <w:iCs/>
                <w:sz w:val="20"/>
                <w:szCs w:val="20"/>
                <w:lang w:eastAsia="lv-LV"/>
              </w:rPr>
              <w:t>. atalgojums</w:t>
            </w:r>
          </w:p>
        </w:tc>
        <w:tc>
          <w:tcPr>
            <w:tcW w:w="45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3 234</w:t>
            </w:r>
          </w:p>
        </w:tc>
        <w:tc>
          <w:tcPr>
            <w:tcW w:w="46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3 815</w:t>
            </w:r>
          </w:p>
        </w:tc>
        <w:tc>
          <w:tcPr>
            <w:tcW w:w="427"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3 470</w:t>
            </w:r>
          </w:p>
        </w:tc>
        <w:tc>
          <w:tcPr>
            <w:tcW w:w="68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236</w:t>
            </w:r>
          </w:p>
        </w:tc>
        <w:tc>
          <w:tcPr>
            <w:tcW w:w="612"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-345</w:t>
            </w:r>
          </w:p>
        </w:tc>
        <w:tc>
          <w:tcPr>
            <w:tcW w:w="681"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7,3</w:t>
            </w:r>
          </w:p>
        </w:tc>
        <w:tc>
          <w:tcPr>
            <w:tcW w:w="544" w:type="pct"/>
            <w:tcBorders>
              <w:top w:val="outset" w:sz="6" w:space="0" w:color="000000"/>
              <w:left w:val="outset" w:sz="6" w:space="0" w:color="000000"/>
              <w:bottom w:val="outset" w:sz="6" w:space="0" w:color="000000"/>
              <w:right w:val="outset" w:sz="6" w:space="0" w:color="000000"/>
            </w:tcBorders>
            <w:shd w:val="clear" w:color="auto" w:fill="FFFFFF" w:themeFill="background1"/>
            <w:vAlign w:val="bottom"/>
          </w:tcPr>
          <w:p w:rsidR="00683D7A" w:rsidRPr="0026440D" w:rsidRDefault="00683D7A" w:rsidP="00073A67">
            <w:pPr>
              <w:spacing w:after="0"/>
              <w:ind w:firstLine="0"/>
              <w:jc w:val="right"/>
              <w:rPr>
                <w:sz w:val="20"/>
                <w:szCs w:val="20"/>
              </w:rPr>
            </w:pPr>
            <w:r w:rsidRPr="0026440D">
              <w:rPr>
                <w:sz w:val="20"/>
                <w:szCs w:val="20"/>
              </w:rPr>
              <w:t>91,0</w:t>
            </w:r>
          </w:p>
        </w:tc>
      </w:tr>
    </w:tbl>
    <w:p w:rsidR="00683D7A" w:rsidRPr="0026440D" w:rsidRDefault="00683D7A" w:rsidP="00683D7A">
      <w:pPr>
        <w:rPr>
          <w:rFonts w:eastAsia="Times New Roman"/>
          <w:snapToGrid w:val="0"/>
        </w:rPr>
      </w:pPr>
    </w:p>
    <w:p w:rsidR="00683D7A" w:rsidRPr="0026440D" w:rsidRDefault="00683D7A" w:rsidP="00683D7A">
      <w:pPr>
        <w:ind w:left="-567" w:firstLine="567"/>
        <w:rPr>
          <w:bCs/>
          <w:i/>
          <w:sz w:val="24"/>
        </w:rPr>
      </w:pPr>
      <w:r w:rsidRPr="0026440D">
        <w:rPr>
          <w:noProof/>
          <w:lang w:eastAsia="lv-LV"/>
        </w:rPr>
        <w:drawing>
          <wp:inline distT="0" distB="0" distL="0" distR="0" wp14:anchorId="188D6A53" wp14:editId="0434AB67">
            <wp:extent cx="5248275" cy="3762375"/>
            <wp:effectExtent l="0" t="0" r="9525"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83D7A" w:rsidRPr="0026440D" w:rsidRDefault="00EA480A" w:rsidP="00CB4759">
      <w:pPr>
        <w:ind w:firstLine="720"/>
        <w:jc w:val="center"/>
        <w:rPr>
          <w:b/>
          <w:i/>
        </w:rPr>
      </w:pPr>
      <w:r>
        <w:rPr>
          <w:b/>
          <w:i/>
        </w:rPr>
        <w:t>37</w:t>
      </w:r>
      <w:r w:rsidR="00CB4759">
        <w:rPr>
          <w:b/>
          <w:i/>
        </w:rPr>
        <w:t xml:space="preserve">.att. </w:t>
      </w:r>
      <w:r w:rsidR="00683D7A" w:rsidRPr="0026440D">
        <w:rPr>
          <w:b/>
          <w:i/>
        </w:rPr>
        <w:t>Valsts pamatbudžeta izdevumi ES fondu apguve</w:t>
      </w:r>
      <w:r w:rsidR="00CB4759">
        <w:rPr>
          <w:b/>
          <w:i/>
        </w:rPr>
        <w:t>i un pamatfunkciju finansēšanai</w:t>
      </w:r>
      <w:r w:rsidR="00683D7A" w:rsidRPr="0026440D">
        <w:rPr>
          <w:b/>
          <w:i/>
        </w:rPr>
        <w:t xml:space="preserve"> (</w:t>
      </w:r>
      <w:proofErr w:type="spellStart"/>
      <w:r w:rsidR="00683D7A" w:rsidRPr="0026440D">
        <w:rPr>
          <w:b/>
          <w:i/>
        </w:rPr>
        <w:t>milj</w:t>
      </w:r>
      <w:proofErr w:type="spellEnd"/>
      <w:r w:rsidR="00683D7A" w:rsidRPr="0026440D">
        <w:rPr>
          <w:b/>
          <w:i/>
        </w:rPr>
        <w:t>. latu)</w:t>
      </w:r>
    </w:p>
    <w:p w:rsidR="00683D7A" w:rsidRPr="0026440D" w:rsidRDefault="00683D7A" w:rsidP="00683D7A">
      <w:pPr>
        <w:ind w:firstLine="720"/>
      </w:pPr>
      <w:r w:rsidRPr="0026440D">
        <w:lastRenderedPageBreak/>
        <w:t xml:space="preserve">Tendence, ka gada beigās pieaug izdevumu apjoms ES politiku instrumentu un pārējās ārvalstu finanšu palīdzības līdzfinansēto un finansēto projektu un pasākumu īstenošanai bija vērojama jau iepriekšējos gados. Attēlā redzams, ka 2011.gadā decembrī izdevumi ES fondu apguvei bija 224 </w:t>
      </w:r>
      <w:proofErr w:type="spellStart"/>
      <w:r w:rsidRPr="0026440D">
        <w:t>milj</w:t>
      </w:r>
      <w:proofErr w:type="spellEnd"/>
      <w:r w:rsidRPr="0026440D">
        <w:t>. latu, kas būtiski pārsniedza izdevumus citos mēnešos. Savukārt, gan 2011.gada gan 2012.gada pirmajā ceturksnī šie izdevumi ir aptuveni līdzīgā apjomā.</w:t>
      </w:r>
    </w:p>
    <w:p w:rsidR="00DC6665" w:rsidRDefault="00DC6665" w:rsidP="006A276C">
      <w:pPr>
        <w:rPr>
          <w:rFonts w:cs="Times New Roman"/>
          <w:snapToGrid w:val="0"/>
        </w:rPr>
      </w:pPr>
    </w:p>
    <w:p w:rsidR="00CC20F5" w:rsidRPr="00E03FA7" w:rsidRDefault="00B55D5C" w:rsidP="00E03FA7">
      <w:pPr>
        <w:pStyle w:val="Heading2"/>
        <w:spacing w:after="120"/>
        <w:rPr>
          <w:rFonts w:cs="Times New Roman"/>
          <w:szCs w:val="36"/>
        </w:rPr>
      </w:pPr>
      <w:bookmarkStart w:id="94" w:name="_Toc325101930"/>
      <w:bookmarkEnd w:id="79"/>
      <w:bookmarkEnd w:id="80"/>
      <w:r>
        <w:rPr>
          <w:rFonts w:cs="Times New Roman"/>
          <w:szCs w:val="36"/>
        </w:rPr>
        <w:t>2.5</w:t>
      </w:r>
      <w:r w:rsidR="00CC20F5" w:rsidRPr="003927D1">
        <w:rPr>
          <w:rFonts w:cs="Times New Roman"/>
          <w:szCs w:val="36"/>
        </w:rPr>
        <w:t xml:space="preserve">. </w:t>
      </w:r>
      <w:bookmarkStart w:id="95" w:name="_Toc262026564"/>
      <w:bookmarkStart w:id="96" w:name="_Toc293496377"/>
      <w:r w:rsidR="00CC20F5" w:rsidRPr="003927D1">
        <w:rPr>
          <w:rFonts w:cs="Times New Roman"/>
          <w:szCs w:val="36"/>
        </w:rPr>
        <w:t>Pašvaldību budžeta izpilde</w:t>
      </w:r>
      <w:bookmarkEnd w:id="94"/>
      <w:bookmarkEnd w:id="95"/>
      <w:bookmarkEnd w:id="96"/>
    </w:p>
    <w:p w:rsidR="00CC20F5" w:rsidRDefault="00CC20F5" w:rsidP="00E03FA7">
      <w:pPr>
        <w:pStyle w:val="T"/>
        <w:ind w:firstLine="709"/>
        <w:jc w:val="both"/>
        <w:rPr>
          <w:rFonts w:cs="Times New Roman"/>
          <w:b w:val="0"/>
          <w:i w:val="0"/>
        </w:rPr>
      </w:pPr>
      <w:r>
        <w:rPr>
          <w:rFonts w:cs="Times New Roman"/>
          <w:b w:val="0"/>
          <w:i w:val="0"/>
        </w:rPr>
        <w:t>Labvēlīga ekonomiskā situācija 2012. gada pirmajā ceturksnī sekmēja pašvaldību konsolidētajā budžeta</w:t>
      </w:r>
      <w:r w:rsidRPr="00A714C9">
        <w:rPr>
          <w:rFonts w:cs="Times New Roman"/>
          <w:b w:val="0"/>
          <w:i w:val="0"/>
        </w:rPr>
        <w:t xml:space="preserve"> </w:t>
      </w:r>
      <w:r>
        <w:rPr>
          <w:rFonts w:cs="Times New Roman"/>
          <w:b w:val="0"/>
          <w:i w:val="0"/>
        </w:rPr>
        <w:t>(</w:t>
      </w:r>
      <w:r w:rsidRPr="00A714C9">
        <w:rPr>
          <w:rFonts w:cs="Times New Roman"/>
          <w:b w:val="0"/>
          <w:i w:val="0"/>
        </w:rPr>
        <w:t>ieskaitot ziedojumus un dāvinājumus</w:t>
      </w:r>
      <w:r>
        <w:rPr>
          <w:rFonts w:cs="Times New Roman"/>
          <w:b w:val="0"/>
          <w:i w:val="0"/>
        </w:rPr>
        <w:t>)</w:t>
      </w:r>
      <w:r w:rsidRPr="00A714C9">
        <w:rPr>
          <w:rFonts w:cs="Times New Roman"/>
          <w:b w:val="0"/>
          <w:i w:val="0"/>
        </w:rPr>
        <w:t xml:space="preserve"> </w:t>
      </w:r>
      <w:r>
        <w:rPr>
          <w:rFonts w:cs="Times New Roman"/>
          <w:b w:val="0"/>
          <w:i w:val="0"/>
        </w:rPr>
        <w:t>ieņēmumu</w:t>
      </w:r>
      <w:r w:rsidRPr="006C3EB7">
        <w:rPr>
          <w:rFonts w:cs="Times New Roman"/>
          <w:b w:val="0"/>
          <w:i w:val="0"/>
        </w:rPr>
        <w:t xml:space="preserve"> </w:t>
      </w:r>
      <w:r>
        <w:rPr>
          <w:rFonts w:cs="Times New Roman"/>
          <w:b w:val="0"/>
          <w:i w:val="0"/>
        </w:rPr>
        <w:t xml:space="preserve">pieaugumu, kā ietekmē </w:t>
      </w:r>
      <w:r w:rsidRPr="007E1419">
        <w:rPr>
          <w:rFonts w:cs="Times New Roman"/>
          <w:b w:val="0"/>
          <w:i w:val="0"/>
        </w:rPr>
        <w:t>izveidojās pārpalikums 64,6 milj. latu apmērā,</w:t>
      </w:r>
      <w:r w:rsidRPr="007E1419">
        <w:t xml:space="preserve"> </w:t>
      </w:r>
      <w:r w:rsidRPr="007E1419">
        <w:rPr>
          <w:rFonts w:cs="Times New Roman"/>
          <w:b w:val="0"/>
          <w:i w:val="0"/>
        </w:rPr>
        <w:t>kas, salīdzinot ar 2011. gada atbilstošo period</w:t>
      </w:r>
      <w:r>
        <w:rPr>
          <w:rFonts w:cs="Times New Roman"/>
          <w:b w:val="0"/>
          <w:i w:val="0"/>
        </w:rPr>
        <w:t>u, pieauga par 19,6 milj. latu.</w:t>
      </w:r>
    </w:p>
    <w:p w:rsidR="00CC20F5" w:rsidRDefault="00CC20F5" w:rsidP="00CC20F5">
      <w:pPr>
        <w:pStyle w:val="T"/>
        <w:ind w:firstLine="709"/>
        <w:jc w:val="both"/>
        <w:rPr>
          <w:rFonts w:cs="Times New Roman"/>
          <w:b w:val="0"/>
          <w:i w:val="0"/>
        </w:rPr>
      </w:pPr>
      <w:r w:rsidRPr="002601CB">
        <w:rPr>
          <w:rFonts w:cs="Times New Roman"/>
          <w:b w:val="0"/>
          <w:i w:val="0"/>
        </w:rPr>
        <w:t xml:space="preserve">Pašvaldību konsolidētā budžeta ieņēmumi palielinājās galvenokārt uz iedzīvotāju ienākuma nodokļa ieņēmumu pieauguma rēķina. Pozitīvās izmaiņas skaidrojamas ar darba samaksas, kā arī citu ar iedzīvotāju ienākuma nodokli apliekamo ienākumu palielināšanos. </w:t>
      </w:r>
    </w:p>
    <w:p w:rsidR="00CC20F5" w:rsidRDefault="00CC20F5" w:rsidP="00CC20F5">
      <w:pPr>
        <w:pStyle w:val="T"/>
        <w:ind w:firstLine="709"/>
        <w:jc w:val="both"/>
        <w:rPr>
          <w:rFonts w:cs="Times New Roman"/>
          <w:b w:val="0"/>
          <w:i w:val="0"/>
        </w:rPr>
      </w:pPr>
      <w:r w:rsidRPr="00A714C9">
        <w:rPr>
          <w:rFonts w:cs="Times New Roman"/>
          <w:b w:val="0"/>
          <w:i w:val="0"/>
        </w:rPr>
        <w:t xml:space="preserve">Lielākais pārpalikums izveidojās Rīgas pilsētas pamatbudžetā un tas </w:t>
      </w:r>
      <w:r>
        <w:rPr>
          <w:rFonts w:cs="Times New Roman"/>
          <w:b w:val="0"/>
          <w:i w:val="0"/>
        </w:rPr>
        <w:t>bija 20,4 milj. latu, kas ir par 16,5 milj. </w:t>
      </w:r>
      <w:r w:rsidRPr="00A714C9">
        <w:rPr>
          <w:rFonts w:cs="Times New Roman"/>
          <w:b w:val="0"/>
          <w:i w:val="0"/>
        </w:rPr>
        <w:t>latu vairāk nekā 2011.</w:t>
      </w:r>
      <w:r>
        <w:rPr>
          <w:rFonts w:cs="Times New Roman"/>
          <w:b w:val="0"/>
          <w:i w:val="0"/>
        </w:rPr>
        <w:t> </w:t>
      </w:r>
      <w:r w:rsidRPr="00A714C9">
        <w:rPr>
          <w:rFonts w:cs="Times New Roman"/>
          <w:b w:val="0"/>
          <w:i w:val="0"/>
        </w:rPr>
        <w:t xml:space="preserve">gada </w:t>
      </w:r>
      <w:r>
        <w:rPr>
          <w:rFonts w:cs="Times New Roman"/>
          <w:b w:val="0"/>
          <w:i w:val="0"/>
        </w:rPr>
        <w:t>pirmajā ceturksnī</w:t>
      </w:r>
      <w:r w:rsidRPr="00A714C9">
        <w:rPr>
          <w:rFonts w:cs="Times New Roman"/>
          <w:b w:val="0"/>
          <w:i w:val="0"/>
        </w:rPr>
        <w:t>. Tāpat jāatzīmē, ka pašvaldību naudas līdzekļu un noguldījumu a</w:t>
      </w:r>
      <w:r>
        <w:rPr>
          <w:rFonts w:cs="Times New Roman"/>
          <w:b w:val="0"/>
          <w:i w:val="0"/>
        </w:rPr>
        <w:t>tlikums marta beigās bija 286,2 milj. </w:t>
      </w:r>
      <w:r w:rsidRPr="00A714C9">
        <w:rPr>
          <w:rFonts w:cs="Times New Roman"/>
          <w:b w:val="0"/>
          <w:i w:val="0"/>
        </w:rPr>
        <w:t>latu un kopš šā gada s</w:t>
      </w:r>
      <w:r>
        <w:rPr>
          <w:rFonts w:cs="Times New Roman"/>
          <w:b w:val="0"/>
          <w:i w:val="0"/>
        </w:rPr>
        <w:t>ākuma tas palielinājās par 28,4 milj. </w:t>
      </w:r>
      <w:r w:rsidRPr="00A714C9">
        <w:rPr>
          <w:rFonts w:cs="Times New Roman"/>
          <w:b w:val="0"/>
          <w:i w:val="0"/>
        </w:rPr>
        <w:t>latu.</w:t>
      </w:r>
    </w:p>
    <w:p w:rsidR="00CC20F5" w:rsidRPr="003927D1" w:rsidRDefault="00CC20F5" w:rsidP="00CC20F5">
      <w:pPr>
        <w:pStyle w:val="FootnoteText"/>
        <w:spacing w:before="240"/>
        <w:jc w:val="left"/>
        <w:rPr>
          <w:rFonts w:cs="Times New Roman"/>
          <w:sz w:val="18"/>
        </w:rPr>
      </w:pPr>
      <w:r w:rsidRPr="007E1419">
        <w:rPr>
          <w:noProof/>
          <w:lang w:eastAsia="lv-LV"/>
        </w:rPr>
        <w:drawing>
          <wp:inline distT="0" distB="0" distL="0" distR="0" wp14:anchorId="4E0628EA" wp14:editId="5D5C8188">
            <wp:extent cx="5142586" cy="271241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0">
                      <a:extLst>
                        <a:ext uri="{28A0092B-C50C-407E-A947-70E740481C1C}">
                          <a14:useLocalDpi xmlns:a14="http://schemas.microsoft.com/office/drawing/2010/main" val="0"/>
                        </a:ext>
                      </a:extLst>
                    </a:blip>
                    <a:srcRect l="1388" t="1061" r="972" b="20171"/>
                    <a:stretch/>
                  </pic:blipFill>
                  <pic:spPr bwMode="auto">
                    <a:xfrm>
                      <a:off x="0" y="0"/>
                      <a:ext cx="5149778" cy="2716208"/>
                    </a:xfrm>
                    <a:prstGeom prst="rect">
                      <a:avLst/>
                    </a:prstGeom>
                    <a:noFill/>
                    <a:ln>
                      <a:noFill/>
                    </a:ln>
                    <a:extLst>
                      <a:ext uri="{53640926-AAD7-44D8-BBD7-CCE9431645EC}">
                        <a14:shadowObscured xmlns:a14="http://schemas.microsoft.com/office/drawing/2010/main"/>
                      </a:ext>
                    </a:extLst>
                  </pic:spPr>
                </pic:pic>
              </a:graphicData>
            </a:graphic>
          </wp:inline>
        </w:drawing>
      </w:r>
    </w:p>
    <w:p w:rsidR="00CC20F5" w:rsidRPr="00CB4759" w:rsidRDefault="00EA480A" w:rsidP="00CB4759">
      <w:pPr>
        <w:pStyle w:val="Z"/>
        <w:rPr>
          <w:rFonts w:cs="Times New Roman"/>
        </w:rPr>
      </w:pPr>
      <w:r w:rsidRPr="00EA480A">
        <w:rPr>
          <w:rFonts w:cs="Times New Roman"/>
        </w:rPr>
        <w:t>3</w:t>
      </w:r>
      <w:r>
        <w:rPr>
          <w:rFonts w:cs="Times New Roman"/>
        </w:rPr>
        <w:t>8</w:t>
      </w:r>
      <w:r w:rsidR="00CC20F5" w:rsidRPr="00CB4759">
        <w:rPr>
          <w:rFonts w:cs="Times New Roman"/>
        </w:rPr>
        <w:t xml:space="preserve">. att. Pašvaldību konsolidētā budžeta finansiālie rādītāji, </w:t>
      </w:r>
      <w:proofErr w:type="spellStart"/>
      <w:r w:rsidR="00CC20F5" w:rsidRPr="00CB4759">
        <w:rPr>
          <w:rFonts w:cs="Times New Roman"/>
        </w:rPr>
        <w:t>milj</w:t>
      </w:r>
      <w:proofErr w:type="spellEnd"/>
      <w:r w:rsidR="00CC20F5" w:rsidRPr="00CB4759">
        <w:rPr>
          <w:rFonts w:cs="Times New Roman"/>
        </w:rPr>
        <w:t>. latu</w:t>
      </w:r>
    </w:p>
    <w:p w:rsidR="00CC20F5" w:rsidRDefault="00CC20F5" w:rsidP="00CC20F5">
      <w:pPr>
        <w:rPr>
          <w:rFonts w:cs="Times New Roman"/>
        </w:rPr>
      </w:pPr>
      <w:r w:rsidRPr="00120F50">
        <w:rPr>
          <w:rFonts w:cs="Times New Roman"/>
        </w:rPr>
        <w:t xml:space="preserve">2012. gada pirmajā ceturksnī pašvaldību konsolidētā budžeta ieņēmumi </w:t>
      </w:r>
      <w:r w:rsidRPr="00801486">
        <w:rPr>
          <w:rFonts w:cs="Times New Roman"/>
        </w:rPr>
        <w:t>bija</w:t>
      </w:r>
      <w:r w:rsidR="00801486" w:rsidRPr="00801486">
        <w:rPr>
          <w:rFonts w:cs="Times New Roman"/>
        </w:rPr>
        <w:t xml:space="preserve"> </w:t>
      </w:r>
      <w:r w:rsidR="00801486" w:rsidRPr="00801486">
        <w:t xml:space="preserve">338,5 </w:t>
      </w:r>
      <w:proofErr w:type="spellStart"/>
      <w:r w:rsidR="00801486" w:rsidRPr="00801486">
        <w:t>milj</w:t>
      </w:r>
      <w:proofErr w:type="spellEnd"/>
      <w:r w:rsidR="00801486" w:rsidRPr="00801486">
        <w:t>. latu</w:t>
      </w:r>
      <w:r w:rsidRPr="00801486">
        <w:rPr>
          <w:rFonts w:cs="Times New Roman"/>
        </w:rPr>
        <w:t xml:space="preserve">, </w:t>
      </w:r>
      <w:r w:rsidRPr="00120F50">
        <w:rPr>
          <w:rFonts w:cs="Times New Roman"/>
        </w:rPr>
        <w:t xml:space="preserve">kas salīdzinājumā ar 2011. gada pirmo ceturksni pieauga par 19,1 milj. latu jeb 6,0 procentiem. Lielāko ieņēmumu palielinājumu </w:t>
      </w:r>
      <w:r w:rsidRPr="00120F50">
        <w:rPr>
          <w:rFonts w:cs="Times New Roman"/>
        </w:rPr>
        <w:lastRenderedPageBreak/>
        <w:t>nodrošināja nodokļu ieņēmumi, kas pieauga</w:t>
      </w:r>
      <w:r>
        <w:rPr>
          <w:rFonts w:cs="Times New Roman"/>
        </w:rPr>
        <w:t xml:space="preserve"> par 14,0 </w:t>
      </w:r>
      <w:r w:rsidRPr="007D00DC">
        <w:rPr>
          <w:rFonts w:cs="Times New Roman"/>
        </w:rPr>
        <w:t>milj.</w:t>
      </w:r>
      <w:r>
        <w:rPr>
          <w:rFonts w:cs="Times New Roman"/>
        </w:rPr>
        <w:t> latu jeb 7,4</w:t>
      </w:r>
      <w:r w:rsidRPr="007D00DC">
        <w:rPr>
          <w:rFonts w:cs="Times New Roman"/>
        </w:rPr>
        <w:t>%</w:t>
      </w:r>
      <w:r>
        <w:rPr>
          <w:rFonts w:cs="Times New Roman"/>
        </w:rPr>
        <w:t xml:space="preserve"> un kopā veidoja 203,1 milj. latu</w:t>
      </w:r>
      <w:r w:rsidRPr="007D00DC">
        <w:rPr>
          <w:rFonts w:cs="Times New Roman"/>
        </w:rPr>
        <w:t xml:space="preserve">. </w:t>
      </w:r>
    </w:p>
    <w:p w:rsidR="00CC20F5" w:rsidRPr="00C72659" w:rsidRDefault="00CC20F5" w:rsidP="00CC20F5">
      <w:pPr>
        <w:rPr>
          <w:rFonts w:cs="Times New Roman"/>
        </w:rPr>
      </w:pPr>
      <w:r w:rsidRPr="007D00DC">
        <w:rPr>
          <w:rFonts w:cs="Times New Roman"/>
        </w:rPr>
        <w:t xml:space="preserve">Iedzīvotāju ienākuma nodokļa ieņēmumi </w:t>
      </w:r>
      <w:r>
        <w:rPr>
          <w:rFonts w:cs="Times New Roman"/>
        </w:rPr>
        <w:t>pieauga par 15,2 milj. </w:t>
      </w:r>
      <w:r w:rsidRPr="007D00DC">
        <w:rPr>
          <w:rFonts w:cs="Times New Roman"/>
        </w:rPr>
        <w:t>latu jeb 10,</w:t>
      </w:r>
      <w:r>
        <w:rPr>
          <w:rFonts w:cs="Times New Roman"/>
        </w:rPr>
        <w:t>1</w:t>
      </w:r>
      <w:r w:rsidRPr="007D00DC">
        <w:rPr>
          <w:rFonts w:cs="Times New Roman"/>
        </w:rPr>
        <w:t>%. Ieņēmumu pieaugums saistīts ar nodarbināto personu ienākumu un nodokļu maksātāju skaita pieaugumu.</w:t>
      </w:r>
      <w:r w:rsidRPr="00D437C2">
        <w:t xml:space="preserve"> </w:t>
      </w:r>
      <w:r w:rsidRPr="001E4AD6">
        <w:t xml:space="preserve">Savukārt, nekustamā īpašuma nodokļa ieņēmumi </w:t>
      </w:r>
      <w:r>
        <w:t>samazinājās par 2,0 milj. latu jeb 5</w:t>
      </w:r>
      <w:r w:rsidRPr="001E4AD6">
        <w:t xml:space="preserve">,4%, salīdzinot ar 2011. gada </w:t>
      </w:r>
      <w:r>
        <w:t>pirmo ceturksni</w:t>
      </w:r>
      <w:r w:rsidRPr="001E4AD6">
        <w:t>.</w:t>
      </w:r>
      <w:r>
        <w:t xml:space="preserve"> N</w:t>
      </w:r>
      <w:r w:rsidRPr="001E4AD6">
        <w:t xml:space="preserve">ekustamā īpašuma nodokļa ieņēmumus </w:t>
      </w:r>
      <w:r>
        <w:t xml:space="preserve">ietekmēja </w:t>
      </w:r>
      <w:r w:rsidRPr="001E4AD6">
        <w:t>pieņemtie norm</w:t>
      </w:r>
      <w:r>
        <w:t>atīvo aktu grozījumi, kas 2012. </w:t>
      </w:r>
      <w:r w:rsidRPr="001E4AD6">
        <w:t>gadā pašvaldībām dod iespēju pašām noteikt piemērošanas nosacījumus pieauguma ierobežojuma apmēram attiecībā uz nekustamā īpašuma nodokli par zemi.</w:t>
      </w:r>
    </w:p>
    <w:p w:rsidR="00CC20F5" w:rsidRPr="00120F50" w:rsidRDefault="00CC20F5" w:rsidP="00CC20F5">
      <w:pPr>
        <w:rPr>
          <w:rFonts w:cs="Times New Roman"/>
        </w:rPr>
      </w:pPr>
      <w:r>
        <w:rPr>
          <w:rFonts w:cs="Times New Roman"/>
        </w:rPr>
        <w:t xml:space="preserve">Pašvaldību </w:t>
      </w:r>
      <w:r w:rsidRPr="00120F50">
        <w:rPr>
          <w:rFonts w:cs="Times New Roman"/>
        </w:rPr>
        <w:t xml:space="preserve">budžeta nenodokļu ieņēmumi 2012. gada pirmajā ceturksnī </w:t>
      </w:r>
      <w:r>
        <w:rPr>
          <w:rFonts w:cs="Times New Roman"/>
        </w:rPr>
        <w:t>bija 7,4</w:t>
      </w:r>
      <w:r w:rsidRPr="00120F50">
        <w:rPr>
          <w:rFonts w:cs="Times New Roman"/>
        </w:rPr>
        <w:t xml:space="preserve"> milj. latu un salīdzinājumā ar </w:t>
      </w:r>
      <w:r>
        <w:rPr>
          <w:rFonts w:cs="Times New Roman"/>
        </w:rPr>
        <w:t>pagājušā gada atbilstošo periodu</w:t>
      </w:r>
      <w:r w:rsidRPr="00120F50">
        <w:rPr>
          <w:rFonts w:cs="Times New Roman"/>
        </w:rPr>
        <w:t xml:space="preserve"> </w:t>
      </w:r>
      <w:r>
        <w:rPr>
          <w:rFonts w:cs="Times New Roman"/>
        </w:rPr>
        <w:t>pieauga</w:t>
      </w:r>
      <w:r w:rsidRPr="00120F50">
        <w:rPr>
          <w:rFonts w:cs="Times New Roman"/>
        </w:rPr>
        <w:t xml:space="preserve"> par 0,</w:t>
      </w:r>
      <w:r>
        <w:rPr>
          <w:rFonts w:cs="Times New Roman"/>
        </w:rPr>
        <w:t>4 milj. latu jeb 5,7</w:t>
      </w:r>
      <w:r w:rsidRPr="00120F50">
        <w:rPr>
          <w:rFonts w:cs="Times New Roman"/>
        </w:rPr>
        <w:t xml:space="preserve">%, savukārt, ieņēmumi no ārvalstu finanšu palīdzības veidoja 0,6 milj. latu, kas salīdzinājumā ar 2011. gada pirmo ceturksni </w:t>
      </w:r>
      <w:r>
        <w:rPr>
          <w:rFonts w:cs="Times New Roman"/>
        </w:rPr>
        <w:t>pieauga par</w:t>
      </w:r>
      <w:r w:rsidRPr="00120F50">
        <w:rPr>
          <w:rFonts w:cs="Times New Roman"/>
        </w:rPr>
        <w:t xml:space="preserve"> 0,5 milj</w:t>
      </w:r>
      <w:r>
        <w:rPr>
          <w:rFonts w:cs="Times New Roman"/>
        </w:rPr>
        <w:t xml:space="preserve">. latiem. Pašvaldību </w:t>
      </w:r>
      <w:r w:rsidRPr="00120F50">
        <w:rPr>
          <w:rFonts w:cs="Times New Roman"/>
        </w:rPr>
        <w:t xml:space="preserve">budžeta ieņēmumi no maksājumiem par budžeta iestāžu sniegtajiem maksas pakalpojumiem </w:t>
      </w:r>
      <w:r>
        <w:rPr>
          <w:rFonts w:cs="Times New Roman"/>
        </w:rPr>
        <w:t>bija 24,5</w:t>
      </w:r>
      <w:r w:rsidRPr="00120F50">
        <w:rPr>
          <w:rFonts w:cs="Times New Roman"/>
        </w:rPr>
        <w:t> milj. latu, kas salīdzinājumā a</w:t>
      </w:r>
      <w:r>
        <w:rPr>
          <w:rFonts w:cs="Times New Roman"/>
        </w:rPr>
        <w:t>r 2011. gada pirmo ceturksni palielinājās par 2,1 milj. latu jeb 9,4</w:t>
      </w:r>
      <w:r w:rsidRPr="00120F50">
        <w:rPr>
          <w:rFonts w:cs="Times New Roman"/>
        </w:rPr>
        <w:t xml:space="preserve"> procentiem. </w:t>
      </w:r>
    </w:p>
    <w:p w:rsidR="00CC20F5" w:rsidRPr="00120F50" w:rsidRDefault="00CC20F5" w:rsidP="00CC20F5">
      <w:pPr>
        <w:rPr>
          <w:rFonts w:cs="Times New Roman"/>
        </w:rPr>
      </w:pPr>
      <w:r w:rsidRPr="00120F50">
        <w:rPr>
          <w:rFonts w:cs="Times New Roman"/>
        </w:rPr>
        <w:t>Pašvaldību konsolidētā budžeta izdevumi</w:t>
      </w:r>
      <w:r>
        <w:rPr>
          <w:rFonts w:cs="Times New Roman"/>
        </w:rPr>
        <w:t xml:space="preserve"> (</w:t>
      </w:r>
      <w:r w:rsidRPr="00F70139">
        <w:rPr>
          <w:rFonts w:cs="Times New Roman"/>
        </w:rPr>
        <w:t>273</w:t>
      </w:r>
      <w:r>
        <w:rPr>
          <w:rFonts w:cs="Times New Roman"/>
        </w:rPr>
        <w:t>,8 milj. </w:t>
      </w:r>
      <w:r w:rsidRPr="00F70139">
        <w:rPr>
          <w:rFonts w:cs="Times New Roman"/>
        </w:rPr>
        <w:t>latu</w:t>
      </w:r>
      <w:r>
        <w:rPr>
          <w:rFonts w:cs="Times New Roman"/>
        </w:rPr>
        <w:t>)</w:t>
      </w:r>
      <w:r w:rsidRPr="00120F50">
        <w:rPr>
          <w:rFonts w:cs="Times New Roman"/>
        </w:rPr>
        <w:t xml:space="preserve"> 2012. gada </w:t>
      </w:r>
      <w:r>
        <w:rPr>
          <w:rFonts w:cs="Times New Roman"/>
        </w:rPr>
        <w:t xml:space="preserve">pirmajā ceturksnī, salīdzinot ar pagājušā </w:t>
      </w:r>
      <w:r w:rsidRPr="00120F50">
        <w:rPr>
          <w:rFonts w:cs="Times New Roman"/>
        </w:rPr>
        <w:t xml:space="preserve">gada </w:t>
      </w:r>
      <w:r>
        <w:rPr>
          <w:rFonts w:cs="Times New Roman"/>
        </w:rPr>
        <w:t>atbilstošo periodu, pieauga nebūtiski - par 0,6 milj. latu jeb 0,2 procentiem.</w:t>
      </w:r>
      <w:r w:rsidRPr="00120F50">
        <w:rPr>
          <w:rFonts w:cs="Times New Roman"/>
        </w:rPr>
        <w:t xml:space="preserve"> Taču jāatzīmē, ka bija vērojamas </w:t>
      </w:r>
      <w:r>
        <w:rPr>
          <w:rFonts w:cs="Times New Roman"/>
        </w:rPr>
        <w:t>izmaiņas izdevumu pozīcijās salīdzinājumā ar pagājušā gada pirmo ceturksni -</w:t>
      </w:r>
      <w:r w:rsidRPr="00120F50">
        <w:rPr>
          <w:rFonts w:cs="Times New Roman"/>
        </w:rPr>
        <w:t xml:space="preserve"> pieauga izdevumi atalgojumam</w:t>
      </w:r>
      <w:r>
        <w:rPr>
          <w:rFonts w:cs="Times New Roman"/>
        </w:rPr>
        <w:t xml:space="preserve"> par 1,6 milj. latu jeb 1,8%, tāpat pieauga arī kapitālie</w:t>
      </w:r>
      <w:r w:rsidRPr="00120F50">
        <w:rPr>
          <w:rFonts w:cs="Times New Roman"/>
        </w:rPr>
        <w:t xml:space="preserve"> izdevumi</w:t>
      </w:r>
      <w:r>
        <w:rPr>
          <w:rFonts w:cs="Times New Roman"/>
        </w:rPr>
        <w:t xml:space="preserve"> – par 2,2 milj. latu jeb 6,1 procentu. Savukārt </w:t>
      </w:r>
      <w:r w:rsidRPr="00120F50">
        <w:rPr>
          <w:rFonts w:cs="Times New Roman"/>
        </w:rPr>
        <w:t>samazinājās izdevumi sociālajiem pabalstiem</w:t>
      </w:r>
      <w:r>
        <w:rPr>
          <w:rFonts w:cs="Times New Roman"/>
        </w:rPr>
        <w:t xml:space="preserve"> par 5,1 milj. latu jeb 20,4%</w:t>
      </w:r>
      <w:r w:rsidRPr="00120F50">
        <w:rPr>
          <w:rFonts w:cs="Times New Roman"/>
        </w:rPr>
        <w:t>, kas ietver gan dzīvokļa pabalstu, gan garantētā minimāla ienākuma un pārējos pabalstus. Ņemot vērā sociālo pabalstu saņēmēju skaita izmaiņas, šīs pozīcijas izdevumiem, sākot ar 2011. gada augustu salīdzinājumā ar iepriekšējā gada atbilstošo periodu, ir vērojama tendence samazināties.</w:t>
      </w:r>
    </w:p>
    <w:p w:rsidR="0076205E" w:rsidRDefault="0076205E" w:rsidP="0076205E">
      <w:pPr>
        <w:ind w:right="43"/>
      </w:pPr>
      <w:r w:rsidRPr="00AC3E78">
        <w:t xml:space="preserve">Mērķdotācijas pašvaldībām izlietotie līdzekļi 2012. gada pirmajā ceturksnī ir </w:t>
      </w:r>
      <w:r w:rsidR="000E7B3F" w:rsidRPr="00AC3E78">
        <w:t>51</w:t>
      </w:r>
      <w:r w:rsidR="000E7B3F">
        <w:t>,</w:t>
      </w:r>
      <w:r w:rsidR="000E7B3F" w:rsidRPr="00AC3E78">
        <w:t>9</w:t>
      </w:r>
      <w:r w:rsidR="000E7B3F">
        <w:t xml:space="preserve"> </w:t>
      </w:r>
      <w:proofErr w:type="spellStart"/>
      <w:r w:rsidR="000E7B3F">
        <w:t>milj</w:t>
      </w:r>
      <w:proofErr w:type="spellEnd"/>
      <w:r w:rsidR="000E7B3F">
        <w:t>. latu</w:t>
      </w:r>
      <w:r w:rsidR="000E7B3F" w:rsidRPr="00AC3E78" w:rsidDel="000E7B3F">
        <w:t xml:space="preserve"> </w:t>
      </w:r>
      <w:r w:rsidRPr="00AC3E78">
        <w:t xml:space="preserve">jeb 100,0% apmērā no pārskata periodā plānotā. Salīdzinot ar 2011. gada atbilstošo periodu, to apjoms ir samazinājies par </w:t>
      </w:r>
      <w:r w:rsidR="000E7B3F" w:rsidRPr="00AC3E78">
        <w:t>3</w:t>
      </w:r>
      <w:r w:rsidR="000E7B3F">
        <w:t>,5 milj. </w:t>
      </w:r>
      <w:r w:rsidRPr="00AC3E78">
        <w:t>latu jeb 6,2%, ko ietekmēja mērķdotāciju apjoma korekcija no 2011.gada 1.septembra saistībā ar skolēnu skaita un plūsmas izmaiņām, kā arī tika veikta finansējuma pārdale uz Izglītības un zinātnes ministrijas budžeta apakšprogrammām.</w:t>
      </w:r>
    </w:p>
    <w:p w:rsidR="00CC20F5" w:rsidRPr="00F67BDF" w:rsidRDefault="0076205E" w:rsidP="00F67BDF">
      <w:pPr>
        <w:spacing w:after="0"/>
        <w:ind w:right="43"/>
      </w:pPr>
      <w:r w:rsidRPr="00C4466C">
        <w:t xml:space="preserve">Dotācijas pašvaldībām izlietotie līdzekļi 2012. gada pirmajā ceturksnī ir </w:t>
      </w:r>
      <w:r w:rsidR="000E7B3F" w:rsidRPr="00C4466C">
        <w:t>3</w:t>
      </w:r>
      <w:r w:rsidR="000E7B3F">
        <w:t>,9 milj. </w:t>
      </w:r>
      <w:r w:rsidRPr="00C4466C">
        <w:t xml:space="preserve">latu jeb 99,9% apmērā no pārskata periodā plānotā. Salīdzinot ar 2011. gada atbilstošo periodu, to apjoms ir samazinājies par 3,0 </w:t>
      </w:r>
      <w:proofErr w:type="spellStart"/>
      <w:r w:rsidRPr="00C4466C">
        <w:t>tūkst</w:t>
      </w:r>
      <w:proofErr w:type="spellEnd"/>
      <w:r w:rsidRPr="00C4466C">
        <w:t xml:space="preserve">. latu jeb 0,1%, ko ietekmēja sociālās aprūpes iestādēs līdz 1998.gada 1.janvārim ievietoto personu skaita samazināšanās. </w:t>
      </w:r>
    </w:p>
    <w:p w:rsidR="00AB33C8" w:rsidRPr="00F53D19" w:rsidRDefault="00B55D5C" w:rsidP="00F53D19">
      <w:pPr>
        <w:pStyle w:val="Heading2"/>
      </w:pPr>
      <w:bookmarkStart w:id="97" w:name="_Toc325101931"/>
      <w:r>
        <w:lastRenderedPageBreak/>
        <w:t>2.6</w:t>
      </w:r>
      <w:r w:rsidR="00AB33C8" w:rsidRPr="00F53D19">
        <w:t>. Valsts aizdevumu kopsavilkums</w:t>
      </w:r>
      <w:bookmarkEnd w:id="97"/>
    </w:p>
    <w:p w:rsidR="00AB33C8" w:rsidRDefault="00AB33C8" w:rsidP="00AB33C8">
      <w:pPr>
        <w:pStyle w:val="BodyText3"/>
        <w:ind w:firstLine="360"/>
        <w:rPr>
          <w:sz w:val="28"/>
          <w:szCs w:val="28"/>
        </w:rPr>
      </w:pPr>
      <w:r>
        <w:rPr>
          <w:sz w:val="28"/>
          <w:szCs w:val="28"/>
        </w:rPr>
        <w:t xml:space="preserve">Kopējais 2012.gadā izsniedzamo valsts aizdevumu apmērs ir noteikts 256,9 </w:t>
      </w:r>
      <w:proofErr w:type="spellStart"/>
      <w:r>
        <w:rPr>
          <w:sz w:val="28"/>
          <w:szCs w:val="28"/>
        </w:rPr>
        <w:t>milj.latu</w:t>
      </w:r>
      <w:proofErr w:type="spellEnd"/>
      <w:r>
        <w:rPr>
          <w:sz w:val="28"/>
          <w:szCs w:val="28"/>
        </w:rPr>
        <w:t xml:space="preserve"> apmērā, kas ietver gadskārtējā valsts budžeta likumā noteikto valsts aizdevumu kopējo palielinājumu 208,0 </w:t>
      </w:r>
      <w:proofErr w:type="spellStart"/>
      <w:r>
        <w:rPr>
          <w:sz w:val="28"/>
          <w:szCs w:val="28"/>
        </w:rPr>
        <w:t>milj</w:t>
      </w:r>
      <w:proofErr w:type="spellEnd"/>
      <w:r>
        <w:rPr>
          <w:sz w:val="28"/>
          <w:szCs w:val="28"/>
        </w:rPr>
        <w:t xml:space="preserve">. latu apmērā un iepriekšējos gados izsniegto valsts aizdevumu plānotās atmaksas 2012.gadā 48,9 </w:t>
      </w:r>
      <w:proofErr w:type="spellStart"/>
      <w:r>
        <w:rPr>
          <w:sz w:val="28"/>
          <w:szCs w:val="28"/>
        </w:rPr>
        <w:t>milj</w:t>
      </w:r>
      <w:proofErr w:type="spellEnd"/>
      <w:r>
        <w:rPr>
          <w:sz w:val="28"/>
          <w:szCs w:val="28"/>
        </w:rPr>
        <w:t>. latu apmērā.</w:t>
      </w:r>
    </w:p>
    <w:p w:rsidR="00AB33C8" w:rsidRDefault="00AB33C8" w:rsidP="00AB33C8">
      <w:pPr>
        <w:pStyle w:val="BodyText"/>
        <w:rPr>
          <w:b/>
          <w:sz w:val="24"/>
          <w:szCs w:val="24"/>
        </w:rPr>
      </w:pPr>
    </w:p>
    <w:p w:rsidR="00AB33C8" w:rsidRPr="00EA6657" w:rsidRDefault="00EA480A" w:rsidP="00CB4759">
      <w:pPr>
        <w:pStyle w:val="BodyText"/>
        <w:jc w:val="right"/>
        <w:rPr>
          <w:b/>
          <w:i/>
        </w:rPr>
      </w:pPr>
      <w:r>
        <w:rPr>
          <w:b/>
          <w:i/>
        </w:rPr>
        <w:t>1</w:t>
      </w:r>
      <w:r w:rsidR="008E2572">
        <w:rPr>
          <w:b/>
          <w:i/>
        </w:rPr>
        <w:t>1</w:t>
      </w:r>
      <w:r>
        <w:rPr>
          <w:b/>
          <w:i/>
        </w:rPr>
        <w:t>.</w:t>
      </w:r>
      <w:r w:rsidR="00CB4759" w:rsidRPr="00EA6657">
        <w:rPr>
          <w:b/>
          <w:i/>
        </w:rPr>
        <w:t xml:space="preserve"> tabula. </w:t>
      </w:r>
      <w:r w:rsidR="00AB33C8" w:rsidRPr="00EA6657">
        <w:rPr>
          <w:b/>
          <w:i/>
        </w:rPr>
        <w:t>Izsniegti valsts aizdevumi un veiktās valsts aizdevumu atmaksas 2012.gada I ceturksnī, latos</w:t>
      </w:r>
    </w:p>
    <w:p w:rsidR="00AB33C8" w:rsidRDefault="00AB33C8" w:rsidP="00AB33C8">
      <w:pPr>
        <w:pStyle w:val="BodyText"/>
        <w:rPr>
          <w:b/>
        </w:rPr>
      </w:pPr>
    </w:p>
    <w:tbl>
      <w:tblPr>
        <w:tblW w:w="0" w:type="auto"/>
        <w:jc w:val="center"/>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1701"/>
        <w:gridCol w:w="1842"/>
      </w:tblGrid>
      <w:tr w:rsidR="00AB33C8" w:rsidTr="00AB33C8">
        <w:trPr>
          <w:jc w:val="center"/>
        </w:trPr>
        <w:tc>
          <w:tcPr>
            <w:tcW w:w="5598" w:type="dxa"/>
            <w:tcBorders>
              <w:top w:val="single" w:sz="4" w:space="0" w:color="auto"/>
              <w:left w:val="single" w:sz="4" w:space="0" w:color="auto"/>
              <w:bottom w:val="single" w:sz="4" w:space="0" w:color="auto"/>
              <w:right w:val="single" w:sz="4" w:space="0" w:color="auto"/>
            </w:tcBorders>
            <w:vAlign w:val="center"/>
          </w:tcPr>
          <w:p w:rsidR="00AB33C8" w:rsidRDefault="00AB33C8" w:rsidP="00073A67">
            <w:pPr>
              <w:pStyle w:val="BodyText"/>
              <w:ind w:firstLine="0"/>
              <w:rPr>
                <w:b/>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AB33C8" w:rsidRDefault="00AB33C8" w:rsidP="00073A67">
            <w:pPr>
              <w:pStyle w:val="BodyText"/>
              <w:ind w:firstLine="0"/>
              <w:rPr>
                <w:b/>
                <w:sz w:val="20"/>
                <w:szCs w:val="20"/>
              </w:rPr>
            </w:pPr>
            <w:r>
              <w:rPr>
                <w:b/>
                <w:sz w:val="20"/>
                <w:szCs w:val="20"/>
              </w:rPr>
              <w:t>2012.gada plāns</w:t>
            </w:r>
          </w:p>
        </w:tc>
        <w:tc>
          <w:tcPr>
            <w:tcW w:w="1842" w:type="dxa"/>
            <w:tcBorders>
              <w:top w:val="single" w:sz="4" w:space="0" w:color="auto"/>
              <w:left w:val="single" w:sz="4" w:space="0" w:color="auto"/>
              <w:bottom w:val="single" w:sz="4" w:space="0" w:color="auto"/>
              <w:right w:val="single" w:sz="4" w:space="0" w:color="auto"/>
            </w:tcBorders>
            <w:vAlign w:val="center"/>
            <w:hideMark/>
          </w:tcPr>
          <w:p w:rsidR="00AB33C8" w:rsidRDefault="00AB33C8" w:rsidP="00073A67">
            <w:pPr>
              <w:pStyle w:val="BodyText"/>
              <w:ind w:firstLine="0"/>
              <w:rPr>
                <w:b/>
                <w:sz w:val="20"/>
                <w:szCs w:val="20"/>
              </w:rPr>
            </w:pPr>
            <w:r>
              <w:rPr>
                <w:b/>
                <w:sz w:val="20"/>
                <w:szCs w:val="20"/>
              </w:rPr>
              <w:t>Izpilde 01.01.2012.-31.03.2012.</w:t>
            </w:r>
          </w:p>
        </w:tc>
      </w:tr>
      <w:tr w:rsidR="00AB33C8" w:rsidTr="00AB33C8">
        <w:trPr>
          <w:jc w:val="center"/>
        </w:trPr>
        <w:tc>
          <w:tcPr>
            <w:tcW w:w="5598"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rPr>
                <w:b/>
                <w:sz w:val="20"/>
                <w:szCs w:val="20"/>
              </w:rPr>
            </w:pPr>
            <w:r>
              <w:rPr>
                <w:b/>
                <w:sz w:val="20"/>
                <w:szCs w:val="20"/>
              </w:rPr>
              <w:t>Izsniegtie valsts aizdevumi</w:t>
            </w:r>
          </w:p>
        </w:tc>
        <w:tc>
          <w:tcPr>
            <w:tcW w:w="1701"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b/>
                <w:sz w:val="20"/>
                <w:szCs w:val="20"/>
              </w:rPr>
            </w:pPr>
            <w:r>
              <w:rPr>
                <w:b/>
                <w:sz w:val="20"/>
                <w:szCs w:val="20"/>
              </w:rPr>
              <w:t>256 948 079</w:t>
            </w:r>
          </w:p>
        </w:tc>
        <w:tc>
          <w:tcPr>
            <w:tcW w:w="1842"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b/>
                <w:sz w:val="20"/>
                <w:szCs w:val="20"/>
              </w:rPr>
            </w:pPr>
            <w:r>
              <w:rPr>
                <w:b/>
                <w:sz w:val="20"/>
                <w:szCs w:val="20"/>
              </w:rPr>
              <w:t>9 489 929</w:t>
            </w:r>
          </w:p>
        </w:tc>
      </w:tr>
      <w:tr w:rsidR="00AB33C8" w:rsidTr="00AB33C8">
        <w:trPr>
          <w:jc w:val="center"/>
        </w:trPr>
        <w:tc>
          <w:tcPr>
            <w:tcW w:w="5598"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Valsts struktūru kontrolēti un finansēti komersanti</w:t>
            </w:r>
          </w:p>
        </w:tc>
        <w:tc>
          <w:tcPr>
            <w:tcW w:w="1701"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63 252 360</w:t>
            </w:r>
          </w:p>
        </w:tc>
        <w:tc>
          <w:tcPr>
            <w:tcW w:w="1842"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0</w:t>
            </w:r>
          </w:p>
        </w:tc>
      </w:tr>
      <w:tr w:rsidR="00AB33C8" w:rsidTr="00AB33C8">
        <w:trPr>
          <w:jc w:val="center"/>
        </w:trPr>
        <w:tc>
          <w:tcPr>
            <w:tcW w:w="5598"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No valsts budžeta daļēji finansētas atvasinātas publiskas personas, izņemot speciālās ekonomiskās zonas, ostu un brīvostu pārvaldes</w:t>
            </w:r>
          </w:p>
        </w:tc>
        <w:tc>
          <w:tcPr>
            <w:tcW w:w="1701"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19 446 808</w:t>
            </w:r>
          </w:p>
        </w:tc>
        <w:tc>
          <w:tcPr>
            <w:tcW w:w="1842"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1 051 835</w:t>
            </w:r>
          </w:p>
        </w:tc>
      </w:tr>
      <w:tr w:rsidR="00AB33C8" w:rsidTr="00AB33C8">
        <w:trPr>
          <w:jc w:val="center"/>
        </w:trPr>
        <w:tc>
          <w:tcPr>
            <w:tcW w:w="5598"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Pašvaldības</w:t>
            </w:r>
          </w:p>
        </w:tc>
        <w:tc>
          <w:tcPr>
            <w:tcW w:w="1701"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113 243 065</w:t>
            </w:r>
          </w:p>
        </w:tc>
        <w:tc>
          <w:tcPr>
            <w:tcW w:w="1842"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8 438 094</w:t>
            </w:r>
          </w:p>
        </w:tc>
      </w:tr>
      <w:tr w:rsidR="00AB33C8" w:rsidTr="00AB33C8">
        <w:trPr>
          <w:jc w:val="center"/>
        </w:trPr>
        <w:tc>
          <w:tcPr>
            <w:tcW w:w="5598"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Pie pašvaldību struktūrām ietvertās speciālās ekonomiskās zonas, ostu un brīvostu pārvaldes</w:t>
            </w:r>
          </w:p>
        </w:tc>
        <w:tc>
          <w:tcPr>
            <w:tcW w:w="1701"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5 050 971</w:t>
            </w:r>
          </w:p>
        </w:tc>
        <w:tc>
          <w:tcPr>
            <w:tcW w:w="1842"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0</w:t>
            </w:r>
          </w:p>
        </w:tc>
      </w:tr>
      <w:tr w:rsidR="00AB33C8" w:rsidTr="00AB33C8">
        <w:trPr>
          <w:jc w:val="center"/>
        </w:trPr>
        <w:tc>
          <w:tcPr>
            <w:tcW w:w="5598"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proofErr w:type="spellStart"/>
            <w:r>
              <w:rPr>
                <w:i/>
                <w:sz w:val="20"/>
                <w:szCs w:val="20"/>
              </w:rPr>
              <w:t>Nefinanšu</w:t>
            </w:r>
            <w:proofErr w:type="spellEnd"/>
            <w:r>
              <w:rPr>
                <w:i/>
                <w:sz w:val="20"/>
                <w:szCs w:val="20"/>
              </w:rPr>
              <w:t xml:space="preserve"> komersanti</w:t>
            </w:r>
          </w:p>
        </w:tc>
        <w:tc>
          <w:tcPr>
            <w:tcW w:w="1701"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47 954 875</w:t>
            </w:r>
          </w:p>
        </w:tc>
        <w:tc>
          <w:tcPr>
            <w:tcW w:w="1842"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0</w:t>
            </w:r>
          </w:p>
        </w:tc>
      </w:tr>
      <w:tr w:rsidR="00AB33C8" w:rsidTr="00AB33C8">
        <w:trPr>
          <w:jc w:val="center"/>
        </w:trPr>
        <w:tc>
          <w:tcPr>
            <w:tcW w:w="5598"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Finanšu iestādes</w:t>
            </w:r>
          </w:p>
        </w:tc>
        <w:tc>
          <w:tcPr>
            <w:tcW w:w="1701"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8 000 000</w:t>
            </w:r>
          </w:p>
        </w:tc>
        <w:tc>
          <w:tcPr>
            <w:tcW w:w="1842"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0</w:t>
            </w:r>
          </w:p>
        </w:tc>
      </w:tr>
      <w:tr w:rsidR="00AB33C8" w:rsidTr="00AB33C8">
        <w:trPr>
          <w:jc w:val="center"/>
        </w:trPr>
        <w:tc>
          <w:tcPr>
            <w:tcW w:w="5598"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rPr>
                <w:b/>
                <w:sz w:val="20"/>
                <w:szCs w:val="20"/>
              </w:rPr>
            </w:pPr>
            <w:r>
              <w:rPr>
                <w:b/>
                <w:sz w:val="20"/>
                <w:szCs w:val="20"/>
              </w:rPr>
              <w:t>Izsniegto valsts aizdevumu saņemtās atmaksas</w:t>
            </w:r>
          </w:p>
        </w:tc>
        <w:tc>
          <w:tcPr>
            <w:tcW w:w="1701"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b/>
                <w:sz w:val="20"/>
                <w:szCs w:val="20"/>
              </w:rPr>
            </w:pPr>
            <w:r>
              <w:rPr>
                <w:b/>
                <w:sz w:val="20"/>
                <w:szCs w:val="20"/>
              </w:rPr>
              <w:t>48 948 079</w:t>
            </w:r>
          </w:p>
        </w:tc>
        <w:tc>
          <w:tcPr>
            <w:tcW w:w="1842"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b/>
                <w:sz w:val="20"/>
                <w:szCs w:val="20"/>
              </w:rPr>
            </w:pPr>
            <w:r>
              <w:rPr>
                <w:b/>
                <w:sz w:val="20"/>
                <w:szCs w:val="20"/>
              </w:rPr>
              <w:t>41 910 330</w:t>
            </w:r>
          </w:p>
        </w:tc>
      </w:tr>
      <w:tr w:rsidR="00AB33C8" w:rsidTr="00AB33C8">
        <w:trPr>
          <w:jc w:val="center"/>
        </w:trPr>
        <w:tc>
          <w:tcPr>
            <w:tcW w:w="5598"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Ministrijas un centrālās valsts iestādes</w:t>
            </w:r>
          </w:p>
        </w:tc>
        <w:tc>
          <w:tcPr>
            <w:tcW w:w="1701"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2 603 640</w:t>
            </w:r>
          </w:p>
        </w:tc>
        <w:tc>
          <w:tcPr>
            <w:tcW w:w="1842"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297 352</w:t>
            </w:r>
          </w:p>
        </w:tc>
      </w:tr>
      <w:tr w:rsidR="00AB33C8" w:rsidTr="00AB33C8">
        <w:trPr>
          <w:jc w:val="center"/>
        </w:trPr>
        <w:tc>
          <w:tcPr>
            <w:tcW w:w="5598"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Valsts struktūru kontrolēti un finansēti komersanti</w:t>
            </w:r>
          </w:p>
        </w:tc>
        <w:tc>
          <w:tcPr>
            <w:tcW w:w="1701"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214 385</w:t>
            </w:r>
          </w:p>
        </w:tc>
        <w:tc>
          <w:tcPr>
            <w:tcW w:w="1842"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0</w:t>
            </w:r>
          </w:p>
        </w:tc>
      </w:tr>
      <w:tr w:rsidR="00AB33C8" w:rsidTr="00AB33C8">
        <w:trPr>
          <w:jc w:val="center"/>
        </w:trPr>
        <w:tc>
          <w:tcPr>
            <w:tcW w:w="5598"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 xml:space="preserve">Pašvaldības </w:t>
            </w:r>
          </w:p>
        </w:tc>
        <w:tc>
          <w:tcPr>
            <w:tcW w:w="1701"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37 243 065</w:t>
            </w:r>
          </w:p>
        </w:tc>
        <w:tc>
          <w:tcPr>
            <w:tcW w:w="1842"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37 384 997</w:t>
            </w:r>
          </w:p>
        </w:tc>
      </w:tr>
      <w:tr w:rsidR="00AB33C8" w:rsidTr="00AB33C8">
        <w:trPr>
          <w:jc w:val="center"/>
        </w:trPr>
        <w:tc>
          <w:tcPr>
            <w:tcW w:w="5598"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 xml:space="preserve">Pašvaldību struktūru kontrolēti un finansēti komersanti </w:t>
            </w:r>
          </w:p>
        </w:tc>
        <w:tc>
          <w:tcPr>
            <w:tcW w:w="1701"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64 384</w:t>
            </w:r>
          </w:p>
        </w:tc>
        <w:tc>
          <w:tcPr>
            <w:tcW w:w="1842"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18 576</w:t>
            </w:r>
          </w:p>
        </w:tc>
      </w:tr>
      <w:tr w:rsidR="00AB33C8" w:rsidTr="00AB33C8">
        <w:trPr>
          <w:jc w:val="center"/>
        </w:trPr>
        <w:tc>
          <w:tcPr>
            <w:tcW w:w="5598"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Pie pašvaldību struktūrām ietvertās speciālās ekonomiskās zonas, ostu un brīvostu pārvaldes</w:t>
            </w:r>
          </w:p>
        </w:tc>
        <w:tc>
          <w:tcPr>
            <w:tcW w:w="1701"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80 665</w:t>
            </w:r>
          </w:p>
        </w:tc>
        <w:tc>
          <w:tcPr>
            <w:tcW w:w="1842"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0</w:t>
            </w:r>
          </w:p>
        </w:tc>
      </w:tr>
      <w:tr w:rsidR="00AB33C8" w:rsidTr="00AB33C8">
        <w:trPr>
          <w:jc w:val="center"/>
        </w:trPr>
        <w:tc>
          <w:tcPr>
            <w:tcW w:w="5598"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proofErr w:type="spellStart"/>
            <w:r>
              <w:rPr>
                <w:i/>
                <w:sz w:val="20"/>
                <w:szCs w:val="20"/>
              </w:rPr>
              <w:t>Nefinanšu</w:t>
            </w:r>
            <w:proofErr w:type="spellEnd"/>
            <w:r>
              <w:rPr>
                <w:i/>
                <w:sz w:val="20"/>
                <w:szCs w:val="20"/>
              </w:rPr>
              <w:t xml:space="preserve"> komersanti</w:t>
            </w:r>
          </w:p>
        </w:tc>
        <w:tc>
          <w:tcPr>
            <w:tcW w:w="1701"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2 536 001</w:t>
            </w:r>
          </w:p>
        </w:tc>
        <w:tc>
          <w:tcPr>
            <w:tcW w:w="1842"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879 405</w:t>
            </w:r>
          </w:p>
        </w:tc>
      </w:tr>
      <w:tr w:rsidR="00AB33C8" w:rsidTr="00AB33C8">
        <w:trPr>
          <w:jc w:val="center"/>
        </w:trPr>
        <w:tc>
          <w:tcPr>
            <w:tcW w:w="5598"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Finanšu iestādes</w:t>
            </w:r>
          </w:p>
        </w:tc>
        <w:tc>
          <w:tcPr>
            <w:tcW w:w="1701"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6 205 939</w:t>
            </w:r>
          </w:p>
        </w:tc>
        <w:tc>
          <w:tcPr>
            <w:tcW w:w="1842" w:type="dxa"/>
            <w:tcBorders>
              <w:top w:val="single" w:sz="4" w:space="0" w:color="auto"/>
              <w:left w:val="single" w:sz="4" w:space="0" w:color="auto"/>
              <w:bottom w:val="single" w:sz="4" w:space="0" w:color="auto"/>
              <w:right w:val="single" w:sz="4" w:space="0" w:color="auto"/>
            </w:tcBorders>
            <w:hideMark/>
          </w:tcPr>
          <w:p w:rsidR="00AB33C8" w:rsidRDefault="00AB33C8" w:rsidP="00073A67">
            <w:pPr>
              <w:pStyle w:val="BodyText"/>
              <w:ind w:firstLine="0"/>
              <w:jc w:val="right"/>
              <w:rPr>
                <w:i/>
                <w:sz w:val="20"/>
                <w:szCs w:val="20"/>
              </w:rPr>
            </w:pPr>
            <w:r>
              <w:rPr>
                <w:i/>
                <w:sz w:val="20"/>
                <w:szCs w:val="20"/>
              </w:rPr>
              <w:t>3 330 000</w:t>
            </w:r>
          </w:p>
        </w:tc>
      </w:tr>
    </w:tbl>
    <w:p w:rsidR="00AB33C8" w:rsidRDefault="00AB33C8" w:rsidP="00AB33C8">
      <w:pPr>
        <w:pStyle w:val="BodyText"/>
        <w:rPr>
          <w:highlight w:val="yellow"/>
        </w:rPr>
      </w:pPr>
    </w:p>
    <w:p w:rsidR="00AB33C8" w:rsidRDefault="00AB33C8" w:rsidP="00AB33C8">
      <w:pPr>
        <w:ind w:firstLine="720"/>
      </w:pPr>
      <w:r>
        <w:rPr>
          <w:lang w:eastAsia="lv-LV"/>
        </w:rPr>
        <w:t>2012.gada I ceturksnī vislielākais valsts aizdevumu apjoms izsniegts</w:t>
      </w:r>
      <w:r>
        <w:t xml:space="preserve"> pašvaldībām – 8,4 milj. latu apmērā jeb 89% no kopējā valsts izsniegto aizdevumu apjoma I ceturksnī. Lielākā daļa valsts aizdevumu pašvaldībām tika izsniegti Eiropas Savienības līdzfinansēto projektu īstenošanai – 85% apmērā. Atlikusī daļa no izsniegtajiem aizdevumiem pašvaldībām izsniegti pašvaldību budžeta un finanšu vadībai (11%) un pašvaldību autonomo funkciju veikšanai nepieciešamā transporta iegādei (4%). 2012.gadā turpinājās valsts aizdevumu izsniegšana to pašvaldību projektu īstenošanai, par kuriem valsts aizdevumu līgumi noslēgti un projektu īstenošana uzsākta 2010. un 2011.gadā, taču </w:t>
      </w:r>
      <w:r>
        <w:lastRenderedPageBreak/>
        <w:t xml:space="preserve">finansējums projekta īstenošanai nepieciešams arī 2012.gadā projekta ieviešanas aizkavēšanās dēļ. 2012.gada I ceturksnī valsts aizdevumu atmaksas veidoja 41,9 </w:t>
      </w:r>
      <w:proofErr w:type="spellStart"/>
      <w:r>
        <w:t>milj</w:t>
      </w:r>
      <w:proofErr w:type="spellEnd"/>
      <w:r>
        <w:t>.</w:t>
      </w:r>
      <w:r w:rsidR="001A47C5">
        <w:t xml:space="preserve"> </w:t>
      </w:r>
      <w:r>
        <w:t xml:space="preserve">latu, </w:t>
      </w:r>
      <w:proofErr w:type="spellStart"/>
      <w:r>
        <w:t>t.sk</w:t>
      </w:r>
      <w:proofErr w:type="spellEnd"/>
      <w:r>
        <w:t xml:space="preserve">. pašvaldību veiktās atmaksas ir 37,4 milj. apmērā. Šajā periodā Finanšu un kapitāla tirgus uzraudzības komisija ir uzsākusi Noguldījumu garantiju fonda papildināšanai izsniegtā valsts aizdevuma atmaksu, veicot pirmo pamatsummas atmaksu 3,3 </w:t>
      </w:r>
      <w:proofErr w:type="spellStart"/>
      <w:r>
        <w:t>milj</w:t>
      </w:r>
      <w:proofErr w:type="spellEnd"/>
      <w:r>
        <w:t>.</w:t>
      </w:r>
      <w:r w:rsidR="001A47C5">
        <w:t xml:space="preserve"> </w:t>
      </w:r>
      <w:r>
        <w:t xml:space="preserve">latu apmērā. Minētais aizdevums 185,0 </w:t>
      </w:r>
      <w:proofErr w:type="spellStart"/>
      <w:r>
        <w:t>milj</w:t>
      </w:r>
      <w:proofErr w:type="spellEnd"/>
      <w:r>
        <w:t>.</w:t>
      </w:r>
      <w:r w:rsidR="001A47C5">
        <w:t xml:space="preserve"> </w:t>
      </w:r>
      <w:r>
        <w:t>latu apmērā tika izsniegts 2011.gada novembrī, lai nodrošinātu garantēto atlīdzību izmaksu AS „Latvijas Krājbanka” noguldītājiem.</w:t>
      </w:r>
    </w:p>
    <w:p w:rsidR="00AB33C8" w:rsidRDefault="00AB33C8" w:rsidP="00AB33C8">
      <w:pPr>
        <w:ind w:firstLine="720"/>
      </w:pPr>
      <w:r>
        <w:t xml:space="preserve">Salīdzinājumam kopējais 2011.gadā izsniedzamo valsts aizdevumu apmērs bija noteikts 276,9 </w:t>
      </w:r>
      <w:proofErr w:type="spellStart"/>
      <w:r>
        <w:t>milj</w:t>
      </w:r>
      <w:proofErr w:type="spellEnd"/>
      <w:r>
        <w:t xml:space="preserve">. latu apmērā, kas ietver likumā „Par valsts budžetu 2010.gadam” noteikto valsts aizdevumu kopējo palielinājumu 208,0 </w:t>
      </w:r>
      <w:proofErr w:type="spellStart"/>
      <w:r>
        <w:t>milj</w:t>
      </w:r>
      <w:proofErr w:type="spellEnd"/>
      <w:r>
        <w:t xml:space="preserve">. latu apmērā un iepriekšējos gados izsniegto valsts aizdevumu plānotās atmaksas 2011.gadā 68,9 </w:t>
      </w:r>
      <w:proofErr w:type="spellStart"/>
      <w:r>
        <w:t>milj</w:t>
      </w:r>
      <w:proofErr w:type="spellEnd"/>
      <w:r>
        <w:t xml:space="preserve">. latu apmērā. 2011.gada I ceturksnī kopējais valsts aizdevumu izsniegtais apjoms bija 9,9 </w:t>
      </w:r>
      <w:proofErr w:type="spellStart"/>
      <w:r>
        <w:t>milj</w:t>
      </w:r>
      <w:proofErr w:type="spellEnd"/>
      <w:r>
        <w:t>.</w:t>
      </w:r>
      <w:r w:rsidR="001A47C5">
        <w:t xml:space="preserve"> </w:t>
      </w:r>
      <w:r>
        <w:t xml:space="preserve">latu apmērā, </w:t>
      </w:r>
      <w:proofErr w:type="spellStart"/>
      <w:r>
        <w:t>t.sk</w:t>
      </w:r>
      <w:proofErr w:type="spellEnd"/>
      <w:r>
        <w:t xml:space="preserve">. 9,2 </w:t>
      </w:r>
      <w:proofErr w:type="spellStart"/>
      <w:r>
        <w:t>milj</w:t>
      </w:r>
      <w:proofErr w:type="spellEnd"/>
      <w:r>
        <w:t xml:space="preserve">. latu pašvaldībām. Savukārt 2011.gada </w:t>
      </w:r>
      <w:bookmarkStart w:id="98" w:name="_GoBack"/>
      <w:bookmarkEnd w:id="98"/>
      <w:r>
        <w:t xml:space="preserve">I ceturksnī kopējās veiktās valsts aizdevumu atmaksas bija 41,4 </w:t>
      </w:r>
      <w:proofErr w:type="spellStart"/>
      <w:r>
        <w:t>milj</w:t>
      </w:r>
      <w:proofErr w:type="spellEnd"/>
      <w:r>
        <w:t>.</w:t>
      </w:r>
      <w:r w:rsidR="001A47C5">
        <w:t xml:space="preserve"> </w:t>
      </w:r>
      <w:r>
        <w:t xml:space="preserve">latu apmērā, </w:t>
      </w:r>
      <w:proofErr w:type="spellStart"/>
      <w:r>
        <w:t>t.sk</w:t>
      </w:r>
      <w:proofErr w:type="spellEnd"/>
      <w:r>
        <w:t>. pašvaldību veiktās atmaksas 21,8 milj. apmērā un valsts struktūru kontrolētu un finansētu komersantu (</w:t>
      </w:r>
      <w:proofErr w:type="spellStart"/>
      <w:r>
        <w:t>VAS „Latvijas</w:t>
      </w:r>
      <w:proofErr w:type="spellEnd"/>
      <w:r>
        <w:t xml:space="preserve"> Valsts ceļi”) veiktās atmaksas 18,2 </w:t>
      </w:r>
      <w:proofErr w:type="spellStart"/>
      <w:r>
        <w:t>milj</w:t>
      </w:r>
      <w:proofErr w:type="spellEnd"/>
      <w:r>
        <w:t>. latu apmērā.</w:t>
      </w:r>
    </w:p>
    <w:p w:rsidR="00EA285C" w:rsidRDefault="00EA285C" w:rsidP="001A61A0">
      <w:pPr>
        <w:spacing w:after="0"/>
        <w:ind w:firstLine="0"/>
        <w:rPr>
          <w:sz w:val="20"/>
        </w:rPr>
      </w:pPr>
    </w:p>
    <w:p w:rsidR="00EA285C" w:rsidRDefault="00EA285C" w:rsidP="001A61A0">
      <w:pPr>
        <w:spacing w:after="0"/>
        <w:ind w:firstLine="0"/>
        <w:rPr>
          <w:sz w:val="20"/>
        </w:rPr>
      </w:pPr>
    </w:p>
    <w:p w:rsidR="00EA285C" w:rsidRDefault="00EA285C" w:rsidP="001A61A0">
      <w:pPr>
        <w:spacing w:after="0"/>
        <w:ind w:firstLine="0"/>
        <w:rPr>
          <w:sz w:val="20"/>
        </w:rPr>
      </w:pPr>
    </w:p>
    <w:p w:rsidR="000B7B56" w:rsidRDefault="000B7B56" w:rsidP="001A61A0">
      <w:pPr>
        <w:spacing w:after="0"/>
        <w:ind w:firstLine="0"/>
      </w:pPr>
    </w:p>
    <w:p w:rsidR="000B7B56" w:rsidRDefault="000B7B56" w:rsidP="001A61A0">
      <w:pPr>
        <w:spacing w:after="0"/>
        <w:ind w:firstLine="0"/>
      </w:pPr>
    </w:p>
    <w:p w:rsidR="000B7B56" w:rsidRDefault="000B7B56" w:rsidP="001A61A0">
      <w:pPr>
        <w:spacing w:after="0"/>
        <w:ind w:firstLine="0"/>
      </w:pPr>
    </w:p>
    <w:p w:rsidR="000B7B56" w:rsidRDefault="000B7B56" w:rsidP="001A61A0">
      <w:pPr>
        <w:spacing w:after="0"/>
        <w:ind w:firstLine="0"/>
      </w:pPr>
    </w:p>
    <w:p w:rsidR="00EA285C" w:rsidRPr="00EA285C" w:rsidRDefault="00EA285C" w:rsidP="001A61A0">
      <w:pPr>
        <w:spacing w:after="0"/>
        <w:ind w:firstLine="0"/>
      </w:pPr>
      <w:r w:rsidRPr="00EA285C">
        <w:t>Finanšu ministrs</w:t>
      </w:r>
      <w:r w:rsidRPr="00EA285C">
        <w:tab/>
      </w:r>
      <w:r w:rsidRPr="00EA285C">
        <w:tab/>
      </w:r>
      <w:r w:rsidRPr="00EA285C">
        <w:tab/>
      </w:r>
      <w:r w:rsidRPr="00EA285C">
        <w:tab/>
      </w:r>
      <w:r w:rsidRPr="00EA285C">
        <w:tab/>
      </w:r>
      <w:r w:rsidRPr="00EA285C">
        <w:tab/>
      </w:r>
      <w:r w:rsidRPr="00EA285C">
        <w:tab/>
      </w:r>
      <w:r w:rsidRPr="00EA285C">
        <w:tab/>
        <w:t>A. Vilks</w:t>
      </w:r>
    </w:p>
    <w:p w:rsidR="00EA285C" w:rsidRDefault="00EA285C" w:rsidP="001A61A0">
      <w:pPr>
        <w:spacing w:after="0"/>
        <w:ind w:firstLine="0"/>
        <w:rPr>
          <w:sz w:val="20"/>
        </w:rPr>
      </w:pPr>
    </w:p>
    <w:p w:rsidR="00EA285C" w:rsidRDefault="00EA285C" w:rsidP="001A61A0">
      <w:pPr>
        <w:spacing w:after="0"/>
        <w:ind w:firstLine="0"/>
        <w:rPr>
          <w:sz w:val="20"/>
        </w:rPr>
      </w:pPr>
    </w:p>
    <w:p w:rsidR="00EA285C" w:rsidRDefault="00EA285C" w:rsidP="001A61A0">
      <w:pPr>
        <w:spacing w:after="0"/>
        <w:ind w:firstLine="0"/>
        <w:rPr>
          <w:sz w:val="20"/>
        </w:rPr>
      </w:pPr>
    </w:p>
    <w:p w:rsidR="00AD7FF1" w:rsidRDefault="00AD7FF1" w:rsidP="001A61A0">
      <w:pPr>
        <w:spacing w:after="0"/>
        <w:ind w:firstLine="0"/>
        <w:rPr>
          <w:sz w:val="20"/>
        </w:rPr>
      </w:pPr>
    </w:p>
    <w:p w:rsidR="00AD7FF1" w:rsidRDefault="00AD7FF1" w:rsidP="001A61A0">
      <w:pPr>
        <w:spacing w:after="0"/>
        <w:ind w:firstLine="0"/>
        <w:rPr>
          <w:sz w:val="20"/>
        </w:rPr>
      </w:pPr>
    </w:p>
    <w:p w:rsidR="00AD7FF1" w:rsidRDefault="00AD7FF1" w:rsidP="001A61A0">
      <w:pPr>
        <w:spacing w:after="0"/>
        <w:ind w:firstLine="0"/>
        <w:rPr>
          <w:sz w:val="20"/>
        </w:rPr>
      </w:pPr>
    </w:p>
    <w:p w:rsidR="00AD7FF1" w:rsidRDefault="00AD7FF1" w:rsidP="001A61A0">
      <w:pPr>
        <w:spacing w:after="0"/>
        <w:ind w:firstLine="0"/>
        <w:rPr>
          <w:sz w:val="20"/>
        </w:rPr>
      </w:pPr>
    </w:p>
    <w:p w:rsidR="00AD7FF1" w:rsidRDefault="00AD7FF1" w:rsidP="001A61A0">
      <w:pPr>
        <w:spacing w:after="0"/>
        <w:ind w:firstLine="0"/>
        <w:rPr>
          <w:sz w:val="20"/>
        </w:rPr>
      </w:pPr>
    </w:p>
    <w:p w:rsidR="00AD7FF1" w:rsidRDefault="00AD7FF1" w:rsidP="001A61A0">
      <w:pPr>
        <w:spacing w:after="0"/>
        <w:ind w:firstLine="0"/>
        <w:rPr>
          <w:sz w:val="20"/>
        </w:rPr>
      </w:pPr>
    </w:p>
    <w:p w:rsidR="00AD7FF1" w:rsidRDefault="00AD7FF1" w:rsidP="001A61A0">
      <w:pPr>
        <w:spacing w:after="0"/>
        <w:ind w:firstLine="0"/>
        <w:rPr>
          <w:sz w:val="20"/>
        </w:rPr>
      </w:pPr>
    </w:p>
    <w:p w:rsidR="00AD7FF1" w:rsidRDefault="00AD7FF1" w:rsidP="001A61A0">
      <w:pPr>
        <w:spacing w:after="0"/>
        <w:ind w:firstLine="0"/>
        <w:rPr>
          <w:sz w:val="20"/>
        </w:rPr>
      </w:pPr>
    </w:p>
    <w:p w:rsidR="00AD7FF1" w:rsidRDefault="00AD7FF1" w:rsidP="001A61A0">
      <w:pPr>
        <w:spacing w:after="0"/>
        <w:ind w:firstLine="0"/>
        <w:rPr>
          <w:sz w:val="20"/>
        </w:rPr>
      </w:pPr>
    </w:p>
    <w:p w:rsidR="00AD7FF1" w:rsidRDefault="00AD7FF1" w:rsidP="001A61A0">
      <w:pPr>
        <w:spacing w:after="0"/>
        <w:ind w:firstLine="0"/>
        <w:rPr>
          <w:sz w:val="20"/>
        </w:rPr>
      </w:pPr>
    </w:p>
    <w:p w:rsidR="00AD7FF1" w:rsidRDefault="00AD7FF1" w:rsidP="001A61A0">
      <w:pPr>
        <w:spacing w:after="0"/>
        <w:ind w:firstLine="0"/>
        <w:rPr>
          <w:sz w:val="20"/>
        </w:rPr>
      </w:pPr>
    </w:p>
    <w:p w:rsidR="00EA285C" w:rsidRDefault="00EA285C" w:rsidP="001A61A0">
      <w:pPr>
        <w:spacing w:after="0"/>
        <w:ind w:firstLine="0"/>
        <w:rPr>
          <w:sz w:val="20"/>
        </w:rPr>
      </w:pPr>
    </w:p>
    <w:p w:rsidR="001A61A0" w:rsidRDefault="00ED6341" w:rsidP="001A61A0">
      <w:pPr>
        <w:spacing w:after="0"/>
        <w:ind w:firstLine="0"/>
        <w:rPr>
          <w:sz w:val="20"/>
        </w:rPr>
      </w:pPr>
      <w:r>
        <w:rPr>
          <w:sz w:val="20"/>
        </w:rPr>
        <w:t>25</w:t>
      </w:r>
      <w:r w:rsidR="00F85176">
        <w:rPr>
          <w:sz w:val="20"/>
        </w:rPr>
        <w:t>.05.2012</w:t>
      </w:r>
      <w:r w:rsidR="001A61A0">
        <w:rPr>
          <w:sz w:val="20"/>
        </w:rPr>
        <w:t xml:space="preserve">    1</w:t>
      </w:r>
      <w:r w:rsidR="00090F8F">
        <w:rPr>
          <w:sz w:val="20"/>
        </w:rPr>
        <w:t>0:30</w:t>
      </w:r>
    </w:p>
    <w:p w:rsidR="001A61A0" w:rsidRDefault="0004001F" w:rsidP="001A61A0">
      <w:pPr>
        <w:spacing w:after="0"/>
        <w:ind w:firstLine="0"/>
        <w:rPr>
          <w:sz w:val="20"/>
        </w:rPr>
      </w:pPr>
      <w:r w:rsidRPr="0004001F">
        <w:rPr>
          <w:sz w:val="20"/>
        </w:rPr>
        <w:t>16</w:t>
      </w:r>
      <w:r w:rsidR="00664511" w:rsidRPr="0004001F">
        <w:rPr>
          <w:sz w:val="20"/>
        </w:rPr>
        <w:t xml:space="preserve"> </w:t>
      </w:r>
      <w:r w:rsidR="00653172">
        <w:rPr>
          <w:sz w:val="20"/>
        </w:rPr>
        <w:t>158</w:t>
      </w:r>
    </w:p>
    <w:p w:rsidR="001A61A0" w:rsidRPr="00EA285C" w:rsidRDefault="00F85176" w:rsidP="001A61A0">
      <w:pPr>
        <w:spacing w:after="0"/>
        <w:ind w:firstLine="0"/>
        <w:rPr>
          <w:sz w:val="18"/>
          <w:szCs w:val="18"/>
        </w:rPr>
      </w:pPr>
      <w:r>
        <w:rPr>
          <w:sz w:val="18"/>
          <w:szCs w:val="18"/>
        </w:rPr>
        <w:t>Anda Apse</w:t>
      </w:r>
    </w:p>
    <w:p w:rsidR="001A61A0" w:rsidRPr="00EA285C" w:rsidRDefault="001A61A0" w:rsidP="001A61A0">
      <w:pPr>
        <w:spacing w:after="0"/>
        <w:ind w:firstLine="0"/>
        <w:rPr>
          <w:sz w:val="18"/>
          <w:szCs w:val="18"/>
        </w:rPr>
      </w:pPr>
      <w:r w:rsidRPr="00EA285C">
        <w:rPr>
          <w:sz w:val="18"/>
          <w:szCs w:val="18"/>
        </w:rPr>
        <w:t xml:space="preserve">Fiskālās politikas departamenta </w:t>
      </w:r>
    </w:p>
    <w:p w:rsidR="001A61A0" w:rsidRDefault="00F85176" w:rsidP="001A61A0">
      <w:pPr>
        <w:spacing w:after="0"/>
        <w:ind w:firstLine="0"/>
        <w:rPr>
          <w:sz w:val="18"/>
          <w:szCs w:val="18"/>
        </w:rPr>
      </w:pPr>
      <w:r>
        <w:rPr>
          <w:sz w:val="18"/>
          <w:szCs w:val="18"/>
        </w:rPr>
        <w:t>F</w:t>
      </w:r>
      <w:r w:rsidR="001A61A0" w:rsidRPr="00EA285C">
        <w:rPr>
          <w:sz w:val="18"/>
          <w:szCs w:val="18"/>
        </w:rPr>
        <w:t xml:space="preserve">iskālās pārvaldības nodaļas </w:t>
      </w:r>
    </w:p>
    <w:p w:rsidR="00F85176" w:rsidRPr="00EA285C" w:rsidRDefault="0032757D" w:rsidP="001A61A0">
      <w:pPr>
        <w:spacing w:after="0"/>
        <w:ind w:firstLine="0"/>
        <w:rPr>
          <w:sz w:val="18"/>
          <w:szCs w:val="18"/>
        </w:rPr>
      </w:pPr>
      <w:r>
        <w:rPr>
          <w:sz w:val="18"/>
          <w:szCs w:val="18"/>
        </w:rPr>
        <w:t>v</w:t>
      </w:r>
      <w:r w:rsidR="00F85176">
        <w:rPr>
          <w:sz w:val="18"/>
          <w:szCs w:val="18"/>
        </w:rPr>
        <w:t>ecākā eksperte</w:t>
      </w:r>
    </w:p>
    <w:p w:rsidR="001A61A0" w:rsidRPr="00EA285C" w:rsidRDefault="00F85176" w:rsidP="001A61A0">
      <w:pPr>
        <w:spacing w:after="0"/>
        <w:ind w:firstLine="0"/>
        <w:rPr>
          <w:sz w:val="18"/>
          <w:szCs w:val="18"/>
        </w:rPr>
      </w:pPr>
      <w:r>
        <w:rPr>
          <w:sz w:val="18"/>
          <w:szCs w:val="18"/>
        </w:rPr>
        <w:t>tālrunis 67083887</w:t>
      </w:r>
      <w:r w:rsidR="001A61A0" w:rsidRPr="00EA285C">
        <w:rPr>
          <w:sz w:val="18"/>
          <w:szCs w:val="18"/>
        </w:rPr>
        <w:t xml:space="preserve">, fakss </w:t>
      </w:r>
      <w:r w:rsidR="00E50FD7" w:rsidRPr="00E01EAC">
        <w:rPr>
          <w:sz w:val="18"/>
          <w:szCs w:val="18"/>
        </w:rPr>
        <w:t>67083958</w:t>
      </w:r>
    </w:p>
    <w:p w:rsidR="001A61A0" w:rsidRPr="00EA285C" w:rsidRDefault="00ED6341" w:rsidP="006F4788">
      <w:pPr>
        <w:spacing w:after="0"/>
        <w:ind w:firstLine="0"/>
        <w:rPr>
          <w:rFonts w:cs="Times New Roman"/>
          <w:sz w:val="18"/>
          <w:szCs w:val="18"/>
        </w:rPr>
      </w:pPr>
      <w:hyperlink r:id="rId51" w:history="1">
        <w:r w:rsidR="00F85176" w:rsidRPr="00BD1E54">
          <w:rPr>
            <w:rStyle w:val="Hyperlink"/>
            <w:sz w:val="18"/>
            <w:szCs w:val="18"/>
          </w:rPr>
          <w:t>Anda.Apse@fm.gov.lv</w:t>
        </w:r>
      </w:hyperlink>
    </w:p>
    <w:sectPr w:rsidR="001A61A0" w:rsidRPr="00EA285C" w:rsidSect="00ED6341">
      <w:headerReference w:type="even" r:id="rId52"/>
      <w:headerReference w:type="default" r:id="rId53"/>
      <w:headerReference w:type="first" r:id="rId54"/>
      <w:pgSz w:w="11906" w:h="16838" w:code="9"/>
      <w:pgMar w:top="1418" w:right="1134"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E64" w:rsidRDefault="00153E64" w:rsidP="006A276C">
      <w:pPr>
        <w:spacing w:after="0"/>
      </w:pPr>
      <w:r>
        <w:separator/>
      </w:r>
    </w:p>
  </w:endnote>
  <w:endnote w:type="continuationSeparator" w:id="0">
    <w:p w:rsidR="00153E64" w:rsidRDefault="00153E64" w:rsidP="006A27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E64" w:rsidRPr="009479D6" w:rsidRDefault="00153E64" w:rsidP="00D1500B">
    <w:pPr>
      <w:pStyle w:val="Footer"/>
      <w:rPr>
        <w:szCs w:val="20"/>
      </w:rPr>
    </w:pPr>
    <w:r>
      <w:rPr>
        <w:szCs w:val="20"/>
      </w:rPr>
      <w:t>FMZino_25</w:t>
    </w:r>
    <w:r w:rsidRPr="009479D6">
      <w:rPr>
        <w:szCs w:val="20"/>
      </w:rPr>
      <w:t xml:space="preserve">0512_Tauts; Informatīvais ziņojums </w:t>
    </w:r>
    <w:r>
      <w:rPr>
        <w:szCs w:val="20"/>
      </w:rPr>
      <w:t>„P</w:t>
    </w:r>
    <w:r w:rsidRPr="009479D6">
      <w:rPr>
        <w:szCs w:val="20"/>
      </w:rPr>
      <w:t>ar tautsaimniecības attīstību un kopbud</w:t>
    </w:r>
    <w:r>
      <w:rPr>
        <w:szCs w:val="20"/>
      </w:rPr>
      <w:t>žeta izpildes gaitu 2012. gada 1.</w:t>
    </w:r>
    <w:r w:rsidRPr="009479D6">
      <w:rPr>
        <w:szCs w:val="20"/>
      </w:rPr>
      <w:t xml:space="preserve"> ceturksnī</w:t>
    </w:r>
    <w:r>
      <w:rPr>
        <w:szCs w:val="20"/>
      </w:rPr>
      <w:t>”</w:t>
    </w:r>
  </w:p>
  <w:p w:rsidR="00153E64" w:rsidRPr="00112342" w:rsidRDefault="00153E64" w:rsidP="001123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E64" w:rsidRPr="009479D6" w:rsidRDefault="00153E64">
    <w:pPr>
      <w:pStyle w:val="Footer"/>
      <w:rPr>
        <w:szCs w:val="20"/>
      </w:rPr>
    </w:pPr>
    <w:r>
      <w:rPr>
        <w:szCs w:val="20"/>
      </w:rPr>
      <w:t>FMZino_25</w:t>
    </w:r>
    <w:r w:rsidRPr="009479D6">
      <w:rPr>
        <w:szCs w:val="20"/>
      </w:rPr>
      <w:t xml:space="preserve">0512_Tauts; Informatīvais ziņojums </w:t>
    </w:r>
    <w:r>
      <w:rPr>
        <w:szCs w:val="20"/>
      </w:rPr>
      <w:t>„P</w:t>
    </w:r>
    <w:r w:rsidRPr="009479D6">
      <w:rPr>
        <w:szCs w:val="20"/>
      </w:rPr>
      <w:t>ar tautsaimniecības attīstību un kopbud</w:t>
    </w:r>
    <w:r>
      <w:rPr>
        <w:szCs w:val="20"/>
      </w:rPr>
      <w:t>žeta izpildes gaitu 2012. gada 1.</w:t>
    </w:r>
    <w:r w:rsidRPr="009479D6">
      <w:rPr>
        <w:szCs w:val="20"/>
      </w:rPr>
      <w:t xml:space="preserve"> ceturksnī</w:t>
    </w:r>
    <w:r>
      <w:rPr>
        <w:szCs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E64" w:rsidRDefault="00153E64" w:rsidP="006A276C">
      <w:pPr>
        <w:spacing w:after="0"/>
      </w:pPr>
      <w:r>
        <w:separator/>
      </w:r>
    </w:p>
  </w:footnote>
  <w:footnote w:type="continuationSeparator" w:id="0">
    <w:p w:rsidR="00153E64" w:rsidRDefault="00153E64" w:rsidP="006A276C">
      <w:pPr>
        <w:spacing w:after="0"/>
      </w:pPr>
      <w:r>
        <w:continuationSeparator/>
      </w:r>
    </w:p>
  </w:footnote>
  <w:footnote w:id="1">
    <w:p w:rsidR="00153E64" w:rsidRPr="0045118F" w:rsidRDefault="00153E64" w:rsidP="00871285">
      <w:pPr>
        <w:pStyle w:val="FootnoteText"/>
        <w:rPr>
          <w:sz w:val="16"/>
        </w:rPr>
      </w:pPr>
      <w:r>
        <w:rPr>
          <w:rStyle w:val="FootnoteReference"/>
        </w:rPr>
        <w:footnoteRef/>
      </w:r>
      <w:r w:rsidRPr="0045118F">
        <w:rPr>
          <w:sz w:val="16"/>
        </w:rPr>
        <w:t>Datu avots: Eiropas Komisijas uzņēmēju aptaujas</w:t>
      </w:r>
    </w:p>
  </w:footnote>
  <w:footnote w:id="2">
    <w:p w:rsidR="00153E64" w:rsidRDefault="00153E64" w:rsidP="00871285">
      <w:pPr>
        <w:pStyle w:val="FootnoteText"/>
      </w:pPr>
      <w:r w:rsidRPr="0045118F">
        <w:rPr>
          <w:rStyle w:val="FootnoteReference"/>
          <w:sz w:val="16"/>
        </w:rPr>
        <w:footnoteRef/>
      </w:r>
      <w:r w:rsidRPr="0045118F">
        <w:rPr>
          <w:sz w:val="16"/>
        </w:rPr>
        <w:t xml:space="preserve"> Datu avots: Eiropas Komisijas uzņēmēju aptaujas</w:t>
      </w:r>
    </w:p>
  </w:footnote>
  <w:footnote w:id="3">
    <w:p w:rsidR="00153E64" w:rsidRDefault="00153E64" w:rsidP="00871285">
      <w:pPr>
        <w:pStyle w:val="FootnoteText"/>
      </w:pPr>
      <w:r>
        <w:rPr>
          <w:rStyle w:val="FootnoteReference"/>
        </w:rPr>
        <w:footnoteRef/>
      </w:r>
      <w:r>
        <w:t xml:space="preserve"> Datu avots: Klaipēdas ostas mājas lapa, </w:t>
      </w:r>
      <w:proofErr w:type="spellStart"/>
      <w:r>
        <w:t>www.portofklaipeda.lt</w:t>
      </w:r>
      <w:proofErr w:type="spellEnd"/>
    </w:p>
  </w:footnote>
  <w:footnote w:id="4">
    <w:p w:rsidR="00153E64" w:rsidRDefault="00153E64" w:rsidP="00871285">
      <w:pPr>
        <w:pStyle w:val="FootnoteText"/>
      </w:pPr>
      <w:r>
        <w:rPr>
          <w:rStyle w:val="FootnoteReference"/>
        </w:rPr>
        <w:footnoteRef/>
      </w:r>
      <w:r>
        <w:t xml:space="preserve"> Saskaņotais patēriņa cenu indekss (pēc EUROSTAT definīcijas)</w:t>
      </w:r>
    </w:p>
  </w:footnote>
  <w:footnote w:id="5">
    <w:p w:rsidR="00153E64" w:rsidRPr="00880A9F" w:rsidRDefault="00153E64" w:rsidP="00007150">
      <w:pPr>
        <w:pStyle w:val="FootnoteText"/>
        <w:ind w:left="0" w:firstLine="0"/>
        <w:rPr>
          <w:rFonts w:cs="Times New Roman"/>
          <w:szCs w:val="20"/>
        </w:rPr>
      </w:pPr>
      <w:r w:rsidRPr="00880A9F">
        <w:rPr>
          <w:rStyle w:val="FootnoteReference"/>
          <w:rFonts w:ascii="Times New Roman" w:hAnsi="Times New Roman" w:cs="Times New Roman"/>
          <w:szCs w:val="20"/>
        </w:rPr>
        <w:footnoteRef/>
      </w:r>
      <w:r w:rsidRPr="00880A9F">
        <w:rPr>
          <w:rFonts w:cs="Times New Roman"/>
          <w:szCs w:val="20"/>
        </w:rPr>
        <w:t xml:space="preserve"> </w:t>
      </w:r>
      <w:r w:rsidRPr="00880A9F">
        <w:rPr>
          <w:rFonts w:cs="Times New Roman"/>
          <w:kern w:val="18"/>
          <w:szCs w:val="20"/>
        </w:rPr>
        <w:t>Ieskaitot ziedojumus, dāvinājumus un atvasinātās publiskās personas</w:t>
      </w:r>
    </w:p>
  </w:footnote>
  <w:footnote w:id="6">
    <w:p w:rsidR="00153E64" w:rsidRPr="009B2048" w:rsidRDefault="00153E64" w:rsidP="00007150">
      <w:pPr>
        <w:pStyle w:val="FootnoteText"/>
      </w:pPr>
      <w:r w:rsidRPr="00880A9F">
        <w:rPr>
          <w:rStyle w:val="FootnoteReference"/>
          <w:rFonts w:ascii="Times New Roman" w:hAnsi="Times New Roman" w:cs="Times New Roman"/>
          <w:szCs w:val="20"/>
        </w:rPr>
        <w:footnoteRef/>
      </w:r>
      <w:r w:rsidRPr="00880A9F">
        <w:rPr>
          <w:rFonts w:cs="Times New Roman"/>
          <w:szCs w:val="20"/>
        </w:rPr>
        <w:t xml:space="preserve"> </w:t>
      </w:r>
      <w:r w:rsidRPr="00880A9F">
        <w:rPr>
          <w:rFonts w:cs="Times New Roman"/>
          <w:kern w:val="18"/>
          <w:szCs w:val="20"/>
        </w:rPr>
        <w:t>Ieskaitot ziedojumus un dāvinājumus</w:t>
      </w:r>
    </w:p>
  </w:footnote>
  <w:footnote w:id="7">
    <w:p w:rsidR="00153E64" w:rsidRDefault="00153E64" w:rsidP="00501C90">
      <w:pPr>
        <w:pStyle w:val="FootnoteText"/>
      </w:pPr>
      <w:r>
        <w:rPr>
          <w:rStyle w:val="FootnoteReference"/>
        </w:rPr>
        <w:footnoteRef/>
      </w:r>
      <w:r>
        <w:t xml:space="preserve"> Dati pārkvalificēti, 2010. gadā ieskaitot Transportlīdzekļu ikgadējo nodevu</w:t>
      </w:r>
    </w:p>
  </w:footnote>
  <w:footnote w:id="8">
    <w:p w:rsidR="00153E64" w:rsidRDefault="00153E64" w:rsidP="00501C90">
      <w:pPr>
        <w:pStyle w:val="FootnoteText"/>
      </w:pPr>
      <w:r>
        <w:rPr>
          <w:rStyle w:val="FootnoteReference"/>
        </w:rPr>
        <w:footnoteRef/>
      </w:r>
      <w:r>
        <w:t xml:space="preserve"> Ieskaitot iemaksas valsts fondēto pensiju shēmā</w:t>
      </w:r>
    </w:p>
  </w:footnote>
  <w:footnote w:id="9">
    <w:p w:rsidR="00153E64" w:rsidRDefault="00153E64" w:rsidP="00501C90">
      <w:pPr>
        <w:pStyle w:val="FootnoteText"/>
      </w:pPr>
      <w:r>
        <w:rPr>
          <w:rStyle w:val="FootnoteReference"/>
        </w:rPr>
        <w:footnoteRef/>
      </w:r>
      <w:r>
        <w:t xml:space="preserve"> Galvenokārt stiprie alkoholiskie dzērieni</w:t>
      </w:r>
    </w:p>
  </w:footnote>
  <w:footnote w:id="10">
    <w:p w:rsidR="00153E64" w:rsidRDefault="00153E64" w:rsidP="00501C90">
      <w:pPr>
        <w:pStyle w:val="FootnoteText"/>
      </w:pPr>
      <w:r>
        <w:rPr>
          <w:rStyle w:val="FootnoteReference"/>
        </w:rPr>
        <w:footnoteRef/>
      </w:r>
      <w:r>
        <w:t xml:space="preserve"> </w:t>
      </w:r>
      <w:r>
        <w:tab/>
        <w:t>I</w:t>
      </w:r>
      <w:r w:rsidRPr="00BA1FB9">
        <w:t>eskaitot transportlīdzekļu ikgadējo nodevu, kas tiek maksāta par iepriekšējiem periodiem</w:t>
      </w:r>
    </w:p>
  </w:footnote>
  <w:footnote w:id="11">
    <w:p w:rsidR="00153E64" w:rsidRPr="00DE53E8" w:rsidRDefault="00153E64" w:rsidP="006A276C">
      <w:pPr>
        <w:pStyle w:val="FootnoteText"/>
      </w:pPr>
      <w:r w:rsidRPr="00DE53E8">
        <w:rPr>
          <w:rStyle w:val="FootnoteReference"/>
        </w:rPr>
        <w:footnoteRef/>
      </w:r>
      <w:r w:rsidRPr="00DE53E8">
        <w:tab/>
        <w:t>Finanšu ministrijas aprēķins</w:t>
      </w:r>
      <w:r>
        <w:t>.</w:t>
      </w:r>
    </w:p>
  </w:footnote>
  <w:footnote w:id="12">
    <w:p w:rsidR="00153E64" w:rsidRPr="00DE53E8" w:rsidRDefault="00153E64" w:rsidP="00501C90">
      <w:pPr>
        <w:pStyle w:val="FootnoteText"/>
      </w:pPr>
      <w:r w:rsidRPr="00DE53E8">
        <w:rPr>
          <w:rStyle w:val="FootnoteReference"/>
        </w:rPr>
        <w:footnoteRef/>
      </w:r>
      <w:r w:rsidRPr="00DE53E8">
        <w:tab/>
        <w:t>Kapitāla nodokļos ietilpst uzņēmumu ienākuma nodoklis, nekustamā īpašuma nodoklis, izložu un azart</w:t>
      </w:r>
      <w:r w:rsidRPr="00DE53E8">
        <w:softHyphen/>
        <w:t>spēļu nodoklis, pašnodarbināto sociālās apdrošināšanas iemaksas un iedzīvotāju ienākuma nodoklis (nomaksāts no saimnieciskās darbības);</w:t>
      </w:r>
    </w:p>
    <w:p w:rsidR="00153E64" w:rsidRPr="00DE53E8" w:rsidRDefault="00153E64" w:rsidP="00501C90">
      <w:pPr>
        <w:pStyle w:val="FootnoteText"/>
      </w:pPr>
      <w:r w:rsidRPr="00DE53E8">
        <w:tab/>
        <w:t>Darba nodokļos ietilpst sociālās apdrošināšanas iemaksas (izņemot pašnodarbināto sociālās apdrošināšanas iemaksas) un iedzīvotāju ienākuma nodoklis (nomaksāts no darba samaksas un pensijām);</w:t>
      </w:r>
    </w:p>
    <w:p w:rsidR="00153E64" w:rsidRPr="00DE53E8" w:rsidRDefault="00153E64" w:rsidP="00501C90">
      <w:pPr>
        <w:pStyle w:val="FootnoteText"/>
      </w:pPr>
      <w:r w:rsidRPr="00DE53E8">
        <w:tab/>
        <w:t>Patēriņa nodokļos ietilpst akcīzes nodoklis, pievienotās vērtības nodoklis, vieglo automobiļu un motociklu nodoklis, dabas resur</w:t>
      </w:r>
      <w:r>
        <w:t xml:space="preserve">su nodoklis, muitas nodoklis, </w:t>
      </w:r>
      <w:r w:rsidRPr="00DE53E8">
        <w:t>elektroenerģijas nodoklis</w:t>
      </w:r>
      <w:r>
        <w:t>, transportlīdzekļu ekspluatācijas nodoklis un uzņēmumu vieglo transportlīdzekļu nodoklis.</w:t>
      </w:r>
    </w:p>
  </w:footnote>
  <w:footnote w:id="13">
    <w:p w:rsidR="00153E64" w:rsidRDefault="00153E64" w:rsidP="00501C90">
      <w:pPr>
        <w:pStyle w:val="FootnoteText"/>
      </w:pPr>
      <w:r>
        <w:rPr>
          <w:rStyle w:val="FootnoteReference"/>
        </w:rPr>
        <w:footnoteRef/>
      </w:r>
      <w:r>
        <w:t xml:space="preserve"> </w:t>
      </w:r>
      <w:r w:rsidRPr="005931A6">
        <w:t>nenodokļu ieņēmumi ir pārklasificēti, ņemot vērā, ka ar 01.01.2011. transportlīdzekļu ikgadējā nodeva tika pārveidota par transportlīdzekļu nodokli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E64" w:rsidRDefault="00153E6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rsidR="00153E64" w:rsidRDefault="00153E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E64" w:rsidRDefault="00153E6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153E64" w:rsidRDefault="00153E6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E64" w:rsidRDefault="00153E6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rsidR="00153E64" w:rsidRDefault="00153E6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E64" w:rsidRDefault="00153E6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D6341">
      <w:rPr>
        <w:rStyle w:val="PageNumber"/>
        <w:noProof/>
      </w:rPr>
      <w:t>63</w:t>
    </w:r>
    <w:r>
      <w:rPr>
        <w:rStyle w:val="PageNumber"/>
      </w:rPr>
      <w:fldChar w:fldCharType="end"/>
    </w:r>
  </w:p>
  <w:p w:rsidR="00153E64" w:rsidRDefault="00153E64" w:rsidP="00A761F0">
    <w:pPr>
      <w:pStyle w:val="Header"/>
      <w:jc w:val="center"/>
      <w:rPr>
        <w:i/>
        <w:sz w:val="20"/>
      </w:rPr>
    </w:pPr>
  </w:p>
  <w:p w:rsidR="00153E64" w:rsidRDefault="00153E64" w:rsidP="00A761F0">
    <w:pPr>
      <w:pStyle w:val="Header"/>
      <w:jc w:val="center"/>
      <w:rPr>
        <w:i/>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E64" w:rsidRPr="0058179A" w:rsidRDefault="00153E64" w:rsidP="00A761F0">
    <w:pPr>
      <w:pStyle w:val="Header"/>
      <w:jc w:val="center"/>
      <w:rPr>
        <w:i/>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376D3"/>
    <w:multiLevelType w:val="multilevel"/>
    <w:tmpl w:val="088066E6"/>
    <w:styleLink w:val="1111111"/>
    <w:lvl w:ilvl="0">
      <w:start w:val="1"/>
      <w:numFmt w:val="bullet"/>
      <w:lvlText w:val=""/>
      <w:lvlJc w:val="left"/>
      <w:pPr>
        <w:ind w:left="1429" w:hanging="360"/>
      </w:pPr>
      <w:rPr>
        <w:rFonts w:ascii="Symbol" w:hAnsi="Symbol"/>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
    <w:nsid w:val="0EC7109B"/>
    <w:multiLevelType w:val="hybridMultilevel"/>
    <w:tmpl w:val="B7F00EF6"/>
    <w:lvl w:ilvl="0" w:tplc="FFFFFFFF">
      <w:start w:val="1"/>
      <w:numFmt w:val="bullet"/>
      <w:pStyle w:val="virsr21"/>
      <w:lvlText w:val=""/>
      <w:lvlJc w:val="left"/>
      <w:pPr>
        <w:tabs>
          <w:tab w:val="num" w:pos="502"/>
        </w:tabs>
        <w:ind w:left="426" w:hanging="284"/>
      </w:pPr>
      <w:rPr>
        <w:rFonts w:ascii="Wingdings" w:hAnsi="Wingdings" w:hint="default"/>
        <w:color w:val="00000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13D051F1"/>
    <w:multiLevelType w:val="hybridMultilevel"/>
    <w:tmpl w:val="AEDE0FD4"/>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
    <w:nsid w:val="255444AA"/>
    <w:multiLevelType w:val="hybridMultilevel"/>
    <w:tmpl w:val="E09E999C"/>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4">
    <w:nsid w:val="274374C5"/>
    <w:multiLevelType w:val="multilevel"/>
    <w:tmpl w:val="D096922A"/>
    <w:lvl w:ilvl="0">
      <w:start w:val="2"/>
      <w:numFmt w:val="decimal"/>
      <w:lvlText w:val="%1."/>
      <w:lvlJc w:val="left"/>
      <w:pPr>
        <w:ind w:left="540" w:hanging="54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
    <w:nsid w:val="276E51A1"/>
    <w:multiLevelType w:val="hybridMultilevel"/>
    <w:tmpl w:val="B8B8F768"/>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6">
    <w:nsid w:val="2F3B3403"/>
    <w:multiLevelType w:val="hybridMultilevel"/>
    <w:tmpl w:val="088066E6"/>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7">
    <w:nsid w:val="30C82E95"/>
    <w:multiLevelType w:val="hybridMultilevel"/>
    <w:tmpl w:val="1CDEF94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
    <w:nsid w:val="39054586"/>
    <w:multiLevelType w:val="multilevel"/>
    <w:tmpl w:val="2DB4DD8C"/>
    <w:lvl w:ilvl="0">
      <w:start w:val="1"/>
      <w:numFmt w:val="decimal"/>
      <w:lvlText w:val="%1."/>
      <w:lvlJc w:val="left"/>
      <w:pPr>
        <w:ind w:left="360" w:hanging="360"/>
      </w:pPr>
    </w:lvl>
    <w:lvl w:ilvl="1">
      <w:start w:val="1"/>
      <w:numFmt w:val="decimal"/>
      <w:lvlText w:val="%1.%2."/>
      <w:lvlJc w:val="left"/>
      <w:pPr>
        <w:ind w:left="792" w:hanging="432"/>
      </w:pPr>
      <w:rPr>
        <w:sz w:val="36"/>
        <w:szCs w:val="3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4A939B7"/>
    <w:multiLevelType w:val="hybridMultilevel"/>
    <w:tmpl w:val="8670FC2A"/>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0">
    <w:nsid w:val="4C7C7C93"/>
    <w:multiLevelType w:val="hybridMultilevel"/>
    <w:tmpl w:val="C88C4FD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4D712DF0"/>
    <w:multiLevelType w:val="hybridMultilevel"/>
    <w:tmpl w:val="5C163294"/>
    <w:lvl w:ilvl="0" w:tplc="0426000F">
      <w:start w:val="6"/>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6EED50B6"/>
    <w:multiLevelType w:val="hybridMultilevel"/>
    <w:tmpl w:val="DD1E5868"/>
    <w:lvl w:ilvl="0" w:tplc="AECA1BC0">
      <w:numFmt w:val="bullet"/>
      <w:lvlText w:val="-"/>
      <w:lvlJc w:val="left"/>
      <w:pPr>
        <w:ind w:left="405" w:hanging="360"/>
      </w:pPr>
      <w:rPr>
        <w:rFonts w:ascii="Times New Roman" w:eastAsia="Times New Roman" w:hAnsi="Times New Roman" w:cs="Times New Roman" w:hint="default"/>
      </w:rPr>
    </w:lvl>
    <w:lvl w:ilvl="1" w:tplc="04260003" w:tentative="1">
      <w:start w:val="1"/>
      <w:numFmt w:val="bullet"/>
      <w:lvlText w:val="o"/>
      <w:lvlJc w:val="left"/>
      <w:pPr>
        <w:ind w:left="1125" w:hanging="360"/>
      </w:pPr>
      <w:rPr>
        <w:rFonts w:ascii="Courier New" w:hAnsi="Courier New" w:cs="Courier New" w:hint="default"/>
      </w:rPr>
    </w:lvl>
    <w:lvl w:ilvl="2" w:tplc="04260005" w:tentative="1">
      <w:start w:val="1"/>
      <w:numFmt w:val="bullet"/>
      <w:lvlText w:val=""/>
      <w:lvlJc w:val="left"/>
      <w:pPr>
        <w:ind w:left="1845" w:hanging="360"/>
      </w:pPr>
      <w:rPr>
        <w:rFonts w:ascii="Wingdings" w:hAnsi="Wingdings" w:hint="default"/>
      </w:rPr>
    </w:lvl>
    <w:lvl w:ilvl="3" w:tplc="04260001" w:tentative="1">
      <w:start w:val="1"/>
      <w:numFmt w:val="bullet"/>
      <w:lvlText w:val=""/>
      <w:lvlJc w:val="left"/>
      <w:pPr>
        <w:ind w:left="2565" w:hanging="360"/>
      </w:pPr>
      <w:rPr>
        <w:rFonts w:ascii="Symbol" w:hAnsi="Symbol" w:hint="default"/>
      </w:rPr>
    </w:lvl>
    <w:lvl w:ilvl="4" w:tplc="04260003" w:tentative="1">
      <w:start w:val="1"/>
      <w:numFmt w:val="bullet"/>
      <w:lvlText w:val="o"/>
      <w:lvlJc w:val="left"/>
      <w:pPr>
        <w:ind w:left="3285" w:hanging="360"/>
      </w:pPr>
      <w:rPr>
        <w:rFonts w:ascii="Courier New" w:hAnsi="Courier New" w:cs="Courier New" w:hint="default"/>
      </w:rPr>
    </w:lvl>
    <w:lvl w:ilvl="5" w:tplc="04260005" w:tentative="1">
      <w:start w:val="1"/>
      <w:numFmt w:val="bullet"/>
      <w:lvlText w:val=""/>
      <w:lvlJc w:val="left"/>
      <w:pPr>
        <w:ind w:left="4005" w:hanging="360"/>
      </w:pPr>
      <w:rPr>
        <w:rFonts w:ascii="Wingdings" w:hAnsi="Wingdings" w:hint="default"/>
      </w:rPr>
    </w:lvl>
    <w:lvl w:ilvl="6" w:tplc="04260001" w:tentative="1">
      <w:start w:val="1"/>
      <w:numFmt w:val="bullet"/>
      <w:lvlText w:val=""/>
      <w:lvlJc w:val="left"/>
      <w:pPr>
        <w:ind w:left="4725" w:hanging="360"/>
      </w:pPr>
      <w:rPr>
        <w:rFonts w:ascii="Symbol" w:hAnsi="Symbol" w:hint="default"/>
      </w:rPr>
    </w:lvl>
    <w:lvl w:ilvl="7" w:tplc="04260003" w:tentative="1">
      <w:start w:val="1"/>
      <w:numFmt w:val="bullet"/>
      <w:lvlText w:val="o"/>
      <w:lvlJc w:val="left"/>
      <w:pPr>
        <w:ind w:left="5445" w:hanging="360"/>
      </w:pPr>
      <w:rPr>
        <w:rFonts w:ascii="Courier New" w:hAnsi="Courier New" w:cs="Courier New" w:hint="default"/>
      </w:rPr>
    </w:lvl>
    <w:lvl w:ilvl="8" w:tplc="04260005" w:tentative="1">
      <w:start w:val="1"/>
      <w:numFmt w:val="bullet"/>
      <w:lvlText w:val=""/>
      <w:lvlJc w:val="left"/>
      <w:pPr>
        <w:ind w:left="6165" w:hanging="360"/>
      </w:pPr>
      <w:rPr>
        <w:rFonts w:ascii="Wingdings" w:hAnsi="Wingdings" w:hint="default"/>
      </w:rPr>
    </w:lvl>
  </w:abstractNum>
  <w:abstractNum w:abstractNumId="13">
    <w:nsid w:val="7A335894"/>
    <w:multiLevelType w:val="hybridMultilevel"/>
    <w:tmpl w:val="DDF0DD86"/>
    <w:styleLink w:val="1111112"/>
    <w:lvl w:ilvl="0" w:tplc="FFFFFFFF">
      <w:start w:val="1"/>
      <w:numFmt w:val="bullet"/>
      <w:lvlText w:val=""/>
      <w:lvlJc w:val="left"/>
      <w:pPr>
        <w:tabs>
          <w:tab w:val="num" w:pos="1069"/>
        </w:tabs>
        <w:ind w:left="106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4">
    <w:nsid w:val="7A5904C7"/>
    <w:multiLevelType w:val="hybridMultilevel"/>
    <w:tmpl w:val="767A806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7C0F22BC"/>
    <w:multiLevelType w:val="multilevel"/>
    <w:tmpl w:val="042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nsid w:val="7CCF5F28"/>
    <w:multiLevelType w:val="hybridMultilevel"/>
    <w:tmpl w:val="741AA85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abstractNumId w:val="6"/>
  </w:num>
  <w:num w:numId="2">
    <w:abstractNumId w:val="5"/>
  </w:num>
  <w:num w:numId="3">
    <w:abstractNumId w:val="2"/>
  </w:num>
  <w:num w:numId="4">
    <w:abstractNumId w:val="14"/>
  </w:num>
  <w:num w:numId="5">
    <w:abstractNumId w:val="7"/>
  </w:num>
  <w:num w:numId="6">
    <w:abstractNumId w:val="1"/>
  </w:num>
  <w:num w:numId="7">
    <w:abstractNumId w:val="12"/>
  </w:num>
  <w:num w:numId="8">
    <w:abstractNumId w:val="8"/>
  </w:num>
  <w:num w:numId="9">
    <w:abstractNumId w:val="4"/>
  </w:num>
  <w:num w:numId="10">
    <w:abstractNumId w:val="0"/>
  </w:num>
  <w:num w:numId="11">
    <w:abstractNumId w:val="13"/>
  </w:num>
  <w:num w:numId="12">
    <w:abstractNumId w:val="15"/>
  </w:num>
  <w:num w:numId="13">
    <w:abstractNumId w:val="9"/>
  </w:num>
  <w:num w:numId="14">
    <w:abstractNumId w:val="3"/>
  </w:num>
  <w:num w:numId="15">
    <w:abstractNumId w:val="16"/>
  </w:num>
  <w:num w:numId="16">
    <w:abstractNumId w:val="10"/>
  </w:num>
  <w:num w:numId="17">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76C"/>
    <w:rsid w:val="00001905"/>
    <w:rsid w:val="000055E4"/>
    <w:rsid w:val="00007150"/>
    <w:rsid w:val="000151A5"/>
    <w:rsid w:val="00030A19"/>
    <w:rsid w:val="00033CF8"/>
    <w:rsid w:val="0004001F"/>
    <w:rsid w:val="00056E14"/>
    <w:rsid w:val="000703C3"/>
    <w:rsid w:val="00073A67"/>
    <w:rsid w:val="00085E15"/>
    <w:rsid w:val="0009070C"/>
    <w:rsid w:val="00090F8F"/>
    <w:rsid w:val="000B7B56"/>
    <w:rsid w:val="000C2049"/>
    <w:rsid w:val="000E0C96"/>
    <w:rsid w:val="000E7B3F"/>
    <w:rsid w:val="0010037C"/>
    <w:rsid w:val="00105976"/>
    <w:rsid w:val="00112342"/>
    <w:rsid w:val="001143CC"/>
    <w:rsid w:val="00115025"/>
    <w:rsid w:val="00115EBE"/>
    <w:rsid w:val="00120380"/>
    <w:rsid w:val="00146F66"/>
    <w:rsid w:val="00153E64"/>
    <w:rsid w:val="0017122C"/>
    <w:rsid w:val="001829B5"/>
    <w:rsid w:val="00186228"/>
    <w:rsid w:val="001A47C5"/>
    <w:rsid w:val="001A61A0"/>
    <w:rsid w:val="001E1793"/>
    <w:rsid w:val="00207D56"/>
    <w:rsid w:val="00243B28"/>
    <w:rsid w:val="00247586"/>
    <w:rsid w:val="00257643"/>
    <w:rsid w:val="00263611"/>
    <w:rsid w:val="00263C22"/>
    <w:rsid w:val="00274F37"/>
    <w:rsid w:val="0029452D"/>
    <w:rsid w:val="002A5E83"/>
    <w:rsid w:val="002B2816"/>
    <w:rsid w:val="002E2DF1"/>
    <w:rsid w:val="00322AE6"/>
    <w:rsid w:val="00324E86"/>
    <w:rsid w:val="0032757D"/>
    <w:rsid w:val="00327854"/>
    <w:rsid w:val="0034090D"/>
    <w:rsid w:val="00373B14"/>
    <w:rsid w:val="00387666"/>
    <w:rsid w:val="003910AB"/>
    <w:rsid w:val="003927D1"/>
    <w:rsid w:val="003A1388"/>
    <w:rsid w:val="003B4D3D"/>
    <w:rsid w:val="003B703B"/>
    <w:rsid w:val="003E4FFC"/>
    <w:rsid w:val="003F375F"/>
    <w:rsid w:val="00441C08"/>
    <w:rsid w:val="00474AE1"/>
    <w:rsid w:val="004848A6"/>
    <w:rsid w:val="00493FC5"/>
    <w:rsid w:val="004B335F"/>
    <w:rsid w:val="004B7AAC"/>
    <w:rsid w:val="004B7E4C"/>
    <w:rsid w:val="004D1739"/>
    <w:rsid w:val="004F6F6E"/>
    <w:rsid w:val="00501C90"/>
    <w:rsid w:val="005034F4"/>
    <w:rsid w:val="00521652"/>
    <w:rsid w:val="0052259B"/>
    <w:rsid w:val="00527193"/>
    <w:rsid w:val="005314E5"/>
    <w:rsid w:val="0058130F"/>
    <w:rsid w:val="0058320A"/>
    <w:rsid w:val="005967BD"/>
    <w:rsid w:val="005C26D0"/>
    <w:rsid w:val="005C30F5"/>
    <w:rsid w:val="005E4EA6"/>
    <w:rsid w:val="005F25FE"/>
    <w:rsid w:val="00607968"/>
    <w:rsid w:val="00612292"/>
    <w:rsid w:val="00617F9E"/>
    <w:rsid w:val="00653172"/>
    <w:rsid w:val="00660CAB"/>
    <w:rsid w:val="00664511"/>
    <w:rsid w:val="00670A0D"/>
    <w:rsid w:val="00683D7A"/>
    <w:rsid w:val="00687613"/>
    <w:rsid w:val="006A17D8"/>
    <w:rsid w:val="006A276C"/>
    <w:rsid w:val="006B6027"/>
    <w:rsid w:val="006C3F05"/>
    <w:rsid w:val="006D3A0F"/>
    <w:rsid w:val="006F4788"/>
    <w:rsid w:val="00721A2C"/>
    <w:rsid w:val="0072401E"/>
    <w:rsid w:val="007517FE"/>
    <w:rsid w:val="0076205E"/>
    <w:rsid w:val="007C65C6"/>
    <w:rsid w:val="007C6880"/>
    <w:rsid w:val="007D0B65"/>
    <w:rsid w:val="007D3955"/>
    <w:rsid w:val="007E356A"/>
    <w:rsid w:val="00801486"/>
    <w:rsid w:val="00814D72"/>
    <w:rsid w:val="008274D2"/>
    <w:rsid w:val="00834814"/>
    <w:rsid w:val="00870460"/>
    <w:rsid w:val="00871285"/>
    <w:rsid w:val="00895643"/>
    <w:rsid w:val="008C42A6"/>
    <w:rsid w:val="008D0F73"/>
    <w:rsid w:val="008D20DC"/>
    <w:rsid w:val="008E2572"/>
    <w:rsid w:val="008E3EA1"/>
    <w:rsid w:val="008E6AAA"/>
    <w:rsid w:val="009129E0"/>
    <w:rsid w:val="00916840"/>
    <w:rsid w:val="00921E1C"/>
    <w:rsid w:val="00936BC4"/>
    <w:rsid w:val="009479D6"/>
    <w:rsid w:val="00952906"/>
    <w:rsid w:val="009E0435"/>
    <w:rsid w:val="00A048FB"/>
    <w:rsid w:val="00A127D7"/>
    <w:rsid w:val="00A44041"/>
    <w:rsid w:val="00A467E6"/>
    <w:rsid w:val="00A761F0"/>
    <w:rsid w:val="00A9032C"/>
    <w:rsid w:val="00A95328"/>
    <w:rsid w:val="00AA65C7"/>
    <w:rsid w:val="00AB07D5"/>
    <w:rsid w:val="00AB33C8"/>
    <w:rsid w:val="00AD7FF1"/>
    <w:rsid w:val="00B01C77"/>
    <w:rsid w:val="00B035FE"/>
    <w:rsid w:val="00B1033B"/>
    <w:rsid w:val="00B42E32"/>
    <w:rsid w:val="00B55D5C"/>
    <w:rsid w:val="00B66466"/>
    <w:rsid w:val="00B66F2C"/>
    <w:rsid w:val="00B71B08"/>
    <w:rsid w:val="00BA24E9"/>
    <w:rsid w:val="00BA2671"/>
    <w:rsid w:val="00BB1587"/>
    <w:rsid w:val="00BC4216"/>
    <w:rsid w:val="00BD2647"/>
    <w:rsid w:val="00C35A3D"/>
    <w:rsid w:val="00C90FCC"/>
    <w:rsid w:val="00C9138D"/>
    <w:rsid w:val="00C94CAA"/>
    <w:rsid w:val="00C97B19"/>
    <w:rsid w:val="00CB01DD"/>
    <w:rsid w:val="00CB4759"/>
    <w:rsid w:val="00CC20F5"/>
    <w:rsid w:val="00CE5453"/>
    <w:rsid w:val="00CF27A4"/>
    <w:rsid w:val="00D02E28"/>
    <w:rsid w:val="00D1500B"/>
    <w:rsid w:val="00D470A2"/>
    <w:rsid w:val="00D95A95"/>
    <w:rsid w:val="00D962B4"/>
    <w:rsid w:val="00DA7E21"/>
    <w:rsid w:val="00DC6665"/>
    <w:rsid w:val="00DD2EAE"/>
    <w:rsid w:val="00DE0B9F"/>
    <w:rsid w:val="00DF20EE"/>
    <w:rsid w:val="00DF67FF"/>
    <w:rsid w:val="00E03FA7"/>
    <w:rsid w:val="00E05D25"/>
    <w:rsid w:val="00E15F9B"/>
    <w:rsid w:val="00E22FE2"/>
    <w:rsid w:val="00E4660D"/>
    <w:rsid w:val="00E50FD7"/>
    <w:rsid w:val="00E519E7"/>
    <w:rsid w:val="00E52483"/>
    <w:rsid w:val="00EA285C"/>
    <w:rsid w:val="00EA480A"/>
    <w:rsid w:val="00EA6657"/>
    <w:rsid w:val="00EC284B"/>
    <w:rsid w:val="00ED6341"/>
    <w:rsid w:val="00EF4252"/>
    <w:rsid w:val="00F104D4"/>
    <w:rsid w:val="00F1512A"/>
    <w:rsid w:val="00F53D19"/>
    <w:rsid w:val="00F666AE"/>
    <w:rsid w:val="00F67BDF"/>
    <w:rsid w:val="00F85176"/>
    <w:rsid w:val="00F85C2C"/>
    <w:rsid w:val="00F9056F"/>
    <w:rsid w:val="00FC5E30"/>
    <w:rsid w:val="00FC673D"/>
    <w:rsid w:val="00FD064A"/>
    <w:rsid w:val="00FE5FBB"/>
    <w:rsid w:val="00FF02E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4F4"/>
    <w:pPr>
      <w:spacing w:after="120"/>
      <w:ind w:firstLine="709"/>
      <w:jc w:val="both"/>
    </w:pPr>
  </w:style>
  <w:style w:type="paragraph" w:styleId="Heading1">
    <w:name w:val="heading 1"/>
    <w:basedOn w:val="Normal"/>
    <w:next w:val="Normal"/>
    <w:link w:val="Heading1Char"/>
    <w:qFormat/>
    <w:rsid w:val="005034F4"/>
    <w:pPr>
      <w:keepNext/>
      <w:spacing w:before="240" w:after="60"/>
      <w:outlineLvl w:val="0"/>
    </w:pPr>
    <w:rPr>
      <w:b/>
      <w:kern w:val="28"/>
      <w:sz w:val="44"/>
    </w:rPr>
  </w:style>
  <w:style w:type="paragraph" w:styleId="Heading2">
    <w:name w:val="heading 2"/>
    <w:basedOn w:val="Normal"/>
    <w:next w:val="Normal"/>
    <w:link w:val="Heading2Char"/>
    <w:qFormat/>
    <w:rsid w:val="005034F4"/>
    <w:pPr>
      <w:keepNext/>
      <w:spacing w:before="240" w:after="60"/>
      <w:jc w:val="center"/>
      <w:outlineLvl w:val="1"/>
    </w:pPr>
    <w:rPr>
      <w:b/>
      <w:sz w:val="36"/>
    </w:rPr>
  </w:style>
  <w:style w:type="paragraph" w:styleId="Heading3">
    <w:name w:val="heading 3"/>
    <w:basedOn w:val="Normal"/>
    <w:next w:val="Normal"/>
    <w:link w:val="Heading3Char"/>
    <w:qFormat/>
    <w:rsid w:val="005034F4"/>
    <w:pPr>
      <w:keepNext/>
      <w:spacing w:before="240" w:after="60"/>
      <w:outlineLvl w:val="2"/>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34F4"/>
    <w:rPr>
      <w:rFonts w:eastAsia="Times New Roman" w:cs="Times New Roman"/>
      <w:b/>
      <w:kern w:val="28"/>
      <w:sz w:val="44"/>
      <w:szCs w:val="20"/>
    </w:rPr>
  </w:style>
  <w:style w:type="character" w:customStyle="1" w:styleId="Heading2Char">
    <w:name w:val="Heading 2 Char"/>
    <w:basedOn w:val="DefaultParagraphFont"/>
    <w:link w:val="Heading2"/>
    <w:rsid w:val="005034F4"/>
    <w:rPr>
      <w:b/>
      <w:sz w:val="36"/>
    </w:rPr>
  </w:style>
  <w:style w:type="character" w:customStyle="1" w:styleId="Heading3Char">
    <w:name w:val="Heading 3 Char"/>
    <w:basedOn w:val="DefaultParagraphFont"/>
    <w:link w:val="Heading3"/>
    <w:rsid w:val="005034F4"/>
    <w:rPr>
      <w:sz w:val="32"/>
    </w:rPr>
  </w:style>
  <w:style w:type="paragraph" w:customStyle="1" w:styleId="H2">
    <w:name w:val="H2"/>
    <w:rsid w:val="006A276C"/>
    <w:pPr>
      <w:spacing w:after="120"/>
      <w:jc w:val="center"/>
      <w:outlineLvl w:val="1"/>
    </w:pPr>
    <w:rPr>
      <w:rFonts w:eastAsia="Times New Roman" w:cs="Times New Roman"/>
      <w:b/>
      <w:sz w:val="36"/>
      <w:szCs w:val="20"/>
    </w:rPr>
  </w:style>
  <w:style w:type="paragraph" w:customStyle="1" w:styleId="Z">
    <w:name w:val="Z"/>
    <w:basedOn w:val="Normal"/>
    <w:uiPriority w:val="99"/>
    <w:rsid w:val="006A276C"/>
    <w:pPr>
      <w:ind w:firstLine="0"/>
      <w:jc w:val="center"/>
    </w:pPr>
    <w:rPr>
      <w:b/>
      <w:i/>
    </w:rPr>
  </w:style>
  <w:style w:type="paragraph" w:styleId="FootnoteText">
    <w:name w:val="footnote text"/>
    <w:basedOn w:val="Normal"/>
    <w:link w:val="FootnoteTextChar"/>
    <w:uiPriority w:val="99"/>
    <w:semiHidden/>
    <w:rsid w:val="006A276C"/>
    <w:pPr>
      <w:spacing w:after="0"/>
      <w:ind w:left="284" w:hanging="284"/>
    </w:pPr>
    <w:rPr>
      <w:sz w:val="20"/>
    </w:rPr>
  </w:style>
  <w:style w:type="character" w:customStyle="1" w:styleId="FootnoteTextChar">
    <w:name w:val="Footnote Text Char"/>
    <w:basedOn w:val="DefaultParagraphFont"/>
    <w:link w:val="FootnoteText"/>
    <w:uiPriority w:val="99"/>
    <w:semiHidden/>
    <w:rsid w:val="006A276C"/>
    <w:rPr>
      <w:rFonts w:eastAsia="Times New Roman" w:cs="Times New Roman"/>
      <w:sz w:val="20"/>
      <w:szCs w:val="20"/>
    </w:rPr>
  </w:style>
  <w:style w:type="character" w:styleId="FootnoteReference">
    <w:name w:val="footnote reference"/>
    <w:semiHidden/>
    <w:rsid w:val="006A276C"/>
    <w:rPr>
      <w:rFonts w:ascii="Garamond" w:hAnsi="Garamond"/>
      <w:noProof w:val="0"/>
      <w:vertAlign w:val="superscript"/>
      <w:lang w:val="lv-LV"/>
    </w:rPr>
  </w:style>
  <w:style w:type="paragraph" w:styleId="BalloonText">
    <w:name w:val="Balloon Text"/>
    <w:basedOn w:val="Normal"/>
    <w:link w:val="BalloonTextChar"/>
    <w:uiPriority w:val="99"/>
    <w:semiHidden/>
    <w:unhideWhenUsed/>
    <w:rsid w:val="006A27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76C"/>
    <w:rPr>
      <w:rFonts w:ascii="Tahoma" w:eastAsia="Times New Roman" w:hAnsi="Tahoma" w:cs="Tahoma"/>
      <w:sz w:val="16"/>
      <w:szCs w:val="16"/>
    </w:rPr>
  </w:style>
  <w:style w:type="paragraph" w:customStyle="1" w:styleId="H3">
    <w:name w:val="H3"/>
    <w:rsid w:val="006A276C"/>
    <w:pPr>
      <w:spacing w:after="120"/>
      <w:jc w:val="center"/>
      <w:outlineLvl w:val="2"/>
    </w:pPr>
    <w:rPr>
      <w:rFonts w:eastAsia="Times New Roman" w:cs="Times New Roman"/>
      <w:b/>
      <w:sz w:val="32"/>
      <w:szCs w:val="20"/>
    </w:rPr>
  </w:style>
  <w:style w:type="paragraph" w:customStyle="1" w:styleId="T">
    <w:name w:val="T"/>
    <w:basedOn w:val="Normal"/>
    <w:rsid w:val="006A276C"/>
    <w:pPr>
      <w:ind w:firstLine="0"/>
      <w:jc w:val="center"/>
    </w:pPr>
    <w:rPr>
      <w:b/>
      <w:i/>
    </w:rPr>
  </w:style>
  <w:style w:type="paragraph" w:customStyle="1" w:styleId="tabteksts">
    <w:name w:val="tab_teksts"/>
    <w:basedOn w:val="Normal"/>
    <w:rsid w:val="006A276C"/>
    <w:pPr>
      <w:spacing w:after="0"/>
      <w:ind w:firstLine="0"/>
      <w:jc w:val="left"/>
    </w:pPr>
    <w:rPr>
      <w:sz w:val="20"/>
    </w:rPr>
  </w:style>
  <w:style w:type="paragraph" w:styleId="Footer">
    <w:name w:val="footer"/>
    <w:basedOn w:val="Normal"/>
    <w:link w:val="FooterChar"/>
    <w:uiPriority w:val="99"/>
    <w:rsid w:val="006A276C"/>
    <w:pPr>
      <w:tabs>
        <w:tab w:val="center" w:pos="4153"/>
        <w:tab w:val="right" w:pos="8306"/>
      </w:tabs>
      <w:spacing w:after="0"/>
      <w:ind w:firstLine="0"/>
    </w:pPr>
    <w:rPr>
      <w:sz w:val="20"/>
    </w:rPr>
  </w:style>
  <w:style w:type="character" w:customStyle="1" w:styleId="FooterChar">
    <w:name w:val="Footer Char"/>
    <w:basedOn w:val="DefaultParagraphFont"/>
    <w:link w:val="Footer"/>
    <w:uiPriority w:val="99"/>
    <w:rsid w:val="006A276C"/>
    <w:rPr>
      <w:rFonts w:eastAsia="Times New Roman" w:cs="Times New Roman"/>
      <w:sz w:val="20"/>
      <w:szCs w:val="20"/>
    </w:rPr>
  </w:style>
  <w:style w:type="character" w:styleId="PageNumber">
    <w:name w:val="page number"/>
    <w:basedOn w:val="DefaultParagraphFont"/>
    <w:rsid w:val="006A276C"/>
  </w:style>
  <w:style w:type="paragraph" w:styleId="Header">
    <w:name w:val="header"/>
    <w:basedOn w:val="Normal"/>
    <w:link w:val="HeaderChar"/>
    <w:rsid w:val="006A276C"/>
    <w:pPr>
      <w:tabs>
        <w:tab w:val="center" w:pos="4153"/>
        <w:tab w:val="right" w:pos="8306"/>
      </w:tabs>
      <w:spacing w:after="0"/>
      <w:ind w:firstLine="0"/>
    </w:pPr>
    <w:rPr>
      <w:sz w:val="24"/>
    </w:rPr>
  </w:style>
  <w:style w:type="character" w:customStyle="1" w:styleId="HeaderChar">
    <w:name w:val="Header Char"/>
    <w:basedOn w:val="DefaultParagraphFont"/>
    <w:link w:val="Header"/>
    <w:rsid w:val="006A276C"/>
    <w:rPr>
      <w:rFonts w:eastAsia="Times New Roman" w:cs="Times New Roman"/>
      <w:sz w:val="24"/>
      <w:szCs w:val="20"/>
    </w:rPr>
  </w:style>
  <w:style w:type="paragraph" w:styleId="TOC2">
    <w:name w:val="toc 2"/>
    <w:basedOn w:val="Normal"/>
    <w:next w:val="Normal"/>
    <w:autoRedefine/>
    <w:uiPriority w:val="39"/>
    <w:rsid w:val="00D470A2"/>
    <w:pPr>
      <w:tabs>
        <w:tab w:val="left" w:pos="1400"/>
        <w:tab w:val="right" w:leader="dot" w:pos="8222"/>
      </w:tabs>
      <w:spacing w:after="0"/>
      <w:ind w:left="709" w:hanging="709"/>
    </w:pPr>
    <w:rPr>
      <w:noProof/>
    </w:rPr>
  </w:style>
  <w:style w:type="paragraph" w:styleId="TOC1">
    <w:name w:val="toc 1"/>
    <w:basedOn w:val="Normal"/>
    <w:next w:val="Normal"/>
    <w:autoRedefine/>
    <w:uiPriority w:val="39"/>
    <w:rsid w:val="00B55D5C"/>
    <w:pPr>
      <w:tabs>
        <w:tab w:val="right" w:leader="dot" w:pos="8222"/>
      </w:tabs>
      <w:spacing w:after="0"/>
      <w:ind w:right="1274" w:firstLine="0"/>
    </w:pPr>
    <w:rPr>
      <w:noProof/>
      <w:szCs w:val="32"/>
    </w:rPr>
  </w:style>
  <w:style w:type="paragraph" w:styleId="TOC3">
    <w:name w:val="toc 3"/>
    <w:basedOn w:val="Normal"/>
    <w:next w:val="Normal"/>
    <w:autoRedefine/>
    <w:uiPriority w:val="39"/>
    <w:rsid w:val="00073A67"/>
    <w:pPr>
      <w:tabs>
        <w:tab w:val="left" w:pos="709"/>
        <w:tab w:val="right" w:leader="dot" w:pos="8222"/>
        <w:tab w:val="left" w:pos="8364"/>
      </w:tabs>
      <w:spacing w:after="0"/>
      <w:ind w:right="-141" w:firstLine="0"/>
    </w:pPr>
    <w:rPr>
      <w:noProof/>
    </w:rPr>
  </w:style>
  <w:style w:type="paragraph" w:customStyle="1" w:styleId="H1">
    <w:name w:val="H1"/>
    <w:rsid w:val="006A276C"/>
    <w:pPr>
      <w:spacing w:after="120"/>
      <w:jc w:val="center"/>
      <w:outlineLvl w:val="0"/>
    </w:pPr>
    <w:rPr>
      <w:rFonts w:eastAsia="Times New Roman" w:cs="Times New Roman"/>
      <w:b/>
      <w:sz w:val="44"/>
      <w:szCs w:val="20"/>
    </w:rPr>
  </w:style>
  <w:style w:type="paragraph" w:styleId="BodyTextIndent3">
    <w:name w:val="Body Text Indent 3"/>
    <w:basedOn w:val="Normal"/>
    <w:link w:val="BodyTextIndent3Char"/>
    <w:uiPriority w:val="99"/>
    <w:semiHidden/>
    <w:rsid w:val="006A276C"/>
    <w:pPr>
      <w:overflowPunct w:val="0"/>
      <w:autoSpaceDE w:val="0"/>
      <w:autoSpaceDN w:val="0"/>
      <w:adjustRightInd w:val="0"/>
      <w:textAlignment w:val="baseline"/>
    </w:pPr>
  </w:style>
  <w:style w:type="character" w:customStyle="1" w:styleId="BodyTextIndent3Char">
    <w:name w:val="Body Text Indent 3 Char"/>
    <w:basedOn w:val="DefaultParagraphFont"/>
    <w:link w:val="BodyTextIndent3"/>
    <w:uiPriority w:val="99"/>
    <w:semiHidden/>
    <w:rsid w:val="006A276C"/>
    <w:rPr>
      <w:rFonts w:eastAsia="Times New Roman" w:cs="Times New Roman"/>
      <w:szCs w:val="20"/>
    </w:rPr>
  </w:style>
  <w:style w:type="paragraph" w:customStyle="1" w:styleId="H4">
    <w:name w:val="H4"/>
    <w:rsid w:val="006A276C"/>
    <w:pPr>
      <w:spacing w:after="120"/>
      <w:jc w:val="center"/>
      <w:outlineLvl w:val="3"/>
    </w:pPr>
    <w:rPr>
      <w:rFonts w:eastAsia="Times New Roman" w:cs="Times New Roman"/>
      <w:b/>
      <w:szCs w:val="20"/>
    </w:rPr>
  </w:style>
  <w:style w:type="character" w:styleId="Hyperlink">
    <w:name w:val="Hyperlink"/>
    <w:uiPriority w:val="99"/>
    <w:rsid w:val="006A276C"/>
    <w:rPr>
      <w:color w:val="0000FF"/>
      <w:u w:val="single"/>
    </w:rPr>
  </w:style>
  <w:style w:type="paragraph" w:styleId="BodyText">
    <w:name w:val="Body Text"/>
    <w:basedOn w:val="Normal"/>
    <w:link w:val="BodyTextChar"/>
    <w:uiPriority w:val="99"/>
    <w:semiHidden/>
    <w:unhideWhenUsed/>
    <w:rsid w:val="006A276C"/>
  </w:style>
  <w:style w:type="character" w:customStyle="1" w:styleId="BodyTextChar">
    <w:name w:val="Body Text Char"/>
    <w:basedOn w:val="DefaultParagraphFont"/>
    <w:link w:val="BodyText"/>
    <w:uiPriority w:val="99"/>
    <w:semiHidden/>
    <w:rsid w:val="006A276C"/>
    <w:rPr>
      <w:rFonts w:eastAsia="Times New Roman" w:cs="Times New Roman"/>
      <w:szCs w:val="20"/>
    </w:rPr>
  </w:style>
  <w:style w:type="character" w:customStyle="1" w:styleId="BodyTextIndent2Char">
    <w:name w:val="Body Text Indent 2 Char"/>
    <w:link w:val="BodyTextIndent2"/>
    <w:uiPriority w:val="99"/>
    <w:semiHidden/>
    <w:rsid w:val="006A276C"/>
    <w:rPr>
      <w:rFonts w:eastAsia="Times New Roman"/>
    </w:rPr>
  </w:style>
  <w:style w:type="paragraph" w:styleId="BodyTextIndent2">
    <w:name w:val="Body Text Indent 2"/>
    <w:basedOn w:val="Normal"/>
    <w:link w:val="BodyTextIndent2Char"/>
    <w:uiPriority w:val="99"/>
    <w:semiHidden/>
    <w:unhideWhenUsed/>
    <w:rsid w:val="006A276C"/>
    <w:pPr>
      <w:spacing w:line="480" w:lineRule="auto"/>
      <w:ind w:left="283"/>
    </w:pPr>
    <w:rPr>
      <w:szCs w:val="22"/>
    </w:rPr>
  </w:style>
  <w:style w:type="character" w:customStyle="1" w:styleId="BodyTextIndent2Char1">
    <w:name w:val="Body Text Indent 2 Char1"/>
    <w:basedOn w:val="DefaultParagraphFont"/>
    <w:uiPriority w:val="99"/>
    <w:semiHidden/>
    <w:rsid w:val="006A276C"/>
    <w:rPr>
      <w:rFonts w:eastAsia="Times New Roman" w:cs="Times New Roman"/>
      <w:szCs w:val="20"/>
    </w:rPr>
  </w:style>
  <w:style w:type="character" w:customStyle="1" w:styleId="EndnoteTextChar">
    <w:name w:val="Endnote Text Char"/>
    <w:link w:val="EndnoteText"/>
    <w:uiPriority w:val="99"/>
    <w:semiHidden/>
    <w:rsid w:val="006A276C"/>
    <w:rPr>
      <w:rFonts w:eastAsia="Times New Roman"/>
    </w:rPr>
  </w:style>
  <w:style w:type="paragraph" w:styleId="EndnoteText">
    <w:name w:val="endnote text"/>
    <w:basedOn w:val="Normal"/>
    <w:link w:val="EndnoteTextChar"/>
    <w:uiPriority w:val="99"/>
    <w:semiHidden/>
    <w:unhideWhenUsed/>
    <w:rsid w:val="006A276C"/>
    <w:rPr>
      <w:szCs w:val="22"/>
    </w:rPr>
  </w:style>
  <w:style w:type="character" w:customStyle="1" w:styleId="EndnoteTextChar1">
    <w:name w:val="Endnote Text Char1"/>
    <w:basedOn w:val="DefaultParagraphFont"/>
    <w:uiPriority w:val="99"/>
    <w:semiHidden/>
    <w:rsid w:val="006A276C"/>
    <w:rPr>
      <w:rFonts w:eastAsia="Times New Roman" w:cs="Times New Roman"/>
      <w:sz w:val="20"/>
      <w:szCs w:val="20"/>
    </w:rPr>
  </w:style>
  <w:style w:type="paragraph" w:customStyle="1" w:styleId="tabnum">
    <w:name w:val="tab_num"/>
    <w:basedOn w:val="Normal"/>
    <w:autoRedefine/>
    <w:rsid w:val="006A276C"/>
    <w:pPr>
      <w:keepLines/>
      <w:ind w:firstLine="0"/>
      <w:jc w:val="right"/>
    </w:pPr>
    <w:rPr>
      <w:rFonts w:ascii="Garamond" w:hAnsi="Garamond"/>
      <w:sz w:val="24"/>
    </w:rPr>
  </w:style>
  <w:style w:type="paragraph" w:styleId="TOC4">
    <w:name w:val="toc 4"/>
    <w:basedOn w:val="Normal"/>
    <w:next w:val="Normal"/>
    <w:autoRedefine/>
    <w:semiHidden/>
    <w:rsid w:val="006A276C"/>
    <w:pPr>
      <w:ind w:left="840"/>
    </w:pPr>
  </w:style>
  <w:style w:type="paragraph" w:styleId="TOC5">
    <w:name w:val="toc 5"/>
    <w:basedOn w:val="Normal"/>
    <w:next w:val="Normal"/>
    <w:autoRedefine/>
    <w:semiHidden/>
    <w:rsid w:val="006A276C"/>
    <w:pPr>
      <w:ind w:left="1120"/>
    </w:pPr>
  </w:style>
  <w:style w:type="paragraph" w:styleId="TOC6">
    <w:name w:val="toc 6"/>
    <w:basedOn w:val="Normal"/>
    <w:next w:val="Normal"/>
    <w:autoRedefine/>
    <w:semiHidden/>
    <w:rsid w:val="006A276C"/>
    <w:pPr>
      <w:ind w:left="1400"/>
    </w:pPr>
  </w:style>
  <w:style w:type="paragraph" w:styleId="TOC7">
    <w:name w:val="toc 7"/>
    <w:basedOn w:val="Normal"/>
    <w:next w:val="Normal"/>
    <w:autoRedefine/>
    <w:semiHidden/>
    <w:rsid w:val="006A276C"/>
    <w:pPr>
      <w:ind w:left="1680"/>
    </w:pPr>
  </w:style>
  <w:style w:type="paragraph" w:styleId="TOC8">
    <w:name w:val="toc 8"/>
    <w:basedOn w:val="Normal"/>
    <w:next w:val="Normal"/>
    <w:autoRedefine/>
    <w:semiHidden/>
    <w:rsid w:val="006A276C"/>
    <w:pPr>
      <w:ind w:left="1960"/>
    </w:pPr>
  </w:style>
  <w:style w:type="paragraph" w:styleId="TOC9">
    <w:name w:val="toc 9"/>
    <w:basedOn w:val="Normal"/>
    <w:next w:val="Normal"/>
    <w:autoRedefine/>
    <w:semiHidden/>
    <w:rsid w:val="006A276C"/>
    <w:pPr>
      <w:ind w:left="2240"/>
    </w:pPr>
  </w:style>
  <w:style w:type="table" w:styleId="TableGrid">
    <w:name w:val="Table Grid"/>
    <w:basedOn w:val="TableNormal"/>
    <w:uiPriority w:val="59"/>
    <w:rsid w:val="006A276C"/>
    <w:rPr>
      <w:rFonts w:eastAsia="Times New Roman" w:cs="Times New Roman"/>
      <w:sz w:val="20"/>
      <w:szCs w:val="20"/>
      <w:lang w:eastAsia="lv-LV"/>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dnoteReference">
    <w:name w:val="endnote reference"/>
    <w:uiPriority w:val="99"/>
    <w:semiHidden/>
    <w:unhideWhenUsed/>
    <w:rsid w:val="006A276C"/>
    <w:rPr>
      <w:vertAlign w:val="superscript"/>
    </w:rPr>
  </w:style>
  <w:style w:type="paragraph" w:customStyle="1" w:styleId="StyleLeft194cmFirstline0cm">
    <w:name w:val="Style Left:  194 cm First line:  0 cm"/>
    <w:basedOn w:val="Normal"/>
    <w:rsid w:val="006A276C"/>
    <w:pPr>
      <w:ind w:left="1089" w:firstLine="0"/>
    </w:pPr>
  </w:style>
  <w:style w:type="character" w:customStyle="1" w:styleId="BodyText2Char">
    <w:name w:val="Body Text 2 Char"/>
    <w:link w:val="BodyText2"/>
    <w:uiPriority w:val="99"/>
    <w:semiHidden/>
    <w:rsid w:val="006A276C"/>
    <w:rPr>
      <w:rFonts w:eastAsia="Times New Roman"/>
    </w:rPr>
  </w:style>
  <w:style w:type="paragraph" w:styleId="BodyText2">
    <w:name w:val="Body Text 2"/>
    <w:basedOn w:val="Normal"/>
    <w:link w:val="BodyText2Char"/>
    <w:uiPriority w:val="99"/>
    <w:semiHidden/>
    <w:unhideWhenUsed/>
    <w:rsid w:val="006A276C"/>
    <w:pPr>
      <w:spacing w:line="480" w:lineRule="auto"/>
    </w:pPr>
    <w:rPr>
      <w:szCs w:val="22"/>
    </w:rPr>
  </w:style>
  <w:style w:type="character" w:customStyle="1" w:styleId="BodyText2Char1">
    <w:name w:val="Body Text 2 Char1"/>
    <w:basedOn w:val="DefaultParagraphFont"/>
    <w:uiPriority w:val="99"/>
    <w:semiHidden/>
    <w:rsid w:val="006A276C"/>
    <w:rPr>
      <w:rFonts w:eastAsia="Times New Roman" w:cs="Times New Roman"/>
      <w:szCs w:val="20"/>
    </w:rPr>
  </w:style>
  <w:style w:type="paragraph" w:customStyle="1" w:styleId="teksts">
    <w:name w:val="teksts"/>
    <w:rsid w:val="006A276C"/>
    <w:pPr>
      <w:spacing w:after="120"/>
      <w:jc w:val="both"/>
    </w:pPr>
    <w:rPr>
      <w:rFonts w:ascii="Garamond" w:eastAsia="Times New Roman" w:hAnsi="Garamond" w:cs="Times New Roman"/>
      <w:sz w:val="24"/>
      <w:szCs w:val="20"/>
    </w:rPr>
  </w:style>
  <w:style w:type="paragraph" w:styleId="ListParagraph">
    <w:name w:val="List Paragraph"/>
    <w:basedOn w:val="Normal"/>
    <w:uiPriority w:val="34"/>
    <w:qFormat/>
    <w:rsid w:val="006A276C"/>
    <w:pPr>
      <w:ind w:left="720"/>
      <w:contextualSpacing/>
    </w:pPr>
  </w:style>
  <w:style w:type="paragraph" w:customStyle="1" w:styleId="Default">
    <w:name w:val="Default"/>
    <w:rsid w:val="006A276C"/>
    <w:pPr>
      <w:autoSpaceDE w:val="0"/>
      <w:autoSpaceDN w:val="0"/>
      <w:adjustRightInd w:val="0"/>
    </w:pPr>
    <w:rPr>
      <w:rFonts w:eastAsia="Calibri" w:cs="Times New Roman"/>
      <w:color w:val="000000"/>
      <w:sz w:val="24"/>
      <w:szCs w:val="24"/>
      <w:lang w:eastAsia="lv-LV"/>
    </w:rPr>
  </w:style>
  <w:style w:type="paragraph" w:customStyle="1" w:styleId="tabtekst">
    <w:name w:val="tab_tekst"/>
    <w:basedOn w:val="Normal"/>
    <w:rsid w:val="006A276C"/>
    <w:pPr>
      <w:spacing w:after="0"/>
      <w:ind w:firstLine="0"/>
      <w:jc w:val="left"/>
    </w:pPr>
    <w:rPr>
      <w:color w:val="000000"/>
      <w:sz w:val="20"/>
    </w:rPr>
  </w:style>
  <w:style w:type="paragraph" w:styleId="NoSpacing">
    <w:name w:val="No Spacing"/>
    <w:uiPriority w:val="1"/>
    <w:qFormat/>
    <w:rsid w:val="006A276C"/>
    <w:rPr>
      <w:rFonts w:eastAsia="Times New Roman" w:cs="Times New Roman"/>
      <w:sz w:val="20"/>
      <w:szCs w:val="20"/>
    </w:rPr>
  </w:style>
  <w:style w:type="paragraph" w:customStyle="1" w:styleId="tekstsbul">
    <w:name w:val="teksts_bul"/>
    <w:basedOn w:val="Normal"/>
    <w:rsid w:val="006A276C"/>
    <w:pPr>
      <w:spacing w:after="0"/>
      <w:ind w:left="720" w:hanging="360"/>
    </w:pPr>
    <w:rPr>
      <w:rFonts w:ascii="Garamond" w:hAnsi="Garamond"/>
      <w:snapToGrid w:val="0"/>
      <w:sz w:val="24"/>
    </w:rPr>
  </w:style>
  <w:style w:type="paragraph" w:customStyle="1" w:styleId="virsr21">
    <w:name w:val="virsr_21"/>
    <w:basedOn w:val="Normal"/>
    <w:rsid w:val="006A276C"/>
    <w:pPr>
      <w:keepNext/>
      <w:numPr>
        <w:numId w:val="6"/>
      </w:numPr>
      <w:tabs>
        <w:tab w:val="clear" w:pos="502"/>
      </w:tabs>
      <w:spacing w:before="360"/>
      <w:ind w:left="0" w:firstLine="0"/>
      <w:jc w:val="left"/>
      <w:outlineLvl w:val="2"/>
    </w:pPr>
    <w:rPr>
      <w:rFonts w:ascii="Garamond" w:hAnsi="Garamond"/>
      <w:b/>
      <w:snapToGrid w:val="0"/>
      <w:sz w:val="24"/>
    </w:rPr>
  </w:style>
  <w:style w:type="paragraph" w:customStyle="1" w:styleId="teksts1r">
    <w:name w:val="teksts_1r"/>
    <w:basedOn w:val="teksts"/>
    <w:rsid w:val="006A276C"/>
    <w:pPr>
      <w:spacing w:before="120"/>
    </w:pPr>
    <w:rPr>
      <w:snapToGrid w:val="0"/>
    </w:rPr>
  </w:style>
  <w:style w:type="character" w:customStyle="1" w:styleId="mediumtext">
    <w:name w:val="mediumtext"/>
    <w:uiPriority w:val="99"/>
    <w:rsid w:val="006A276C"/>
    <w:rPr>
      <w:rFonts w:cs="Times New Roman"/>
    </w:rPr>
  </w:style>
  <w:style w:type="paragraph" w:styleId="Caption">
    <w:name w:val="caption"/>
    <w:basedOn w:val="Normal"/>
    <w:next w:val="Normal"/>
    <w:uiPriority w:val="35"/>
    <w:unhideWhenUsed/>
    <w:qFormat/>
    <w:rsid w:val="00E519E7"/>
    <w:pPr>
      <w:spacing w:after="200"/>
    </w:pPr>
    <w:rPr>
      <w:b/>
      <w:bCs/>
      <w:color w:val="4F81BD" w:themeColor="accent1"/>
      <w:sz w:val="18"/>
      <w:szCs w:val="18"/>
    </w:rPr>
  </w:style>
  <w:style w:type="paragraph" w:styleId="TOCHeading">
    <w:name w:val="TOC Heading"/>
    <w:basedOn w:val="Heading1"/>
    <w:next w:val="Normal"/>
    <w:uiPriority w:val="39"/>
    <w:unhideWhenUsed/>
    <w:qFormat/>
    <w:rsid w:val="00E519E7"/>
    <w:pPr>
      <w:keepLines/>
      <w:spacing w:before="480" w:after="0" w:line="276" w:lineRule="auto"/>
      <w:ind w:firstLine="0"/>
      <w:jc w:val="left"/>
      <w:outlineLvl w:val="9"/>
    </w:pPr>
    <w:rPr>
      <w:rFonts w:asciiTheme="majorHAnsi" w:eastAsiaTheme="majorEastAsia" w:hAnsiTheme="majorHAnsi" w:cstheme="majorBidi"/>
      <w:bCs/>
      <w:color w:val="365F91" w:themeColor="accent1" w:themeShade="BF"/>
      <w:kern w:val="0"/>
      <w:sz w:val="28"/>
      <w:lang w:val="en-US" w:eastAsia="ja-JP"/>
    </w:rPr>
  </w:style>
  <w:style w:type="character" w:styleId="LineNumber">
    <w:name w:val="line number"/>
    <w:basedOn w:val="DefaultParagraphFont"/>
    <w:uiPriority w:val="99"/>
    <w:semiHidden/>
    <w:unhideWhenUsed/>
    <w:rsid w:val="00E519E7"/>
  </w:style>
  <w:style w:type="character" w:styleId="CommentReference">
    <w:name w:val="annotation reference"/>
    <w:basedOn w:val="DefaultParagraphFont"/>
    <w:uiPriority w:val="99"/>
    <w:semiHidden/>
    <w:unhideWhenUsed/>
    <w:rsid w:val="0017122C"/>
    <w:rPr>
      <w:sz w:val="16"/>
      <w:szCs w:val="16"/>
    </w:rPr>
  </w:style>
  <w:style w:type="paragraph" w:styleId="CommentText">
    <w:name w:val="annotation text"/>
    <w:basedOn w:val="Normal"/>
    <w:link w:val="CommentTextChar"/>
    <w:uiPriority w:val="99"/>
    <w:semiHidden/>
    <w:unhideWhenUsed/>
    <w:rsid w:val="0017122C"/>
    <w:rPr>
      <w:sz w:val="20"/>
      <w:szCs w:val="20"/>
    </w:rPr>
  </w:style>
  <w:style w:type="character" w:customStyle="1" w:styleId="CommentTextChar">
    <w:name w:val="Comment Text Char"/>
    <w:basedOn w:val="DefaultParagraphFont"/>
    <w:link w:val="CommentText"/>
    <w:uiPriority w:val="99"/>
    <w:semiHidden/>
    <w:rsid w:val="0017122C"/>
    <w:rPr>
      <w:sz w:val="20"/>
      <w:szCs w:val="20"/>
    </w:rPr>
  </w:style>
  <w:style w:type="paragraph" w:styleId="CommentSubject">
    <w:name w:val="annotation subject"/>
    <w:basedOn w:val="CommentText"/>
    <w:next w:val="CommentText"/>
    <w:link w:val="CommentSubjectChar"/>
    <w:uiPriority w:val="99"/>
    <w:semiHidden/>
    <w:unhideWhenUsed/>
    <w:rsid w:val="0017122C"/>
    <w:rPr>
      <w:b/>
      <w:bCs/>
    </w:rPr>
  </w:style>
  <w:style w:type="character" w:customStyle="1" w:styleId="CommentSubjectChar">
    <w:name w:val="Comment Subject Char"/>
    <w:basedOn w:val="CommentTextChar"/>
    <w:link w:val="CommentSubject"/>
    <w:uiPriority w:val="99"/>
    <w:semiHidden/>
    <w:rsid w:val="0017122C"/>
    <w:rPr>
      <w:b/>
      <w:bCs/>
      <w:sz w:val="20"/>
      <w:szCs w:val="20"/>
    </w:rPr>
  </w:style>
  <w:style w:type="numbering" w:customStyle="1" w:styleId="NoList1">
    <w:name w:val="No List1"/>
    <w:next w:val="NoList"/>
    <w:uiPriority w:val="99"/>
    <w:semiHidden/>
    <w:unhideWhenUsed/>
    <w:rsid w:val="00322AE6"/>
  </w:style>
  <w:style w:type="paragraph" w:styleId="BodyTextIndent">
    <w:name w:val="Body Text Indent"/>
    <w:basedOn w:val="Normal"/>
    <w:link w:val="BodyTextIndentChar"/>
    <w:rsid w:val="00322AE6"/>
    <w:pPr>
      <w:ind w:left="283" w:firstLine="0"/>
    </w:pPr>
    <w:rPr>
      <w:rFonts w:eastAsia="Times New Roman" w:cs="Times New Roman"/>
      <w:sz w:val="24"/>
      <w:szCs w:val="20"/>
      <w:lang w:val="x-none"/>
    </w:rPr>
  </w:style>
  <w:style w:type="character" w:customStyle="1" w:styleId="BodyTextIndentChar">
    <w:name w:val="Body Text Indent Char"/>
    <w:basedOn w:val="DefaultParagraphFont"/>
    <w:link w:val="BodyTextIndent"/>
    <w:rsid w:val="00322AE6"/>
    <w:rPr>
      <w:rFonts w:eastAsia="Times New Roman" w:cs="Times New Roman"/>
      <w:sz w:val="24"/>
      <w:szCs w:val="20"/>
      <w:lang w:val="x-none"/>
    </w:rPr>
  </w:style>
  <w:style w:type="numbering" w:styleId="111111">
    <w:name w:val="Outline List 2"/>
    <w:basedOn w:val="NoList"/>
    <w:uiPriority w:val="99"/>
    <w:rsid w:val="00322AE6"/>
    <w:pPr>
      <w:numPr>
        <w:numId w:val="12"/>
      </w:numPr>
    </w:pPr>
  </w:style>
  <w:style w:type="paragraph" w:styleId="NormalWeb">
    <w:name w:val="Normal (Web)"/>
    <w:basedOn w:val="Normal"/>
    <w:rsid w:val="00322AE6"/>
    <w:pPr>
      <w:spacing w:after="0"/>
      <w:ind w:firstLine="450"/>
      <w:jc w:val="left"/>
    </w:pPr>
    <w:rPr>
      <w:rFonts w:eastAsia="Times New Roman" w:cs="Times New Roman"/>
      <w:sz w:val="24"/>
      <w:szCs w:val="24"/>
      <w:lang w:eastAsia="lv-LV"/>
    </w:rPr>
  </w:style>
  <w:style w:type="paragraph" w:customStyle="1" w:styleId="programmas">
    <w:name w:val="programmas"/>
    <w:basedOn w:val="Normal"/>
    <w:rsid w:val="00322AE6"/>
    <w:pPr>
      <w:spacing w:before="100" w:beforeAutospacing="1" w:after="100" w:afterAutospacing="1"/>
      <w:ind w:firstLine="0"/>
      <w:jc w:val="left"/>
    </w:pPr>
    <w:rPr>
      <w:rFonts w:eastAsia="Calibri" w:cs="Times New Roman"/>
      <w:sz w:val="24"/>
      <w:szCs w:val="24"/>
      <w:lang w:val="en-US"/>
    </w:rPr>
  </w:style>
  <w:style w:type="numbering" w:customStyle="1" w:styleId="1111111">
    <w:name w:val="1 / 1.1 / 1.1.11"/>
    <w:basedOn w:val="NoList"/>
    <w:next w:val="111111"/>
    <w:rsid w:val="00322AE6"/>
    <w:pPr>
      <w:numPr>
        <w:numId w:val="10"/>
      </w:numPr>
    </w:pPr>
  </w:style>
  <w:style w:type="character" w:customStyle="1" w:styleId="contentpaneopen1">
    <w:name w:val="contentpaneopen1"/>
    <w:rsid w:val="00322AE6"/>
    <w:rPr>
      <w:rFonts w:ascii="Arial" w:hAnsi="Arial" w:cs="Arial" w:hint="default"/>
      <w:sz w:val="21"/>
      <w:szCs w:val="21"/>
    </w:rPr>
  </w:style>
  <w:style w:type="numbering" w:customStyle="1" w:styleId="1111112">
    <w:name w:val="1 / 1.1 / 1.1.12"/>
    <w:basedOn w:val="NoList"/>
    <w:next w:val="111111"/>
    <w:rsid w:val="00322AE6"/>
    <w:pPr>
      <w:numPr>
        <w:numId w:val="11"/>
      </w:numPr>
    </w:pPr>
  </w:style>
  <w:style w:type="paragraph" w:customStyle="1" w:styleId="naiskr">
    <w:name w:val="naiskr"/>
    <w:basedOn w:val="Normal"/>
    <w:uiPriority w:val="99"/>
    <w:rsid w:val="00322AE6"/>
    <w:pPr>
      <w:spacing w:before="100" w:beforeAutospacing="1" w:after="100" w:afterAutospacing="1"/>
      <w:ind w:firstLine="0"/>
      <w:jc w:val="left"/>
    </w:pPr>
    <w:rPr>
      <w:rFonts w:eastAsia="Times New Roman" w:cs="Times New Roman"/>
      <w:sz w:val="24"/>
      <w:szCs w:val="24"/>
      <w:lang w:eastAsia="lv-LV"/>
    </w:rPr>
  </w:style>
  <w:style w:type="paragraph" w:customStyle="1" w:styleId="cipari">
    <w:name w:val="cipari"/>
    <w:basedOn w:val="Normal"/>
    <w:link w:val="cipariChar"/>
    <w:uiPriority w:val="99"/>
    <w:rsid w:val="00322AE6"/>
    <w:pPr>
      <w:suppressAutoHyphens/>
      <w:ind w:left="709" w:hanging="709"/>
    </w:pPr>
    <w:rPr>
      <w:rFonts w:ascii="Calibri" w:eastAsia="Calibri" w:hAnsi="Calibri" w:cs="Times New Roman"/>
      <w:sz w:val="24"/>
      <w:szCs w:val="20"/>
      <w:lang w:val="x-none" w:eastAsia="ar-SA"/>
    </w:rPr>
  </w:style>
  <w:style w:type="character" w:customStyle="1" w:styleId="cipariChar">
    <w:name w:val="cipari Char"/>
    <w:link w:val="cipari"/>
    <w:uiPriority w:val="99"/>
    <w:locked/>
    <w:rsid w:val="00322AE6"/>
    <w:rPr>
      <w:rFonts w:ascii="Calibri" w:eastAsia="Calibri" w:hAnsi="Calibri" w:cs="Times New Roman"/>
      <w:sz w:val="24"/>
      <w:szCs w:val="20"/>
      <w:lang w:val="x-none" w:eastAsia="ar-SA"/>
    </w:rPr>
  </w:style>
  <w:style w:type="paragraph" w:customStyle="1" w:styleId="TableContents">
    <w:name w:val="Table Contents"/>
    <w:basedOn w:val="Normal"/>
    <w:uiPriority w:val="99"/>
    <w:rsid w:val="00322AE6"/>
    <w:pPr>
      <w:suppressLineNumbers/>
      <w:suppressAutoHyphens/>
      <w:spacing w:after="0"/>
      <w:ind w:firstLine="0"/>
      <w:jc w:val="left"/>
    </w:pPr>
    <w:rPr>
      <w:rFonts w:eastAsia="Times New Roman" w:cs="Times New Roman"/>
      <w:sz w:val="20"/>
      <w:szCs w:val="20"/>
      <w:lang w:val="en-US" w:eastAsia="ar-SA"/>
    </w:rPr>
  </w:style>
  <w:style w:type="paragraph" w:styleId="BodyText3">
    <w:name w:val="Body Text 3"/>
    <w:basedOn w:val="Normal"/>
    <w:link w:val="BodyText3Char"/>
    <w:uiPriority w:val="99"/>
    <w:semiHidden/>
    <w:unhideWhenUsed/>
    <w:rsid w:val="00AB33C8"/>
    <w:rPr>
      <w:sz w:val="16"/>
      <w:szCs w:val="16"/>
    </w:rPr>
  </w:style>
  <w:style w:type="character" w:customStyle="1" w:styleId="BodyText3Char">
    <w:name w:val="Body Text 3 Char"/>
    <w:basedOn w:val="DefaultParagraphFont"/>
    <w:link w:val="BodyText3"/>
    <w:uiPriority w:val="99"/>
    <w:semiHidden/>
    <w:rsid w:val="00AB33C8"/>
    <w:rPr>
      <w:sz w:val="16"/>
      <w:szCs w:val="16"/>
    </w:rPr>
  </w:style>
  <w:style w:type="paragraph" w:customStyle="1" w:styleId="Heading33">
    <w:name w:val="Heading3_3"/>
    <w:basedOn w:val="Heading3"/>
    <w:link w:val="Heading33Char"/>
    <w:qFormat/>
    <w:rsid w:val="00F53D19"/>
    <w:pPr>
      <w:jc w:val="center"/>
    </w:pPr>
    <w:rPr>
      <w:b/>
    </w:rPr>
  </w:style>
  <w:style w:type="character" w:customStyle="1" w:styleId="Heading33Char">
    <w:name w:val="Heading3_3 Char"/>
    <w:basedOn w:val="Heading3Char"/>
    <w:link w:val="Heading33"/>
    <w:rsid w:val="00F53D19"/>
    <w:rPr>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4F4"/>
    <w:pPr>
      <w:spacing w:after="120"/>
      <w:ind w:firstLine="709"/>
      <w:jc w:val="both"/>
    </w:pPr>
  </w:style>
  <w:style w:type="paragraph" w:styleId="Heading1">
    <w:name w:val="heading 1"/>
    <w:basedOn w:val="Normal"/>
    <w:next w:val="Normal"/>
    <w:link w:val="Heading1Char"/>
    <w:qFormat/>
    <w:rsid w:val="005034F4"/>
    <w:pPr>
      <w:keepNext/>
      <w:spacing w:before="240" w:after="60"/>
      <w:outlineLvl w:val="0"/>
    </w:pPr>
    <w:rPr>
      <w:b/>
      <w:kern w:val="28"/>
      <w:sz w:val="44"/>
    </w:rPr>
  </w:style>
  <w:style w:type="paragraph" w:styleId="Heading2">
    <w:name w:val="heading 2"/>
    <w:basedOn w:val="Normal"/>
    <w:next w:val="Normal"/>
    <w:link w:val="Heading2Char"/>
    <w:qFormat/>
    <w:rsid w:val="005034F4"/>
    <w:pPr>
      <w:keepNext/>
      <w:spacing w:before="240" w:after="60"/>
      <w:jc w:val="center"/>
      <w:outlineLvl w:val="1"/>
    </w:pPr>
    <w:rPr>
      <w:b/>
      <w:sz w:val="36"/>
    </w:rPr>
  </w:style>
  <w:style w:type="paragraph" w:styleId="Heading3">
    <w:name w:val="heading 3"/>
    <w:basedOn w:val="Normal"/>
    <w:next w:val="Normal"/>
    <w:link w:val="Heading3Char"/>
    <w:qFormat/>
    <w:rsid w:val="005034F4"/>
    <w:pPr>
      <w:keepNext/>
      <w:spacing w:before="240" w:after="60"/>
      <w:outlineLvl w:val="2"/>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34F4"/>
    <w:rPr>
      <w:rFonts w:eastAsia="Times New Roman" w:cs="Times New Roman"/>
      <w:b/>
      <w:kern w:val="28"/>
      <w:sz w:val="44"/>
      <w:szCs w:val="20"/>
    </w:rPr>
  </w:style>
  <w:style w:type="character" w:customStyle="1" w:styleId="Heading2Char">
    <w:name w:val="Heading 2 Char"/>
    <w:basedOn w:val="DefaultParagraphFont"/>
    <w:link w:val="Heading2"/>
    <w:rsid w:val="005034F4"/>
    <w:rPr>
      <w:b/>
      <w:sz w:val="36"/>
    </w:rPr>
  </w:style>
  <w:style w:type="character" w:customStyle="1" w:styleId="Heading3Char">
    <w:name w:val="Heading 3 Char"/>
    <w:basedOn w:val="DefaultParagraphFont"/>
    <w:link w:val="Heading3"/>
    <w:rsid w:val="005034F4"/>
    <w:rPr>
      <w:sz w:val="32"/>
    </w:rPr>
  </w:style>
  <w:style w:type="paragraph" w:customStyle="1" w:styleId="H2">
    <w:name w:val="H2"/>
    <w:rsid w:val="006A276C"/>
    <w:pPr>
      <w:spacing w:after="120"/>
      <w:jc w:val="center"/>
      <w:outlineLvl w:val="1"/>
    </w:pPr>
    <w:rPr>
      <w:rFonts w:eastAsia="Times New Roman" w:cs="Times New Roman"/>
      <w:b/>
      <w:sz w:val="36"/>
      <w:szCs w:val="20"/>
    </w:rPr>
  </w:style>
  <w:style w:type="paragraph" w:customStyle="1" w:styleId="Z">
    <w:name w:val="Z"/>
    <w:basedOn w:val="Normal"/>
    <w:uiPriority w:val="99"/>
    <w:rsid w:val="006A276C"/>
    <w:pPr>
      <w:ind w:firstLine="0"/>
      <w:jc w:val="center"/>
    </w:pPr>
    <w:rPr>
      <w:b/>
      <w:i/>
    </w:rPr>
  </w:style>
  <w:style w:type="paragraph" w:styleId="FootnoteText">
    <w:name w:val="footnote text"/>
    <w:basedOn w:val="Normal"/>
    <w:link w:val="FootnoteTextChar"/>
    <w:uiPriority w:val="99"/>
    <w:semiHidden/>
    <w:rsid w:val="006A276C"/>
    <w:pPr>
      <w:spacing w:after="0"/>
      <w:ind w:left="284" w:hanging="284"/>
    </w:pPr>
    <w:rPr>
      <w:sz w:val="20"/>
    </w:rPr>
  </w:style>
  <w:style w:type="character" w:customStyle="1" w:styleId="FootnoteTextChar">
    <w:name w:val="Footnote Text Char"/>
    <w:basedOn w:val="DefaultParagraphFont"/>
    <w:link w:val="FootnoteText"/>
    <w:uiPriority w:val="99"/>
    <w:semiHidden/>
    <w:rsid w:val="006A276C"/>
    <w:rPr>
      <w:rFonts w:eastAsia="Times New Roman" w:cs="Times New Roman"/>
      <w:sz w:val="20"/>
      <w:szCs w:val="20"/>
    </w:rPr>
  </w:style>
  <w:style w:type="character" w:styleId="FootnoteReference">
    <w:name w:val="footnote reference"/>
    <w:semiHidden/>
    <w:rsid w:val="006A276C"/>
    <w:rPr>
      <w:rFonts w:ascii="Garamond" w:hAnsi="Garamond"/>
      <w:noProof w:val="0"/>
      <w:vertAlign w:val="superscript"/>
      <w:lang w:val="lv-LV"/>
    </w:rPr>
  </w:style>
  <w:style w:type="paragraph" w:styleId="BalloonText">
    <w:name w:val="Balloon Text"/>
    <w:basedOn w:val="Normal"/>
    <w:link w:val="BalloonTextChar"/>
    <w:uiPriority w:val="99"/>
    <w:semiHidden/>
    <w:unhideWhenUsed/>
    <w:rsid w:val="006A27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76C"/>
    <w:rPr>
      <w:rFonts w:ascii="Tahoma" w:eastAsia="Times New Roman" w:hAnsi="Tahoma" w:cs="Tahoma"/>
      <w:sz w:val="16"/>
      <w:szCs w:val="16"/>
    </w:rPr>
  </w:style>
  <w:style w:type="paragraph" w:customStyle="1" w:styleId="H3">
    <w:name w:val="H3"/>
    <w:rsid w:val="006A276C"/>
    <w:pPr>
      <w:spacing w:after="120"/>
      <w:jc w:val="center"/>
      <w:outlineLvl w:val="2"/>
    </w:pPr>
    <w:rPr>
      <w:rFonts w:eastAsia="Times New Roman" w:cs="Times New Roman"/>
      <w:b/>
      <w:sz w:val="32"/>
      <w:szCs w:val="20"/>
    </w:rPr>
  </w:style>
  <w:style w:type="paragraph" w:customStyle="1" w:styleId="T">
    <w:name w:val="T"/>
    <w:basedOn w:val="Normal"/>
    <w:rsid w:val="006A276C"/>
    <w:pPr>
      <w:ind w:firstLine="0"/>
      <w:jc w:val="center"/>
    </w:pPr>
    <w:rPr>
      <w:b/>
      <w:i/>
    </w:rPr>
  </w:style>
  <w:style w:type="paragraph" w:customStyle="1" w:styleId="tabteksts">
    <w:name w:val="tab_teksts"/>
    <w:basedOn w:val="Normal"/>
    <w:rsid w:val="006A276C"/>
    <w:pPr>
      <w:spacing w:after="0"/>
      <w:ind w:firstLine="0"/>
      <w:jc w:val="left"/>
    </w:pPr>
    <w:rPr>
      <w:sz w:val="20"/>
    </w:rPr>
  </w:style>
  <w:style w:type="paragraph" w:styleId="Footer">
    <w:name w:val="footer"/>
    <w:basedOn w:val="Normal"/>
    <w:link w:val="FooterChar"/>
    <w:uiPriority w:val="99"/>
    <w:rsid w:val="006A276C"/>
    <w:pPr>
      <w:tabs>
        <w:tab w:val="center" w:pos="4153"/>
        <w:tab w:val="right" w:pos="8306"/>
      </w:tabs>
      <w:spacing w:after="0"/>
      <w:ind w:firstLine="0"/>
    </w:pPr>
    <w:rPr>
      <w:sz w:val="20"/>
    </w:rPr>
  </w:style>
  <w:style w:type="character" w:customStyle="1" w:styleId="FooterChar">
    <w:name w:val="Footer Char"/>
    <w:basedOn w:val="DefaultParagraphFont"/>
    <w:link w:val="Footer"/>
    <w:uiPriority w:val="99"/>
    <w:rsid w:val="006A276C"/>
    <w:rPr>
      <w:rFonts w:eastAsia="Times New Roman" w:cs="Times New Roman"/>
      <w:sz w:val="20"/>
      <w:szCs w:val="20"/>
    </w:rPr>
  </w:style>
  <w:style w:type="character" w:styleId="PageNumber">
    <w:name w:val="page number"/>
    <w:basedOn w:val="DefaultParagraphFont"/>
    <w:rsid w:val="006A276C"/>
  </w:style>
  <w:style w:type="paragraph" w:styleId="Header">
    <w:name w:val="header"/>
    <w:basedOn w:val="Normal"/>
    <w:link w:val="HeaderChar"/>
    <w:rsid w:val="006A276C"/>
    <w:pPr>
      <w:tabs>
        <w:tab w:val="center" w:pos="4153"/>
        <w:tab w:val="right" w:pos="8306"/>
      </w:tabs>
      <w:spacing w:after="0"/>
      <w:ind w:firstLine="0"/>
    </w:pPr>
    <w:rPr>
      <w:sz w:val="24"/>
    </w:rPr>
  </w:style>
  <w:style w:type="character" w:customStyle="1" w:styleId="HeaderChar">
    <w:name w:val="Header Char"/>
    <w:basedOn w:val="DefaultParagraphFont"/>
    <w:link w:val="Header"/>
    <w:rsid w:val="006A276C"/>
    <w:rPr>
      <w:rFonts w:eastAsia="Times New Roman" w:cs="Times New Roman"/>
      <w:sz w:val="24"/>
      <w:szCs w:val="20"/>
    </w:rPr>
  </w:style>
  <w:style w:type="paragraph" w:styleId="TOC2">
    <w:name w:val="toc 2"/>
    <w:basedOn w:val="Normal"/>
    <w:next w:val="Normal"/>
    <w:autoRedefine/>
    <w:uiPriority w:val="39"/>
    <w:rsid w:val="00D470A2"/>
    <w:pPr>
      <w:tabs>
        <w:tab w:val="left" w:pos="1400"/>
        <w:tab w:val="right" w:leader="dot" w:pos="8222"/>
      </w:tabs>
      <w:spacing w:after="0"/>
      <w:ind w:left="709" w:hanging="709"/>
    </w:pPr>
    <w:rPr>
      <w:noProof/>
    </w:rPr>
  </w:style>
  <w:style w:type="paragraph" w:styleId="TOC1">
    <w:name w:val="toc 1"/>
    <w:basedOn w:val="Normal"/>
    <w:next w:val="Normal"/>
    <w:autoRedefine/>
    <w:uiPriority w:val="39"/>
    <w:rsid w:val="00B55D5C"/>
    <w:pPr>
      <w:tabs>
        <w:tab w:val="right" w:leader="dot" w:pos="8222"/>
      </w:tabs>
      <w:spacing w:after="0"/>
      <w:ind w:right="1274" w:firstLine="0"/>
    </w:pPr>
    <w:rPr>
      <w:noProof/>
      <w:szCs w:val="32"/>
    </w:rPr>
  </w:style>
  <w:style w:type="paragraph" w:styleId="TOC3">
    <w:name w:val="toc 3"/>
    <w:basedOn w:val="Normal"/>
    <w:next w:val="Normal"/>
    <w:autoRedefine/>
    <w:uiPriority w:val="39"/>
    <w:rsid w:val="00073A67"/>
    <w:pPr>
      <w:tabs>
        <w:tab w:val="left" w:pos="709"/>
        <w:tab w:val="right" w:leader="dot" w:pos="8222"/>
        <w:tab w:val="left" w:pos="8364"/>
      </w:tabs>
      <w:spacing w:after="0"/>
      <w:ind w:right="-141" w:firstLine="0"/>
    </w:pPr>
    <w:rPr>
      <w:noProof/>
    </w:rPr>
  </w:style>
  <w:style w:type="paragraph" w:customStyle="1" w:styleId="H1">
    <w:name w:val="H1"/>
    <w:rsid w:val="006A276C"/>
    <w:pPr>
      <w:spacing w:after="120"/>
      <w:jc w:val="center"/>
      <w:outlineLvl w:val="0"/>
    </w:pPr>
    <w:rPr>
      <w:rFonts w:eastAsia="Times New Roman" w:cs="Times New Roman"/>
      <w:b/>
      <w:sz w:val="44"/>
      <w:szCs w:val="20"/>
    </w:rPr>
  </w:style>
  <w:style w:type="paragraph" w:styleId="BodyTextIndent3">
    <w:name w:val="Body Text Indent 3"/>
    <w:basedOn w:val="Normal"/>
    <w:link w:val="BodyTextIndent3Char"/>
    <w:uiPriority w:val="99"/>
    <w:semiHidden/>
    <w:rsid w:val="006A276C"/>
    <w:pPr>
      <w:overflowPunct w:val="0"/>
      <w:autoSpaceDE w:val="0"/>
      <w:autoSpaceDN w:val="0"/>
      <w:adjustRightInd w:val="0"/>
      <w:textAlignment w:val="baseline"/>
    </w:pPr>
  </w:style>
  <w:style w:type="character" w:customStyle="1" w:styleId="BodyTextIndent3Char">
    <w:name w:val="Body Text Indent 3 Char"/>
    <w:basedOn w:val="DefaultParagraphFont"/>
    <w:link w:val="BodyTextIndent3"/>
    <w:uiPriority w:val="99"/>
    <w:semiHidden/>
    <w:rsid w:val="006A276C"/>
    <w:rPr>
      <w:rFonts w:eastAsia="Times New Roman" w:cs="Times New Roman"/>
      <w:szCs w:val="20"/>
    </w:rPr>
  </w:style>
  <w:style w:type="paragraph" w:customStyle="1" w:styleId="H4">
    <w:name w:val="H4"/>
    <w:rsid w:val="006A276C"/>
    <w:pPr>
      <w:spacing w:after="120"/>
      <w:jc w:val="center"/>
      <w:outlineLvl w:val="3"/>
    </w:pPr>
    <w:rPr>
      <w:rFonts w:eastAsia="Times New Roman" w:cs="Times New Roman"/>
      <w:b/>
      <w:szCs w:val="20"/>
    </w:rPr>
  </w:style>
  <w:style w:type="character" w:styleId="Hyperlink">
    <w:name w:val="Hyperlink"/>
    <w:uiPriority w:val="99"/>
    <w:rsid w:val="006A276C"/>
    <w:rPr>
      <w:color w:val="0000FF"/>
      <w:u w:val="single"/>
    </w:rPr>
  </w:style>
  <w:style w:type="paragraph" w:styleId="BodyText">
    <w:name w:val="Body Text"/>
    <w:basedOn w:val="Normal"/>
    <w:link w:val="BodyTextChar"/>
    <w:uiPriority w:val="99"/>
    <w:semiHidden/>
    <w:unhideWhenUsed/>
    <w:rsid w:val="006A276C"/>
  </w:style>
  <w:style w:type="character" w:customStyle="1" w:styleId="BodyTextChar">
    <w:name w:val="Body Text Char"/>
    <w:basedOn w:val="DefaultParagraphFont"/>
    <w:link w:val="BodyText"/>
    <w:uiPriority w:val="99"/>
    <w:semiHidden/>
    <w:rsid w:val="006A276C"/>
    <w:rPr>
      <w:rFonts w:eastAsia="Times New Roman" w:cs="Times New Roman"/>
      <w:szCs w:val="20"/>
    </w:rPr>
  </w:style>
  <w:style w:type="character" w:customStyle="1" w:styleId="BodyTextIndent2Char">
    <w:name w:val="Body Text Indent 2 Char"/>
    <w:link w:val="BodyTextIndent2"/>
    <w:uiPriority w:val="99"/>
    <w:semiHidden/>
    <w:rsid w:val="006A276C"/>
    <w:rPr>
      <w:rFonts w:eastAsia="Times New Roman"/>
    </w:rPr>
  </w:style>
  <w:style w:type="paragraph" w:styleId="BodyTextIndent2">
    <w:name w:val="Body Text Indent 2"/>
    <w:basedOn w:val="Normal"/>
    <w:link w:val="BodyTextIndent2Char"/>
    <w:uiPriority w:val="99"/>
    <w:semiHidden/>
    <w:unhideWhenUsed/>
    <w:rsid w:val="006A276C"/>
    <w:pPr>
      <w:spacing w:line="480" w:lineRule="auto"/>
      <w:ind w:left="283"/>
    </w:pPr>
    <w:rPr>
      <w:szCs w:val="22"/>
    </w:rPr>
  </w:style>
  <w:style w:type="character" w:customStyle="1" w:styleId="BodyTextIndent2Char1">
    <w:name w:val="Body Text Indent 2 Char1"/>
    <w:basedOn w:val="DefaultParagraphFont"/>
    <w:uiPriority w:val="99"/>
    <w:semiHidden/>
    <w:rsid w:val="006A276C"/>
    <w:rPr>
      <w:rFonts w:eastAsia="Times New Roman" w:cs="Times New Roman"/>
      <w:szCs w:val="20"/>
    </w:rPr>
  </w:style>
  <w:style w:type="character" w:customStyle="1" w:styleId="EndnoteTextChar">
    <w:name w:val="Endnote Text Char"/>
    <w:link w:val="EndnoteText"/>
    <w:uiPriority w:val="99"/>
    <w:semiHidden/>
    <w:rsid w:val="006A276C"/>
    <w:rPr>
      <w:rFonts w:eastAsia="Times New Roman"/>
    </w:rPr>
  </w:style>
  <w:style w:type="paragraph" w:styleId="EndnoteText">
    <w:name w:val="endnote text"/>
    <w:basedOn w:val="Normal"/>
    <w:link w:val="EndnoteTextChar"/>
    <w:uiPriority w:val="99"/>
    <w:semiHidden/>
    <w:unhideWhenUsed/>
    <w:rsid w:val="006A276C"/>
    <w:rPr>
      <w:szCs w:val="22"/>
    </w:rPr>
  </w:style>
  <w:style w:type="character" w:customStyle="1" w:styleId="EndnoteTextChar1">
    <w:name w:val="Endnote Text Char1"/>
    <w:basedOn w:val="DefaultParagraphFont"/>
    <w:uiPriority w:val="99"/>
    <w:semiHidden/>
    <w:rsid w:val="006A276C"/>
    <w:rPr>
      <w:rFonts w:eastAsia="Times New Roman" w:cs="Times New Roman"/>
      <w:sz w:val="20"/>
      <w:szCs w:val="20"/>
    </w:rPr>
  </w:style>
  <w:style w:type="paragraph" w:customStyle="1" w:styleId="tabnum">
    <w:name w:val="tab_num"/>
    <w:basedOn w:val="Normal"/>
    <w:autoRedefine/>
    <w:rsid w:val="006A276C"/>
    <w:pPr>
      <w:keepLines/>
      <w:ind w:firstLine="0"/>
      <w:jc w:val="right"/>
    </w:pPr>
    <w:rPr>
      <w:rFonts w:ascii="Garamond" w:hAnsi="Garamond"/>
      <w:sz w:val="24"/>
    </w:rPr>
  </w:style>
  <w:style w:type="paragraph" w:styleId="TOC4">
    <w:name w:val="toc 4"/>
    <w:basedOn w:val="Normal"/>
    <w:next w:val="Normal"/>
    <w:autoRedefine/>
    <w:semiHidden/>
    <w:rsid w:val="006A276C"/>
    <w:pPr>
      <w:ind w:left="840"/>
    </w:pPr>
  </w:style>
  <w:style w:type="paragraph" w:styleId="TOC5">
    <w:name w:val="toc 5"/>
    <w:basedOn w:val="Normal"/>
    <w:next w:val="Normal"/>
    <w:autoRedefine/>
    <w:semiHidden/>
    <w:rsid w:val="006A276C"/>
    <w:pPr>
      <w:ind w:left="1120"/>
    </w:pPr>
  </w:style>
  <w:style w:type="paragraph" w:styleId="TOC6">
    <w:name w:val="toc 6"/>
    <w:basedOn w:val="Normal"/>
    <w:next w:val="Normal"/>
    <w:autoRedefine/>
    <w:semiHidden/>
    <w:rsid w:val="006A276C"/>
    <w:pPr>
      <w:ind w:left="1400"/>
    </w:pPr>
  </w:style>
  <w:style w:type="paragraph" w:styleId="TOC7">
    <w:name w:val="toc 7"/>
    <w:basedOn w:val="Normal"/>
    <w:next w:val="Normal"/>
    <w:autoRedefine/>
    <w:semiHidden/>
    <w:rsid w:val="006A276C"/>
    <w:pPr>
      <w:ind w:left="1680"/>
    </w:pPr>
  </w:style>
  <w:style w:type="paragraph" w:styleId="TOC8">
    <w:name w:val="toc 8"/>
    <w:basedOn w:val="Normal"/>
    <w:next w:val="Normal"/>
    <w:autoRedefine/>
    <w:semiHidden/>
    <w:rsid w:val="006A276C"/>
    <w:pPr>
      <w:ind w:left="1960"/>
    </w:pPr>
  </w:style>
  <w:style w:type="paragraph" w:styleId="TOC9">
    <w:name w:val="toc 9"/>
    <w:basedOn w:val="Normal"/>
    <w:next w:val="Normal"/>
    <w:autoRedefine/>
    <w:semiHidden/>
    <w:rsid w:val="006A276C"/>
    <w:pPr>
      <w:ind w:left="2240"/>
    </w:pPr>
  </w:style>
  <w:style w:type="table" w:styleId="TableGrid">
    <w:name w:val="Table Grid"/>
    <w:basedOn w:val="TableNormal"/>
    <w:uiPriority w:val="59"/>
    <w:rsid w:val="006A276C"/>
    <w:rPr>
      <w:rFonts w:eastAsia="Times New Roman" w:cs="Times New Roman"/>
      <w:sz w:val="20"/>
      <w:szCs w:val="20"/>
      <w:lang w:eastAsia="lv-LV"/>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dnoteReference">
    <w:name w:val="endnote reference"/>
    <w:uiPriority w:val="99"/>
    <w:semiHidden/>
    <w:unhideWhenUsed/>
    <w:rsid w:val="006A276C"/>
    <w:rPr>
      <w:vertAlign w:val="superscript"/>
    </w:rPr>
  </w:style>
  <w:style w:type="paragraph" w:customStyle="1" w:styleId="StyleLeft194cmFirstline0cm">
    <w:name w:val="Style Left:  194 cm First line:  0 cm"/>
    <w:basedOn w:val="Normal"/>
    <w:rsid w:val="006A276C"/>
    <w:pPr>
      <w:ind w:left="1089" w:firstLine="0"/>
    </w:pPr>
  </w:style>
  <w:style w:type="character" w:customStyle="1" w:styleId="BodyText2Char">
    <w:name w:val="Body Text 2 Char"/>
    <w:link w:val="BodyText2"/>
    <w:uiPriority w:val="99"/>
    <w:semiHidden/>
    <w:rsid w:val="006A276C"/>
    <w:rPr>
      <w:rFonts w:eastAsia="Times New Roman"/>
    </w:rPr>
  </w:style>
  <w:style w:type="paragraph" w:styleId="BodyText2">
    <w:name w:val="Body Text 2"/>
    <w:basedOn w:val="Normal"/>
    <w:link w:val="BodyText2Char"/>
    <w:uiPriority w:val="99"/>
    <w:semiHidden/>
    <w:unhideWhenUsed/>
    <w:rsid w:val="006A276C"/>
    <w:pPr>
      <w:spacing w:line="480" w:lineRule="auto"/>
    </w:pPr>
    <w:rPr>
      <w:szCs w:val="22"/>
    </w:rPr>
  </w:style>
  <w:style w:type="character" w:customStyle="1" w:styleId="BodyText2Char1">
    <w:name w:val="Body Text 2 Char1"/>
    <w:basedOn w:val="DefaultParagraphFont"/>
    <w:uiPriority w:val="99"/>
    <w:semiHidden/>
    <w:rsid w:val="006A276C"/>
    <w:rPr>
      <w:rFonts w:eastAsia="Times New Roman" w:cs="Times New Roman"/>
      <w:szCs w:val="20"/>
    </w:rPr>
  </w:style>
  <w:style w:type="paragraph" w:customStyle="1" w:styleId="teksts">
    <w:name w:val="teksts"/>
    <w:rsid w:val="006A276C"/>
    <w:pPr>
      <w:spacing w:after="120"/>
      <w:jc w:val="both"/>
    </w:pPr>
    <w:rPr>
      <w:rFonts w:ascii="Garamond" w:eastAsia="Times New Roman" w:hAnsi="Garamond" w:cs="Times New Roman"/>
      <w:sz w:val="24"/>
      <w:szCs w:val="20"/>
    </w:rPr>
  </w:style>
  <w:style w:type="paragraph" w:styleId="ListParagraph">
    <w:name w:val="List Paragraph"/>
    <w:basedOn w:val="Normal"/>
    <w:uiPriority w:val="34"/>
    <w:qFormat/>
    <w:rsid w:val="006A276C"/>
    <w:pPr>
      <w:ind w:left="720"/>
      <w:contextualSpacing/>
    </w:pPr>
  </w:style>
  <w:style w:type="paragraph" w:customStyle="1" w:styleId="Default">
    <w:name w:val="Default"/>
    <w:rsid w:val="006A276C"/>
    <w:pPr>
      <w:autoSpaceDE w:val="0"/>
      <w:autoSpaceDN w:val="0"/>
      <w:adjustRightInd w:val="0"/>
    </w:pPr>
    <w:rPr>
      <w:rFonts w:eastAsia="Calibri" w:cs="Times New Roman"/>
      <w:color w:val="000000"/>
      <w:sz w:val="24"/>
      <w:szCs w:val="24"/>
      <w:lang w:eastAsia="lv-LV"/>
    </w:rPr>
  </w:style>
  <w:style w:type="paragraph" w:customStyle="1" w:styleId="tabtekst">
    <w:name w:val="tab_tekst"/>
    <w:basedOn w:val="Normal"/>
    <w:rsid w:val="006A276C"/>
    <w:pPr>
      <w:spacing w:after="0"/>
      <w:ind w:firstLine="0"/>
      <w:jc w:val="left"/>
    </w:pPr>
    <w:rPr>
      <w:color w:val="000000"/>
      <w:sz w:val="20"/>
    </w:rPr>
  </w:style>
  <w:style w:type="paragraph" w:styleId="NoSpacing">
    <w:name w:val="No Spacing"/>
    <w:uiPriority w:val="1"/>
    <w:qFormat/>
    <w:rsid w:val="006A276C"/>
    <w:rPr>
      <w:rFonts w:eastAsia="Times New Roman" w:cs="Times New Roman"/>
      <w:sz w:val="20"/>
      <w:szCs w:val="20"/>
    </w:rPr>
  </w:style>
  <w:style w:type="paragraph" w:customStyle="1" w:styleId="tekstsbul">
    <w:name w:val="teksts_bul"/>
    <w:basedOn w:val="Normal"/>
    <w:rsid w:val="006A276C"/>
    <w:pPr>
      <w:spacing w:after="0"/>
      <w:ind w:left="720" w:hanging="360"/>
    </w:pPr>
    <w:rPr>
      <w:rFonts w:ascii="Garamond" w:hAnsi="Garamond"/>
      <w:snapToGrid w:val="0"/>
      <w:sz w:val="24"/>
    </w:rPr>
  </w:style>
  <w:style w:type="paragraph" w:customStyle="1" w:styleId="virsr21">
    <w:name w:val="virsr_21"/>
    <w:basedOn w:val="Normal"/>
    <w:rsid w:val="006A276C"/>
    <w:pPr>
      <w:keepNext/>
      <w:numPr>
        <w:numId w:val="6"/>
      </w:numPr>
      <w:tabs>
        <w:tab w:val="clear" w:pos="502"/>
      </w:tabs>
      <w:spacing w:before="360"/>
      <w:ind w:left="0" w:firstLine="0"/>
      <w:jc w:val="left"/>
      <w:outlineLvl w:val="2"/>
    </w:pPr>
    <w:rPr>
      <w:rFonts w:ascii="Garamond" w:hAnsi="Garamond"/>
      <w:b/>
      <w:snapToGrid w:val="0"/>
      <w:sz w:val="24"/>
    </w:rPr>
  </w:style>
  <w:style w:type="paragraph" w:customStyle="1" w:styleId="teksts1r">
    <w:name w:val="teksts_1r"/>
    <w:basedOn w:val="teksts"/>
    <w:rsid w:val="006A276C"/>
    <w:pPr>
      <w:spacing w:before="120"/>
    </w:pPr>
    <w:rPr>
      <w:snapToGrid w:val="0"/>
    </w:rPr>
  </w:style>
  <w:style w:type="character" w:customStyle="1" w:styleId="mediumtext">
    <w:name w:val="mediumtext"/>
    <w:uiPriority w:val="99"/>
    <w:rsid w:val="006A276C"/>
    <w:rPr>
      <w:rFonts w:cs="Times New Roman"/>
    </w:rPr>
  </w:style>
  <w:style w:type="paragraph" w:styleId="Caption">
    <w:name w:val="caption"/>
    <w:basedOn w:val="Normal"/>
    <w:next w:val="Normal"/>
    <w:uiPriority w:val="35"/>
    <w:unhideWhenUsed/>
    <w:qFormat/>
    <w:rsid w:val="00E519E7"/>
    <w:pPr>
      <w:spacing w:after="200"/>
    </w:pPr>
    <w:rPr>
      <w:b/>
      <w:bCs/>
      <w:color w:val="4F81BD" w:themeColor="accent1"/>
      <w:sz w:val="18"/>
      <w:szCs w:val="18"/>
    </w:rPr>
  </w:style>
  <w:style w:type="paragraph" w:styleId="TOCHeading">
    <w:name w:val="TOC Heading"/>
    <w:basedOn w:val="Heading1"/>
    <w:next w:val="Normal"/>
    <w:uiPriority w:val="39"/>
    <w:unhideWhenUsed/>
    <w:qFormat/>
    <w:rsid w:val="00E519E7"/>
    <w:pPr>
      <w:keepLines/>
      <w:spacing w:before="480" w:after="0" w:line="276" w:lineRule="auto"/>
      <w:ind w:firstLine="0"/>
      <w:jc w:val="left"/>
      <w:outlineLvl w:val="9"/>
    </w:pPr>
    <w:rPr>
      <w:rFonts w:asciiTheme="majorHAnsi" w:eastAsiaTheme="majorEastAsia" w:hAnsiTheme="majorHAnsi" w:cstheme="majorBidi"/>
      <w:bCs/>
      <w:color w:val="365F91" w:themeColor="accent1" w:themeShade="BF"/>
      <w:kern w:val="0"/>
      <w:sz w:val="28"/>
      <w:lang w:val="en-US" w:eastAsia="ja-JP"/>
    </w:rPr>
  </w:style>
  <w:style w:type="character" w:styleId="LineNumber">
    <w:name w:val="line number"/>
    <w:basedOn w:val="DefaultParagraphFont"/>
    <w:uiPriority w:val="99"/>
    <w:semiHidden/>
    <w:unhideWhenUsed/>
    <w:rsid w:val="00E519E7"/>
  </w:style>
  <w:style w:type="character" w:styleId="CommentReference">
    <w:name w:val="annotation reference"/>
    <w:basedOn w:val="DefaultParagraphFont"/>
    <w:uiPriority w:val="99"/>
    <w:semiHidden/>
    <w:unhideWhenUsed/>
    <w:rsid w:val="0017122C"/>
    <w:rPr>
      <w:sz w:val="16"/>
      <w:szCs w:val="16"/>
    </w:rPr>
  </w:style>
  <w:style w:type="paragraph" w:styleId="CommentText">
    <w:name w:val="annotation text"/>
    <w:basedOn w:val="Normal"/>
    <w:link w:val="CommentTextChar"/>
    <w:uiPriority w:val="99"/>
    <w:semiHidden/>
    <w:unhideWhenUsed/>
    <w:rsid w:val="0017122C"/>
    <w:rPr>
      <w:sz w:val="20"/>
      <w:szCs w:val="20"/>
    </w:rPr>
  </w:style>
  <w:style w:type="character" w:customStyle="1" w:styleId="CommentTextChar">
    <w:name w:val="Comment Text Char"/>
    <w:basedOn w:val="DefaultParagraphFont"/>
    <w:link w:val="CommentText"/>
    <w:uiPriority w:val="99"/>
    <w:semiHidden/>
    <w:rsid w:val="0017122C"/>
    <w:rPr>
      <w:sz w:val="20"/>
      <w:szCs w:val="20"/>
    </w:rPr>
  </w:style>
  <w:style w:type="paragraph" w:styleId="CommentSubject">
    <w:name w:val="annotation subject"/>
    <w:basedOn w:val="CommentText"/>
    <w:next w:val="CommentText"/>
    <w:link w:val="CommentSubjectChar"/>
    <w:uiPriority w:val="99"/>
    <w:semiHidden/>
    <w:unhideWhenUsed/>
    <w:rsid w:val="0017122C"/>
    <w:rPr>
      <w:b/>
      <w:bCs/>
    </w:rPr>
  </w:style>
  <w:style w:type="character" w:customStyle="1" w:styleId="CommentSubjectChar">
    <w:name w:val="Comment Subject Char"/>
    <w:basedOn w:val="CommentTextChar"/>
    <w:link w:val="CommentSubject"/>
    <w:uiPriority w:val="99"/>
    <w:semiHidden/>
    <w:rsid w:val="0017122C"/>
    <w:rPr>
      <w:b/>
      <w:bCs/>
      <w:sz w:val="20"/>
      <w:szCs w:val="20"/>
    </w:rPr>
  </w:style>
  <w:style w:type="numbering" w:customStyle="1" w:styleId="NoList1">
    <w:name w:val="No List1"/>
    <w:next w:val="NoList"/>
    <w:uiPriority w:val="99"/>
    <w:semiHidden/>
    <w:unhideWhenUsed/>
    <w:rsid w:val="00322AE6"/>
  </w:style>
  <w:style w:type="paragraph" w:styleId="BodyTextIndent">
    <w:name w:val="Body Text Indent"/>
    <w:basedOn w:val="Normal"/>
    <w:link w:val="BodyTextIndentChar"/>
    <w:rsid w:val="00322AE6"/>
    <w:pPr>
      <w:ind w:left="283" w:firstLine="0"/>
    </w:pPr>
    <w:rPr>
      <w:rFonts w:eastAsia="Times New Roman" w:cs="Times New Roman"/>
      <w:sz w:val="24"/>
      <w:szCs w:val="20"/>
      <w:lang w:val="x-none"/>
    </w:rPr>
  </w:style>
  <w:style w:type="character" w:customStyle="1" w:styleId="BodyTextIndentChar">
    <w:name w:val="Body Text Indent Char"/>
    <w:basedOn w:val="DefaultParagraphFont"/>
    <w:link w:val="BodyTextIndent"/>
    <w:rsid w:val="00322AE6"/>
    <w:rPr>
      <w:rFonts w:eastAsia="Times New Roman" w:cs="Times New Roman"/>
      <w:sz w:val="24"/>
      <w:szCs w:val="20"/>
      <w:lang w:val="x-none"/>
    </w:rPr>
  </w:style>
  <w:style w:type="numbering" w:styleId="111111">
    <w:name w:val="Outline List 2"/>
    <w:basedOn w:val="NoList"/>
    <w:uiPriority w:val="99"/>
    <w:rsid w:val="00322AE6"/>
    <w:pPr>
      <w:numPr>
        <w:numId w:val="12"/>
      </w:numPr>
    </w:pPr>
  </w:style>
  <w:style w:type="paragraph" w:styleId="NormalWeb">
    <w:name w:val="Normal (Web)"/>
    <w:basedOn w:val="Normal"/>
    <w:rsid w:val="00322AE6"/>
    <w:pPr>
      <w:spacing w:after="0"/>
      <w:ind w:firstLine="450"/>
      <w:jc w:val="left"/>
    </w:pPr>
    <w:rPr>
      <w:rFonts w:eastAsia="Times New Roman" w:cs="Times New Roman"/>
      <w:sz w:val="24"/>
      <w:szCs w:val="24"/>
      <w:lang w:eastAsia="lv-LV"/>
    </w:rPr>
  </w:style>
  <w:style w:type="paragraph" w:customStyle="1" w:styleId="programmas">
    <w:name w:val="programmas"/>
    <w:basedOn w:val="Normal"/>
    <w:rsid w:val="00322AE6"/>
    <w:pPr>
      <w:spacing w:before="100" w:beforeAutospacing="1" w:after="100" w:afterAutospacing="1"/>
      <w:ind w:firstLine="0"/>
      <w:jc w:val="left"/>
    </w:pPr>
    <w:rPr>
      <w:rFonts w:eastAsia="Calibri" w:cs="Times New Roman"/>
      <w:sz w:val="24"/>
      <w:szCs w:val="24"/>
      <w:lang w:val="en-US"/>
    </w:rPr>
  </w:style>
  <w:style w:type="numbering" w:customStyle="1" w:styleId="1111111">
    <w:name w:val="1 / 1.1 / 1.1.11"/>
    <w:basedOn w:val="NoList"/>
    <w:next w:val="111111"/>
    <w:rsid w:val="00322AE6"/>
    <w:pPr>
      <w:numPr>
        <w:numId w:val="10"/>
      </w:numPr>
    </w:pPr>
  </w:style>
  <w:style w:type="character" w:customStyle="1" w:styleId="contentpaneopen1">
    <w:name w:val="contentpaneopen1"/>
    <w:rsid w:val="00322AE6"/>
    <w:rPr>
      <w:rFonts w:ascii="Arial" w:hAnsi="Arial" w:cs="Arial" w:hint="default"/>
      <w:sz w:val="21"/>
      <w:szCs w:val="21"/>
    </w:rPr>
  </w:style>
  <w:style w:type="numbering" w:customStyle="1" w:styleId="1111112">
    <w:name w:val="1 / 1.1 / 1.1.12"/>
    <w:basedOn w:val="NoList"/>
    <w:next w:val="111111"/>
    <w:rsid w:val="00322AE6"/>
    <w:pPr>
      <w:numPr>
        <w:numId w:val="11"/>
      </w:numPr>
    </w:pPr>
  </w:style>
  <w:style w:type="paragraph" w:customStyle="1" w:styleId="naiskr">
    <w:name w:val="naiskr"/>
    <w:basedOn w:val="Normal"/>
    <w:uiPriority w:val="99"/>
    <w:rsid w:val="00322AE6"/>
    <w:pPr>
      <w:spacing w:before="100" w:beforeAutospacing="1" w:after="100" w:afterAutospacing="1"/>
      <w:ind w:firstLine="0"/>
      <w:jc w:val="left"/>
    </w:pPr>
    <w:rPr>
      <w:rFonts w:eastAsia="Times New Roman" w:cs="Times New Roman"/>
      <w:sz w:val="24"/>
      <w:szCs w:val="24"/>
      <w:lang w:eastAsia="lv-LV"/>
    </w:rPr>
  </w:style>
  <w:style w:type="paragraph" w:customStyle="1" w:styleId="cipari">
    <w:name w:val="cipari"/>
    <w:basedOn w:val="Normal"/>
    <w:link w:val="cipariChar"/>
    <w:uiPriority w:val="99"/>
    <w:rsid w:val="00322AE6"/>
    <w:pPr>
      <w:suppressAutoHyphens/>
      <w:ind w:left="709" w:hanging="709"/>
    </w:pPr>
    <w:rPr>
      <w:rFonts w:ascii="Calibri" w:eastAsia="Calibri" w:hAnsi="Calibri" w:cs="Times New Roman"/>
      <w:sz w:val="24"/>
      <w:szCs w:val="20"/>
      <w:lang w:val="x-none" w:eastAsia="ar-SA"/>
    </w:rPr>
  </w:style>
  <w:style w:type="character" w:customStyle="1" w:styleId="cipariChar">
    <w:name w:val="cipari Char"/>
    <w:link w:val="cipari"/>
    <w:uiPriority w:val="99"/>
    <w:locked/>
    <w:rsid w:val="00322AE6"/>
    <w:rPr>
      <w:rFonts w:ascii="Calibri" w:eastAsia="Calibri" w:hAnsi="Calibri" w:cs="Times New Roman"/>
      <w:sz w:val="24"/>
      <w:szCs w:val="20"/>
      <w:lang w:val="x-none" w:eastAsia="ar-SA"/>
    </w:rPr>
  </w:style>
  <w:style w:type="paragraph" w:customStyle="1" w:styleId="TableContents">
    <w:name w:val="Table Contents"/>
    <w:basedOn w:val="Normal"/>
    <w:uiPriority w:val="99"/>
    <w:rsid w:val="00322AE6"/>
    <w:pPr>
      <w:suppressLineNumbers/>
      <w:suppressAutoHyphens/>
      <w:spacing w:after="0"/>
      <w:ind w:firstLine="0"/>
      <w:jc w:val="left"/>
    </w:pPr>
    <w:rPr>
      <w:rFonts w:eastAsia="Times New Roman" w:cs="Times New Roman"/>
      <w:sz w:val="20"/>
      <w:szCs w:val="20"/>
      <w:lang w:val="en-US" w:eastAsia="ar-SA"/>
    </w:rPr>
  </w:style>
  <w:style w:type="paragraph" w:styleId="BodyText3">
    <w:name w:val="Body Text 3"/>
    <w:basedOn w:val="Normal"/>
    <w:link w:val="BodyText3Char"/>
    <w:uiPriority w:val="99"/>
    <w:semiHidden/>
    <w:unhideWhenUsed/>
    <w:rsid w:val="00AB33C8"/>
    <w:rPr>
      <w:sz w:val="16"/>
      <w:szCs w:val="16"/>
    </w:rPr>
  </w:style>
  <w:style w:type="character" w:customStyle="1" w:styleId="BodyText3Char">
    <w:name w:val="Body Text 3 Char"/>
    <w:basedOn w:val="DefaultParagraphFont"/>
    <w:link w:val="BodyText3"/>
    <w:uiPriority w:val="99"/>
    <w:semiHidden/>
    <w:rsid w:val="00AB33C8"/>
    <w:rPr>
      <w:sz w:val="16"/>
      <w:szCs w:val="16"/>
    </w:rPr>
  </w:style>
  <w:style w:type="paragraph" w:customStyle="1" w:styleId="Heading33">
    <w:name w:val="Heading3_3"/>
    <w:basedOn w:val="Heading3"/>
    <w:link w:val="Heading33Char"/>
    <w:qFormat/>
    <w:rsid w:val="00F53D19"/>
    <w:pPr>
      <w:jc w:val="center"/>
    </w:pPr>
    <w:rPr>
      <w:b/>
    </w:rPr>
  </w:style>
  <w:style w:type="character" w:customStyle="1" w:styleId="Heading33Char">
    <w:name w:val="Heading3_3 Char"/>
    <w:basedOn w:val="Heading3Char"/>
    <w:link w:val="Heading33"/>
    <w:rsid w:val="00F53D19"/>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85952">
      <w:bodyDiv w:val="1"/>
      <w:marLeft w:val="0"/>
      <w:marRight w:val="0"/>
      <w:marTop w:val="0"/>
      <w:marBottom w:val="0"/>
      <w:divBdr>
        <w:top w:val="none" w:sz="0" w:space="0" w:color="auto"/>
        <w:left w:val="none" w:sz="0" w:space="0" w:color="auto"/>
        <w:bottom w:val="none" w:sz="0" w:space="0" w:color="auto"/>
        <w:right w:val="none" w:sz="0" w:space="0" w:color="auto"/>
      </w:divBdr>
    </w:div>
    <w:div w:id="595140063">
      <w:bodyDiv w:val="1"/>
      <w:marLeft w:val="0"/>
      <w:marRight w:val="0"/>
      <w:marTop w:val="0"/>
      <w:marBottom w:val="0"/>
      <w:divBdr>
        <w:top w:val="none" w:sz="0" w:space="0" w:color="auto"/>
        <w:left w:val="none" w:sz="0" w:space="0" w:color="auto"/>
        <w:bottom w:val="none" w:sz="0" w:space="0" w:color="auto"/>
        <w:right w:val="none" w:sz="0" w:space="0" w:color="auto"/>
      </w:divBdr>
    </w:div>
    <w:div w:id="618536324">
      <w:bodyDiv w:val="1"/>
      <w:marLeft w:val="0"/>
      <w:marRight w:val="0"/>
      <w:marTop w:val="0"/>
      <w:marBottom w:val="0"/>
      <w:divBdr>
        <w:top w:val="none" w:sz="0" w:space="0" w:color="auto"/>
        <w:left w:val="none" w:sz="0" w:space="0" w:color="auto"/>
        <w:bottom w:val="none" w:sz="0" w:space="0" w:color="auto"/>
        <w:right w:val="none" w:sz="0" w:space="0" w:color="auto"/>
      </w:divBdr>
    </w:div>
    <w:div w:id="665791694">
      <w:bodyDiv w:val="1"/>
      <w:marLeft w:val="0"/>
      <w:marRight w:val="0"/>
      <w:marTop w:val="0"/>
      <w:marBottom w:val="0"/>
      <w:divBdr>
        <w:top w:val="none" w:sz="0" w:space="0" w:color="auto"/>
        <w:left w:val="none" w:sz="0" w:space="0" w:color="auto"/>
        <w:bottom w:val="none" w:sz="0" w:space="0" w:color="auto"/>
        <w:right w:val="none" w:sz="0" w:space="0" w:color="auto"/>
      </w:divBdr>
    </w:div>
    <w:div w:id="166508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5.emf"/><Relationship Id="rId21" Type="http://schemas.openxmlformats.org/officeDocument/2006/relationships/image" Target="media/image9.emf"/><Relationship Id="rId34" Type="http://schemas.openxmlformats.org/officeDocument/2006/relationships/image" Target="media/image20.png"/><Relationship Id="rId42" Type="http://schemas.openxmlformats.org/officeDocument/2006/relationships/image" Target="media/image28.emf"/><Relationship Id="rId47" Type="http://schemas.openxmlformats.org/officeDocument/2006/relationships/chart" Target="charts/chart4.xml"/><Relationship Id="rId50" Type="http://schemas.openxmlformats.org/officeDocument/2006/relationships/image" Target="media/image32.emf"/><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5.png"/><Relationship Id="rId41" Type="http://schemas.openxmlformats.org/officeDocument/2006/relationships/image" Target="media/image27.emf"/><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emf"/><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chart" Target="charts/chart2.xml"/><Relationship Id="rId36" Type="http://schemas.openxmlformats.org/officeDocument/2006/relationships/image" Target="media/image22.emf"/><Relationship Id="rId49" Type="http://schemas.openxmlformats.org/officeDocument/2006/relationships/chart" Target="charts/chart6.xml"/><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chart" Target="charts/chart1.xm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emf"/><Relationship Id="rId48" Type="http://schemas.openxmlformats.org/officeDocument/2006/relationships/chart" Target="charts/chart5.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Anda.Apse@fm.gov.lv"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td-pansr\Desktop\2012-1ceturksnis\imports-eksports-11-12-ceturksn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td-pansr\Desktop\2012-1ceturksnis\imports-eksports-11-12-ceturksni.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2" Type="http://schemas.openxmlformats.org/officeDocument/2006/relationships/oleObject" Target="file:///\\filex\BD\Kopsavilkuma_nod\Adijane%20Zane\dazadi\izpildes_analize\2012_Icet_izpilde_uz110512\dalas_2010-2011_kopsav_090512.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1"/>
          <c:tx>
            <c:v>Bilance</c:v>
          </c:tx>
          <c:invertIfNegative val="0"/>
          <c:dLbls>
            <c:dLbl>
              <c:idx val="0"/>
              <c:delete val="1"/>
            </c:dLbl>
            <c:dLbl>
              <c:idx val="1"/>
              <c:delete val="1"/>
            </c:dLbl>
            <c:dLbl>
              <c:idx val="2"/>
              <c:layout>
                <c:manualLayout>
                  <c:x val="-4.4677541602442701E-3"/>
                  <c:y val="1.5285326802351033E-2"/>
                </c:manualLayout>
              </c:layout>
              <c:dLblPos val="outEnd"/>
              <c:showLegendKey val="0"/>
              <c:showVal val="1"/>
              <c:showCatName val="0"/>
              <c:showSerName val="0"/>
              <c:showPercent val="0"/>
              <c:showBubbleSize val="0"/>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dLbl>
              <c:idx val="17"/>
              <c:delete val="1"/>
            </c:dLbl>
            <c:dLbl>
              <c:idx val="18"/>
              <c:delete val="1"/>
            </c:dLbl>
            <c:dLbl>
              <c:idx val="19"/>
              <c:delete val="1"/>
            </c:dLbl>
            <c:txPr>
              <a:bodyPr/>
              <a:lstStyle/>
              <a:p>
                <a:pPr>
                  <a:defRPr sz="800"/>
                </a:pPr>
                <a:endParaRPr lang="lv-LV"/>
              </a:p>
            </c:txPr>
            <c:dLblPos val="outEnd"/>
            <c:showLegendKey val="0"/>
            <c:showVal val="1"/>
            <c:showCatName val="0"/>
            <c:showSerName val="0"/>
            <c:showPercent val="0"/>
            <c:showBubbleSize val="0"/>
            <c:showLeaderLines val="0"/>
          </c:dLbls>
          <c:cat>
            <c:multiLvlStrRef>
              <c:f>Sheet3!$C$10:$D$26</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2008</c:v>
                  </c:pt>
                  <c:pt idx="4">
                    <c:v>2009</c:v>
                  </c:pt>
                  <c:pt idx="8">
                    <c:v>2010</c:v>
                  </c:pt>
                  <c:pt idx="12">
                    <c:v>2011</c:v>
                  </c:pt>
                  <c:pt idx="16">
                    <c:v>2012</c:v>
                  </c:pt>
                </c:lvl>
              </c:multiLvlStrCache>
            </c:multiLvlStrRef>
          </c:cat>
          <c:val>
            <c:numRef>
              <c:f>Sheet3!$G$10:$G$26</c:f>
              <c:numCache>
                <c:formatCode>General</c:formatCode>
                <c:ptCount val="17"/>
                <c:pt idx="0" formatCode="0.0">
                  <c:v>-802</c:v>
                </c:pt>
                <c:pt idx="1">
                  <c:v>-795.8</c:v>
                </c:pt>
                <c:pt idx="2">
                  <c:v>-799.7</c:v>
                </c:pt>
                <c:pt idx="3">
                  <c:v>-701.10000000000014</c:v>
                </c:pt>
                <c:pt idx="4">
                  <c:v>-386.20000000000005</c:v>
                </c:pt>
                <c:pt idx="5">
                  <c:v>-251.59999999999991</c:v>
                </c:pt>
                <c:pt idx="6">
                  <c:v>-261.40000000000009</c:v>
                </c:pt>
                <c:pt idx="7">
                  <c:v>-208.39999999999986</c:v>
                </c:pt>
                <c:pt idx="8">
                  <c:v>-240.5</c:v>
                </c:pt>
                <c:pt idx="9">
                  <c:v>-231.5</c:v>
                </c:pt>
                <c:pt idx="10">
                  <c:v>-333.29999999999995</c:v>
                </c:pt>
                <c:pt idx="11">
                  <c:v>-411.79999999999995</c:v>
                </c:pt>
                <c:pt idx="12">
                  <c:v>-329.70000000000005</c:v>
                </c:pt>
                <c:pt idx="13">
                  <c:v>-363.90000000000009</c:v>
                </c:pt>
                <c:pt idx="14">
                  <c:v>-510.49999999999977</c:v>
                </c:pt>
                <c:pt idx="15" formatCode="0.0">
                  <c:v>-482.30000000000018</c:v>
                </c:pt>
                <c:pt idx="16" formatCode="0.0">
                  <c:v>-450.73</c:v>
                </c:pt>
              </c:numCache>
            </c:numRef>
          </c:val>
        </c:ser>
        <c:dLbls>
          <c:showLegendKey val="0"/>
          <c:showVal val="0"/>
          <c:showCatName val="0"/>
          <c:showSerName val="0"/>
          <c:showPercent val="0"/>
          <c:showBubbleSize val="0"/>
        </c:dLbls>
        <c:gapWidth val="150"/>
        <c:axId val="71440640"/>
        <c:axId val="92573696"/>
      </c:barChart>
      <c:lineChart>
        <c:grouping val="standard"/>
        <c:varyColors val="0"/>
        <c:ser>
          <c:idx val="1"/>
          <c:order val="0"/>
          <c:tx>
            <c:v>Eksports</c:v>
          </c:tx>
          <c:marker>
            <c:symbol val="none"/>
          </c:marker>
          <c:dLbls>
            <c:dLbl>
              <c:idx val="0"/>
              <c:delete val="1"/>
            </c:dLbl>
            <c:dLbl>
              <c:idx val="1"/>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dLbl>
              <c:idx val="17"/>
              <c:delete val="1"/>
            </c:dLbl>
            <c:dLbl>
              <c:idx val="18"/>
              <c:delete val="1"/>
            </c:dLbl>
            <c:dLbl>
              <c:idx val="19"/>
              <c:delete val="1"/>
            </c:dLbl>
            <c:txPr>
              <a:bodyPr/>
              <a:lstStyle/>
              <a:p>
                <a:pPr>
                  <a:defRPr sz="800"/>
                </a:pPr>
                <a:endParaRPr lang="lv-LV"/>
              </a:p>
            </c:txPr>
            <c:dLblPos val="t"/>
            <c:showLegendKey val="0"/>
            <c:showVal val="1"/>
            <c:showCatName val="0"/>
            <c:showSerName val="0"/>
            <c:showPercent val="0"/>
            <c:showBubbleSize val="0"/>
            <c:showLeaderLines val="0"/>
          </c:dLbls>
          <c:cat>
            <c:multiLvlStrRef>
              <c:f>Sheet3!$C$10:$D$26</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2008</c:v>
                  </c:pt>
                  <c:pt idx="4">
                    <c:v>2009</c:v>
                  </c:pt>
                  <c:pt idx="8">
                    <c:v>2010</c:v>
                  </c:pt>
                  <c:pt idx="12">
                    <c:v>2011</c:v>
                  </c:pt>
                  <c:pt idx="16">
                    <c:v>2012</c:v>
                  </c:pt>
                </c:lvl>
              </c:multiLvlStrCache>
            </c:multiLvlStrRef>
          </c:cat>
          <c:val>
            <c:numRef>
              <c:f>Sheet3!$F$10:$F$26</c:f>
              <c:numCache>
                <c:formatCode>General</c:formatCode>
                <c:ptCount val="17"/>
                <c:pt idx="0">
                  <c:v>1876.5</c:v>
                </c:pt>
                <c:pt idx="1">
                  <c:v>1934.5</c:v>
                </c:pt>
                <c:pt idx="2">
                  <c:v>1982.9</c:v>
                </c:pt>
                <c:pt idx="3">
                  <c:v>1733.7</c:v>
                </c:pt>
                <c:pt idx="4">
                  <c:v>1205.5</c:v>
                </c:pt>
                <c:pt idx="5">
                  <c:v>1106.3</c:v>
                </c:pt>
                <c:pt idx="6">
                  <c:v>1173.4000000000001</c:v>
                </c:pt>
                <c:pt idx="7">
                  <c:v>1224.5999999999999</c:v>
                </c:pt>
                <c:pt idx="8">
                  <c:v>1181.2</c:v>
                </c:pt>
                <c:pt idx="9">
                  <c:v>1355.4</c:v>
                </c:pt>
                <c:pt idx="10">
                  <c:v>1623.2</c:v>
                </c:pt>
                <c:pt idx="11">
                  <c:v>1752.1</c:v>
                </c:pt>
                <c:pt idx="12">
                  <c:v>1658.2</c:v>
                </c:pt>
                <c:pt idx="13">
                  <c:v>1853.9</c:v>
                </c:pt>
                <c:pt idx="14">
                  <c:v>2081.1999999999998</c:v>
                </c:pt>
                <c:pt idx="15">
                  <c:v>2087.4</c:v>
                </c:pt>
                <c:pt idx="16" formatCode="0.0">
                  <c:v>1952.0940000000001</c:v>
                </c:pt>
              </c:numCache>
            </c:numRef>
          </c:val>
          <c:smooth val="0"/>
        </c:ser>
        <c:ser>
          <c:idx val="0"/>
          <c:order val="2"/>
          <c:tx>
            <c:v>Imports</c:v>
          </c:tx>
          <c:marker>
            <c:symbol val="none"/>
          </c:marker>
          <c:dLbls>
            <c:dLbl>
              <c:idx val="0"/>
              <c:delete val="1"/>
            </c:dLbl>
            <c:dLbl>
              <c:idx val="1"/>
              <c:delete val="1"/>
            </c:dLbl>
            <c:dLbl>
              <c:idx val="2"/>
              <c:layout>
                <c:manualLayout>
                  <c:x val="-4.9703940928550586E-2"/>
                  <c:y val="-2.7701815326245733E-2"/>
                </c:manualLayout>
              </c:layout>
              <c:dLblPos val="r"/>
              <c:showLegendKey val="0"/>
              <c:showVal val="1"/>
              <c:showCatName val="0"/>
              <c:showSerName val="0"/>
              <c:showPercent val="0"/>
              <c:showBubbleSize val="0"/>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dLbl>
              <c:idx val="16"/>
              <c:layout>
                <c:manualLayout>
                  <c:x val="-2.1768164718708263E-2"/>
                  <c:y val="4.4897996025448E-2"/>
                </c:manualLayout>
              </c:layout>
              <c:dLblPos val="r"/>
              <c:showLegendKey val="0"/>
              <c:showVal val="1"/>
              <c:showCatName val="0"/>
              <c:showSerName val="0"/>
              <c:showPercent val="0"/>
              <c:showBubbleSize val="0"/>
            </c:dLbl>
            <c:dLbl>
              <c:idx val="17"/>
              <c:delete val="1"/>
            </c:dLbl>
            <c:dLbl>
              <c:idx val="18"/>
              <c:delete val="1"/>
            </c:dLbl>
            <c:dLbl>
              <c:idx val="19"/>
              <c:delete val="1"/>
            </c:dLbl>
            <c:txPr>
              <a:bodyPr/>
              <a:lstStyle/>
              <a:p>
                <a:pPr>
                  <a:defRPr sz="800"/>
                </a:pPr>
                <a:endParaRPr lang="lv-LV"/>
              </a:p>
            </c:txPr>
            <c:dLblPos val="b"/>
            <c:showLegendKey val="0"/>
            <c:showVal val="1"/>
            <c:showCatName val="0"/>
            <c:showSerName val="0"/>
            <c:showPercent val="0"/>
            <c:showBubbleSize val="0"/>
            <c:showLeaderLines val="0"/>
          </c:dLbls>
          <c:cat>
            <c:multiLvlStrRef>
              <c:f>Sheet3!$C$10:$D$26</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2008</c:v>
                  </c:pt>
                  <c:pt idx="4">
                    <c:v>2009</c:v>
                  </c:pt>
                  <c:pt idx="8">
                    <c:v>2010</c:v>
                  </c:pt>
                  <c:pt idx="12">
                    <c:v>2011</c:v>
                  </c:pt>
                  <c:pt idx="16">
                    <c:v>2012</c:v>
                  </c:pt>
                </c:lvl>
              </c:multiLvlStrCache>
            </c:multiLvlStrRef>
          </c:cat>
          <c:val>
            <c:numRef>
              <c:f>Sheet3!$E$10:$E$26</c:f>
              <c:numCache>
                <c:formatCode>General</c:formatCode>
                <c:ptCount val="17"/>
                <c:pt idx="0">
                  <c:v>1074.5</c:v>
                </c:pt>
                <c:pt idx="1">
                  <c:v>1138.7</c:v>
                </c:pt>
                <c:pt idx="2">
                  <c:v>1183.2</c:v>
                </c:pt>
                <c:pt idx="3">
                  <c:v>1032.5999999999999</c:v>
                </c:pt>
                <c:pt idx="4">
                  <c:v>819.3</c:v>
                </c:pt>
                <c:pt idx="5">
                  <c:v>854.7</c:v>
                </c:pt>
                <c:pt idx="6">
                  <c:v>912</c:v>
                </c:pt>
                <c:pt idx="7">
                  <c:v>1016.2</c:v>
                </c:pt>
                <c:pt idx="8">
                  <c:v>940.7</c:v>
                </c:pt>
                <c:pt idx="9">
                  <c:v>1123.9000000000001</c:v>
                </c:pt>
                <c:pt idx="10">
                  <c:v>1289.9000000000001</c:v>
                </c:pt>
                <c:pt idx="11">
                  <c:v>1340.3</c:v>
                </c:pt>
                <c:pt idx="12">
                  <c:v>1328.5</c:v>
                </c:pt>
                <c:pt idx="13">
                  <c:v>1490</c:v>
                </c:pt>
                <c:pt idx="14">
                  <c:v>1570.7</c:v>
                </c:pt>
                <c:pt idx="15">
                  <c:v>1605.1</c:v>
                </c:pt>
                <c:pt idx="16" formatCode="0.0">
                  <c:v>1501.364</c:v>
                </c:pt>
              </c:numCache>
            </c:numRef>
          </c:val>
          <c:smooth val="0"/>
        </c:ser>
        <c:dLbls>
          <c:showLegendKey val="0"/>
          <c:showVal val="0"/>
          <c:showCatName val="0"/>
          <c:showSerName val="0"/>
          <c:showPercent val="0"/>
          <c:showBubbleSize val="0"/>
        </c:dLbls>
        <c:marker val="1"/>
        <c:smooth val="0"/>
        <c:axId val="71440640"/>
        <c:axId val="92573696"/>
      </c:lineChart>
      <c:catAx>
        <c:axId val="71440640"/>
        <c:scaling>
          <c:orientation val="minMax"/>
        </c:scaling>
        <c:delete val="0"/>
        <c:axPos val="b"/>
        <c:majorTickMark val="out"/>
        <c:minorTickMark val="none"/>
        <c:tickLblPos val="low"/>
        <c:txPr>
          <a:bodyPr/>
          <a:lstStyle/>
          <a:p>
            <a:pPr>
              <a:defRPr b="1"/>
            </a:pPr>
            <a:endParaRPr lang="lv-LV"/>
          </a:p>
        </c:txPr>
        <c:crossAx val="92573696"/>
        <c:crosses val="autoZero"/>
        <c:auto val="1"/>
        <c:lblAlgn val="ctr"/>
        <c:lblOffset val="100"/>
        <c:noMultiLvlLbl val="0"/>
      </c:catAx>
      <c:valAx>
        <c:axId val="92573696"/>
        <c:scaling>
          <c:orientation val="minMax"/>
        </c:scaling>
        <c:delete val="0"/>
        <c:axPos val="l"/>
        <c:majorGridlines/>
        <c:numFmt formatCode="0.0" sourceLinked="1"/>
        <c:majorTickMark val="out"/>
        <c:minorTickMark val="none"/>
        <c:tickLblPos val="nextTo"/>
        <c:txPr>
          <a:bodyPr/>
          <a:lstStyle/>
          <a:p>
            <a:pPr>
              <a:defRPr b="1"/>
            </a:pPr>
            <a:endParaRPr lang="lv-LV"/>
          </a:p>
        </c:txPr>
        <c:crossAx val="71440640"/>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5"/>
          <c:order val="0"/>
          <c:tx>
            <c:strRef>
              <c:f>Struktura!$H$137</c:f>
              <c:strCache>
                <c:ptCount val="1"/>
                <c:pt idx="0">
                  <c:v>Pārējās preces</c:v>
                </c:pt>
              </c:strCache>
            </c:strRef>
          </c:tx>
          <c:spPr>
            <a:solidFill>
              <a:schemeClr val="accent6"/>
            </a:solidFill>
          </c:spPr>
          <c:invertIfNegative val="0"/>
          <c:dLbls>
            <c:txPr>
              <a:bodyPr/>
              <a:lstStyle/>
              <a:p>
                <a:pPr>
                  <a:defRPr b="0"/>
                </a:pPr>
                <a:endParaRPr lang="lv-LV"/>
              </a:p>
            </c:txPr>
            <c:dLblPos val="ctr"/>
            <c:showLegendKey val="0"/>
            <c:showVal val="1"/>
            <c:showCatName val="0"/>
            <c:showSerName val="0"/>
            <c:showPercent val="0"/>
            <c:showBubbleSize val="0"/>
            <c:showLeaderLines val="0"/>
          </c:dLbls>
          <c:cat>
            <c:multiLvlStrRef>
              <c:f>Struktura!$I$130:$M$131</c:f>
              <c:multiLvlStrCache>
                <c:ptCount val="5"/>
                <c:lvl>
                  <c:pt idx="0">
                    <c:v>I</c:v>
                  </c:pt>
                  <c:pt idx="1">
                    <c:v>II</c:v>
                  </c:pt>
                  <c:pt idx="2">
                    <c:v>III</c:v>
                  </c:pt>
                  <c:pt idx="3">
                    <c:v>IV</c:v>
                  </c:pt>
                  <c:pt idx="4">
                    <c:v>I</c:v>
                  </c:pt>
                </c:lvl>
                <c:lvl>
                  <c:pt idx="0">
                    <c:v>2011</c:v>
                  </c:pt>
                  <c:pt idx="4">
                    <c:v>2012</c:v>
                  </c:pt>
                </c:lvl>
              </c:multiLvlStrCache>
            </c:multiLvlStrRef>
          </c:cat>
          <c:val>
            <c:numRef>
              <c:f>Struktura!$I$137:$M$137</c:f>
              <c:numCache>
                <c:formatCode>0.0%</c:formatCode>
                <c:ptCount val="5"/>
                <c:pt idx="0">
                  <c:v>0.36144610960986956</c:v>
                </c:pt>
                <c:pt idx="1">
                  <c:v>0.35290406709659061</c:v>
                </c:pt>
                <c:pt idx="2">
                  <c:v>0.3545614061895157</c:v>
                </c:pt>
                <c:pt idx="3">
                  <c:v>0.36221096924439883</c:v>
                </c:pt>
                <c:pt idx="4">
                  <c:v>0.33298786969715538</c:v>
                </c:pt>
              </c:numCache>
            </c:numRef>
          </c:val>
        </c:ser>
        <c:ser>
          <c:idx val="1"/>
          <c:order val="1"/>
          <c:tx>
            <c:strRef>
              <c:f>Struktura!$H$133</c:f>
              <c:strCache>
                <c:ptCount val="1"/>
                <c:pt idx="0">
                  <c:v>Minerālprodukti</c:v>
                </c:pt>
              </c:strCache>
            </c:strRef>
          </c:tx>
          <c:invertIfNegative val="0"/>
          <c:dLbls>
            <c:txPr>
              <a:bodyPr/>
              <a:lstStyle/>
              <a:p>
                <a:pPr>
                  <a:defRPr b="0"/>
                </a:pPr>
                <a:endParaRPr lang="lv-LV"/>
              </a:p>
            </c:txPr>
            <c:dLblPos val="ctr"/>
            <c:showLegendKey val="0"/>
            <c:showVal val="1"/>
            <c:showCatName val="0"/>
            <c:showSerName val="0"/>
            <c:showPercent val="0"/>
            <c:showBubbleSize val="0"/>
            <c:showLeaderLines val="0"/>
          </c:dLbls>
          <c:cat>
            <c:multiLvlStrRef>
              <c:f>Struktura!$I$130:$M$131</c:f>
              <c:multiLvlStrCache>
                <c:ptCount val="5"/>
                <c:lvl>
                  <c:pt idx="0">
                    <c:v>I</c:v>
                  </c:pt>
                  <c:pt idx="1">
                    <c:v>II</c:v>
                  </c:pt>
                  <c:pt idx="2">
                    <c:v>III</c:v>
                  </c:pt>
                  <c:pt idx="3">
                    <c:v>IV</c:v>
                  </c:pt>
                  <c:pt idx="4">
                    <c:v>I</c:v>
                  </c:pt>
                </c:lvl>
                <c:lvl>
                  <c:pt idx="0">
                    <c:v>2011</c:v>
                  </c:pt>
                  <c:pt idx="4">
                    <c:v>2012</c:v>
                  </c:pt>
                </c:lvl>
              </c:multiLvlStrCache>
            </c:multiLvlStrRef>
          </c:cat>
          <c:val>
            <c:numRef>
              <c:f>Struktura!$I$133:$M$133</c:f>
              <c:numCache>
                <c:formatCode>0.0%</c:formatCode>
                <c:ptCount val="5"/>
                <c:pt idx="0">
                  <c:v>7.0867048542373898E-2</c:v>
                </c:pt>
                <c:pt idx="1">
                  <c:v>9.943551510002141E-2</c:v>
                </c:pt>
                <c:pt idx="2">
                  <c:v>9.4918938328952998E-2</c:v>
                </c:pt>
                <c:pt idx="3">
                  <c:v>8.9704355973997979E-2</c:v>
                </c:pt>
                <c:pt idx="4">
                  <c:v>9.0089412027995877E-2</c:v>
                </c:pt>
              </c:numCache>
            </c:numRef>
          </c:val>
        </c:ser>
        <c:ser>
          <c:idx val="2"/>
          <c:order val="2"/>
          <c:tx>
            <c:strRef>
              <c:f>Struktura!$H$134</c:f>
              <c:strCache>
                <c:ptCount val="1"/>
                <c:pt idx="0">
                  <c:v>Ķīmiskās rūpniecības ražojumi</c:v>
                </c:pt>
              </c:strCache>
            </c:strRef>
          </c:tx>
          <c:invertIfNegative val="0"/>
          <c:dLbls>
            <c:txPr>
              <a:bodyPr/>
              <a:lstStyle/>
              <a:p>
                <a:pPr>
                  <a:defRPr b="0"/>
                </a:pPr>
                <a:endParaRPr lang="lv-LV"/>
              </a:p>
            </c:txPr>
            <c:dLblPos val="ctr"/>
            <c:showLegendKey val="0"/>
            <c:showVal val="1"/>
            <c:showCatName val="0"/>
            <c:showSerName val="0"/>
            <c:showPercent val="0"/>
            <c:showBubbleSize val="0"/>
            <c:showLeaderLines val="0"/>
          </c:dLbls>
          <c:cat>
            <c:multiLvlStrRef>
              <c:f>Struktura!$I$130:$M$131</c:f>
              <c:multiLvlStrCache>
                <c:ptCount val="5"/>
                <c:lvl>
                  <c:pt idx="0">
                    <c:v>I</c:v>
                  </c:pt>
                  <c:pt idx="1">
                    <c:v>II</c:v>
                  </c:pt>
                  <c:pt idx="2">
                    <c:v>III</c:v>
                  </c:pt>
                  <c:pt idx="3">
                    <c:v>IV</c:v>
                  </c:pt>
                  <c:pt idx="4">
                    <c:v>I</c:v>
                  </c:pt>
                </c:lvl>
                <c:lvl>
                  <c:pt idx="0">
                    <c:v>2011</c:v>
                  </c:pt>
                  <c:pt idx="4">
                    <c:v>2012</c:v>
                  </c:pt>
                </c:lvl>
              </c:multiLvlStrCache>
            </c:multiLvlStrRef>
          </c:cat>
          <c:val>
            <c:numRef>
              <c:f>Struktura!$I$134:$M$134</c:f>
              <c:numCache>
                <c:formatCode>0.0%</c:formatCode>
                <c:ptCount val="5"/>
                <c:pt idx="0">
                  <c:v>6.9910352043235757E-2</c:v>
                </c:pt>
                <c:pt idx="1">
                  <c:v>7.9190969852305088E-2</c:v>
                </c:pt>
                <c:pt idx="2">
                  <c:v>7.6157350813927424E-2</c:v>
                </c:pt>
                <c:pt idx="3">
                  <c:v>7.3732825121829965E-2</c:v>
                </c:pt>
                <c:pt idx="4">
                  <c:v>6.0976551988724918E-2</c:v>
                </c:pt>
              </c:numCache>
            </c:numRef>
          </c:val>
        </c:ser>
        <c:ser>
          <c:idx val="3"/>
          <c:order val="3"/>
          <c:tx>
            <c:strRef>
              <c:f>Struktura!$H$135</c:f>
              <c:strCache>
                <c:ptCount val="1"/>
                <c:pt idx="0">
                  <c:v>Koks un koka izstrādājumi</c:v>
                </c:pt>
              </c:strCache>
            </c:strRef>
          </c:tx>
          <c:invertIfNegative val="0"/>
          <c:dLbls>
            <c:txPr>
              <a:bodyPr/>
              <a:lstStyle/>
              <a:p>
                <a:pPr>
                  <a:defRPr b="0"/>
                </a:pPr>
                <a:endParaRPr lang="lv-LV"/>
              </a:p>
            </c:txPr>
            <c:dLblPos val="ctr"/>
            <c:showLegendKey val="0"/>
            <c:showVal val="1"/>
            <c:showCatName val="0"/>
            <c:showSerName val="0"/>
            <c:showPercent val="0"/>
            <c:showBubbleSize val="0"/>
            <c:showLeaderLines val="0"/>
          </c:dLbls>
          <c:cat>
            <c:multiLvlStrRef>
              <c:f>Struktura!$I$130:$M$131</c:f>
              <c:multiLvlStrCache>
                <c:ptCount val="5"/>
                <c:lvl>
                  <c:pt idx="0">
                    <c:v>I</c:v>
                  </c:pt>
                  <c:pt idx="1">
                    <c:v>II</c:v>
                  </c:pt>
                  <c:pt idx="2">
                    <c:v>III</c:v>
                  </c:pt>
                  <c:pt idx="3">
                    <c:v>IV</c:v>
                  </c:pt>
                  <c:pt idx="4">
                    <c:v>I</c:v>
                  </c:pt>
                </c:lvl>
                <c:lvl>
                  <c:pt idx="0">
                    <c:v>2011</c:v>
                  </c:pt>
                  <c:pt idx="4">
                    <c:v>2012</c:v>
                  </c:pt>
                </c:lvl>
              </c:multiLvlStrCache>
            </c:multiLvlStrRef>
          </c:cat>
          <c:val>
            <c:numRef>
              <c:f>Struktura!$I$135:$M$135</c:f>
              <c:numCache>
                <c:formatCode>0.0%</c:formatCode>
                <c:ptCount val="5"/>
                <c:pt idx="0">
                  <c:v>0.17793802172325804</c:v>
                </c:pt>
                <c:pt idx="1">
                  <c:v>0.18210225156389365</c:v>
                </c:pt>
                <c:pt idx="2">
                  <c:v>0.16283450991178208</c:v>
                </c:pt>
                <c:pt idx="3">
                  <c:v>0.15628998957078225</c:v>
                </c:pt>
                <c:pt idx="4">
                  <c:v>0.17723749870118105</c:v>
                </c:pt>
              </c:numCache>
            </c:numRef>
          </c:val>
        </c:ser>
        <c:ser>
          <c:idx val="4"/>
          <c:order val="4"/>
          <c:tx>
            <c:strRef>
              <c:f>Struktura!$H$136</c:f>
              <c:strCache>
                <c:ptCount val="1"/>
                <c:pt idx="0">
                  <c:v>Metāli un to izstrādājumi</c:v>
                </c:pt>
              </c:strCache>
            </c:strRef>
          </c:tx>
          <c:invertIfNegative val="0"/>
          <c:dLbls>
            <c:txPr>
              <a:bodyPr/>
              <a:lstStyle/>
              <a:p>
                <a:pPr>
                  <a:defRPr b="0"/>
                </a:pPr>
                <a:endParaRPr lang="lv-LV"/>
              </a:p>
            </c:txPr>
            <c:dLblPos val="ctr"/>
            <c:showLegendKey val="0"/>
            <c:showVal val="1"/>
            <c:showCatName val="0"/>
            <c:showSerName val="0"/>
            <c:showPercent val="0"/>
            <c:showBubbleSize val="0"/>
            <c:showLeaderLines val="0"/>
          </c:dLbls>
          <c:cat>
            <c:multiLvlStrRef>
              <c:f>Struktura!$I$130:$M$131</c:f>
              <c:multiLvlStrCache>
                <c:ptCount val="5"/>
                <c:lvl>
                  <c:pt idx="0">
                    <c:v>I</c:v>
                  </c:pt>
                  <c:pt idx="1">
                    <c:v>II</c:v>
                  </c:pt>
                  <c:pt idx="2">
                    <c:v>III</c:v>
                  </c:pt>
                  <c:pt idx="3">
                    <c:v>IV</c:v>
                  </c:pt>
                  <c:pt idx="4">
                    <c:v>I</c:v>
                  </c:pt>
                </c:lvl>
                <c:lvl>
                  <c:pt idx="0">
                    <c:v>2011</c:v>
                  </c:pt>
                  <c:pt idx="4">
                    <c:v>2012</c:v>
                  </c:pt>
                </c:lvl>
              </c:multiLvlStrCache>
            </c:multiLvlStrRef>
          </c:cat>
          <c:val>
            <c:numRef>
              <c:f>Struktura!$I$136:$M$136</c:f>
              <c:numCache>
                <c:formatCode>0.0%</c:formatCode>
                <c:ptCount val="5"/>
                <c:pt idx="0">
                  <c:v>0.16633196088910299</c:v>
                </c:pt>
                <c:pt idx="1">
                  <c:v>0.14596072162257026</c:v>
                </c:pt>
                <c:pt idx="2">
                  <c:v>0.14278301550434977</c:v>
                </c:pt>
                <c:pt idx="3">
                  <c:v>0.13066925175035168</c:v>
                </c:pt>
                <c:pt idx="4">
                  <c:v>0.16782472471699067</c:v>
                </c:pt>
              </c:numCache>
            </c:numRef>
          </c:val>
        </c:ser>
        <c:ser>
          <c:idx val="0"/>
          <c:order val="5"/>
          <c:tx>
            <c:strRef>
              <c:f>Struktura!$H$132</c:f>
              <c:strCache>
                <c:ptCount val="1"/>
                <c:pt idx="0">
                  <c:v>Lauksaimniecības preces un pārtika</c:v>
                </c:pt>
              </c:strCache>
            </c:strRef>
          </c:tx>
          <c:invertIfNegative val="0"/>
          <c:dLbls>
            <c:txPr>
              <a:bodyPr/>
              <a:lstStyle/>
              <a:p>
                <a:pPr>
                  <a:defRPr b="0"/>
                </a:pPr>
                <a:endParaRPr lang="lv-LV"/>
              </a:p>
            </c:txPr>
            <c:dLblPos val="ctr"/>
            <c:showLegendKey val="0"/>
            <c:showVal val="1"/>
            <c:showCatName val="0"/>
            <c:showSerName val="0"/>
            <c:showPercent val="0"/>
            <c:showBubbleSize val="0"/>
            <c:showLeaderLines val="0"/>
          </c:dLbls>
          <c:cat>
            <c:multiLvlStrRef>
              <c:f>Struktura!$I$130:$M$131</c:f>
              <c:multiLvlStrCache>
                <c:ptCount val="5"/>
                <c:lvl>
                  <c:pt idx="0">
                    <c:v>I</c:v>
                  </c:pt>
                  <c:pt idx="1">
                    <c:v>II</c:v>
                  </c:pt>
                  <c:pt idx="2">
                    <c:v>III</c:v>
                  </c:pt>
                  <c:pt idx="3">
                    <c:v>IV</c:v>
                  </c:pt>
                  <c:pt idx="4">
                    <c:v>I</c:v>
                  </c:pt>
                </c:lvl>
                <c:lvl>
                  <c:pt idx="0">
                    <c:v>2011</c:v>
                  </c:pt>
                  <c:pt idx="4">
                    <c:v>2012</c:v>
                  </c:pt>
                </c:lvl>
              </c:multiLvlStrCache>
            </c:multiLvlStrRef>
          </c:cat>
          <c:val>
            <c:numRef>
              <c:f>Struktura!$I$132:$M$132</c:f>
              <c:numCache>
                <c:formatCode>0.0%</c:formatCode>
                <c:ptCount val="5"/>
                <c:pt idx="0">
                  <c:v>0.15350650719215975</c:v>
                </c:pt>
                <c:pt idx="1">
                  <c:v>0.14040647476461898</c:v>
                </c:pt>
                <c:pt idx="2">
                  <c:v>0.16874477925147199</c:v>
                </c:pt>
                <c:pt idx="3">
                  <c:v>0.18739260833863933</c:v>
                </c:pt>
                <c:pt idx="4">
                  <c:v>0.17088394286795208</c:v>
                </c:pt>
              </c:numCache>
            </c:numRef>
          </c:val>
        </c:ser>
        <c:dLbls>
          <c:dLblPos val="ctr"/>
          <c:showLegendKey val="0"/>
          <c:showVal val="1"/>
          <c:showCatName val="0"/>
          <c:showSerName val="0"/>
          <c:showPercent val="0"/>
          <c:showBubbleSize val="0"/>
        </c:dLbls>
        <c:gapWidth val="150"/>
        <c:overlap val="100"/>
        <c:axId val="128837504"/>
        <c:axId val="128839040"/>
      </c:barChart>
      <c:catAx>
        <c:axId val="128837504"/>
        <c:scaling>
          <c:orientation val="minMax"/>
        </c:scaling>
        <c:delete val="0"/>
        <c:axPos val="b"/>
        <c:majorTickMark val="out"/>
        <c:minorTickMark val="none"/>
        <c:tickLblPos val="nextTo"/>
        <c:txPr>
          <a:bodyPr/>
          <a:lstStyle/>
          <a:p>
            <a:pPr>
              <a:defRPr b="1"/>
            </a:pPr>
            <a:endParaRPr lang="lv-LV"/>
          </a:p>
        </c:txPr>
        <c:crossAx val="128839040"/>
        <c:crosses val="autoZero"/>
        <c:auto val="1"/>
        <c:lblAlgn val="ctr"/>
        <c:lblOffset val="100"/>
        <c:noMultiLvlLbl val="0"/>
      </c:catAx>
      <c:valAx>
        <c:axId val="128839040"/>
        <c:scaling>
          <c:orientation val="minMax"/>
        </c:scaling>
        <c:delete val="0"/>
        <c:axPos val="l"/>
        <c:majorGridlines/>
        <c:numFmt formatCode="0%" sourceLinked="1"/>
        <c:majorTickMark val="out"/>
        <c:minorTickMark val="none"/>
        <c:tickLblPos val="nextTo"/>
        <c:txPr>
          <a:bodyPr/>
          <a:lstStyle/>
          <a:p>
            <a:pPr>
              <a:defRPr b="1"/>
            </a:pPr>
            <a:endParaRPr lang="lv-LV"/>
          </a:p>
        </c:txPr>
        <c:crossAx val="128837504"/>
        <c:crosses val="autoZero"/>
        <c:crossBetween val="between"/>
      </c:valAx>
    </c:plotArea>
    <c:legend>
      <c:legendPos val="b"/>
      <c:layout>
        <c:manualLayout>
          <c:xMode val="edge"/>
          <c:yMode val="edge"/>
          <c:x val="0.11411333818118816"/>
          <c:y val="0.84274000584251518"/>
          <c:w val="0.85288852258069148"/>
          <c:h val="0.1119626663773535"/>
        </c:manualLayout>
      </c:layout>
      <c:overlay val="0"/>
      <c:txPr>
        <a:bodyPr/>
        <a:lstStyle/>
        <a:p>
          <a:pPr>
            <a:defRPr sz="1100"/>
          </a:pPr>
          <a:endParaRPr lang="lv-LV"/>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sz="1200"/>
              <a:t>2012.gada 3 mēneši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0850515463917522E-2"/>
          <c:y val="0.23167556523526028"/>
          <c:w val="0.81829896907216493"/>
          <c:h val="0.67532181049105511"/>
        </c:manualLayout>
      </c:layout>
      <c:pie3DChart>
        <c:varyColors val="1"/>
        <c:ser>
          <c:idx val="0"/>
          <c:order val="0"/>
          <c:dLbls>
            <c:dLbl>
              <c:idx val="1"/>
              <c:tx>
                <c:rich>
                  <a:bodyPr/>
                  <a:lstStyle/>
                  <a:p>
                    <a:r>
                      <a:rPr lang="en-US"/>
                      <a:t>         Procentu izdevumi 
</a:t>
                    </a:r>
                    <a:r>
                      <a:rPr lang="lv-LV"/>
                      <a:t>12</a:t>
                    </a:r>
                    <a:r>
                      <a:rPr lang="en-US"/>
                      <a:t>,</a:t>
                    </a:r>
                    <a:r>
                      <a:rPr lang="lv-LV"/>
                      <a:t>5</a:t>
                    </a:r>
                    <a:r>
                      <a:rPr lang="en-US"/>
                      <a:t>%</a:t>
                    </a:r>
                  </a:p>
                </c:rich>
              </c:tx>
              <c:showLegendKey val="0"/>
              <c:showVal val="0"/>
              <c:showCatName val="1"/>
              <c:showSerName val="0"/>
              <c:showPercent val="1"/>
              <c:showBubbleSize val="0"/>
            </c:dLbl>
            <c:dLbl>
              <c:idx val="3"/>
              <c:layout>
                <c:manualLayout>
                  <c:x val="1.0496083285981004E-2"/>
                  <c:y val="0.11324923087347878"/>
                </c:manualLayout>
              </c:layout>
              <c:showLegendKey val="0"/>
              <c:showVal val="0"/>
              <c:showCatName val="1"/>
              <c:showSerName val="0"/>
              <c:showPercent val="1"/>
              <c:showBubbleSize val="0"/>
            </c:dLbl>
            <c:dLbl>
              <c:idx val="4"/>
              <c:tx>
                <c:rich>
                  <a:bodyPr/>
                  <a:lstStyle/>
                  <a:p>
                    <a:r>
                      <a:rPr lang="en-US"/>
                      <a:t>       Uzturēšanas izdevumu transferti 
1</a:t>
                    </a:r>
                    <a:r>
                      <a:rPr lang="lv-LV"/>
                      <a:t>4</a:t>
                    </a:r>
                    <a:r>
                      <a:rPr lang="en-US"/>
                      <a:t>,</a:t>
                    </a:r>
                    <a:r>
                      <a:rPr lang="lv-LV"/>
                      <a:t>2</a:t>
                    </a:r>
                    <a:r>
                      <a:rPr lang="en-US"/>
                      <a:t>%</a:t>
                    </a:r>
                  </a:p>
                </c:rich>
              </c:tx>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('PB_2012_3men '!$A$15;'PB_2012_3men '!$A$31;'PB_2012_3men '!$A$38;'PB_2012_3men '!$A$44;'PB_2012_3men '!$A$47;'PB_2012_3men '!$A$60)</c:f>
              <c:strCache>
                <c:ptCount val="6"/>
                <c:pt idx="0">
                  <c:v>       Kārtējie izdevumi</c:v>
                </c:pt>
                <c:pt idx="1">
                  <c:v>         Procentu izdevumi </c:v>
                </c:pt>
                <c:pt idx="2">
                  <c:v>Subsīdijas, dotācijas un sociālie pabalsti</c:v>
                </c:pt>
                <c:pt idx="3">
                  <c:v>       Kārtējie maksājumi Eiropas Savienības  budžetā un starptautiskā sadarbība </c:v>
                </c:pt>
                <c:pt idx="4">
                  <c:v>       Uzturēšanas izdevumu transferti </c:v>
                </c:pt>
                <c:pt idx="5">
                  <c:v>    Kapitālie izdevumi</c:v>
                </c:pt>
              </c:strCache>
            </c:strRef>
          </c:cat>
          <c:val>
            <c:numRef>
              <c:f>('PB_2012_3men '!$H$15;'PB_2012_3men '!$H$31;'PB_2012_3men '!$H$38;'PB_2012_3men '!$H$44;'PB_2012_3men '!$H$47;'PB_2012_3men '!$H$60)</c:f>
              <c:numCache>
                <c:formatCode>#,##0</c:formatCode>
                <c:ptCount val="6"/>
                <c:pt idx="0">
                  <c:v>183504</c:v>
                </c:pt>
                <c:pt idx="1">
                  <c:v>93276</c:v>
                </c:pt>
                <c:pt idx="2">
                  <c:v>252949</c:v>
                </c:pt>
                <c:pt idx="3">
                  <c:v>58971</c:v>
                </c:pt>
                <c:pt idx="4">
                  <c:v>105678</c:v>
                </c:pt>
                <c:pt idx="5">
                  <c:v>49506</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2012.gada 3 mēneši</c:v>
          </c:tx>
          <c:invertIfNegative val="0"/>
          <c:dLbls>
            <c:dLbl>
              <c:idx val="0"/>
              <c:layout>
                <c:manualLayout>
                  <c:x val="0"/>
                  <c:y val="2.660753337096531E-2"/>
                </c:manualLayout>
              </c:layout>
              <c:showLegendKey val="0"/>
              <c:showVal val="1"/>
              <c:showCatName val="0"/>
              <c:showSerName val="0"/>
              <c:showPercent val="0"/>
              <c:showBubbleSize val="0"/>
            </c:dLbl>
            <c:dLbl>
              <c:idx val="2"/>
              <c:layout>
                <c:manualLayout>
                  <c:x val="0"/>
                  <c:y val="1.7718715393133997E-2"/>
                </c:manualLayout>
              </c:layout>
              <c:showLegendKey val="0"/>
              <c:showVal val="1"/>
              <c:showCatName val="0"/>
              <c:showSerName val="0"/>
              <c:showPercent val="0"/>
              <c:showBubbleSize val="0"/>
            </c:dLbl>
            <c:dLbl>
              <c:idx val="4"/>
              <c:layout>
                <c:manualLayout>
                  <c:x val="2.8880860952867533E-2"/>
                  <c:y val="1.7718715393133997E-2"/>
                </c:manualLayout>
              </c:layout>
              <c:showLegendKey val="0"/>
              <c:showVal val="1"/>
              <c:showCatName val="0"/>
              <c:showSerName val="0"/>
              <c:showPercent val="0"/>
              <c:showBubbleSize val="0"/>
            </c:dLbl>
            <c:dLbl>
              <c:idx val="6"/>
              <c:layout>
                <c:manualLayout>
                  <c:x val="0"/>
                  <c:y val="1.3289036544850499E-2"/>
                </c:manualLayout>
              </c:layout>
              <c:showLegendKey val="0"/>
              <c:showVal val="1"/>
              <c:showCatName val="0"/>
              <c:showSerName val="0"/>
              <c:showPercent val="0"/>
              <c:showBubbleSize val="0"/>
            </c:dLbl>
            <c:dLbl>
              <c:idx val="8"/>
              <c:layout>
                <c:manualLayout>
                  <c:x val="0"/>
                  <c:y val="1.3289036544850499E-2"/>
                </c:manualLayout>
              </c:layout>
              <c:showLegendKey val="0"/>
              <c:showVal val="1"/>
              <c:showCatName val="0"/>
              <c:showSerName val="0"/>
              <c:showPercent val="0"/>
              <c:showBubbleSize val="0"/>
            </c:dLbl>
            <c:dLbl>
              <c:idx val="12"/>
              <c:layout>
                <c:manualLayout>
                  <c:x val="0"/>
                  <c:y val="1.7718715393133997E-2"/>
                </c:manualLayout>
              </c:layout>
              <c:showLegendKey val="0"/>
              <c:showVal val="1"/>
              <c:showCatName val="0"/>
              <c:showSerName val="0"/>
              <c:showPercent val="0"/>
              <c:showBubbleSize val="0"/>
            </c:dLbl>
            <c:dLbl>
              <c:idx val="14"/>
              <c:layout>
                <c:manualLayout>
                  <c:x val="-1.4440430476433766E-2"/>
                  <c:y val="2.2148394241417499E-2"/>
                </c:manualLayout>
              </c:layout>
              <c:showLegendKey val="0"/>
              <c:showVal val="1"/>
              <c:showCatName val="0"/>
              <c:showSerName val="0"/>
              <c:showPercent val="0"/>
              <c:showBubbleSize val="0"/>
            </c:dLbl>
            <c:dLbl>
              <c:idx val="16"/>
              <c:layout>
                <c:manualLayout>
                  <c:x val="0"/>
                  <c:y val="1.3289036544850499E-2"/>
                </c:manualLayout>
              </c:layout>
              <c:showLegendKey val="0"/>
              <c:showVal val="1"/>
              <c:showCatName val="0"/>
              <c:showSerName val="0"/>
              <c:showPercent val="0"/>
              <c:showBubbleSize val="0"/>
            </c:dLbl>
            <c:dLbl>
              <c:idx val="18"/>
              <c:layout>
                <c:manualLayout>
                  <c:x val="-2.3350846468184472E-3"/>
                  <c:y val="4.444445999806124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'pb-īpatsvars2012'!$B$8:$B$26</c:f>
              <c:strCache>
                <c:ptCount val="19"/>
                <c:pt idx="0">
                  <c:v>Vispārējie valdības dienesti</c:v>
                </c:pt>
                <c:pt idx="2">
                  <c:v>Aizsardzība</c:v>
                </c:pt>
                <c:pt idx="4">
                  <c:v>Sabiedriskā kārtība un drošība</c:v>
                </c:pt>
                <c:pt idx="6">
                  <c:v>Ekonomiskā darbība</c:v>
                </c:pt>
                <c:pt idx="8">
                  <c:v>Vides aizsardzība</c:v>
                </c:pt>
                <c:pt idx="10">
                  <c:v>Teritoriju un mājokļu apsaimniekošana</c:v>
                </c:pt>
                <c:pt idx="12">
                  <c:v>Veselība</c:v>
                </c:pt>
                <c:pt idx="14">
                  <c:v>Atpūta, kultūra un reliģija </c:v>
                </c:pt>
                <c:pt idx="16">
                  <c:v>Izglītība</c:v>
                </c:pt>
                <c:pt idx="18">
                  <c:v>Sociālā aizsardzība</c:v>
                </c:pt>
              </c:strCache>
            </c:strRef>
          </c:cat>
          <c:val>
            <c:numRef>
              <c:f>'pb-īpatsvars2012'!$I$8:$I$26</c:f>
              <c:numCache>
                <c:formatCode>General</c:formatCode>
                <c:ptCount val="19"/>
                <c:pt idx="0" formatCode="#,##0_);\(#,##0\)">
                  <c:v>190677</c:v>
                </c:pt>
                <c:pt idx="2" formatCode="#,##0_);\(#,##0\)">
                  <c:v>23053</c:v>
                </c:pt>
                <c:pt idx="4" formatCode="#,##0_);\(#,##0\)">
                  <c:v>57344</c:v>
                </c:pt>
                <c:pt idx="6" formatCode="#,##0_);\(#,##0\)">
                  <c:v>176267</c:v>
                </c:pt>
                <c:pt idx="8" formatCode="#,##0_);\(#,##0\)">
                  <c:v>17715</c:v>
                </c:pt>
                <c:pt idx="10" formatCode="#,##0_);\(#,##0\)">
                  <c:v>582</c:v>
                </c:pt>
                <c:pt idx="12" formatCode="#,##0_);\(#,##0\)">
                  <c:v>106434</c:v>
                </c:pt>
                <c:pt idx="14" formatCode="#,##0_);\(#,##0\)">
                  <c:v>19746</c:v>
                </c:pt>
                <c:pt idx="16" formatCode="#,##0_);\(#,##0\)">
                  <c:v>103484</c:v>
                </c:pt>
                <c:pt idx="18" formatCode="#,##0_);\(#,##0\)">
                  <c:v>48582</c:v>
                </c:pt>
              </c:numCache>
            </c:numRef>
          </c:val>
        </c:ser>
        <c:ser>
          <c:idx val="1"/>
          <c:order val="1"/>
          <c:tx>
            <c:v>2011.gada 3 mēneši</c:v>
          </c:tx>
          <c:invertIfNegative val="0"/>
          <c:dLbls>
            <c:dLbl>
              <c:idx val="0"/>
              <c:layout>
                <c:manualLayout>
                  <c:x val="0"/>
                  <c:y val="-2.3148148148148064E-2"/>
                </c:manualLayout>
              </c:layout>
              <c:showLegendKey val="0"/>
              <c:showVal val="1"/>
              <c:showCatName val="0"/>
              <c:showSerName val="0"/>
              <c:showPercent val="0"/>
              <c:showBubbleSize val="0"/>
            </c:dLbl>
            <c:dLbl>
              <c:idx val="2"/>
              <c:layout>
                <c:manualLayout>
                  <c:x val="-1.6847168889172728E-2"/>
                  <c:y val="-1.3888961554224326E-2"/>
                </c:manualLayout>
              </c:layout>
              <c:showLegendKey val="0"/>
              <c:showVal val="1"/>
              <c:showCatName val="0"/>
              <c:showSerName val="0"/>
              <c:showPercent val="0"/>
              <c:showBubbleSize val="0"/>
            </c:dLbl>
            <c:dLbl>
              <c:idx val="4"/>
              <c:layout>
                <c:manualLayout>
                  <c:x val="7.1942432458612935E-3"/>
                  <c:y val="-1.3888888888888935E-2"/>
                </c:manualLayout>
              </c:layout>
              <c:showLegendKey val="0"/>
              <c:showVal val="1"/>
              <c:showCatName val="0"/>
              <c:showSerName val="0"/>
              <c:showPercent val="0"/>
              <c:showBubbleSize val="0"/>
            </c:dLbl>
            <c:dLbl>
              <c:idx val="6"/>
              <c:layout>
                <c:manualLayout>
                  <c:x val="2.39808108195376E-3"/>
                  <c:y val="-2.7777777777777912E-2"/>
                </c:manualLayout>
              </c:layout>
              <c:showLegendKey val="0"/>
              <c:showVal val="1"/>
              <c:showCatName val="0"/>
              <c:showSerName val="0"/>
              <c:showPercent val="0"/>
              <c:showBubbleSize val="0"/>
            </c:dLbl>
            <c:dLbl>
              <c:idx val="8"/>
              <c:layout>
                <c:manualLayout>
                  <c:x val="2.6378891901491362E-2"/>
                  <c:y val="-1.3888888888888935E-2"/>
                </c:manualLayout>
              </c:layout>
              <c:showLegendKey val="0"/>
              <c:showVal val="1"/>
              <c:showCatName val="0"/>
              <c:showSerName val="0"/>
              <c:showPercent val="0"/>
              <c:showBubbleSize val="0"/>
            </c:dLbl>
            <c:dLbl>
              <c:idx val="10"/>
              <c:layout>
                <c:manualLayout>
                  <c:x val="5.0359702721028972E-2"/>
                  <c:y val="-2.3148512685914328E-2"/>
                </c:manualLayout>
              </c:layout>
              <c:showLegendKey val="0"/>
              <c:showVal val="1"/>
              <c:showCatName val="0"/>
              <c:showSerName val="0"/>
              <c:showPercent val="0"/>
              <c:showBubbleSize val="0"/>
            </c:dLbl>
            <c:dLbl>
              <c:idx val="12"/>
              <c:layout>
                <c:manualLayout>
                  <c:x val="0"/>
                  <c:y val="-3.2407407407407503E-2"/>
                </c:manualLayout>
              </c:layout>
              <c:showLegendKey val="0"/>
              <c:showVal val="1"/>
              <c:showCatName val="0"/>
              <c:showSerName val="0"/>
              <c:showPercent val="0"/>
              <c:showBubbleSize val="0"/>
            </c:dLbl>
            <c:dLbl>
              <c:idx val="14"/>
              <c:layout>
                <c:manualLayout>
                  <c:x val="2.39808108195376E-3"/>
                  <c:y val="-2.3148148148148147E-2"/>
                </c:manualLayout>
              </c:layout>
              <c:showLegendKey val="0"/>
              <c:showVal val="1"/>
              <c:showCatName val="0"/>
              <c:showSerName val="0"/>
              <c:showPercent val="0"/>
              <c:showBubbleSize val="0"/>
            </c:dLbl>
            <c:dLbl>
              <c:idx val="16"/>
              <c:layout>
                <c:manualLayout>
                  <c:x val="1.9184648655630122E-2"/>
                  <c:y val="-1.8518518518518559E-2"/>
                </c:manualLayout>
              </c:layout>
              <c:showLegendKey val="0"/>
              <c:showVal val="1"/>
              <c:showCatName val="0"/>
              <c:showSerName val="0"/>
              <c:showPercent val="0"/>
              <c:showBubbleSize val="0"/>
            </c:dLbl>
            <c:dLbl>
              <c:idx val="18"/>
              <c:layout>
                <c:manualLayout>
                  <c:x val="2.39808108195376E-3"/>
                  <c:y val="-1.851851851851856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'pb-īpatsvars2012'!$B$8:$B$26</c:f>
              <c:strCache>
                <c:ptCount val="19"/>
                <c:pt idx="0">
                  <c:v>Vispārējie valdības dienesti</c:v>
                </c:pt>
                <c:pt idx="2">
                  <c:v>Aizsardzība</c:v>
                </c:pt>
                <c:pt idx="4">
                  <c:v>Sabiedriskā kārtība un drošība</c:v>
                </c:pt>
                <c:pt idx="6">
                  <c:v>Ekonomiskā darbība</c:v>
                </c:pt>
                <c:pt idx="8">
                  <c:v>Vides aizsardzība</c:v>
                </c:pt>
                <c:pt idx="10">
                  <c:v>Teritoriju un mājokļu apsaimniekošana</c:v>
                </c:pt>
                <c:pt idx="12">
                  <c:v>Veselība</c:v>
                </c:pt>
                <c:pt idx="14">
                  <c:v>Atpūta, kultūra un reliģija </c:v>
                </c:pt>
                <c:pt idx="16">
                  <c:v>Izglītība</c:v>
                </c:pt>
                <c:pt idx="18">
                  <c:v>Sociālā aizsardzība</c:v>
                </c:pt>
              </c:strCache>
            </c:strRef>
          </c:cat>
          <c:val>
            <c:numRef>
              <c:f>'pb-īpatsvars2012'!$H$8:$H$26</c:f>
              <c:numCache>
                <c:formatCode>General</c:formatCode>
                <c:ptCount val="19"/>
                <c:pt idx="0" formatCode="#,##0_);\(#,##0\)">
                  <c:v>181631</c:v>
                </c:pt>
                <c:pt idx="2" formatCode="#,##0_);\(#,##0\)">
                  <c:v>23778</c:v>
                </c:pt>
                <c:pt idx="4" formatCode="#,##0_);\(#,##0\)">
                  <c:v>54450</c:v>
                </c:pt>
                <c:pt idx="6" formatCode="#,##0_);\(#,##0\)">
                  <c:v>174398</c:v>
                </c:pt>
                <c:pt idx="8" formatCode="#,##0_);\(#,##0\)">
                  <c:v>19586</c:v>
                </c:pt>
                <c:pt idx="10" formatCode="#,##0_);\(#,##0\)">
                  <c:v>813</c:v>
                </c:pt>
                <c:pt idx="12" formatCode="#,##0_);\(#,##0\)">
                  <c:v>101940</c:v>
                </c:pt>
                <c:pt idx="14" formatCode="#,##0_);\(#,##0\)">
                  <c:v>19202</c:v>
                </c:pt>
                <c:pt idx="16" formatCode="#,##0_);\(#,##0\)">
                  <c:v>108212</c:v>
                </c:pt>
                <c:pt idx="18" formatCode="#,##0_);\(#,##0\)">
                  <c:v>46643</c:v>
                </c:pt>
              </c:numCache>
            </c:numRef>
          </c:val>
        </c:ser>
        <c:dLbls>
          <c:showLegendKey val="0"/>
          <c:showVal val="1"/>
          <c:showCatName val="0"/>
          <c:showSerName val="0"/>
          <c:showPercent val="0"/>
          <c:showBubbleSize val="0"/>
        </c:dLbls>
        <c:gapWidth val="0"/>
        <c:axId val="179583616"/>
        <c:axId val="179601792"/>
      </c:barChart>
      <c:catAx>
        <c:axId val="179583616"/>
        <c:scaling>
          <c:orientation val="minMax"/>
        </c:scaling>
        <c:delete val="0"/>
        <c:axPos val="l"/>
        <c:majorTickMark val="out"/>
        <c:minorTickMark val="none"/>
        <c:tickLblPos val="nextTo"/>
        <c:crossAx val="179601792"/>
        <c:crosses val="autoZero"/>
        <c:auto val="1"/>
        <c:lblAlgn val="ctr"/>
        <c:lblOffset val="100"/>
        <c:noMultiLvlLbl val="0"/>
      </c:catAx>
      <c:valAx>
        <c:axId val="179601792"/>
        <c:scaling>
          <c:orientation val="minMax"/>
        </c:scaling>
        <c:delete val="0"/>
        <c:axPos val="b"/>
        <c:majorGridlines/>
        <c:numFmt formatCode="#,##0_);\(#,##0\)" sourceLinked="0"/>
        <c:majorTickMark val="out"/>
        <c:minorTickMark val="none"/>
        <c:tickLblPos val="nextTo"/>
        <c:crossAx val="179583616"/>
        <c:crosses val="autoZero"/>
        <c:crossBetween val="between"/>
      </c:valAx>
      <c:spPr>
        <a:ln>
          <a:noFill/>
        </a:ln>
      </c:spPr>
    </c:plotArea>
    <c:legend>
      <c:legendPos val="b"/>
      <c:layout>
        <c:manualLayout>
          <c:xMode val="edge"/>
          <c:yMode val="edge"/>
          <c:x val="0.25836981184422303"/>
          <c:y val="0.89332042796975963"/>
          <c:w val="0.483260376311554"/>
          <c:h val="0.10667957203024041"/>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sz="1200"/>
              <a:t>2012.gada</a:t>
            </a:r>
            <a:r>
              <a:rPr lang="lv-LV" sz="1200" baseline="0"/>
              <a:t> 3 mēneši</a:t>
            </a:r>
            <a:endParaRPr lang="lv-LV" sz="1200"/>
          </a:p>
        </c:rich>
      </c:tx>
      <c:layout>
        <c:manualLayout>
          <c:xMode val="edge"/>
          <c:yMode val="edge"/>
          <c:x val="0.28610542343464668"/>
          <c:y val="2.7777777777777776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6022637129790821E-2"/>
          <c:y val="0.19755468066491688"/>
          <c:w val="0.81550036468565157"/>
          <c:h val="0.67734434237386998"/>
        </c:manualLayout>
      </c:layout>
      <c:pie3DChart>
        <c:varyColors val="1"/>
        <c:ser>
          <c:idx val="0"/>
          <c:order val="0"/>
          <c:dLbls>
            <c:dLbl>
              <c:idx val="0"/>
              <c:layout>
                <c:manualLayout>
                  <c:x val="0.19737830945573995"/>
                  <c:y val="6.6992198891805202E-2"/>
                </c:manualLayout>
              </c:layout>
              <c:numFmt formatCode="0.0%" sourceLinked="0"/>
              <c:spPr/>
              <c:txPr>
                <a:bodyPr/>
                <a:lstStyle/>
                <a:p>
                  <a:pPr>
                    <a:defRPr/>
                  </a:pPr>
                  <a:endParaRPr lang="lv-LV"/>
                </a:p>
              </c:txPr>
              <c:showLegendKey val="0"/>
              <c:showVal val="0"/>
              <c:showCatName val="1"/>
              <c:showSerName val="0"/>
              <c:showPercent val="1"/>
              <c:showBubbleSize val="0"/>
            </c:dLbl>
            <c:dLbl>
              <c:idx val="1"/>
              <c:layout>
                <c:manualLayout>
                  <c:x val="4.5563878551691701E-3"/>
                  <c:y val="-0.28324074074074074"/>
                </c:manualLayout>
              </c:layout>
              <c:numFmt formatCode="0.0%" sourceLinked="0"/>
              <c:spPr/>
              <c:txPr>
                <a:bodyPr/>
                <a:lstStyle/>
                <a:p>
                  <a:pPr>
                    <a:defRPr/>
                  </a:pPr>
                  <a:endParaRPr lang="lv-LV"/>
                </a:p>
              </c:txPr>
              <c:showLegendKey val="0"/>
              <c:showVal val="0"/>
              <c:showCatName val="1"/>
              <c:showSerName val="0"/>
              <c:showPercent val="1"/>
              <c:showBubbleSize val="0"/>
            </c:dLbl>
            <c:showLegendKey val="0"/>
            <c:showVal val="0"/>
            <c:showCatName val="1"/>
            <c:showSerName val="0"/>
            <c:showPercent val="1"/>
            <c:showBubbleSize val="0"/>
            <c:showLeaderLines val="1"/>
          </c:dLbls>
          <c:cat>
            <c:strRef>
              <c:f>(spb_3men!$A$8;spb_3men!$A$26)</c:f>
              <c:strCache>
                <c:ptCount val="2"/>
                <c:pt idx="0">
                  <c:v>Kārtējie izdevumi</c:v>
                </c:pt>
                <c:pt idx="1">
                  <c:v>       Subsīdijas, dotācijas un sociālie pabalsti</c:v>
                </c:pt>
              </c:strCache>
            </c:strRef>
          </c:cat>
          <c:val>
            <c:numRef>
              <c:f>(spb_3men!$M$8;spb_3men!$M$26)</c:f>
              <c:numCache>
                <c:formatCode>#,##0</c:formatCode>
                <c:ptCount val="2"/>
                <c:pt idx="0" formatCode="###,###,###">
                  <c:v>2044</c:v>
                </c:pt>
                <c:pt idx="1">
                  <c:v>367367</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2328556813706918E-2"/>
          <c:y val="0.17673665188506216"/>
          <c:w val="0.90151941577298067"/>
          <c:h val="0.73329708060703669"/>
        </c:manualLayout>
      </c:layout>
      <c:barChart>
        <c:barDir val="col"/>
        <c:grouping val="stacked"/>
        <c:varyColors val="0"/>
        <c:ser>
          <c:idx val="0"/>
          <c:order val="0"/>
          <c:tx>
            <c:strRef>
              <c:f>'2011-2012milj'!$A$8</c:f>
              <c:strCache>
                <c:ptCount val="1"/>
                <c:pt idx="0">
                  <c:v>I. Valsts pamatfunkcijas, milj. latu</c:v>
                </c:pt>
              </c:strCache>
            </c:strRef>
          </c:tx>
          <c:invertIfNegative val="0"/>
          <c:dLbls>
            <c:txPr>
              <a:bodyPr/>
              <a:lstStyle/>
              <a:p>
                <a:pPr>
                  <a:defRPr sz="1000" b="1">
                    <a:latin typeface="Times New Roman" pitchFamily="18" charset="0"/>
                    <a:cs typeface="Times New Roman" pitchFamily="18" charset="0"/>
                  </a:defRPr>
                </a:pPr>
                <a:endParaRPr lang="lv-LV"/>
              </a:p>
            </c:txPr>
            <c:showLegendKey val="0"/>
            <c:showVal val="1"/>
            <c:showCatName val="0"/>
            <c:showSerName val="0"/>
            <c:showPercent val="0"/>
            <c:showBubbleSize val="0"/>
            <c:showLeaderLines val="0"/>
          </c:dLbls>
          <c:cat>
            <c:strRef>
              <c:f>'2011-2012milj'!$B$6:$P$6</c:f>
              <c:strCache>
                <c:ptCount val="15"/>
                <c:pt idx="0">
                  <c:v>Jan
2011</c:v>
                </c:pt>
                <c:pt idx="1">
                  <c:v>Feb
2011</c:v>
                </c:pt>
                <c:pt idx="2">
                  <c:v>Mar
2011</c:v>
                </c:pt>
                <c:pt idx="3">
                  <c:v>Apr
2011</c:v>
                </c:pt>
                <c:pt idx="4">
                  <c:v>Mai
2011</c:v>
                </c:pt>
                <c:pt idx="5">
                  <c:v>Jūn
2011</c:v>
                </c:pt>
                <c:pt idx="6">
                  <c:v>Jūl
2011</c:v>
                </c:pt>
                <c:pt idx="7">
                  <c:v>Aug
2011</c:v>
                </c:pt>
                <c:pt idx="8">
                  <c:v>Sep
2011</c:v>
                </c:pt>
                <c:pt idx="9">
                  <c:v>Okt
2011</c:v>
                </c:pt>
                <c:pt idx="10">
                  <c:v>Nov
2011</c:v>
                </c:pt>
                <c:pt idx="11">
                  <c:v>Dec
2011</c:v>
                </c:pt>
                <c:pt idx="12">
                  <c:v>Jan
2012</c:v>
                </c:pt>
                <c:pt idx="13">
                  <c:v>Feb
2012</c:v>
                </c:pt>
                <c:pt idx="14">
                  <c:v>Mar
2012</c:v>
                </c:pt>
              </c:strCache>
            </c:strRef>
          </c:cat>
          <c:val>
            <c:numRef>
              <c:f>'2011-2012milj'!$B$8:$P$8</c:f>
              <c:numCache>
                <c:formatCode>#,##0</c:formatCode>
                <c:ptCount val="15"/>
                <c:pt idx="0">
                  <c:v>169.63482200000001</c:v>
                </c:pt>
                <c:pt idx="1">
                  <c:v>195.41338300000001</c:v>
                </c:pt>
                <c:pt idx="2">
                  <c:v>205.67618300000001</c:v>
                </c:pt>
                <c:pt idx="3">
                  <c:v>186.990408</c:v>
                </c:pt>
                <c:pt idx="4">
                  <c:v>183.29038600000001</c:v>
                </c:pt>
                <c:pt idx="5">
                  <c:v>192.34086099999999</c:v>
                </c:pt>
                <c:pt idx="6">
                  <c:v>160.18159800000001</c:v>
                </c:pt>
                <c:pt idx="7">
                  <c:v>142.08003500000001</c:v>
                </c:pt>
                <c:pt idx="8">
                  <c:v>167.39749800000001</c:v>
                </c:pt>
                <c:pt idx="9">
                  <c:v>169.94527500000001</c:v>
                </c:pt>
                <c:pt idx="10">
                  <c:v>194.27838</c:v>
                </c:pt>
                <c:pt idx="11">
                  <c:v>251.292869</c:v>
                </c:pt>
                <c:pt idx="12">
                  <c:v>168.08125899999999</c:v>
                </c:pt>
                <c:pt idx="13">
                  <c:v>200.07084699999999</c:v>
                </c:pt>
                <c:pt idx="14">
                  <c:v>209.77211</c:v>
                </c:pt>
              </c:numCache>
            </c:numRef>
          </c:val>
        </c:ser>
        <c:ser>
          <c:idx val="1"/>
          <c:order val="1"/>
          <c:tx>
            <c:strRef>
              <c:f>'2011-2012milj'!$A$9</c:f>
              <c:strCache>
                <c:ptCount val="1"/>
                <c:pt idx="0">
                  <c:v>II. ES politiku instrumenti un pārējā āfp, milj. latu</c:v>
                </c:pt>
              </c:strCache>
            </c:strRef>
          </c:tx>
          <c:invertIfNegative val="0"/>
          <c:dLbls>
            <c:txPr>
              <a:bodyPr/>
              <a:lstStyle/>
              <a:p>
                <a:pPr>
                  <a:defRPr sz="1000" b="1">
                    <a:latin typeface="Times New Roman" pitchFamily="18" charset="0"/>
                    <a:cs typeface="Times New Roman" pitchFamily="18" charset="0"/>
                  </a:defRPr>
                </a:pPr>
                <a:endParaRPr lang="lv-LV"/>
              </a:p>
            </c:txPr>
            <c:showLegendKey val="0"/>
            <c:showVal val="1"/>
            <c:showCatName val="0"/>
            <c:showSerName val="0"/>
            <c:showPercent val="0"/>
            <c:showBubbleSize val="0"/>
            <c:showLeaderLines val="0"/>
          </c:dLbls>
          <c:cat>
            <c:strRef>
              <c:f>'2011-2012milj'!$B$6:$P$6</c:f>
              <c:strCache>
                <c:ptCount val="15"/>
                <c:pt idx="0">
                  <c:v>Jan
2011</c:v>
                </c:pt>
                <c:pt idx="1">
                  <c:v>Feb
2011</c:v>
                </c:pt>
                <c:pt idx="2">
                  <c:v>Mar
2011</c:v>
                </c:pt>
                <c:pt idx="3">
                  <c:v>Apr
2011</c:v>
                </c:pt>
                <c:pt idx="4">
                  <c:v>Mai
2011</c:v>
                </c:pt>
                <c:pt idx="5">
                  <c:v>Jūn
2011</c:v>
                </c:pt>
                <c:pt idx="6">
                  <c:v>Jūl
2011</c:v>
                </c:pt>
                <c:pt idx="7">
                  <c:v>Aug
2011</c:v>
                </c:pt>
                <c:pt idx="8">
                  <c:v>Sep
2011</c:v>
                </c:pt>
                <c:pt idx="9">
                  <c:v>Okt
2011</c:v>
                </c:pt>
                <c:pt idx="10">
                  <c:v>Nov
2011</c:v>
                </c:pt>
                <c:pt idx="11">
                  <c:v>Dec
2011</c:v>
                </c:pt>
                <c:pt idx="12">
                  <c:v>Jan
2012</c:v>
                </c:pt>
                <c:pt idx="13">
                  <c:v>Feb
2012</c:v>
                </c:pt>
                <c:pt idx="14">
                  <c:v>Mar
2012</c:v>
                </c:pt>
              </c:strCache>
            </c:strRef>
          </c:cat>
          <c:val>
            <c:numRef>
              <c:f>'2011-2012milj'!$B$9:$P$9</c:f>
              <c:numCache>
                <c:formatCode>#,##0</c:formatCode>
                <c:ptCount val="15"/>
                <c:pt idx="0">
                  <c:v>47.838254999999997</c:v>
                </c:pt>
                <c:pt idx="1">
                  <c:v>57.083058000000001</c:v>
                </c:pt>
                <c:pt idx="2">
                  <c:v>55.007648000000003</c:v>
                </c:pt>
                <c:pt idx="3">
                  <c:v>51.895035</c:v>
                </c:pt>
                <c:pt idx="4">
                  <c:v>61.815202999999997</c:v>
                </c:pt>
                <c:pt idx="5">
                  <c:v>63.432702999999997</c:v>
                </c:pt>
                <c:pt idx="6">
                  <c:v>72.361919</c:v>
                </c:pt>
                <c:pt idx="7">
                  <c:v>76.214686999999998</c:v>
                </c:pt>
                <c:pt idx="8">
                  <c:v>98.211015000000003</c:v>
                </c:pt>
                <c:pt idx="9">
                  <c:v>78.009833999999998</c:v>
                </c:pt>
                <c:pt idx="10">
                  <c:v>105.61729699999999</c:v>
                </c:pt>
                <c:pt idx="11">
                  <c:v>224.19392999999999</c:v>
                </c:pt>
                <c:pt idx="12">
                  <c:v>43.787331000000002</c:v>
                </c:pt>
                <c:pt idx="13">
                  <c:v>62.661979000000002</c:v>
                </c:pt>
                <c:pt idx="14">
                  <c:v>59.510069000000001</c:v>
                </c:pt>
              </c:numCache>
            </c:numRef>
          </c:val>
        </c:ser>
        <c:dLbls>
          <c:showLegendKey val="0"/>
          <c:showVal val="0"/>
          <c:showCatName val="0"/>
          <c:showSerName val="0"/>
          <c:showPercent val="0"/>
          <c:showBubbleSize val="0"/>
        </c:dLbls>
        <c:gapWidth val="150"/>
        <c:overlap val="100"/>
        <c:axId val="182481664"/>
        <c:axId val="182483200"/>
      </c:barChart>
      <c:catAx>
        <c:axId val="182481664"/>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lv-LV"/>
          </a:p>
        </c:txPr>
        <c:crossAx val="182483200"/>
        <c:crosses val="autoZero"/>
        <c:auto val="1"/>
        <c:lblAlgn val="ctr"/>
        <c:lblOffset val="100"/>
        <c:noMultiLvlLbl val="0"/>
      </c:catAx>
      <c:valAx>
        <c:axId val="182483200"/>
        <c:scaling>
          <c:orientation val="minMax"/>
        </c:scaling>
        <c:delete val="0"/>
        <c:axPos val="l"/>
        <c:majorGridlines/>
        <c:numFmt formatCode="#,##0" sourceLinked="1"/>
        <c:majorTickMark val="out"/>
        <c:minorTickMark val="none"/>
        <c:tickLblPos val="nextTo"/>
        <c:crossAx val="182481664"/>
        <c:crosses val="autoZero"/>
        <c:crossBetween val="between"/>
      </c:valAx>
    </c:plotArea>
    <c:legend>
      <c:legendPos val="tr"/>
      <c:layout>
        <c:manualLayout>
          <c:xMode val="edge"/>
          <c:yMode val="edge"/>
          <c:x val="8.8562313748188418E-2"/>
          <c:y val="0.19336788059955082"/>
          <c:w val="0.43455116853686282"/>
          <c:h val="0.2016202728934402"/>
        </c:manualLayout>
      </c:layout>
      <c:overlay val="0"/>
      <c:txPr>
        <a:bodyPr/>
        <a:lstStyle/>
        <a:p>
          <a:pPr>
            <a:defRPr sz="1000" b="1">
              <a:latin typeface="Times New Roman" pitchFamily="18" charset="0"/>
              <a:cs typeface="Times New Roman" pitchFamily="18" charset="0"/>
            </a:defRPr>
          </a:pPr>
          <a:endParaRPr lang="lv-LV"/>
        </a:p>
      </c:txPr>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0.93577</cdr:x>
      <cdr:y>0.10589</cdr:y>
    </cdr:from>
    <cdr:to>
      <cdr:x>0.95102</cdr:x>
      <cdr:y>0.12656</cdr:y>
    </cdr:to>
    <cdr:sp macro="" textlink="">
      <cdr:nvSpPr>
        <cdr:cNvPr id="2" name="TextBox 1"/>
        <cdr:cNvSpPr txBox="1"/>
      </cdr:nvSpPr>
      <cdr:spPr>
        <a:xfrm xmlns:a="http://schemas.openxmlformats.org/drawingml/2006/main">
          <a:off x="4267200" y="295275"/>
          <a:ext cx="69531" cy="57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774B0-E1B8-4D3C-A6A4-1CF8D63BF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63</Pages>
  <Words>76250</Words>
  <Characters>43464</Characters>
  <Application>Microsoft Office Word</Application>
  <DocSecurity>0</DocSecurity>
  <Lines>362</Lines>
  <Paragraphs>238</Paragraphs>
  <ScaleCrop>false</ScaleCrop>
  <HeadingPairs>
    <vt:vector size="2" baseType="variant">
      <vt:variant>
        <vt:lpstr>Title</vt:lpstr>
      </vt:variant>
      <vt:variant>
        <vt:i4>1</vt:i4>
      </vt:variant>
    </vt:vector>
  </HeadingPairs>
  <TitlesOfParts>
    <vt:vector size="1" baseType="lpstr">
      <vt:lpstr>Informatīvais ziņojums</vt:lpstr>
    </vt:vector>
  </TitlesOfParts>
  <Company>Finanšu ministrija</Company>
  <LinksUpToDate>false</LinksUpToDate>
  <CharactersWithSpaces>119476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dc:title>
  <dc:subject>Par tautsaimniecības attīstību un kopbudžeta izpildes gaitu 2011. gada I ceturksnī</dc:subject>
  <dc:creator>Anda Apse</dc:creator>
  <dc:description>tālrunis 67083887
Anda.Apse@fm.gov.lv</dc:description>
  <cp:lastModifiedBy>ID</cp:lastModifiedBy>
  <cp:revision>20</cp:revision>
  <cp:lastPrinted>2012-05-25T11:44:00Z</cp:lastPrinted>
  <dcterms:created xsi:type="dcterms:W3CDTF">2012-05-18T10:34:00Z</dcterms:created>
  <dcterms:modified xsi:type="dcterms:W3CDTF">2012-05-25T12:44:00Z</dcterms:modified>
</cp:coreProperties>
</file>