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BE" w:rsidRPr="00166994" w:rsidRDefault="00F13BF0" w:rsidP="00166994">
      <w:pPr>
        <w:keepNext/>
        <w:spacing w:after="0"/>
        <w:jc w:val="right"/>
        <w:rPr>
          <w:sz w:val="24"/>
        </w:rPr>
      </w:pPr>
      <w:r>
        <w:rPr>
          <w:sz w:val="24"/>
        </w:rPr>
        <w:t>P</w:t>
      </w:r>
      <w:r w:rsidR="009123BE" w:rsidRPr="00166994">
        <w:rPr>
          <w:sz w:val="24"/>
        </w:rPr>
        <w:t>ielikums</w:t>
      </w:r>
    </w:p>
    <w:p w:rsidR="00D075ED" w:rsidRPr="00166994" w:rsidRDefault="00370CCC" w:rsidP="00166994">
      <w:pPr>
        <w:spacing w:after="0"/>
        <w:jc w:val="right"/>
        <w:rPr>
          <w:sz w:val="24"/>
        </w:rPr>
      </w:pPr>
      <w:r w:rsidRPr="00166994">
        <w:rPr>
          <w:sz w:val="24"/>
        </w:rPr>
        <w:t>i</w:t>
      </w:r>
      <w:r w:rsidR="00D075ED" w:rsidRPr="00166994">
        <w:rPr>
          <w:sz w:val="24"/>
        </w:rPr>
        <w:t xml:space="preserve">nformatīvajam ziņojumam </w:t>
      </w:r>
    </w:p>
    <w:p w:rsidR="009123BE" w:rsidRPr="00166994" w:rsidRDefault="00A2054B" w:rsidP="002C4B32">
      <w:pPr>
        <w:spacing w:after="0"/>
        <w:jc w:val="right"/>
        <w:rPr>
          <w:sz w:val="24"/>
        </w:rPr>
      </w:pPr>
      <w:r w:rsidRPr="00A2054B">
        <w:rPr>
          <w:sz w:val="24"/>
        </w:rPr>
        <w:t>“</w:t>
      </w:r>
      <w:r w:rsidR="009123BE" w:rsidRPr="00166994">
        <w:rPr>
          <w:sz w:val="24"/>
        </w:rPr>
        <w:t xml:space="preserve">Par </w:t>
      </w:r>
      <w:r w:rsidR="002C4B32">
        <w:rPr>
          <w:sz w:val="24"/>
        </w:rPr>
        <w:t>elektroniskās algas nodokļa grāmatiņas ievi</w:t>
      </w:r>
      <w:r w:rsidR="0069539C">
        <w:rPr>
          <w:sz w:val="24"/>
        </w:rPr>
        <w:t>e</w:t>
      </w:r>
      <w:r w:rsidR="002C4B32">
        <w:rPr>
          <w:sz w:val="24"/>
        </w:rPr>
        <w:t>šanu</w:t>
      </w:r>
      <w:r w:rsidR="009123BE" w:rsidRPr="00166994">
        <w:rPr>
          <w:sz w:val="24"/>
        </w:rPr>
        <w:t>”</w:t>
      </w:r>
    </w:p>
    <w:p w:rsidR="00D40D5F" w:rsidRDefault="00D40D5F" w:rsidP="00166994">
      <w:pPr>
        <w:keepNext/>
        <w:spacing w:line="276" w:lineRule="auto"/>
        <w:jc w:val="center"/>
        <w:rPr>
          <w:b/>
          <w:sz w:val="24"/>
        </w:rPr>
      </w:pPr>
    </w:p>
    <w:p w:rsidR="00895E9F" w:rsidRPr="00427581" w:rsidRDefault="000B6F0A" w:rsidP="00166994">
      <w:pPr>
        <w:keepNext/>
        <w:spacing w:line="276" w:lineRule="auto"/>
        <w:jc w:val="center"/>
        <w:rPr>
          <w:b/>
          <w:szCs w:val="28"/>
        </w:rPr>
      </w:pPr>
      <w:r w:rsidRPr="0094194C">
        <w:rPr>
          <w:b/>
          <w:szCs w:val="28"/>
        </w:rPr>
        <w:t xml:space="preserve">Sadarbības iestādes informācijas saņemšanai no to </w:t>
      </w:r>
      <w:proofErr w:type="spellStart"/>
      <w:r w:rsidRPr="0094194C">
        <w:rPr>
          <w:b/>
          <w:szCs w:val="28"/>
        </w:rPr>
        <w:t>pārziņā</w:t>
      </w:r>
      <w:proofErr w:type="spellEnd"/>
      <w:r w:rsidRPr="0094194C">
        <w:rPr>
          <w:b/>
          <w:szCs w:val="28"/>
        </w:rPr>
        <w:t xml:space="preserve"> esoš</w:t>
      </w:r>
      <w:r>
        <w:rPr>
          <w:b/>
          <w:szCs w:val="28"/>
        </w:rPr>
        <w:t>ajām</w:t>
      </w:r>
      <w:r w:rsidRPr="0094194C">
        <w:rPr>
          <w:b/>
          <w:szCs w:val="28"/>
        </w:rPr>
        <w:t xml:space="preserve"> valsts informācijas sistēmām</w:t>
      </w:r>
      <w:r w:rsidR="0094194C" w:rsidRPr="0094194C">
        <w:rPr>
          <w:b/>
          <w:szCs w:val="28"/>
        </w:rPr>
        <w:t xml:space="preserve"> </w:t>
      </w:r>
      <w:r w:rsidR="009123BE" w:rsidRPr="0094194C">
        <w:rPr>
          <w:b/>
          <w:szCs w:val="28"/>
        </w:rPr>
        <w:t xml:space="preserve"> </w:t>
      </w:r>
    </w:p>
    <w:tbl>
      <w:tblPr>
        <w:tblW w:w="14063"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1"/>
        <w:gridCol w:w="2606"/>
        <w:gridCol w:w="1786"/>
        <w:gridCol w:w="2484"/>
        <w:gridCol w:w="6306"/>
      </w:tblGrid>
      <w:tr w:rsidR="00163FE0" w:rsidRPr="00166994" w:rsidTr="000C3868">
        <w:trPr>
          <w:cantSplit/>
          <w:trHeight w:val="137"/>
          <w:tblHeader/>
          <w:jc w:val="center"/>
        </w:trPr>
        <w:tc>
          <w:tcPr>
            <w:tcW w:w="881" w:type="dxa"/>
          </w:tcPr>
          <w:p w:rsidR="00163FE0" w:rsidRPr="00166994" w:rsidRDefault="000C3868" w:rsidP="009123BE">
            <w:pPr>
              <w:keepNext/>
              <w:ind w:firstLine="0"/>
              <w:jc w:val="center"/>
              <w:rPr>
                <w:b/>
                <w:bCs/>
                <w:sz w:val="24"/>
              </w:rPr>
            </w:pPr>
            <w:proofErr w:type="spellStart"/>
            <w:r>
              <w:rPr>
                <w:b/>
                <w:bCs/>
                <w:sz w:val="24"/>
              </w:rPr>
              <w:t>Nr.p.k</w:t>
            </w:r>
            <w:proofErr w:type="spellEnd"/>
            <w:r>
              <w:rPr>
                <w:b/>
                <w:bCs/>
                <w:sz w:val="24"/>
              </w:rPr>
              <w:t>.</w:t>
            </w:r>
          </w:p>
        </w:tc>
        <w:tc>
          <w:tcPr>
            <w:tcW w:w="2606" w:type="dxa"/>
          </w:tcPr>
          <w:p w:rsidR="00163FE0" w:rsidRPr="00166994" w:rsidRDefault="00163FE0" w:rsidP="00163FE0">
            <w:pPr>
              <w:keepNext/>
              <w:ind w:firstLine="0"/>
              <w:jc w:val="center"/>
              <w:rPr>
                <w:b/>
                <w:bCs/>
                <w:sz w:val="24"/>
              </w:rPr>
            </w:pPr>
            <w:r>
              <w:rPr>
                <w:b/>
                <w:bCs/>
                <w:sz w:val="24"/>
              </w:rPr>
              <w:t>Iestāde un valsts informācijas sistēmas pārzinis</w:t>
            </w:r>
          </w:p>
        </w:tc>
        <w:tc>
          <w:tcPr>
            <w:tcW w:w="1786" w:type="dxa"/>
          </w:tcPr>
          <w:p w:rsidR="00163FE0" w:rsidRPr="00166994" w:rsidRDefault="00163FE0" w:rsidP="009746F1">
            <w:pPr>
              <w:keepNext/>
              <w:ind w:firstLine="0"/>
              <w:jc w:val="center"/>
              <w:rPr>
                <w:b/>
                <w:bCs/>
                <w:sz w:val="24"/>
              </w:rPr>
            </w:pPr>
            <w:r>
              <w:rPr>
                <w:b/>
                <w:bCs/>
                <w:sz w:val="24"/>
              </w:rPr>
              <w:t>Valsts informācijas sistēma</w:t>
            </w:r>
          </w:p>
        </w:tc>
        <w:tc>
          <w:tcPr>
            <w:tcW w:w="2484" w:type="dxa"/>
          </w:tcPr>
          <w:p w:rsidR="00163FE0" w:rsidRDefault="00163FE0" w:rsidP="00166994">
            <w:pPr>
              <w:keepNext/>
              <w:ind w:firstLine="0"/>
              <w:jc w:val="center"/>
              <w:rPr>
                <w:b/>
                <w:bCs/>
                <w:sz w:val="24"/>
              </w:rPr>
            </w:pPr>
            <w:r>
              <w:rPr>
                <w:b/>
                <w:bCs/>
                <w:sz w:val="24"/>
              </w:rPr>
              <w:t>Datu raksturojums</w:t>
            </w:r>
          </w:p>
        </w:tc>
        <w:tc>
          <w:tcPr>
            <w:tcW w:w="6306" w:type="dxa"/>
          </w:tcPr>
          <w:p w:rsidR="00163FE0" w:rsidRDefault="00163FE0" w:rsidP="00040125">
            <w:pPr>
              <w:keepNext/>
              <w:ind w:firstLine="0"/>
              <w:jc w:val="center"/>
              <w:rPr>
                <w:b/>
                <w:bCs/>
                <w:sz w:val="24"/>
              </w:rPr>
            </w:pPr>
            <w:r>
              <w:rPr>
                <w:b/>
                <w:bCs/>
                <w:sz w:val="24"/>
              </w:rPr>
              <w:t>Informācijas apmaiņas risinājums</w:t>
            </w:r>
          </w:p>
        </w:tc>
      </w:tr>
      <w:tr w:rsidR="0096021D" w:rsidRPr="00166994" w:rsidTr="000C3868">
        <w:trPr>
          <w:cantSplit/>
          <w:trHeight w:val="1669"/>
          <w:jc w:val="center"/>
        </w:trPr>
        <w:tc>
          <w:tcPr>
            <w:tcW w:w="881" w:type="dxa"/>
            <w:vMerge w:val="restart"/>
          </w:tcPr>
          <w:p w:rsidR="0096021D" w:rsidRPr="00166994" w:rsidRDefault="0096021D" w:rsidP="009123BE">
            <w:pPr>
              <w:ind w:firstLine="0"/>
              <w:jc w:val="center"/>
              <w:rPr>
                <w:color w:val="000000"/>
                <w:sz w:val="24"/>
              </w:rPr>
            </w:pPr>
            <w:r w:rsidRPr="00166994">
              <w:rPr>
                <w:color w:val="000000"/>
                <w:sz w:val="24"/>
              </w:rPr>
              <w:t>1.</w:t>
            </w:r>
          </w:p>
          <w:p w:rsidR="0096021D" w:rsidRPr="00166994" w:rsidRDefault="0096021D" w:rsidP="001B498A">
            <w:pPr>
              <w:jc w:val="center"/>
              <w:rPr>
                <w:color w:val="000000"/>
                <w:sz w:val="24"/>
              </w:rPr>
            </w:pPr>
          </w:p>
        </w:tc>
        <w:tc>
          <w:tcPr>
            <w:tcW w:w="2606" w:type="dxa"/>
            <w:vMerge w:val="restart"/>
          </w:tcPr>
          <w:p w:rsidR="0096021D" w:rsidRPr="00163FE0" w:rsidRDefault="0096021D" w:rsidP="005E5259">
            <w:pPr>
              <w:ind w:firstLine="0"/>
              <w:jc w:val="left"/>
              <w:rPr>
                <w:sz w:val="24"/>
              </w:rPr>
            </w:pPr>
            <w:r w:rsidRPr="00515912">
              <w:rPr>
                <w:b/>
                <w:sz w:val="24"/>
              </w:rPr>
              <w:t>Iekšlietu ministrija</w:t>
            </w:r>
            <w:r w:rsidRPr="00163FE0">
              <w:rPr>
                <w:sz w:val="24"/>
              </w:rPr>
              <w:t xml:space="preserve"> </w:t>
            </w:r>
            <w:r>
              <w:rPr>
                <w:sz w:val="24"/>
              </w:rPr>
              <w:t>– Pilsonības migrāciju lietu pārvalde</w:t>
            </w:r>
          </w:p>
        </w:tc>
        <w:tc>
          <w:tcPr>
            <w:tcW w:w="1786" w:type="dxa"/>
            <w:vMerge w:val="restart"/>
          </w:tcPr>
          <w:p w:rsidR="0096021D" w:rsidRPr="00163FE0" w:rsidRDefault="0096021D" w:rsidP="0096021D">
            <w:pPr>
              <w:ind w:firstLine="0"/>
              <w:jc w:val="left"/>
              <w:rPr>
                <w:sz w:val="24"/>
              </w:rPr>
            </w:pPr>
            <w:r>
              <w:rPr>
                <w:sz w:val="24"/>
              </w:rPr>
              <w:t>Iedzīvotāju reģistrs</w:t>
            </w:r>
          </w:p>
          <w:p w:rsidR="0096021D" w:rsidRPr="00163FE0" w:rsidRDefault="0096021D" w:rsidP="0096021D">
            <w:pPr>
              <w:jc w:val="left"/>
              <w:rPr>
                <w:sz w:val="24"/>
              </w:rPr>
            </w:pPr>
          </w:p>
        </w:tc>
        <w:tc>
          <w:tcPr>
            <w:tcW w:w="2484" w:type="dxa"/>
          </w:tcPr>
          <w:p w:rsidR="0096021D" w:rsidRPr="00163FE0" w:rsidRDefault="0096021D" w:rsidP="00D04AE7">
            <w:pPr>
              <w:ind w:firstLine="0"/>
              <w:rPr>
                <w:sz w:val="24"/>
              </w:rPr>
            </w:pPr>
            <w:r>
              <w:rPr>
                <w:sz w:val="24"/>
              </w:rPr>
              <w:t>Z</w:t>
            </w:r>
            <w:r w:rsidRPr="00D04AE7">
              <w:rPr>
                <w:sz w:val="24"/>
              </w:rPr>
              <w:t xml:space="preserve">iņas par politiski represētās personas </w:t>
            </w:r>
            <w:r>
              <w:rPr>
                <w:sz w:val="24"/>
              </w:rPr>
              <w:t xml:space="preserve">un </w:t>
            </w:r>
            <w:r w:rsidRPr="00D04AE7">
              <w:rPr>
                <w:sz w:val="24"/>
              </w:rPr>
              <w:t>nacionālās pretošanās kustības dalībnieka statusa piešķiršanas lēmumu</w:t>
            </w:r>
          </w:p>
        </w:tc>
        <w:tc>
          <w:tcPr>
            <w:tcW w:w="6306" w:type="dxa"/>
          </w:tcPr>
          <w:p w:rsidR="0096021D" w:rsidRPr="00163FE0" w:rsidRDefault="0069539C" w:rsidP="00491476">
            <w:pPr>
              <w:ind w:firstLine="0"/>
              <w:rPr>
                <w:sz w:val="24"/>
              </w:rPr>
            </w:pPr>
            <w:r>
              <w:rPr>
                <w:sz w:val="24"/>
              </w:rPr>
              <w:t>Sadarb</w:t>
            </w:r>
            <w:r w:rsidR="00491476">
              <w:rPr>
                <w:sz w:val="24"/>
              </w:rPr>
              <w:t>ībā</w:t>
            </w:r>
            <w:r>
              <w:rPr>
                <w:sz w:val="24"/>
              </w:rPr>
              <w:t xml:space="preserve"> ar Pilsonības migrāciju lietu pārvaldi </w:t>
            </w:r>
            <w:r w:rsidR="00D7048C">
              <w:rPr>
                <w:sz w:val="24"/>
              </w:rPr>
              <w:t xml:space="preserve">vienoties </w:t>
            </w:r>
            <w:r>
              <w:rPr>
                <w:sz w:val="24"/>
              </w:rPr>
              <w:t>par informācijas apmaiņas risinājumu un veidu.</w:t>
            </w:r>
          </w:p>
        </w:tc>
      </w:tr>
      <w:tr w:rsidR="0096021D" w:rsidRPr="00166994" w:rsidTr="000C3868">
        <w:trPr>
          <w:cantSplit/>
          <w:trHeight w:val="137"/>
          <w:jc w:val="center"/>
        </w:trPr>
        <w:tc>
          <w:tcPr>
            <w:tcW w:w="881" w:type="dxa"/>
            <w:vMerge/>
          </w:tcPr>
          <w:p w:rsidR="0096021D" w:rsidRPr="00166994" w:rsidRDefault="0096021D" w:rsidP="009123BE">
            <w:pPr>
              <w:ind w:firstLine="0"/>
              <w:jc w:val="center"/>
              <w:rPr>
                <w:color w:val="000000"/>
                <w:sz w:val="24"/>
              </w:rPr>
            </w:pPr>
          </w:p>
        </w:tc>
        <w:tc>
          <w:tcPr>
            <w:tcW w:w="2606" w:type="dxa"/>
            <w:vMerge/>
            <w:vAlign w:val="center"/>
          </w:tcPr>
          <w:p w:rsidR="0096021D" w:rsidRPr="00163FE0" w:rsidRDefault="0096021D" w:rsidP="006D7E3B">
            <w:pPr>
              <w:ind w:firstLine="0"/>
              <w:jc w:val="left"/>
              <w:rPr>
                <w:sz w:val="24"/>
              </w:rPr>
            </w:pPr>
          </w:p>
        </w:tc>
        <w:tc>
          <w:tcPr>
            <w:tcW w:w="1786" w:type="dxa"/>
            <w:vMerge/>
            <w:vAlign w:val="center"/>
          </w:tcPr>
          <w:p w:rsidR="0096021D" w:rsidRPr="00163FE0" w:rsidRDefault="0096021D" w:rsidP="001B498A">
            <w:pPr>
              <w:ind w:firstLine="0"/>
              <w:rPr>
                <w:sz w:val="24"/>
              </w:rPr>
            </w:pPr>
          </w:p>
        </w:tc>
        <w:tc>
          <w:tcPr>
            <w:tcW w:w="2484" w:type="dxa"/>
          </w:tcPr>
          <w:p w:rsidR="0096021D" w:rsidRPr="00163FE0" w:rsidRDefault="0096021D" w:rsidP="00D04AE7">
            <w:pPr>
              <w:ind w:firstLine="0"/>
              <w:rPr>
                <w:sz w:val="24"/>
              </w:rPr>
            </w:pPr>
            <w:r>
              <w:rPr>
                <w:sz w:val="24"/>
              </w:rPr>
              <w:t>Z</w:t>
            </w:r>
            <w:r w:rsidRPr="00D04AE7">
              <w:rPr>
                <w:sz w:val="24"/>
              </w:rPr>
              <w:t>iņas par personas aizbildņiem, aizgādņiem vai audžuģimeni</w:t>
            </w:r>
          </w:p>
        </w:tc>
        <w:tc>
          <w:tcPr>
            <w:tcW w:w="6306" w:type="dxa"/>
          </w:tcPr>
          <w:p w:rsidR="0096021D" w:rsidRPr="00163FE0" w:rsidRDefault="0069539C" w:rsidP="00491476">
            <w:pPr>
              <w:ind w:firstLine="0"/>
              <w:rPr>
                <w:sz w:val="24"/>
              </w:rPr>
            </w:pPr>
            <w:r>
              <w:rPr>
                <w:sz w:val="24"/>
              </w:rPr>
              <w:t>Sadarb</w:t>
            </w:r>
            <w:r w:rsidR="00491476">
              <w:rPr>
                <w:sz w:val="24"/>
              </w:rPr>
              <w:t>ībā</w:t>
            </w:r>
            <w:r>
              <w:rPr>
                <w:sz w:val="24"/>
              </w:rPr>
              <w:t xml:space="preserve"> ar Pilsonības migrāciju lietu pārvalde </w:t>
            </w:r>
            <w:r w:rsidR="00D7048C">
              <w:rPr>
                <w:sz w:val="24"/>
              </w:rPr>
              <w:t>vienoties</w:t>
            </w:r>
            <w:r>
              <w:rPr>
                <w:sz w:val="24"/>
              </w:rPr>
              <w:t xml:space="preserve"> par informācijas apmaiņas risinājumu un veidu.</w:t>
            </w:r>
          </w:p>
        </w:tc>
      </w:tr>
      <w:tr w:rsidR="008064D8" w:rsidRPr="00166994" w:rsidTr="000C3868">
        <w:trPr>
          <w:cantSplit/>
          <w:trHeight w:val="137"/>
          <w:jc w:val="center"/>
        </w:trPr>
        <w:tc>
          <w:tcPr>
            <w:tcW w:w="881" w:type="dxa"/>
          </w:tcPr>
          <w:p w:rsidR="008064D8" w:rsidRPr="00166994" w:rsidRDefault="008064D8" w:rsidP="009123BE">
            <w:pPr>
              <w:ind w:firstLine="0"/>
              <w:jc w:val="center"/>
              <w:rPr>
                <w:color w:val="000000"/>
                <w:sz w:val="24"/>
              </w:rPr>
            </w:pPr>
            <w:r>
              <w:rPr>
                <w:color w:val="000000"/>
                <w:sz w:val="24"/>
              </w:rPr>
              <w:t>2.</w:t>
            </w:r>
          </w:p>
        </w:tc>
        <w:tc>
          <w:tcPr>
            <w:tcW w:w="2606" w:type="dxa"/>
          </w:tcPr>
          <w:p w:rsidR="008064D8" w:rsidRPr="00163FE0" w:rsidRDefault="008064D8" w:rsidP="008064D8">
            <w:pPr>
              <w:ind w:firstLine="0"/>
              <w:jc w:val="left"/>
              <w:rPr>
                <w:sz w:val="24"/>
              </w:rPr>
            </w:pPr>
            <w:r w:rsidRPr="008064D8">
              <w:rPr>
                <w:b/>
                <w:sz w:val="24"/>
              </w:rPr>
              <w:t>Tieslietu ministrija</w:t>
            </w:r>
            <w:r w:rsidR="00D7048C">
              <w:rPr>
                <w:sz w:val="24"/>
              </w:rPr>
              <w:t xml:space="preserve"> – U</w:t>
            </w:r>
            <w:r>
              <w:rPr>
                <w:sz w:val="24"/>
              </w:rPr>
              <w:t>zturlīdzekļu garantiju fonda administrācija</w:t>
            </w:r>
          </w:p>
        </w:tc>
        <w:tc>
          <w:tcPr>
            <w:tcW w:w="1786" w:type="dxa"/>
          </w:tcPr>
          <w:p w:rsidR="008064D8" w:rsidRDefault="008064D8" w:rsidP="008064D8">
            <w:pPr>
              <w:ind w:firstLine="0"/>
              <w:jc w:val="left"/>
              <w:rPr>
                <w:sz w:val="24"/>
              </w:rPr>
            </w:pPr>
            <w:r>
              <w:rPr>
                <w:sz w:val="24"/>
              </w:rPr>
              <w:t>Uzturlīdzekļu garantiju fonda iesniedzēju un parādnieku reģistrs</w:t>
            </w:r>
          </w:p>
        </w:tc>
        <w:tc>
          <w:tcPr>
            <w:tcW w:w="2484" w:type="dxa"/>
          </w:tcPr>
          <w:p w:rsidR="008064D8" w:rsidRDefault="0069539C" w:rsidP="0069539C">
            <w:pPr>
              <w:ind w:firstLine="0"/>
              <w:rPr>
                <w:sz w:val="24"/>
              </w:rPr>
            </w:pPr>
            <w:r>
              <w:rPr>
                <w:sz w:val="24"/>
              </w:rPr>
              <w:t>Ziņas par audzināšanā pieņemtu bērnu, ja no viņa vecākiem nav iespējams piedzīt uzturnaudu (alimentus) un ziņas par personu, kuras labā pēc tiesas sprieduma no maksātāja tiek piedzīta uzturnauda (alimenti).</w:t>
            </w:r>
          </w:p>
        </w:tc>
        <w:tc>
          <w:tcPr>
            <w:tcW w:w="6306" w:type="dxa"/>
          </w:tcPr>
          <w:p w:rsidR="008064D8" w:rsidRPr="00163FE0" w:rsidRDefault="0069539C" w:rsidP="00491476">
            <w:pPr>
              <w:ind w:firstLine="0"/>
              <w:rPr>
                <w:sz w:val="24"/>
              </w:rPr>
            </w:pPr>
            <w:r>
              <w:rPr>
                <w:sz w:val="24"/>
              </w:rPr>
              <w:t>Sadarb</w:t>
            </w:r>
            <w:r w:rsidR="00491476">
              <w:rPr>
                <w:sz w:val="24"/>
              </w:rPr>
              <w:t xml:space="preserve">ībā </w:t>
            </w:r>
            <w:r>
              <w:rPr>
                <w:sz w:val="24"/>
              </w:rPr>
              <w:t>ar Uzturlīdzekļu garantiju fonda administrāciju</w:t>
            </w:r>
            <w:r w:rsidR="00D7048C">
              <w:rPr>
                <w:sz w:val="24"/>
              </w:rPr>
              <w:t xml:space="preserve"> vienoties</w:t>
            </w:r>
            <w:r>
              <w:rPr>
                <w:sz w:val="24"/>
              </w:rPr>
              <w:t xml:space="preserve"> par informācijas apmaiņas risinājumu un veidu.</w:t>
            </w:r>
          </w:p>
        </w:tc>
      </w:tr>
      <w:tr w:rsidR="00040125" w:rsidRPr="00166994" w:rsidTr="000C3868">
        <w:trPr>
          <w:cantSplit/>
          <w:trHeight w:val="7252"/>
          <w:jc w:val="center"/>
        </w:trPr>
        <w:tc>
          <w:tcPr>
            <w:tcW w:w="881" w:type="dxa"/>
          </w:tcPr>
          <w:p w:rsidR="00040125" w:rsidRPr="00166994" w:rsidRDefault="0069539C" w:rsidP="009123BE">
            <w:pPr>
              <w:ind w:firstLine="0"/>
              <w:jc w:val="center"/>
              <w:rPr>
                <w:color w:val="000000"/>
                <w:sz w:val="24"/>
              </w:rPr>
            </w:pPr>
            <w:r>
              <w:rPr>
                <w:color w:val="000000"/>
                <w:sz w:val="24"/>
              </w:rPr>
              <w:lastRenderedPageBreak/>
              <w:t>3</w:t>
            </w:r>
            <w:r w:rsidR="00040125">
              <w:rPr>
                <w:color w:val="000000"/>
                <w:sz w:val="24"/>
              </w:rPr>
              <w:t>.</w:t>
            </w:r>
          </w:p>
        </w:tc>
        <w:tc>
          <w:tcPr>
            <w:tcW w:w="2606" w:type="dxa"/>
          </w:tcPr>
          <w:p w:rsidR="00040125" w:rsidRPr="00E2504B" w:rsidRDefault="00040125" w:rsidP="00040125">
            <w:pPr>
              <w:ind w:firstLine="0"/>
              <w:jc w:val="left"/>
              <w:rPr>
                <w:b/>
                <w:sz w:val="24"/>
              </w:rPr>
            </w:pPr>
            <w:r w:rsidRPr="00E2504B">
              <w:rPr>
                <w:b/>
                <w:sz w:val="24"/>
              </w:rPr>
              <w:t>Izglītības un zinātnes ministrija</w:t>
            </w:r>
          </w:p>
        </w:tc>
        <w:tc>
          <w:tcPr>
            <w:tcW w:w="1786" w:type="dxa"/>
          </w:tcPr>
          <w:p w:rsidR="00040125" w:rsidRDefault="00491476" w:rsidP="00491476">
            <w:pPr>
              <w:ind w:firstLine="0"/>
              <w:jc w:val="left"/>
              <w:rPr>
                <w:sz w:val="24"/>
              </w:rPr>
            </w:pPr>
            <w:r w:rsidRPr="00491476">
              <w:rPr>
                <w:sz w:val="24"/>
              </w:rPr>
              <w:t>Valsts izglītības informācijas sistēm</w:t>
            </w:r>
            <w:r>
              <w:rPr>
                <w:sz w:val="24"/>
              </w:rPr>
              <w:t>a</w:t>
            </w:r>
          </w:p>
        </w:tc>
        <w:tc>
          <w:tcPr>
            <w:tcW w:w="2484" w:type="dxa"/>
          </w:tcPr>
          <w:p w:rsidR="00040125" w:rsidRDefault="00040125" w:rsidP="00040125">
            <w:pPr>
              <w:ind w:firstLine="0"/>
              <w:rPr>
                <w:sz w:val="24"/>
              </w:rPr>
            </w:pPr>
            <w:r>
              <w:rPr>
                <w:sz w:val="24"/>
              </w:rPr>
              <w:t>Personas, kuras ir vecumā no 18 līdz 24 gadiem un iegūst izglītību vispārējā, profesionālā, augstākā vai speciālā izglītības iestādē</w:t>
            </w:r>
          </w:p>
        </w:tc>
        <w:tc>
          <w:tcPr>
            <w:tcW w:w="6306" w:type="dxa"/>
          </w:tcPr>
          <w:p w:rsidR="00040125" w:rsidRPr="00C215C8" w:rsidRDefault="00040125" w:rsidP="00E2504B">
            <w:pPr>
              <w:spacing w:after="0"/>
              <w:ind w:firstLine="385"/>
              <w:rPr>
                <w:sz w:val="22"/>
              </w:rPr>
            </w:pPr>
            <w:r w:rsidRPr="00C215C8">
              <w:rPr>
                <w:sz w:val="22"/>
                <w:szCs w:val="22"/>
              </w:rPr>
              <w:t xml:space="preserve">Saskaņā ar Ministru kabineta 2010.gada 17.augusta noteikumu Nr.788 “Valsts izglītības informācijas sistēmas saturs, uzturēšanas un aktualizācijas kārtība” 8.punktu </w:t>
            </w:r>
            <w:r w:rsidR="00CA1787" w:rsidRPr="00C215C8">
              <w:rPr>
                <w:sz w:val="22"/>
                <w:szCs w:val="22"/>
              </w:rPr>
              <w:t xml:space="preserve">Valsts izglītības informācijas sistēmā (turpmāk – </w:t>
            </w:r>
            <w:r w:rsidRPr="00C215C8">
              <w:rPr>
                <w:sz w:val="22"/>
                <w:szCs w:val="22"/>
              </w:rPr>
              <w:t>VIIS</w:t>
            </w:r>
            <w:r w:rsidR="00CA1787" w:rsidRPr="00C215C8">
              <w:rPr>
                <w:sz w:val="22"/>
                <w:szCs w:val="22"/>
              </w:rPr>
              <w:t>)</w:t>
            </w:r>
            <w:r w:rsidRPr="00C215C8">
              <w:rPr>
                <w:sz w:val="22"/>
                <w:szCs w:val="22"/>
              </w:rPr>
              <w:t xml:space="preserve"> šobrīd ir iekļauta informācija par izglītojamiem, kuri mācās vispārējās izglītības iestādēs, speciālās izglītības iestādēs un profesionālās pamata un vidējās izglītības iestādēs, izņemot par izglītojamajiem augstākās izglītības iestādēs un pieaugušo izglītības iestādēs. </w:t>
            </w:r>
          </w:p>
          <w:p w:rsidR="00040125" w:rsidRPr="00C215C8" w:rsidRDefault="00040125" w:rsidP="00E2504B">
            <w:pPr>
              <w:tabs>
                <w:tab w:val="left" w:pos="540"/>
              </w:tabs>
              <w:spacing w:after="0"/>
              <w:ind w:firstLine="385"/>
              <w:rPr>
                <w:sz w:val="22"/>
              </w:rPr>
            </w:pPr>
            <w:r w:rsidRPr="00C215C8">
              <w:rPr>
                <w:sz w:val="22"/>
                <w:szCs w:val="22"/>
              </w:rPr>
              <w:t>Finanšu ministrija (turpmāk – FM) 2012.gada 5.jūlij</w:t>
            </w:r>
            <w:r w:rsidR="00A2054B">
              <w:rPr>
                <w:sz w:val="22"/>
                <w:szCs w:val="22"/>
              </w:rPr>
              <w:t>a</w:t>
            </w:r>
            <w:r w:rsidRPr="00C215C8">
              <w:rPr>
                <w:sz w:val="22"/>
                <w:szCs w:val="22"/>
              </w:rPr>
              <w:t xml:space="preserve"> vēstul</w:t>
            </w:r>
            <w:r w:rsidR="00A2054B">
              <w:rPr>
                <w:sz w:val="22"/>
                <w:szCs w:val="22"/>
              </w:rPr>
              <w:t>ē</w:t>
            </w:r>
            <w:r w:rsidRPr="00C215C8">
              <w:rPr>
                <w:sz w:val="22"/>
                <w:szCs w:val="22"/>
              </w:rPr>
              <w:t xml:space="preserve"> Nr.12-31/4389 lūdza Izglītības un zinātnes ministriju (turpmāk </w:t>
            </w:r>
            <w:r w:rsidR="00A2054B">
              <w:rPr>
                <w:sz w:val="22"/>
                <w:szCs w:val="22"/>
              </w:rPr>
              <w:t>–</w:t>
            </w:r>
            <w:r w:rsidRPr="00C215C8">
              <w:rPr>
                <w:sz w:val="22"/>
                <w:szCs w:val="22"/>
              </w:rPr>
              <w:t xml:space="preserve"> IZM) sniegt priekšlikumus par iespējamajiem instrumentiem informācijas aprites no izglītības iestādēm atvieglošanai un viedokli par IZM iespējām papildināt VIIS datubāzi ar informāciju par izglītojamajiem augstākās izglītības iestādēs līdz 2014.gada 1.janvārim, kā arī viedokli par informācijas apmaiņas iespējām ar VID. </w:t>
            </w:r>
          </w:p>
          <w:p w:rsidR="00040125" w:rsidRPr="00C215C8" w:rsidRDefault="00040125" w:rsidP="00E2504B">
            <w:pPr>
              <w:tabs>
                <w:tab w:val="left" w:pos="540"/>
              </w:tabs>
              <w:spacing w:after="0"/>
              <w:ind w:firstLine="385"/>
              <w:rPr>
                <w:sz w:val="22"/>
              </w:rPr>
            </w:pPr>
            <w:r w:rsidRPr="00C215C8">
              <w:rPr>
                <w:sz w:val="22"/>
                <w:szCs w:val="22"/>
              </w:rPr>
              <w:t xml:space="preserve">IZM 2012.gada 12.jūlija vēstulē Nr.1-10/3043 un 2012.gada 23.jūlija vēstulē Nr.01-10/3210 sniedza viedokli, ka IZM ir gatava sniegt VID informāciju par izglītojamajiem, kuri mācās vispārējās izglītības iestādēs, speciālās izglītības iestādēs un profesionālās pamata un vidējās izglītības iestādēs. </w:t>
            </w:r>
          </w:p>
          <w:p w:rsidR="00040125" w:rsidRPr="00C215C8" w:rsidRDefault="00040125" w:rsidP="00E2504B">
            <w:pPr>
              <w:tabs>
                <w:tab w:val="left" w:pos="540"/>
              </w:tabs>
              <w:spacing w:after="0"/>
              <w:ind w:firstLine="385"/>
              <w:rPr>
                <w:sz w:val="22"/>
              </w:rPr>
            </w:pPr>
            <w:r w:rsidRPr="00C215C8">
              <w:rPr>
                <w:sz w:val="22"/>
                <w:szCs w:val="22"/>
              </w:rPr>
              <w:t xml:space="preserve">Ņemot vērā minēto, VID </w:t>
            </w:r>
            <w:r w:rsidR="00ED7156" w:rsidRPr="00C215C8">
              <w:rPr>
                <w:sz w:val="22"/>
                <w:szCs w:val="22"/>
              </w:rPr>
              <w:t xml:space="preserve">ir uzsācis </w:t>
            </w:r>
            <w:r w:rsidRPr="00C215C8">
              <w:rPr>
                <w:sz w:val="22"/>
                <w:szCs w:val="22"/>
              </w:rPr>
              <w:t>darbu pie tā, lai</w:t>
            </w:r>
            <w:r w:rsidR="00A2054B">
              <w:rPr>
                <w:sz w:val="22"/>
                <w:szCs w:val="22"/>
              </w:rPr>
              <w:t>, sākot ar</w:t>
            </w:r>
            <w:r w:rsidRPr="00C215C8">
              <w:rPr>
                <w:sz w:val="22"/>
                <w:szCs w:val="22"/>
              </w:rPr>
              <w:t xml:space="preserve"> 2014.gada 1.</w:t>
            </w:r>
            <w:r w:rsidR="00A2054B" w:rsidRPr="00C215C8">
              <w:rPr>
                <w:sz w:val="22"/>
                <w:szCs w:val="22"/>
              </w:rPr>
              <w:t>janvār</w:t>
            </w:r>
            <w:r w:rsidR="00A2054B">
              <w:rPr>
                <w:sz w:val="22"/>
                <w:szCs w:val="22"/>
              </w:rPr>
              <w:t>i</w:t>
            </w:r>
            <w:r w:rsidR="005174E3">
              <w:rPr>
                <w:sz w:val="22"/>
                <w:szCs w:val="22"/>
              </w:rPr>
              <w:t>,</w:t>
            </w:r>
            <w:r w:rsidR="00A2054B" w:rsidRPr="00C215C8">
              <w:rPr>
                <w:sz w:val="22"/>
                <w:szCs w:val="22"/>
              </w:rPr>
              <w:t xml:space="preserve"> </w:t>
            </w:r>
            <w:r w:rsidRPr="00C215C8">
              <w:rPr>
                <w:sz w:val="22"/>
                <w:szCs w:val="22"/>
              </w:rPr>
              <w:t xml:space="preserve">nodrošinātu, ka </w:t>
            </w:r>
            <w:r w:rsidRPr="00C215C8">
              <w:rPr>
                <w:rStyle w:val="spelle"/>
                <w:sz w:val="22"/>
                <w:szCs w:val="22"/>
              </w:rPr>
              <w:t>iedzīvotāju ienākuma nodokļa atvieglojumu administrēšanai elektroniskā veidā (</w:t>
            </w:r>
            <w:proofErr w:type="spellStart"/>
            <w:r w:rsidRPr="00C215C8">
              <w:rPr>
                <w:rStyle w:val="spelle"/>
                <w:sz w:val="22"/>
                <w:szCs w:val="22"/>
              </w:rPr>
              <w:t>t.i</w:t>
            </w:r>
            <w:proofErr w:type="spellEnd"/>
            <w:r w:rsidRPr="00C215C8">
              <w:rPr>
                <w:rStyle w:val="spelle"/>
                <w:sz w:val="22"/>
                <w:szCs w:val="22"/>
              </w:rPr>
              <w:t>., ieviešot elektroniskās algas nodokļa grāmatiņas)</w:t>
            </w:r>
            <w:r w:rsidRPr="00C215C8">
              <w:rPr>
                <w:sz w:val="22"/>
                <w:szCs w:val="22"/>
              </w:rPr>
              <w:t xml:space="preserve"> ir pieejama informācija no VIIS par izglītojamajiem, kuri mācās vispārējās izglītības iestādēs, speciālās izglītības iestādēs un profesionālās pamata un vidējās izglītības iestādēs. Vienlaikus VID sadarbībā ar IZM un, iespējams, ar </w:t>
            </w:r>
            <w:r w:rsidRPr="00C215C8">
              <w:rPr>
                <w:color w:val="000000"/>
                <w:sz w:val="22"/>
                <w:szCs w:val="22"/>
                <w:lang w:eastAsia="lv-LV"/>
              </w:rPr>
              <w:t>Rektoru padomi, Augstākās izglītības padomi</w:t>
            </w:r>
            <w:r w:rsidRPr="00C215C8">
              <w:rPr>
                <w:sz w:val="22"/>
                <w:szCs w:val="22"/>
              </w:rPr>
              <w:t xml:space="preserve"> un </w:t>
            </w:r>
            <w:r w:rsidRPr="00C215C8">
              <w:rPr>
                <w:color w:val="000000"/>
                <w:sz w:val="22"/>
                <w:szCs w:val="22"/>
                <w:lang w:eastAsia="lv-LV"/>
              </w:rPr>
              <w:t>augstskolām</w:t>
            </w:r>
            <w:r w:rsidRPr="00C215C8">
              <w:rPr>
                <w:sz w:val="22"/>
                <w:szCs w:val="22"/>
              </w:rPr>
              <w:t xml:space="preserve"> risinās jautājumu par informācijas par izglītojamajiem augstākās izglītības iestādēs iegūšanu elektroniskā veidā </w:t>
            </w:r>
            <w:r w:rsidRPr="00C215C8">
              <w:rPr>
                <w:rStyle w:val="spelle"/>
                <w:sz w:val="22"/>
                <w:szCs w:val="22"/>
              </w:rPr>
              <w:t>iedzīvotāju ienākuma nodokļa administrēšanai.</w:t>
            </w:r>
          </w:p>
          <w:p w:rsidR="00040125" w:rsidRPr="00163FE0" w:rsidRDefault="00040125" w:rsidP="001B498A">
            <w:pPr>
              <w:ind w:firstLine="0"/>
              <w:rPr>
                <w:sz w:val="24"/>
              </w:rPr>
            </w:pPr>
          </w:p>
        </w:tc>
      </w:tr>
      <w:tr w:rsidR="00163FE0" w:rsidRPr="00166994" w:rsidTr="00E80C0A">
        <w:trPr>
          <w:cantSplit/>
          <w:trHeight w:val="3425"/>
          <w:jc w:val="center"/>
        </w:trPr>
        <w:tc>
          <w:tcPr>
            <w:tcW w:w="881" w:type="dxa"/>
          </w:tcPr>
          <w:p w:rsidR="00163FE0" w:rsidRPr="00166994" w:rsidRDefault="0069539C" w:rsidP="009123BE">
            <w:pPr>
              <w:ind w:firstLine="0"/>
              <w:jc w:val="center"/>
              <w:rPr>
                <w:color w:val="000000"/>
                <w:sz w:val="24"/>
              </w:rPr>
            </w:pPr>
            <w:r>
              <w:rPr>
                <w:color w:val="000000"/>
                <w:sz w:val="24"/>
              </w:rPr>
              <w:lastRenderedPageBreak/>
              <w:t>4</w:t>
            </w:r>
            <w:r w:rsidR="00163FE0" w:rsidRPr="00166994">
              <w:rPr>
                <w:color w:val="000000"/>
                <w:sz w:val="24"/>
              </w:rPr>
              <w:t>.</w:t>
            </w:r>
          </w:p>
        </w:tc>
        <w:tc>
          <w:tcPr>
            <w:tcW w:w="2606" w:type="dxa"/>
          </w:tcPr>
          <w:p w:rsidR="00163FE0" w:rsidRPr="00163FE0" w:rsidRDefault="00515912" w:rsidP="005E5259">
            <w:pPr>
              <w:ind w:firstLine="0"/>
              <w:jc w:val="left"/>
              <w:rPr>
                <w:sz w:val="24"/>
              </w:rPr>
            </w:pPr>
            <w:r w:rsidRPr="00515912">
              <w:rPr>
                <w:b/>
                <w:sz w:val="24"/>
              </w:rPr>
              <w:t>Labklājības ministrija</w:t>
            </w:r>
            <w:r>
              <w:rPr>
                <w:sz w:val="24"/>
              </w:rPr>
              <w:t xml:space="preserve"> – Veselības un darbspēju ekspertīzes ārstu valsts komisija</w:t>
            </w:r>
          </w:p>
        </w:tc>
        <w:tc>
          <w:tcPr>
            <w:tcW w:w="1786" w:type="dxa"/>
          </w:tcPr>
          <w:p w:rsidR="00163FE0" w:rsidRPr="00163FE0" w:rsidRDefault="00515912" w:rsidP="005E5259">
            <w:pPr>
              <w:ind w:firstLine="0"/>
              <w:jc w:val="left"/>
              <w:rPr>
                <w:sz w:val="24"/>
              </w:rPr>
            </w:pPr>
            <w:r>
              <w:rPr>
                <w:sz w:val="24"/>
              </w:rPr>
              <w:t>Invaliditātes informatīvā sistēma</w:t>
            </w:r>
          </w:p>
        </w:tc>
        <w:tc>
          <w:tcPr>
            <w:tcW w:w="2484" w:type="dxa"/>
          </w:tcPr>
          <w:p w:rsidR="00163FE0" w:rsidRPr="00163FE0" w:rsidRDefault="005E5259" w:rsidP="005E5259">
            <w:pPr>
              <w:ind w:firstLine="0"/>
              <w:jc w:val="left"/>
              <w:rPr>
                <w:sz w:val="24"/>
              </w:rPr>
            </w:pPr>
            <w:r>
              <w:rPr>
                <w:sz w:val="24"/>
              </w:rPr>
              <w:t>Informācija par invaliditāti</w:t>
            </w:r>
          </w:p>
        </w:tc>
        <w:tc>
          <w:tcPr>
            <w:tcW w:w="6306" w:type="dxa"/>
          </w:tcPr>
          <w:p w:rsidR="00163FE0" w:rsidRPr="00E2504B" w:rsidRDefault="005E5259" w:rsidP="005A4461">
            <w:pPr>
              <w:spacing w:after="0"/>
              <w:ind w:firstLine="0"/>
              <w:rPr>
                <w:sz w:val="22"/>
              </w:rPr>
            </w:pPr>
            <w:r w:rsidRPr="00E2504B">
              <w:rPr>
                <w:sz w:val="22"/>
                <w:szCs w:val="22"/>
              </w:rPr>
              <w:t xml:space="preserve">Veselības un darbspēju ekspertīzes ārstu valsts komisija </w:t>
            </w:r>
            <w:r w:rsidR="00ED7156">
              <w:rPr>
                <w:sz w:val="22"/>
                <w:szCs w:val="22"/>
              </w:rPr>
              <w:t>2012.gadā</w:t>
            </w:r>
            <w:r w:rsidRPr="00E2504B">
              <w:rPr>
                <w:sz w:val="22"/>
                <w:szCs w:val="22"/>
              </w:rPr>
              <w:t xml:space="preserve"> plāno realizēt e-pakalpojumu </w:t>
            </w:r>
            <w:r w:rsidR="006755D5" w:rsidRPr="006755D5">
              <w:rPr>
                <w:sz w:val="22"/>
                <w:szCs w:val="22"/>
              </w:rPr>
              <w:t>“</w:t>
            </w:r>
            <w:r w:rsidRPr="00E2504B">
              <w:rPr>
                <w:sz w:val="22"/>
                <w:szCs w:val="22"/>
              </w:rPr>
              <w:t>Universālais pakalpojums invaliditātes statusa pārbaudei”, kas nodrošinās valsts institūcijām, atbilstoši informācijas apjomam, ko tās ir tiesīgas saņemt, iespēju elektroniski iegūt informāciju par fizisku personu invaliditātes statusu, tādā veidā nodrošinot operatīvu korektas informācijas saņemšanu par personu ar invaliditāti, nepieprasot to iesniegt attiecīgajai personai</w:t>
            </w:r>
            <w:r w:rsidRPr="006611C4">
              <w:rPr>
                <w:sz w:val="22"/>
                <w:szCs w:val="22"/>
              </w:rPr>
              <w:t xml:space="preserve">. </w:t>
            </w:r>
            <w:r w:rsidR="005A4461" w:rsidRPr="006611C4">
              <w:rPr>
                <w:sz w:val="22"/>
                <w:szCs w:val="22"/>
              </w:rPr>
              <w:t xml:space="preserve">Kad e-pakalpojums </w:t>
            </w:r>
            <w:r w:rsidR="006755D5" w:rsidRPr="006755D5">
              <w:rPr>
                <w:sz w:val="22"/>
                <w:szCs w:val="22"/>
              </w:rPr>
              <w:t>“</w:t>
            </w:r>
            <w:r w:rsidR="005A4461" w:rsidRPr="006611C4">
              <w:rPr>
                <w:sz w:val="22"/>
                <w:szCs w:val="22"/>
              </w:rPr>
              <w:t>Universālais pakalpojums invaliditātes statusa pārbaudei” tiks realizēts, VID plāno uzsākt sadarbību ar Veselības un darbspēju ekspertīzes ārstu valsts komisiju, lai elektroniski saņemtu nepieciešamo informāciju par invaliditātes statusu.</w:t>
            </w:r>
          </w:p>
        </w:tc>
      </w:tr>
    </w:tbl>
    <w:p w:rsidR="00D40D5F" w:rsidRDefault="00D40D5F" w:rsidP="00A66441">
      <w:pPr>
        <w:tabs>
          <w:tab w:val="left" w:pos="6840"/>
        </w:tabs>
        <w:spacing w:after="0"/>
        <w:rPr>
          <w:sz w:val="24"/>
        </w:rPr>
      </w:pPr>
    </w:p>
    <w:p w:rsidR="00E80C0A" w:rsidRDefault="00E80C0A" w:rsidP="0069539C">
      <w:pPr>
        <w:spacing w:after="0"/>
        <w:rPr>
          <w:szCs w:val="28"/>
        </w:rPr>
      </w:pPr>
    </w:p>
    <w:p w:rsidR="00350A07" w:rsidRDefault="002C4B32" w:rsidP="0069539C">
      <w:pPr>
        <w:spacing w:after="0"/>
        <w:rPr>
          <w:szCs w:val="28"/>
        </w:rPr>
      </w:pPr>
      <w:r>
        <w:rPr>
          <w:szCs w:val="28"/>
        </w:rPr>
        <w:t>Finanšu</w:t>
      </w:r>
      <w:r w:rsidR="00350A07">
        <w:rPr>
          <w:szCs w:val="28"/>
        </w:rPr>
        <w:t xml:space="preserve"> ministrs                </w:t>
      </w:r>
      <w:r w:rsidR="00350A07">
        <w:rPr>
          <w:szCs w:val="28"/>
        </w:rPr>
        <w:tab/>
      </w:r>
      <w:r w:rsidR="00350A07">
        <w:rPr>
          <w:szCs w:val="28"/>
        </w:rPr>
        <w:tab/>
      </w:r>
      <w:r w:rsidR="009746F1">
        <w:rPr>
          <w:szCs w:val="28"/>
        </w:rPr>
        <w:tab/>
      </w:r>
      <w:r w:rsidR="009746F1">
        <w:rPr>
          <w:szCs w:val="28"/>
        </w:rPr>
        <w:tab/>
      </w:r>
      <w:r w:rsidR="009746F1">
        <w:rPr>
          <w:szCs w:val="28"/>
        </w:rPr>
        <w:tab/>
      </w:r>
      <w:bookmarkStart w:id="0" w:name="_GoBack"/>
      <w:bookmarkEnd w:id="0"/>
      <w:r w:rsidR="009746F1">
        <w:rPr>
          <w:szCs w:val="28"/>
        </w:rPr>
        <w:tab/>
      </w:r>
      <w:r w:rsidR="009746F1">
        <w:rPr>
          <w:szCs w:val="28"/>
        </w:rPr>
        <w:tab/>
      </w:r>
      <w:r>
        <w:rPr>
          <w:szCs w:val="28"/>
        </w:rPr>
        <w:t>A.Vilks</w:t>
      </w:r>
    </w:p>
    <w:p w:rsidR="004832D0" w:rsidRDefault="00350A07" w:rsidP="00350A07">
      <w:pPr>
        <w:spacing w:after="0"/>
        <w:rPr>
          <w:szCs w:val="28"/>
        </w:rPr>
      </w:pPr>
      <w:r>
        <w:rPr>
          <w:szCs w:val="28"/>
        </w:rPr>
        <w:t xml:space="preserve"> </w:t>
      </w:r>
    </w:p>
    <w:p w:rsidR="00E80C0A" w:rsidRDefault="00E80C0A" w:rsidP="00350A07">
      <w:pPr>
        <w:spacing w:after="0"/>
        <w:rPr>
          <w:szCs w:val="28"/>
        </w:rPr>
      </w:pPr>
    </w:p>
    <w:p w:rsidR="00E80C0A" w:rsidRDefault="00E80C0A" w:rsidP="00350A07">
      <w:pPr>
        <w:spacing w:after="0"/>
        <w:rPr>
          <w:szCs w:val="28"/>
        </w:rPr>
      </w:pPr>
    </w:p>
    <w:p w:rsidR="00E80C0A" w:rsidRDefault="00E80C0A" w:rsidP="00350A07">
      <w:pPr>
        <w:spacing w:after="0"/>
        <w:rPr>
          <w:szCs w:val="28"/>
        </w:rPr>
      </w:pPr>
    </w:p>
    <w:p w:rsidR="00350A07" w:rsidRDefault="00350A07" w:rsidP="00350A07">
      <w:pPr>
        <w:spacing w:after="0"/>
        <w:rPr>
          <w:szCs w:val="28"/>
        </w:rPr>
      </w:pPr>
      <w:r>
        <w:rPr>
          <w:szCs w:val="28"/>
        </w:rPr>
        <w:t xml:space="preserve"> </w:t>
      </w:r>
    </w:p>
    <w:p w:rsidR="00E80C0A" w:rsidRDefault="00E80C0A" w:rsidP="00350A07">
      <w:pPr>
        <w:spacing w:after="0"/>
        <w:rPr>
          <w:szCs w:val="28"/>
        </w:rPr>
      </w:pPr>
    </w:p>
    <w:p w:rsidR="00E80C0A" w:rsidRDefault="00E80C0A" w:rsidP="00350A07">
      <w:pPr>
        <w:spacing w:after="0"/>
        <w:rPr>
          <w:szCs w:val="28"/>
        </w:rPr>
      </w:pPr>
    </w:p>
    <w:p w:rsidR="00E80C0A" w:rsidRDefault="00E80C0A" w:rsidP="00350A07">
      <w:pPr>
        <w:spacing w:after="0"/>
        <w:rPr>
          <w:szCs w:val="28"/>
        </w:rPr>
      </w:pPr>
    </w:p>
    <w:p w:rsidR="00757D56" w:rsidRPr="006611C4" w:rsidRDefault="00F13BF0" w:rsidP="00E4145F">
      <w:pPr>
        <w:spacing w:after="0"/>
        <w:outlineLvl w:val="0"/>
        <w:rPr>
          <w:sz w:val="22"/>
          <w:szCs w:val="22"/>
        </w:rPr>
      </w:pPr>
      <w:r>
        <w:rPr>
          <w:sz w:val="22"/>
          <w:szCs w:val="22"/>
        </w:rPr>
        <w:t>21</w:t>
      </w:r>
      <w:r w:rsidR="00757D56" w:rsidRPr="006611C4">
        <w:rPr>
          <w:sz w:val="22"/>
          <w:szCs w:val="22"/>
        </w:rPr>
        <w:t>.0</w:t>
      </w:r>
      <w:r w:rsidR="002C4B32" w:rsidRPr="006611C4">
        <w:rPr>
          <w:sz w:val="22"/>
          <w:szCs w:val="22"/>
        </w:rPr>
        <w:t>9</w:t>
      </w:r>
      <w:r w:rsidR="00757D56" w:rsidRPr="006611C4">
        <w:rPr>
          <w:sz w:val="22"/>
          <w:szCs w:val="22"/>
        </w:rPr>
        <w:t>.201</w:t>
      </w:r>
      <w:r w:rsidR="002C4B32" w:rsidRPr="006611C4">
        <w:rPr>
          <w:sz w:val="22"/>
          <w:szCs w:val="22"/>
        </w:rPr>
        <w:t>2</w:t>
      </w:r>
      <w:r w:rsidR="00757D56" w:rsidRPr="006611C4">
        <w:rPr>
          <w:sz w:val="22"/>
          <w:szCs w:val="22"/>
        </w:rPr>
        <w:t xml:space="preserve">. </w:t>
      </w:r>
      <w:r w:rsidR="005174E3">
        <w:rPr>
          <w:sz w:val="22"/>
          <w:szCs w:val="22"/>
        </w:rPr>
        <w:t>15</w:t>
      </w:r>
      <w:r w:rsidR="00E80C0A">
        <w:rPr>
          <w:sz w:val="22"/>
          <w:szCs w:val="22"/>
        </w:rPr>
        <w:t>.</w:t>
      </w:r>
      <w:r w:rsidR="005174E3">
        <w:rPr>
          <w:sz w:val="22"/>
          <w:szCs w:val="22"/>
        </w:rPr>
        <w:t>40</w:t>
      </w:r>
    </w:p>
    <w:p w:rsidR="00757D56" w:rsidRPr="006611C4" w:rsidRDefault="006611C4" w:rsidP="00E4145F">
      <w:pPr>
        <w:spacing w:after="0"/>
        <w:outlineLvl w:val="0"/>
        <w:rPr>
          <w:sz w:val="22"/>
          <w:szCs w:val="22"/>
        </w:rPr>
      </w:pPr>
      <w:r>
        <w:rPr>
          <w:sz w:val="22"/>
          <w:szCs w:val="22"/>
        </w:rPr>
        <w:t>5</w:t>
      </w:r>
      <w:r w:rsidR="005174E3">
        <w:rPr>
          <w:sz w:val="22"/>
          <w:szCs w:val="22"/>
        </w:rPr>
        <w:t>07</w:t>
      </w:r>
    </w:p>
    <w:p w:rsidR="001561DC" w:rsidRPr="006611C4" w:rsidRDefault="002C4B32" w:rsidP="00166994">
      <w:pPr>
        <w:spacing w:after="0"/>
        <w:outlineLvl w:val="0"/>
        <w:rPr>
          <w:sz w:val="22"/>
          <w:szCs w:val="22"/>
        </w:rPr>
      </w:pPr>
      <w:r w:rsidRPr="006611C4">
        <w:rPr>
          <w:sz w:val="22"/>
          <w:szCs w:val="22"/>
        </w:rPr>
        <w:t>G.Gurkina</w:t>
      </w:r>
      <w:r w:rsidR="00757D56" w:rsidRPr="006611C4">
        <w:rPr>
          <w:sz w:val="22"/>
          <w:szCs w:val="22"/>
        </w:rPr>
        <w:t xml:space="preserve"> 67</w:t>
      </w:r>
      <w:r w:rsidRPr="006611C4">
        <w:rPr>
          <w:sz w:val="22"/>
          <w:szCs w:val="22"/>
        </w:rPr>
        <w:t>028719</w:t>
      </w:r>
      <w:r w:rsidR="00D40D5F" w:rsidRPr="006611C4">
        <w:rPr>
          <w:sz w:val="22"/>
          <w:szCs w:val="22"/>
        </w:rPr>
        <w:t>;</w:t>
      </w:r>
      <w:r w:rsidRPr="006611C4">
        <w:rPr>
          <w:sz w:val="22"/>
          <w:szCs w:val="22"/>
        </w:rPr>
        <w:t xml:space="preserve"> ginta.gurkina</w:t>
      </w:r>
      <w:r w:rsidR="00757D56" w:rsidRPr="006611C4">
        <w:rPr>
          <w:sz w:val="22"/>
          <w:szCs w:val="22"/>
        </w:rPr>
        <w:t>@</w:t>
      </w:r>
      <w:r w:rsidRPr="006611C4">
        <w:rPr>
          <w:sz w:val="22"/>
          <w:szCs w:val="22"/>
        </w:rPr>
        <w:t>vid</w:t>
      </w:r>
      <w:r w:rsidR="00350A07" w:rsidRPr="006611C4">
        <w:rPr>
          <w:sz w:val="22"/>
          <w:szCs w:val="22"/>
        </w:rPr>
        <w:t>.gov.lv</w:t>
      </w:r>
    </w:p>
    <w:sectPr w:rsidR="001561DC" w:rsidRPr="006611C4" w:rsidSect="00875FBC">
      <w:headerReference w:type="default" r:id="rId8"/>
      <w:footerReference w:type="default" r:id="rId9"/>
      <w:footerReference w:type="first" r:id="rId10"/>
      <w:pgSz w:w="16838" w:h="11906" w:orient="landscape"/>
      <w:pgMar w:top="1701"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62" w:rsidRDefault="00CB3C62" w:rsidP="00757D56">
      <w:pPr>
        <w:spacing w:after="0"/>
      </w:pPr>
      <w:r>
        <w:separator/>
      </w:r>
    </w:p>
  </w:endnote>
  <w:endnote w:type="continuationSeparator" w:id="0">
    <w:p w:rsidR="00CB3C62" w:rsidRDefault="00CB3C62" w:rsidP="00757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D" w:rsidRPr="00DC0695" w:rsidRDefault="0069539C" w:rsidP="00D075ED">
    <w:pPr>
      <w:spacing w:after="0"/>
      <w:ind w:firstLine="0"/>
      <w:rPr>
        <w:sz w:val="20"/>
        <w:szCs w:val="20"/>
      </w:rPr>
    </w:pPr>
    <w:r w:rsidRPr="00DC0695">
      <w:rPr>
        <w:sz w:val="20"/>
        <w:szCs w:val="20"/>
      </w:rPr>
      <w:t>FMZ</w:t>
    </w:r>
    <w:r w:rsidR="00F13BF0" w:rsidRPr="00DC0695">
      <w:rPr>
        <w:sz w:val="20"/>
        <w:szCs w:val="20"/>
      </w:rPr>
      <w:t>inopl</w:t>
    </w:r>
    <w:r w:rsidR="003E27C2" w:rsidRPr="00DC0695">
      <w:rPr>
        <w:sz w:val="20"/>
        <w:szCs w:val="20"/>
      </w:rPr>
      <w:t>_</w:t>
    </w:r>
    <w:r w:rsidR="00F13BF0" w:rsidRPr="00DC0695">
      <w:rPr>
        <w:sz w:val="20"/>
        <w:szCs w:val="20"/>
      </w:rPr>
      <w:t>21</w:t>
    </w:r>
    <w:r w:rsidR="0063795C" w:rsidRPr="00DC0695">
      <w:rPr>
        <w:sz w:val="20"/>
        <w:szCs w:val="20"/>
      </w:rPr>
      <w:t>0</w:t>
    </w:r>
    <w:r w:rsidR="006A5CEE" w:rsidRPr="00DC0695">
      <w:rPr>
        <w:sz w:val="20"/>
        <w:szCs w:val="20"/>
      </w:rPr>
      <w:t>9</w:t>
    </w:r>
    <w:r w:rsidR="0063795C" w:rsidRPr="00DC0695">
      <w:rPr>
        <w:sz w:val="20"/>
        <w:szCs w:val="20"/>
      </w:rPr>
      <w:t>1</w:t>
    </w:r>
    <w:r w:rsidRPr="00DC0695">
      <w:rPr>
        <w:sz w:val="20"/>
        <w:szCs w:val="20"/>
      </w:rPr>
      <w:t>2</w:t>
    </w:r>
    <w:r w:rsidR="00D075ED" w:rsidRPr="00DC0695">
      <w:rPr>
        <w:sz w:val="20"/>
        <w:szCs w:val="20"/>
      </w:rPr>
      <w:t>_</w:t>
    </w:r>
    <w:r w:rsidRPr="00DC0695">
      <w:rPr>
        <w:sz w:val="20"/>
        <w:szCs w:val="20"/>
      </w:rPr>
      <w:t>Egramatina</w:t>
    </w:r>
    <w:r w:rsidR="00D075ED" w:rsidRPr="00DC0695">
      <w:rPr>
        <w:sz w:val="20"/>
        <w:szCs w:val="20"/>
      </w:rPr>
      <w:t xml:space="preserve">; </w:t>
    </w:r>
    <w:r w:rsidR="00F13BF0" w:rsidRPr="00DC0695">
      <w:rPr>
        <w:sz w:val="20"/>
        <w:szCs w:val="20"/>
      </w:rPr>
      <w:t>P</w:t>
    </w:r>
    <w:r w:rsidR="00D075ED" w:rsidRPr="00DC0695">
      <w:rPr>
        <w:sz w:val="20"/>
        <w:szCs w:val="20"/>
      </w:rPr>
      <w:t xml:space="preserve">ielikums </w:t>
    </w:r>
    <w:r w:rsidR="005F129C" w:rsidRPr="00DC0695">
      <w:rPr>
        <w:sz w:val="20"/>
        <w:szCs w:val="20"/>
      </w:rPr>
      <w:t>i</w:t>
    </w:r>
    <w:r w:rsidR="00D075ED" w:rsidRPr="00DC0695">
      <w:rPr>
        <w:sz w:val="20"/>
        <w:szCs w:val="20"/>
      </w:rPr>
      <w:t xml:space="preserve">nformatīvajam ziņojumam </w:t>
    </w:r>
    <w:r w:rsidR="006755D5" w:rsidRPr="00DC0695">
      <w:rPr>
        <w:sz w:val="20"/>
        <w:szCs w:val="20"/>
      </w:rPr>
      <w:t>“</w:t>
    </w:r>
    <w:r w:rsidR="00D075ED" w:rsidRPr="00DC0695">
      <w:rPr>
        <w:sz w:val="20"/>
        <w:szCs w:val="20"/>
      </w:rPr>
      <w:t xml:space="preserve">Par </w:t>
    </w:r>
    <w:r w:rsidRPr="00DC0695">
      <w:rPr>
        <w:sz w:val="20"/>
        <w:szCs w:val="20"/>
      </w:rPr>
      <w:t>elektroniskās algas nodokļa grāmatiņas ieviešanu</w:t>
    </w:r>
    <w:r w:rsidR="00D075ED" w:rsidRPr="00DC069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52" w:rsidRPr="00DC0695" w:rsidRDefault="002642C6" w:rsidP="00FD0C52">
    <w:pPr>
      <w:spacing w:after="0"/>
      <w:ind w:firstLine="0"/>
      <w:rPr>
        <w:sz w:val="20"/>
        <w:szCs w:val="20"/>
      </w:rPr>
    </w:pPr>
    <w:r w:rsidRPr="00DC0695">
      <w:rPr>
        <w:sz w:val="20"/>
        <w:szCs w:val="20"/>
      </w:rPr>
      <w:t>FMZinop</w:t>
    </w:r>
    <w:r w:rsidR="00F13BF0" w:rsidRPr="00DC0695">
      <w:rPr>
        <w:sz w:val="20"/>
        <w:szCs w:val="20"/>
      </w:rPr>
      <w:t>l</w:t>
    </w:r>
    <w:r w:rsidRPr="00DC0695">
      <w:rPr>
        <w:sz w:val="20"/>
        <w:szCs w:val="20"/>
      </w:rPr>
      <w:t>_</w:t>
    </w:r>
    <w:r w:rsidR="00F13BF0" w:rsidRPr="00DC0695">
      <w:rPr>
        <w:sz w:val="20"/>
        <w:szCs w:val="20"/>
      </w:rPr>
      <w:t>210912_Egramatina; P</w:t>
    </w:r>
    <w:r w:rsidR="00FD0C52" w:rsidRPr="00DC0695">
      <w:rPr>
        <w:sz w:val="20"/>
        <w:szCs w:val="20"/>
      </w:rPr>
      <w:t xml:space="preserve">ielikums informatīvajam ziņojumam </w:t>
    </w:r>
    <w:r w:rsidR="006755D5" w:rsidRPr="00DC0695">
      <w:rPr>
        <w:sz w:val="20"/>
        <w:szCs w:val="20"/>
      </w:rPr>
      <w:t>“</w:t>
    </w:r>
    <w:r w:rsidR="00FD0C52" w:rsidRPr="00DC0695">
      <w:rPr>
        <w:sz w:val="20"/>
        <w:szCs w:val="20"/>
      </w:rPr>
      <w:t>Par elektroniskās algas nodokļa grāmatiņas ieviešanu”</w:t>
    </w:r>
  </w:p>
  <w:p w:rsidR="00D075ED" w:rsidRPr="00FD0C52" w:rsidRDefault="00D075ED" w:rsidP="00FD0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62" w:rsidRDefault="00CB3C62" w:rsidP="00757D56">
      <w:pPr>
        <w:spacing w:after="0"/>
      </w:pPr>
      <w:r>
        <w:separator/>
      </w:r>
    </w:p>
  </w:footnote>
  <w:footnote w:type="continuationSeparator" w:id="0">
    <w:p w:rsidR="00CB3C62" w:rsidRDefault="00CB3C62" w:rsidP="00757D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486"/>
      <w:docPartObj>
        <w:docPartGallery w:val="Page Numbers (Top of Page)"/>
        <w:docPartUnique/>
      </w:docPartObj>
    </w:sdtPr>
    <w:sdtEndPr>
      <w:rPr>
        <w:sz w:val="24"/>
      </w:rPr>
    </w:sdtEndPr>
    <w:sdtContent>
      <w:p w:rsidR="00757D56" w:rsidRPr="00DC0695" w:rsidRDefault="00E972C8">
        <w:pPr>
          <w:pStyle w:val="Header"/>
          <w:jc w:val="center"/>
          <w:rPr>
            <w:sz w:val="24"/>
          </w:rPr>
        </w:pPr>
        <w:r w:rsidRPr="00DC0695">
          <w:rPr>
            <w:sz w:val="24"/>
          </w:rPr>
          <w:fldChar w:fldCharType="begin"/>
        </w:r>
        <w:r w:rsidRPr="00DC0695">
          <w:rPr>
            <w:sz w:val="24"/>
          </w:rPr>
          <w:instrText xml:space="preserve"> PAGE   \* MERGEFORMAT </w:instrText>
        </w:r>
        <w:r w:rsidRPr="00DC0695">
          <w:rPr>
            <w:sz w:val="24"/>
          </w:rPr>
          <w:fldChar w:fldCharType="separate"/>
        </w:r>
        <w:r w:rsidR="00DC0695">
          <w:rPr>
            <w:noProof/>
            <w:sz w:val="24"/>
          </w:rPr>
          <w:t>2</w:t>
        </w:r>
        <w:r w:rsidRPr="00DC0695">
          <w:rPr>
            <w:noProof/>
            <w:sz w:val="24"/>
          </w:rPr>
          <w:fldChar w:fldCharType="end"/>
        </w:r>
      </w:p>
    </w:sdtContent>
  </w:sdt>
  <w:p w:rsidR="00757D56" w:rsidRDefault="00757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BE"/>
    <w:rsid w:val="000144DA"/>
    <w:rsid w:val="000170A6"/>
    <w:rsid w:val="00040125"/>
    <w:rsid w:val="000425C7"/>
    <w:rsid w:val="00042FB7"/>
    <w:rsid w:val="000654A8"/>
    <w:rsid w:val="000726BE"/>
    <w:rsid w:val="000A02FD"/>
    <w:rsid w:val="000A3947"/>
    <w:rsid w:val="000B4185"/>
    <w:rsid w:val="000B6F0A"/>
    <w:rsid w:val="000C3868"/>
    <w:rsid w:val="000F2DC1"/>
    <w:rsid w:val="00130A47"/>
    <w:rsid w:val="0015166B"/>
    <w:rsid w:val="001561DC"/>
    <w:rsid w:val="00163FE0"/>
    <w:rsid w:val="00166994"/>
    <w:rsid w:val="001674B6"/>
    <w:rsid w:val="0017608B"/>
    <w:rsid w:val="001A0F5A"/>
    <w:rsid w:val="001A2E76"/>
    <w:rsid w:val="001B3C30"/>
    <w:rsid w:val="001B498A"/>
    <w:rsid w:val="001C0F1F"/>
    <w:rsid w:val="001F750B"/>
    <w:rsid w:val="00220B89"/>
    <w:rsid w:val="00247F04"/>
    <w:rsid w:val="002642C6"/>
    <w:rsid w:val="00264FB4"/>
    <w:rsid w:val="00273365"/>
    <w:rsid w:val="002745BD"/>
    <w:rsid w:val="002C4B32"/>
    <w:rsid w:val="002E375E"/>
    <w:rsid w:val="002F7834"/>
    <w:rsid w:val="003359C2"/>
    <w:rsid w:val="00347476"/>
    <w:rsid w:val="00350A07"/>
    <w:rsid w:val="0035627A"/>
    <w:rsid w:val="00370CCC"/>
    <w:rsid w:val="00375476"/>
    <w:rsid w:val="003816AF"/>
    <w:rsid w:val="00381F93"/>
    <w:rsid w:val="003B3979"/>
    <w:rsid w:val="003C3CDA"/>
    <w:rsid w:val="003E27C2"/>
    <w:rsid w:val="003E7BD4"/>
    <w:rsid w:val="003F01E3"/>
    <w:rsid w:val="003F2CAA"/>
    <w:rsid w:val="004149D5"/>
    <w:rsid w:val="00427581"/>
    <w:rsid w:val="004832D0"/>
    <w:rsid w:val="00491476"/>
    <w:rsid w:val="004B7D50"/>
    <w:rsid w:val="004C79D5"/>
    <w:rsid w:val="004D3730"/>
    <w:rsid w:val="004F4656"/>
    <w:rsid w:val="005034BB"/>
    <w:rsid w:val="00515374"/>
    <w:rsid w:val="00515912"/>
    <w:rsid w:val="005174E3"/>
    <w:rsid w:val="00570EC5"/>
    <w:rsid w:val="00584283"/>
    <w:rsid w:val="005851B2"/>
    <w:rsid w:val="005A322D"/>
    <w:rsid w:val="005A4461"/>
    <w:rsid w:val="005C4D62"/>
    <w:rsid w:val="005E22D7"/>
    <w:rsid w:val="005E5259"/>
    <w:rsid w:val="005F129C"/>
    <w:rsid w:val="006010D8"/>
    <w:rsid w:val="0063795C"/>
    <w:rsid w:val="00644016"/>
    <w:rsid w:val="006451CB"/>
    <w:rsid w:val="006611C4"/>
    <w:rsid w:val="00665C6F"/>
    <w:rsid w:val="00672EF3"/>
    <w:rsid w:val="006751D8"/>
    <w:rsid w:val="006755D5"/>
    <w:rsid w:val="006863E9"/>
    <w:rsid w:val="0069539C"/>
    <w:rsid w:val="006A5CEE"/>
    <w:rsid w:val="006A78F6"/>
    <w:rsid w:val="006C03E0"/>
    <w:rsid w:val="006C63BB"/>
    <w:rsid w:val="006D7E3B"/>
    <w:rsid w:val="007034B1"/>
    <w:rsid w:val="00730B85"/>
    <w:rsid w:val="00757D56"/>
    <w:rsid w:val="0076016F"/>
    <w:rsid w:val="007758D5"/>
    <w:rsid w:val="00775CAD"/>
    <w:rsid w:val="0077699D"/>
    <w:rsid w:val="00793405"/>
    <w:rsid w:val="007973EA"/>
    <w:rsid w:val="007A45C6"/>
    <w:rsid w:val="007E2A6F"/>
    <w:rsid w:val="007E68FA"/>
    <w:rsid w:val="008040EA"/>
    <w:rsid w:val="008064D8"/>
    <w:rsid w:val="008329DF"/>
    <w:rsid w:val="00875FBC"/>
    <w:rsid w:val="00885EB9"/>
    <w:rsid w:val="00895E9F"/>
    <w:rsid w:val="008D08A1"/>
    <w:rsid w:val="009123BE"/>
    <w:rsid w:val="0094194C"/>
    <w:rsid w:val="0096021D"/>
    <w:rsid w:val="00971D07"/>
    <w:rsid w:val="009746F1"/>
    <w:rsid w:val="00986F3C"/>
    <w:rsid w:val="009B5CA1"/>
    <w:rsid w:val="009C5431"/>
    <w:rsid w:val="009E6F50"/>
    <w:rsid w:val="009F3F81"/>
    <w:rsid w:val="00A2054B"/>
    <w:rsid w:val="00A66441"/>
    <w:rsid w:val="00A7498A"/>
    <w:rsid w:val="00A9522C"/>
    <w:rsid w:val="00AA158C"/>
    <w:rsid w:val="00AB233F"/>
    <w:rsid w:val="00AB4D30"/>
    <w:rsid w:val="00AD1626"/>
    <w:rsid w:val="00AD78BC"/>
    <w:rsid w:val="00B13DF5"/>
    <w:rsid w:val="00B55D48"/>
    <w:rsid w:val="00BA3CAF"/>
    <w:rsid w:val="00BB14DE"/>
    <w:rsid w:val="00BE2EE5"/>
    <w:rsid w:val="00BE4973"/>
    <w:rsid w:val="00BF27E7"/>
    <w:rsid w:val="00BF61C3"/>
    <w:rsid w:val="00C0326D"/>
    <w:rsid w:val="00C10624"/>
    <w:rsid w:val="00C215C8"/>
    <w:rsid w:val="00C21A58"/>
    <w:rsid w:val="00C23490"/>
    <w:rsid w:val="00C268D7"/>
    <w:rsid w:val="00CA1787"/>
    <w:rsid w:val="00CB1B42"/>
    <w:rsid w:val="00CB3C62"/>
    <w:rsid w:val="00CB5D0C"/>
    <w:rsid w:val="00CD2701"/>
    <w:rsid w:val="00CD3ED4"/>
    <w:rsid w:val="00CD5366"/>
    <w:rsid w:val="00CF7FBA"/>
    <w:rsid w:val="00D042A8"/>
    <w:rsid w:val="00D04AE7"/>
    <w:rsid w:val="00D075ED"/>
    <w:rsid w:val="00D40893"/>
    <w:rsid w:val="00D40D5F"/>
    <w:rsid w:val="00D443C2"/>
    <w:rsid w:val="00D503CB"/>
    <w:rsid w:val="00D63F2D"/>
    <w:rsid w:val="00D7048C"/>
    <w:rsid w:val="00D730CC"/>
    <w:rsid w:val="00D82ACE"/>
    <w:rsid w:val="00D92581"/>
    <w:rsid w:val="00DB0687"/>
    <w:rsid w:val="00DC0695"/>
    <w:rsid w:val="00DC110F"/>
    <w:rsid w:val="00DC2EC4"/>
    <w:rsid w:val="00DD1594"/>
    <w:rsid w:val="00E015BD"/>
    <w:rsid w:val="00E03E4E"/>
    <w:rsid w:val="00E2504B"/>
    <w:rsid w:val="00E4145F"/>
    <w:rsid w:val="00E80608"/>
    <w:rsid w:val="00E80C0A"/>
    <w:rsid w:val="00E972C8"/>
    <w:rsid w:val="00EB2A15"/>
    <w:rsid w:val="00EC777E"/>
    <w:rsid w:val="00ED148A"/>
    <w:rsid w:val="00ED3A1A"/>
    <w:rsid w:val="00ED7156"/>
    <w:rsid w:val="00EE65F1"/>
    <w:rsid w:val="00F132FD"/>
    <w:rsid w:val="00F13BF0"/>
    <w:rsid w:val="00F14C11"/>
    <w:rsid w:val="00F34F48"/>
    <w:rsid w:val="00F43061"/>
    <w:rsid w:val="00F9759C"/>
    <w:rsid w:val="00FB2A4C"/>
    <w:rsid w:val="00FC6ADC"/>
    <w:rsid w:val="00FC78AB"/>
    <w:rsid w:val="00FD0C52"/>
    <w:rsid w:val="00FE04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BE"/>
    <w:pPr>
      <w:suppressAutoHyphens/>
      <w:spacing w:after="120" w:line="240" w:lineRule="auto"/>
      <w:ind w:firstLine="720"/>
      <w:jc w:val="both"/>
    </w:pPr>
    <w:rPr>
      <w:rFonts w:ascii="Times New Roman" w:eastAsia="Times New Roman" w:hAnsi="Times New Rom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56"/>
    <w:pPr>
      <w:tabs>
        <w:tab w:val="center" w:pos="4153"/>
        <w:tab w:val="right" w:pos="8306"/>
      </w:tabs>
      <w:spacing w:after="0"/>
    </w:pPr>
  </w:style>
  <w:style w:type="character" w:customStyle="1" w:styleId="HeaderChar">
    <w:name w:val="Header Char"/>
    <w:basedOn w:val="DefaultParagraphFont"/>
    <w:link w:val="Header"/>
    <w:uiPriority w:val="99"/>
    <w:rsid w:val="00757D56"/>
    <w:rPr>
      <w:rFonts w:ascii="Times New Roman" w:eastAsia="Times New Roman" w:hAnsi="Times New Roman" w:cs="Times New Roman"/>
      <w:sz w:val="28"/>
      <w:szCs w:val="24"/>
      <w:lang w:eastAsia="ar-SA"/>
    </w:rPr>
  </w:style>
  <w:style w:type="paragraph" w:styleId="Footer">
    <w:name w:val="footer"/>
    <w:basedOn w:val="Normal"/>
    <w:link w:val="FooterChar"/>
    <w:uiPriority w:val="99"/>
    <w:unhideWhenUsed/>
    <w:rsid w:val="00757D56"/>
    <w:pPr>
      <w:tabs>
        <w:tab w:val="center" w:pos="4153"/>
        <w:tab w:val="right" w:pos="8306"/>
      </w:tabs>
      <w:spacing w:after="0"/>
    </w:pPr>
  </w:style>
  <w:style w:type="character" w:customStyle="1" w:styleId="FooterChar">
    <w:name w:val="Footer Char"/>
    <w:basedOn w:val="DefaultParagraphFont"/>
    <w:link w:val="Footer"/>
    <w:uiPriority w:val="99"/>
    <w:rsid w:val="00757D56"/>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757D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56"/>
    <w:rPr>
      <w:rFonts w:ascii="Tahoma" w:eastAsia="Times New Roman" w:hAnsi="Tahoma" w:cs="Tahoma"/>
      <w:sz w:val="16"/>
      <w:szCs w:val="16"/>
      <w:lang w:eastAsia="ar-SA"/>
    </w:rPr>
  </w:style>
  <w:style w:type="paragraph" w:customStyle="1" w:styleId="naisf">
    <w:name w:val="naisf"/>
    <w:basedOn w:val="Normal"/>
    <w:uiPriority w:val="99"/>
    <w:rsid w:val="00757D56"/>
    <w:pPr>
      <w:suppressAutoHyphens w:val="0"/>
      <w:spacing w:before="100" w:after="100"/>
      <w:ind w:firstLine="500"/>
    </w:pPr>
    <w:rPr>
      <w:sz w:val="24"/>
      <w:lang w:eastAsia="lv-LV"/>
    </w:rPr>
  </w:style>
  <w:style w:type="character" w:customStyle="1" w:styleId="spelle">
    <w:name w:val="spelle"/>
    <w:basedOn w:val="DefaultParagraphFont"/>
    <w:rsid w:val="00040125"/>
  </w:style>
  <w:style w:type="character" w:styleId="CommentReference">
    <w:name w:val="annotation reference"/>
    <w:basedOn w:val="DefaultParagraphFont"/>
    <w:uiPriority w:val="99"/>
    <w:semiHidden/>
    <w:unhideWhenUsed/>
    <w:rsid w:val="00491476"/>
    <w:rPr>
      <w:sz w:val="16"/>
      <w:szCs w:val="16"/>
    </w:rPr>
  </w:style>
  <w:style w:type="paragraph" w:styleId="CommentText">
    <w:name w:val="annotation text"/>
    <w:basedOn w:val="Normal"/>
    <w:link w:val="CommentTextChar"/>
    <w:uiPriority w:val="99"/>
    <w:semiHidden/>
    <w:unhideWhenUsed/>
    <w:rsid w:val="00491476"/>
    <w:rPr>
      <w:sz w:val="20"/>
      <w:szCs w:val="20"/>
    </w:rPr>
  </w:style>
  <w:style w:type="character" w:customStyle="1" w:styleId="CommentTextChar">
    <w:name w:val="Comment Text Char"/>
    <w:basedOn w:val="DefaultParagraphFont"/>
    <w:link w:val="CommentText"/>
    <w:uiPriority w:val="99"/>
    <w:semiHidden/>
    <w:rsid w:val="0049147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91476"/>
    <w:rPr>
      <w:b/>
      <w:bCs/>
    </w:rPr>
  </w:style>
  <w:style w:type="character" w:customStyle="1" w:styleId="CommentSubjectChar">
    <w:name w:val="Comment Subject Char"/>
    <w:basedOn w:val="CommentTextChar"/>
    <w:link w:val="CommentSubject"/>
    <w:uiPriority w:val="99"/>
    <w:semiHidden/>
    <w:rsid w:val="00491476"/>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BE"/>
    <w:pPr>
      <w:suppressAutoHyphens/>
      <w:spacing w:after="120" w:line="240" w:lineRule="auto"/>
      <w:ind w:firstLine="720"/>
      <w:jc w:val="both"/>
    </w:pPr>
    <w:rPr>
      <w:rFonts w:ascii="Times New Roman" w:eastAsia="Times New Roman" w:hAnsi="Times New Rom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56"/>
    <w:pPr>
      <w:tabs>
        <w:tab w:val="center" w:pos="4153"/>
        <w:tab w:val="right" w:pos="8306"/>
      </w:tabs>
      <w:spacing w:after="0"/>
    </w:pPr>
  </w:style>
  <w:style w:type="character" w:customStyle="1" w:styleId="HeaderChar">
    <w:name w:val="Header Char"/>
    <w:basedOn w:val="DefaultParagraphFont"/>
    <w:link w:val="Header"/>
    <w:uiPriority w:val="99"/>
    <w:rsid w:val="00757D56"/>
    <w:rPr>
      <w:rFonts w:ascii="Times New Roman" w:eastAsia="Times New Roman" w:hAnsi="Times New Roman" w:cs="Times New Roman"/>
      <w:sz w:val="28"/>
      <w:szCs w:val="24"/>
      <w:lang w:eastAsia="ar-SA"/>
    </w:rPr>
  </w:style>
  <w:style w:type="paragraph" w:styleId="Footer">
    <w:name w:val="footer"/>
    <w:basedOn w:val="Normal"/>
    <w:link w:val="FooterChar"/>
    <w:uiPriority w:val="99"/>
    <w:unhideWhenUsed/>
    <w:rsid w:val="00757D56"/>
    <w:pPr>
      <w:tabs>
        <w:tab w:val="center" w:pos="4153"/>
        <w:tab w:val="right" w:pos="8306"/>
      </w:tabs>
      <w:spacing w:after="0"/>
    </w:pPr>
  </w:style>
  <w:style w:type="character" w:customStyle="1" w:styleId="FooterChar">
    <w:name w:val="Footer Char"/>
    <w:basedOn w:val="DefaultParagraphFont"/>
    <w:link w:val="Footer"/>
    <w:uiPriority w:val="99"/>
    <w:rsid w:val="00757D56"/>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757D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56"/>
    <w:rPr>
      <w:rFonts w:ascii="Tahoma" w:eastAsia="Times New Roman" w:hAnsi="Tahoma" w:cs="Tahoma"/>
      <w:sz w:val="16"/>
      <w:szCs w:val="16"/>
      <w:lang w:eastAsia="ar-SA"/>
    </w:rPr>
  </w:style>
  <w:style w:type="paragraph" w:customStyle="1" w:styleId="naisf">
    <w:name w:val="naisf"/>
    <w:basedOn w:val="Normal"/>
    <w:uiPriority w:val="99"/>
    <w:rsid w:val="00757D56"/>
    <w:pPr>
      <w:suppressAutoHyphens w:val="0"/>
      <w:spacing w:before="100" w:after="100"/>
      <w:ind w:firstLine="500"/>
    </w:pPr>
    <w:rPr>
      <w:sz w:val="24"/>
      <w:lang w:eastAsia="lv-LV"/>
    </w:rPr>
  </w:style>
  <w:style w:type="character" w:customStyle="1" w:styleId="spelle">
    <w:name w:val="spelle"/>
    <w:basedOn w:val="DefaultParagraphFont"/>
    <w:rsid w:val="00040125"/>
  </w:style>
  <w:style w:type="character" w:styleId="CommentReference">
    <w:name w:val="annotation reference"/>
    <w:basedOn w:val="DefaultParagraphFont"/>
    <w:uiPriority w:val="99"/>
    <w:semiHidden/>
    <w:unhideWhenUsed/>
    <w:rsid w:val="00491476"/>
    <w:rPr>
      <w:sz w:val="16"/>
      <w:szCs w:val="16"/>
    </w:rPr>
  </w:style>
  <w:style w:type="paragraph" w:styleId="CommentText">
    <w:name w:val="annotation text"/>
    <w:basedOn w:val="Normal"/>
    <w:link w:val="CommentTextChar"/>
    <w:uiPriority w:val="99"/>
    <w:semiHidden/>
    <w:unhideWhenUsed/>
    <w:rsid w:val="00491476"/>
    <w:rPr>
      <w:sz w:val="20"/>
      <w:szCs w:val="20"/>
    </w:rPr>
  </w:style>
  <w:style w:type="character" w:customStyle="1" w:styleId="CommentTextChar">
    <w:name w:val="Comment Text Char"/>
    <w:basedOn w:val="DefaultParagraphFont"/>
    <w:link w:val="CommentText"/>
    <w:uiPriority w:val="99"/>
    <w:semiHidden/>
    <w:rsid w:val="0049147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91476"/>
    <w:rPr>
      <w:b/>
      <w:bCs/>
    </w:rPr>
  </w:style>
  <w:style w:type="character" w:customStyle="1" w:styleId="CommentSubjectChar">
    <w:name w:val="Comment Subject Char"/>
    <w:basedOn w:val="CommentTextChar"/>
    <w:link w:val="CommentSubject"/>
    <w:uiPriority w:val="99"/>
    <w:semiHidden/>
    <w:rsid w:val="0049147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5863">
      <w:bodyDiv w:val="1"/>
      <w:marLeft w:val="0"/>
      <w:marRight w:val="0"/>
      <w:marTop w:val="0"/>
      <w:marBottom w:val="0"/>
      <w:divBdr>
        <w:top w:val="none" w:sz="0" w:space="0" w:color="auto"/>
        <w:left w:val="none" w:sz="0" w:space="0" w:color="auto"/>
        <w:bottom w:val="none" w:sz="0" w:space="0" w:color="auto"/>
        <w:right w:val="none" w:sz="0" w:space="0" w:color="auto"/>
      </w:divBdr>
    </w:div>
    <w:div w:id="589587666">
      <w:bodyDiv w:val="1"/>
      <w:marLeft w:val="0"/>
      <w:marRight w:val="0"/>
      <w:marTop w:val="0"/>
      <w:marBottom w:val="0"/>
      <w:divBdr>
        <w:top w:val="none" w:sz="0" w:space="0" w:color="auto"/>
        <w:left w:val="none" w:sz="0" w:space="0" w:color="auto"/>
        <w:bottom w:val="none" w:sz="0" w:space="0" w:color="auto"/>
        <w:right w:val="none" w:sz="0" w:space="0" w:color="auto"/>
      </w:divBdr>
    </w:div>
    <w:div w:id="1339309424">
      <w:bodyDiv w:val="1"/>
      <w:marLeft w:val="0"/>
      <w:marRight w:val="0"/>
      <w:marTop w:val="0"/>
      <w:marBottom w:val="0"/>
      <w:divBdr>
        <w:top w:val="none" w:sz="0" w:space="0" w:color="auto"/>
        <w:left w:val="none" w:sz="0" w:space="0" w:color="auto"/>
        <w:bottom w:val="none" w:sz="0" w:space="0" w:color="auto"/>
        <w:right w:val="none" w:sz="0" w:space="0" w:color="auto"/>
      </w:divBdr>
    </w:div>
    <w:div w:id="1528370827">
      <w:bodyDiv w:val="1"/>
      <w:marLeft w:val="0"/>
      <w:marRight w:val="0"/>
      <w:marTop w:val="0"/>
      <w:marBottom w:val="0"/>
      <w:divBdr>
        <w:top w:val="none" w:sz="0" w:space="0" w:color="auto"/>
        <w:left w:val="none" w:sz="0" w:space="0" w:color="auto"/>
        <w:bottom w:val="none" w:sz="0" w:space="0" w:color="auto"/>
        <w:right w:val="none" w:sz="0" w:space="0" w:color="auto"/>
      </w:divBdr>
      <w:divsChild>
        <w:div w:id="557787201">
          <w:marLeft w:val="0"/>
          <w:marRight w:val="0"/>
          <w:marTop w:val="0"/>
          <w:marBottom w:val="0"/>
          <w:divBdr>
            <w:top w:val="none" w:sz="0" w:space="0" w:color="auto"/>
            <w:left w:val="none" w:sz="0" w:space="0" w:color="auto"/>
            <w:bottom w:val="none" w:sz="0" w:space="0" w:color="auto"/>
            <w:right w:val="none" w:sz="0" w:space="0" w:color="auto"/>
          </w:divBdr>
          <w:divsChild>
            <w:div w:id="1950966305">
              <w:marLeft w:val="0"/>
              <w:marRight w:val="0"/>
              <w:marTop w:val="0"/>
              <w:marBottom w:val="0"/>
              <w:divBdr>
                <w:top w:val="none" w:sz="0" w:space="0" w:color="auto"/>
                <w:left w:val="none" w:sz="0" w:space="0" w:color="auto"/>
                <w:bottom w:val="none" w:sz="0" w:space="0" w:color="auto"/>
                <w:right w:val="none" w:sz="0" w:space="0" w:color="auto"/>
              </w:divBdr>
              <w:divsChild>
                <w:div w:id="1198081916">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13130533">
      <w:bodyDiv w:val="1"/>
      <w:marLeft w:val="0"/>
      <w:marRight w:val="0"/>
      <w:marTop w:val="0"/>
      <w:marBottom w:val="0"/>
      <w:divBdr>
        <w:top w:val="none" w:sz="0" w:space="0" w:color="auto"/>
        <w:left w:val="none" w:sz="0" w:space="0" w:color="auto"/>
        <w:bottom w:val="none" w:sz="0" w:space="0" w:color="auto"/>
        <w:right w:val="none" w:sz="0" w:space="0" w:color="auto"/>
      </w:divBdr>
    </w:div>
    <w:div w:id="17842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CF54-04C4-4E59-ABC3-3E5592F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2801</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Sadarbības iestādes informācijas saņemšanai no to pārziņā esošajām valsts informācijas sistēmām</vt:lpstr>
    </vt:vector>
  </TitlesOfParts>
  <Company>Valsts ieņēmumu dienests</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iestādes informācijas saņemšanai no to pārziņā esošajām valsts informācijas sistēmām</dc:title>
  <dc:subject>Pielikums „Par elektroniskās algas nodokļa grāmatiņas ieviešanu”</dc:subject>
  <dc:creator>Ginta.Gurkina@vid.gov.lv</dc:creator>
  <dc:description>Ginta Gurkina
tel: 6702819
ginta.gurkina@vid.gov.lv</dc:description>
  <cp:lastModifiedBy>Ginta Gurkina</cp:lastModifiedBy>
  <cp:revision>6</cp:revision>
  <dcterms:created xsi:type="dcterms:W3CDTF">2012-09-21T09:51:00Z</dcterms:created>
  <dcterms:modified xsi:type="dcterms:W3CDTF">2012-09-21T12:59:00Z</dcterms:modified>
</cp:coreProperties>
</file>