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42" w:rsidRPr="00403F6A" w:rsidRDefault="000A1942" w:rsidP="000A1942">
      <w:pPr>
        <w:ind w:firstLine="0"/>
        <w:jc w:val="left"/>
        <w:rPr>
          <w:sz w:val="24"/>
          <w:szCs w:val="24"/>
          <w:lang w:eastAsia="lv-LV"/>
        </w:rPr>
      </w:pPr>
      <w:bookmarkStart w:id="0" w:name="_GoBack"/>
      <w:bookmarkEnd w:id="0"/>
    </w:p>
    <w:p w:rsidR="000A1942" w:rsidRPr="00612304" w:rsidRDefault="000A1942" w:rsidP="000A1942">
      <w:pPr>
        <w:pStyle w:val="Heading2"/>
        <w:rPr>
          <w:sz w:val="24"/>
          <w:szCs w:val="24"/>
          <w:lang w:eastAsia="lv-LV"/>
        </w:rPr>
      </w:pPr>
      <w:r w:rsidRPr="00612304">
        <w:rPr>
          <w:sz w:val="24"/>
          <w:szCs w:val="24"/>
          <w:lang w:eastAsia="lv-LV"/>
        </w:rPr>
        <w:t xml:space="preserve">Ministru kabineta rīkojuma projekta </w:t>
      </w:r>
      <w:bookmarkStart w:id="1" w:name="OLE_LINK3"/>
      <w:bookmarkStart w:id="2" w:name="OLE_LINK4"/>
    </w:p>
    <w:bookmarkEnd w:id="1"/>
    <w:bookmarkEnd w:id="2"/>
    <w:p w:rsidR="004A16E6" w:rsidRPr="00C90EC9" w:rsidRDefault="004A16E6" w:rsidP="004A16E6">
      <w:pPr>
        <w:pStyle w:val="Heading2"/>
        <w:rPr>
          <w:szCs w:val="28"/>
        </w:rPr>
      </w:pPr>
      <w:r>
        <w:rPr>
          <w:szCs w:val="28"/>
        </w:rPr>
        <w:t>Par valsts nekustamo īpašumu</w:t>
      </w:r>
      <w:r w:rsidRPr="00C90EC9">
        <w:rPr>
          <w:szCs w:val="28"/>
        </w:rPr>
        <w:t xml:space="preserve"> </w:t>
      </w:r>
      <w:r>
        <w:rPr>
          <w:szCs w:val="28"/>
          <w:lang w:eastAsia="lv-LV"/>
        </w:rPr>
        <w:t>nodošanu bezatlīdzības lietošanā biedrībai „Latvijas Neredzīgo biedrība”</w:t>
      </w:r>
    </w:p>
    <w:p w:rsidR="000A1942" w:rsidRPr="00222304" w:rsidRDefault="00097CA0" w:rsidP="000A1942">
      <w:pPr>
        <w:pStyle w:val="Heading2"/>
        <w:rPr>
          <w:sz w:val="24"/>
          <w:szCs w:val="24"/>
        </w:rPr>
      </w:pPr>
      <w:r w:rsidRPr="00097CA0">
        <w:rPr>
          <w:sz w:val="24"/>
          <w:szCs w:val="24"/>
          <w:u w:val="single"/>
          <w:lang w:eastAsia="lv-LV"/>
        </w:rPr>
        <w:t>precizētais</w:t>
      </w:r>
      <w:r>
        <w:rPr>
          <w:sz w:val="24"/>
          <w:szCs w:val="24"/>
          <w:lang w:eastAsia="lv-LV"/>
        </w:rPr>
        <w:t xml:space="preserve"> </w:t>
      </w:r>
      <w:r w:rsidR="000A1942" w:rsidRPr="00222304">
        <w:rPr>
          <w:sz w:val="24"/>
          <w:szCs w:val="24"/>
          <w:lang w:eastAsia="lv-LV"/>
        </w:rPr>
        <w:t>sākotnējās ietekmes novērtējuma ziņojums (anotācija)</w:t>
      </w:r>
    </w:p>
    <w:p w:rsidR="000A1942" w:rsidRPr="009A60D0" w:rsidRDefault="000A1942" w:rsidP="000A1942">
      <w:pPr>
        <w:spacing w:after="120"/>
        <w:jc w:val="center"/>
        <w:rPr>
          <w:b/>
          <w:bCs/>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6"/>
        <w:gridCol w:w="2989"/>
        <w:gridCol w:w="5586"/>
      </w:tblGrid>
      <w:tr w:rsidR="000A1942" w:rsidRPr="00687C0A" w:rsidTr="003766AB">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b/>
                <w:bCs/>
                <w:sz w:val="24"/>
                <w:szCs w:val="24"/>
                <w:lang w:eastAsia="lv-LV"/>
              </w:rPr>
              <w:t> I. Tiesību akta projekta izstrādes nepieciešamība</w:t>
            </w:r>
          </w:p>
        </w:tc>
      </w:tr>
      <w:tr w:rsidR="000A1942" w:rsidRPr="00687C0A" w:rsidTr="003766AB">
        <w:trPr>
          <w:trHeight w:val="630"/>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Pamatojums</w:t>
            </w:r>
          </w:p>
        </w:tc>
        <w:tc>
          <w:tcPr>
            <w:tcW w:w="5586" w:type="dxa"/>
            <w:tcBorders>
              <w:top w:val="outset" w:sz="6" w:space="0" w:color="auto"/>
              <w:left w:val="outset" w:sz="6" w:space="0" w:color="auto"/>
              <w:bottom w:val="outset" w:sz="6" w:space="0" w:color="auto"/>
              <w:right w:val="outset" w:sz="6" w:space="0" w:color="auto"/>
            </w:tcBorders>
          </w:tcPr>
          <w:p w:rsidR="00DC58DF" w:rsidRDefault="000A1942" w:rsidP="003766AB">
            <w:pPr>
              <w:ind w:firstLine="125"/>
              <w:rPr>
                <w:sz w:val="24"/>
                <w:szCs w:val="24"/>
              </w:rPr>
            </w:pPr>
            <w:r w:rsidRPr="00930F40">
              <w:rPr>
                <w:sz w:val="24"/>
                <w:szCs w:val="24"/>
              </w:rPr>
              <w:t>Rīkojuma projekts izstrādāts saskaņā ar</w:t>
            </w:r>
            <w:r w:rsidR="00DC58DF" w:rsidRPr="00930F40">
              <w:rPr>
                <w:sz w:val="24"/>
                <w:szCs w:val="24"/>
                <w:lang w:eastAsia="lv-LV"/>
              </w:rPr>
              <w:t xml:space="preserve"> likuma "Par valsts un pašvaldību finanšu līdzekļu un mantas izšķērdēšanas novēršanu" 5.panta otrās daļas 2.</w:t>
            </w:r>
            <w:r w:rsidR="00DC58DF" w:rsidRPr="00930F40">
              <w:rPr>
                <w:sz w:val="24"/>
                <w:szCs w:val="24"/>
                <w:vertAlign w:val="superscript"/>
                <w:lang w:eastAsia="lv-LV"/>
              </w:rPr>
              <w:t>1</w:t>
            </w:r>
            <w:r w:rsidR="00DC58DF" w:rsidRPr="00930F40">
              <w:rPr>
                <w:sz w:val="24"/>
                <w:szCs w:val="24"/>
                <w:lang w:eastAsia="lv-LV"/>
              </w:rPr>
              <w:t xml:space="preserve"> punktu un piekto daļu. </w:t>
            </w:r>
            <w:r w:rsidR="00DC58DF" w:rsidRPr="00930F40">
              <w:rPr>
                <w:sz w:val="24"/>
                <w:szCs w:val="24"/>
              </w:rPr>
              <w:t xml:space="preserve"> </w:t>
            </w:r>
            <w:r w:rsidR="00DC58DF" w:rsidRPr="00930F40">
              <w:rPr>
                <w:sz w:val="24"/>
                <w:szCs w:val="24"/>
                <w:lang w:eastAsia="lv-LV"/>
              </w:rPr>
              <w:t>Likuma "Par valsts un pašvaldību finanšu līdzekļu un mantas izšķērdēšanas novēršanu" 5.panta otrās daļas 2.</w:t>
            </w:r>
            <w:r w:rsidR="00DC58DF" w:rsidRPr="00930F40">
              <w:rPr>
                <w:sz w:val="24"/>
                <w:szCs w:val="24"/>
                <w:vertAlign w:val="superscript"/>
                <w:lang w:eastAsia="lv-LV"/>
              </w:rPr>
              <w:t>1</w:t>
            </w:r>
            <w:r w:rsidR="00DC58DF" w:rsidRPr="00930F40">
              <w:rPr>
                <w:sz w:val="24"/>
                <w:szCs w:val="24"/>
                <w:lang w:eastAsia="lv-LV"/>
              </w:rPr>
              <w:t xml:space="preserve"> punkts noteic, ka valsts mantu nav aizliegts nodot bezatlīdzības lietošanā sabiedriskā labuma organizācijai. </w:t>
            </w:r>
            <w:r w:rsidR="00930F40" w:rsidRPr="00930F40">
              <w:rPr>
                <w:sz w:val="24"/>
                <w:szCs w:val="24"/>
                <w:lang w:eastAsia="lv-LV"/>
              </w:rPr>
              <w:t>Minētā likuma 5.panta piektā daļa noteic, ka l</w:t>
            </w:r>
            <w:r w:rsidR="00930F40" w:rsidRPr="00930F40">
              <w:rPr>
                <w:sz w:val="24"/>
                <w:szCs w:val="24"/>
              </w:rPr>
              <w:t>ēmumu par valsts mantas nodošanu bezatlīdzības lietošanā sabiedriskā labuma organizācijai pieņem Ministru kabinets. Valsts   mantu bezatlīdzības lietošanā sabiedriskā labuma organizācijām nodod uz laiku, kamēr attiecīgajai biedrībai, nodibinājumam vai reliģiskajai organizācijai ir sabiedriskā labuma organizācijas statuss, bet ne ilgāk par 10 gadiem. Valsts  mantu bezatlīdzības lietošanā sabiedriskā labuma organizācijai var nodot atkārtoti.</w:t>
            </w:r>
          </w:p>
          <w:p w:rsidR="000A1942" w:rsidRPr="00DC58DF" w:rsidRDefault="003766AB" w:rsidP="00012609">
            <w:pPr>
              <w:ind w:firstLine="125"/>
              <w:rPr>
                <w:sz w:val="24"/>
                <w:szCs w:val="24"/>
              </w:rPr>
            </w:pPr>
            <w:r>
              <w:rPr>
                <w:sz w:val="24"/>
                <w:szCs w:val="24"/>
              </w:rPr>
              <w:t xml:space="preserve">Ministru prezidenta 2011.gada 25.augusta rezolūcija Nr.90/TA-2008, kas </w:t>
            </w:r>
            <w:r w:rsidR="0089566D">
              <w:rPr>
                <w:sz w:val="24"/>
                <w:szCs w:val="24"/>
              </w:rPr>
              <w:t xml:space="preserve">dod uzdevumu sagatavot un noteiktā kārtībā iesniegt izskatīšanai Ministru kabinetā rīkojuma projektu par zemes vienību nodošanu biedrības „Latvijas Neredzīgo biedrība” </w:t>
            </w:r>
            <w:r w:rsidR="00012609">
              <w:rPr>
                <w:sz w:val="24"/>
                <w:szCs w:val="24"/>
              </w:rPr>
              <w:t xml:space="preserve">(turpmāk – LNB) </w:t>
            </w:r>
            <w:r w:rsidR="0089566D">
              <w:rPr>
                <w:sz w:val="24"/>
                <w:szCs w:val="24"/>
              </w:rPr>
              <w:t>bezatlīdzības lietošanā.</w:t>
            </w:r>
          </w:p>
        </w:tc>
      </w:tr>
      <w:tr w:rsidR="000A1942" w:rsidRPr="00687C0A" w:rsidTr="003766AB">
        <w:trPr>
          <w:trHeight w:val="472"/>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Pašreizējā situācija un problēmas</w:t>
            </w:r>
          </w:p>
        </w:tc>
        <w:tc>
          <w:tcPr>
            <w:tcW w:w="5586" w:type="dxa"/>
            <w:tcBorders>
              <w:top w:val="outset" w:sz="6" w:space="0" w:color="auto"/>
              <w:left w:val="outset" w:sz="6" w:space="0" w:color="auto"/>
              <w:bottom w:val="outset" w:sz="6" w:space="0" w:color="auto"/>
              <w:right w:val="outset" w:sz="6" w:space="0" w:color="auto"/>
            </w:tcBorders>
          </w:tcPr>
          <w:p w:rsidR="00DE56F6" w:rsidRDefault="009B5BB3" w:rsidP="00012609">
            <w:pPr>
              <w:ind w:firstLine="0"/>
              <w:rPr>
                <w:sz w:val="24"/>
                <w:szCs w:val="24"/>
              </w:rPr>
            </w:pPr>
            <w:r>
              <w:rPr>
                <w:b/>
                <w:sz w:val="24"/>
                <w:szCs w:val="24"/>
                <w:lang w:eastAsia="lv-LV"/>
              </w:rPr>
              <w:t xml:space="preserve"> </w:t>
            </w:r>
            <w:r w:rsidR="000A1942" w:rsidRPr="006212F0">
              <w:rPr>
                <w:sz w:val="24"/>
                <w:szCs w:val="24"/>
              </w:rPr>
              <w:t xml:space="preserve"> </w:t>
            </w:r>
            <w:r w:rsidR="0046792B">
              <w:rPr>
                <w:sz w:val="24"/>
                <w:szCs w:val="24"/>
              </w:rPr>
              <w:t xml:space="preserve"> </w:t>
            </w:r>
            <w:r w:rsidR="007B5890">
              <w:rPr>
                <w:sz w:val="24"/>
                <w:szCs w:val="24"/>
              </w:rPr>
              <w:t>LNB Centrālā</w:t>
            </w:r>
            <w:r w:rsidR="0019063B">
              <w:rPr>
                <w:sz w:val="24"/>
                <w:szCs w:val="24"/>
              </w:rPr>
              <w:t xml:space="preserve"> valde 2011.gada 10.maijā Saeimas Sociālo un darba lietu komisijai adresētajā</w:t>
            </w:r>
            <w:r w:rsidR="00711238">
              <w:rPr>
                <w:sz w:val="24"/>
                <w:szCs w:val="24"/>
              </w:rPr>
              <w:t xml:space="preserve"> vēstulē Nr.01-03/51 lūdz valstij piederošās zemes vienības, uz kurām atrodas LNB piederošas ēkas </w:t>
            </w:r>
            <w:r w:rsidR="007B5890">
              <w:rPr>
                <w:sz w:val="24"/>
                <w:szCs w:val="24"/>
              </w:rPr>
              <w:t>(</w:t>
            </w:r>
            <w:r w:rsidR="00711238">
              <w:rPr>
                <w:sz w:val="24"/>
                <w:szCs w:val="24"/>
              </w:rPr>
              <w:t>būves</w:t>
            </w:r>
            <w:r w:rsidR="007B5890">
              <w:rPr>
                <w:sz w:val="24"/>
                <w:szCs w:val="24"/>
              </w:rPr>
              <w:t>),</w:t>
            </w:r>
            <w:r w:rsidR="00711238">
              <w:rPr>
                <w:sz w:val="24"/>
                <w:szCs w:val="24"/>
              </w:rPr>
              <w:t xml:space="preserve"> nodot beztermiņa un bezmaksas lietošanā. </w:t>
            </w:r>
          </w:p>
          <w:p w:rsidR="0019063B" w:rsidRDefault="00DE56F6" w:rsidP="00DE56F6">
            <w:pPr>
              <w:ind w:firstLine="171"/>
              <w:rPr>
                <w:sz w:val="24"/>
                <w:szCs w:val="24"/>
              </w:rPr>
            </w:pPr>
            <w:r>
              <w:rPr>
                <w:sz w:val="24"/>
                <w:szCs w:val="24"/>
              </w:rPr>
              <w:t xml:space="preserve">Saeimas </w:t>
            </w:r>
            <w:r w:rsidR="0019063B">
              <w:rPr>
                <w:sz w:val="24"/>
                <w:szCs w:val="24"/>
              </w:rPr>
              <w:t xml:space="preserve"> </w:t>
            </w:r>
            <w:r>
              <w:rPr>
                <w:sz w:val="24"/>
                <w:szCs w:val="24"/>
              </w:rPr>
              <w:t xml:space="preserve">Sociālo un darba lietu komisija 2011.gada 16.augustā ir vērsusies pie Ministru </w:t>
            </w:r>
            <w:r w:rsidR="007B5890">
              <w:rPr>
                <w:sz w:val="24"/>
                <w:szCs w:val="24"/>
              </w:rPr>
              <w:t>p</w:t>
            </w:r>
            <w:r>
              <w:rPr>
                <w:sz w:val="24"/>
                <w:szCs w:val="24"/>
              </w:rPr>
              <w:t xml:space="preserve">rezidenta ar lūgumu (vēstule Nr.9/9-2-4/135-2011) uzdot Finanšu ministrijai sagatavot un normatīvajos aktos noteiktajā kārtībā iesniegt izskatīšanai Ministru kabineta sēdē Ministru </w:t>
            </w:r>
            <w:r w:rsidR="005743E7">
              <w:rPr>
                <w:sz w:val="24"/>
                <w:szCs w:val="24"/>
              </w:rPr>
              <w:t>kabineta rīkojuma projektu par z</w:t>
            </w:r>
            <w:r>
              <w:rPr>
                <w:sz w:val="24"/>
                <w:szCs w:val="24"/>
              </w:rPr>
              <w:t>emesgabalu nodošanu LNB terminētā bezatlīdzības lietošanā proporcionāli zemesgabalu domājamām daļām, kas nepieciešams LNB darbības nodrošināšanai.</w:t>
            </w:r>
            <w:r w:rsidR="005743E7">
              <w:rPr>
                <w:sz w:val="24"/>
                <w:szCs w:val="24"/>
              </w:rPr>
              <w:t xml:space="preserve"> Nepieciešamība nodot zemesgabalus proporcionāli LNB izmantotajām domājamām daļām izriet no apstākļa, ka daļu LNB dzīvojamā fonda un infrastruktūras objektiem izmanto personas bez redzes invaliditātes, un šis </w:t>
            </w:r>
            <w:r w:rsidR="004F44E6">
              <w:rPr>
                <w:sz w:val="24"/>
                <w:szCs w:val="24"/>
              </w:rPr>
              <w:t xml:space="preserve">apstāklis ir nozīmīgs, nodrošinot vienlīdzības principa un tiesiskās </w:t>
            </w:r>
            <w:r w:rsidR="004F44E6">
              <w:rPr>
                <w:sz w:val="24"/>
                <w:szCs w:val="24"/>
              </w:rPr>
              <w:lastRenderedPageBreak/>
              <w:t>paļāvības principa ievērošanu valsts pārvaldes darbībā.</w:t>
            </w:r>
            <w:r w:rsidR="00AF5B2B">
              <w:rPr>
                <w:sz w:val="24"/>
                <w:szCs w:val="24"/>
              </w:rPr>
              <w:t xml:space="preserve"> </w:t>
            </w:r>
          </w:p>
          <w:p w:rsidR="00B74A34" w:rsidRPr="000900C4" w:rsidRDefault="00B74A34" w:rsidP="00DE56F6">
            <w:pPr>
              <w:ind w:firstLine="171"/>
              <w:rPr>
                <w:sz w:val="24"/>
                <w:szCs w:val="24"/>
                <w:u w:val="single"/>
              </w:rPr>
            </w:pPr>
            <w:r w:rsidRPr="000900C4">
              <w:rPr>
                <w:sz w:val="24"/>
                <w:szCs w:val="24"/>
                <w:u w:val="single"/>
              </w:rPr>
              <w:t>Nododot bezatlīdzības lietošanā domājamās daļas no zemes vienības</w:t>
            </w:r>
            <w:r w:rsidR="00543C17" w:rsidRPr="000900C4">
              <w:rPr>
                <w:sz w:val="24"/>
                <w:szCs w:val="24"/>
                <w:u w:val="single"/>
              </w:rPr>
              <w:t xml:space="preserve">, netiek pārkāpts </w:t>
            </w:r>
            <w:r w:rsidR="000900C4" w:rsidRPr="000900C4">
              <w:rPr>
                <w:sz w:val="24"/>
                <w:szCs w:val="24"/>
                <w:u w:val="single"/>
              </w:rPr>
              <w:t xml:space="preserve">likuma „Par atjaunotā Latvijas Republikas 1937. gada </w:t>
            </w:r>
            <w:hyperlink r:id="rId8" w:tgtFrame="_blank" w:tooltip="Civillikums /Spēkā esošs/" w:history="1">
              <w:r w:rsidR="000900C4" w:rsidRPr="000900C4">
                <w:rPr>
                  <w:sz w:val="24"/>
                  <w:szCs w:val="24"/>
                  <w:u w:val="single"/>
                </w:rPr>
                <w:t>Civillikuma</w:t>
              </w:r>
            </w:hyperlink>
            <w:r w:rsidR="000900C4" w:rsidRPr="000900C4">
              <w:rPr>
                <w:sz w:val="24"/>
                <w:szCs w:val="24"/>
                <w:u w:val="single"/>
              </w:rPr>
              <w:t xml:space="preserve"> ievada, mantojuma tiesību un lietu tiesību daļas spēkā stāšanās laiku un kārtību” 14. pantā iekļautais nekustamā īpašuma nedalāmības princips, jo domājamās daļas no zemes vienības tiek nodotas bezatlīdzības lietošanā nevis īpašumā. </w:t>
            </w:r>
            <w:r w:rsidR="000900C4">
              <w:rPr>
                <w:sz w:val="24"/>
                <w:szCs w:val="24"/>
                <w:u w:val="single"/>
              </w:rPr>
              <w:t>Ja LNB vēlētos izmantot Publiskas personas mantas atsavināšanas likumā iekļautās tiesības, zemes vienība tiktu atsavināta tikai pilnā apjomā, neizdalot domājamās daļas.</w:t>
            </w:r>
            <w:r w:rsidR="00A54A8F">
              <w:rPr>
                <w:sz w:val="24"/>
                <w:szCs w:val="24"/>
                <w:u w:val="single"/>
              </w:rPr>
              <w:t xml:space="preserve"> Tāpat</w:t>
            </w:r>
            <w:r w:rsidR="00B31AF1">
              <w:rPr>
                <w:sz w:val="24"/>
                <w:szCs w:val="24"/>
                <w:u w:val="single"/>
              </w:rPr>
              <w:t>,</w:t>
            </w:r>
            <w:r w:rsidR="00A54A8F">
              <w:rPr>
                <w:sz w:val="24"/>
                <w:szCs w:val="24"/>
                <w:u w:val="single"/>
              </w:rPr>
              <w:t xml:space="preserve"> nav iespējams izdalīt attiecīgai ēkai nepieciešamo zemes vienību un nodot LNB bezatlīdzības lietošanā atsevišķi izdalītu zemes vienību, jo konkrētajos objektos uz zemes vienības atrodas tikai viena ēka vai tās daļa. Pēc būtības LNB lietošanā tiek nodotas zemes vienības to pilnā apjomā, tikai konkrētas domājamās daļas no zemes vienības</w:t>
            </w:r>
            <w:r w:rsidR="00740D24">
              <w:rPr>
                <w:sz w:val="24"/>
                <w:szCs w:val="24"/>
                <w:u w:val="single"/>
              </w:rPr>
              <w:t xml:space="preserve"> tiek nodotas bezatlīdzības lietošanā</w:t>
            </w:r>
            <w:r w:rsidR="00D07232">
              <w:rPr>
                <w:sz w:val="24"/>
                <w:szCs w:val="24"/>
                <w:u w:val="single"/>
              </w:rPr>
              <w:t>, par atlikušajām domājamām daļām tiks slēgts zemes nomas līgums paredzot tajā zemes nomas maksu</w:t>
            </w:r>
            <w:r w:rsidR="00D0758F">
              <w:rPr>
                <w:sz w:val="24"/>
                <w:szCs w:val="24"/>
                <w:u w:val="single"/>
              </w:rPr>
              <w:t xml:space="preserve"> </w:t>
            </w:r>
            <w:r w:rsidR="00D0758F" w:rsidRPr="00AF5B2B">
              <w:rPr>
                <w:sz w:val="24"/>
                <w:szCs w:val="24"/>
                <w:u w:val="single"/>
                <w:lang w:eastAsia="lv-LV"/>
              </w:rPr>
              <w:t>saskaņā ar Ministru kabineta 2007.gada 30.oktobra noteikumiem Nr.735 „Noteikumi par publiskas personas zeme</w:t>
            </w:r>
            <w:r w:rsidR="00B31AF1">
              <w:rPr>
                <w:sz w:val="24"/>
                <w:szCs w:val="24"/>
                <w:u w:val="single"/>
                <w:lang w:eastAsia="lv-LV"/>
              </w:rPr>
              <w:t xml:space="preserve">s nomu”, proti, domājamo daļu apmērs attiecās uz nomas maksas apjomu, nosakot domājamās daļas, kuras tiks </w:t>
            </w:r>
            <w:r w:rsidR="00E30E72">
              <w:rPr>
                <w:sz w:val="24"/>
                <w:szCs w:val="24"/>
                <w:u w:val="single"/>
                <w:lang w:eastAsia="lv-LV"/>
              </w:rPr>
              <w:t>nodotas bezatlīdzības lietošanā. Par bezatlīdzības lietošanā nodotajām zemes vienībām vai to domājamām daļām tiks noslēgts bezatlīdzības lietojuma līgums.</w:t>
            </w:r>
          </w:p>
          <w:p w:rsidR="00082BD5" w:rsidRDefault="00082BD5" w:rsidP="00DE56F6">
            <w:pPr>
              <w:ind w:firstLine="171"/>
              <w:rPr>
                <w:sz w:val="24"/>
                <w:szCs w:val="24"/>
              </w:rPr>
            </w:pPr>
            <w:r>
              <w:rPr>
                <w:sz w:val="24"/>
                <w:szCs w:val="24"/>
              </w:rPr>
              <w:t>Kā jau minēts I</w:t>
            </w:r>
            <w:r w:rsidR="00D428F0">
              <w:rPr>
                <w:sz w:val="24"/>
                <w:szCs w:val="24"/>
              </w:rPr>
              <w:t>.</w:t>
            </w:r>
            <w:r>
              <w:rPr>
                <w:sz w:val="24"/>
                <w:szCs w:val="24"/>
              </w:rPr>
              <w:t xml:space="preserve"> sadaļas 1.punktā, Ministru prezidents 2011.gada 25.augustā ar rezolūciju Nr.90/TA-2008 ir devis uzdevumu Finanšu ministrija</w:t>
            </w:r>
            <w:r w:rsidR="00D428F0">
              <w:rPr>
                <w:sz w:val="24"/>
                <w:szCs w:val="24"/>
              </w:rPr>
              <w:t>i, attiecīgi, valsts akciju sabiedrībai</w:t>
            </w:r>
            <w:r w:rsidR="00D428F0" w:rsidRPr="00DC58DF">
              <w:rPr>
                <w:sz w:val="24"/>
                <w:szCs w:val="24"/>
              </w:rPr>
              <w:t xml:space="preserve"> „Valsts nekustamie īpašumi” </w:t>
            </w:r>
            <w:r w:rsidR="00D428F0" w:rsidRPr="00DC58DF">
              <w:rPr>
                <w:sz w:val="24"/>
                <w:szCs w:val="24"/>
                <w:lang w:eastAsia="lv-LV"/>
              </w:rPr>
              <w:t>(turpmāk – VNĪ)</w:t>
            </w:r>
            <w:r w:rsidR="007B5890">
              <w:rPr>
                <w:sz w:val="24"/>
                <w:szCs w:val="24"/>
                <w:lang w:eastAsia="lv-LV"/>
              </w:rPr>
              <w:t>, kura izpilde ir šis sagatavotais Ministru kabineta rīkojuma projekts.</w:t>
            </w:r>
          </w:p>
          <w:p w:rsidR="00DA3E8F" w:rsidRDefault="007B5890" w:rsidP="0019063B">
            <w:pPr>
              <w:ind w:firstLine="171"/>
              <w:rPr>
                <w:sz w:val="24"/>
                <w:szCs w:val="24"/>
              </w:rPr>
            </w:pPr>
            <w:r>
              <w:rPr>
                <w:sz w:val="24"/>
                <w:szCs w:val="24"/>
                <w:lang w:eastAsia="lv-LV"/>
              </w:rPr>
              <w:t>LNB</w:t>
            </w:r>
            <w:r w:rsidR="00DA3E8F">
              <w:rPr>
                <w:sz w:val="24"/>
                <w:szCs w:val="24"/>
                <w:lang w:eastAsia="lv-LV"/>
              </w:rPr>
              <w:t xml:space="preserve"> Centrālā valde savā 2011.gada 8.novembra vēstulē Nr.01-06/91 lūdz izskatīt jautājumu par zemes vienību, uz kurām atrodas LNB piederošas ēkas, piešķiršanu LNB bezatlīdzības lietošanā, lai veicinātu turpmāko LNB attīstību</w:t>
            </w:r>
            <w:r w:rsidR="005A728E">
              <w:rPr>
                <w:sz w:val="24"/>
                <w:szCs w:val="24"/>
                <w:lang w:eastAsia="lv-LV"/>
              </w:rPr>
              <w:t xml:space="preserve">, kā arī papildus sniedz VNĪ lūgto informāciju par LNB darbību konkrētajos nekustamajos īpašumos. </w:t>
            </w:r>
            <w:r w:rsidR="00930DB8">
              <w:rPr>
                <w:sz w:val="24"/>
                <w:szCs w:val="24"/>
                <w:lang w:eastAsia="lv-LV"/>
              </w:rPr>
              <w:t xml:space="preserve">Tālāk minētajos nekustamajos īpašumos </w:t>
            </w:r>
            <w:r w:rsidR="00687DED">
              <w:rPr>
                <w:sz w:val="24"/>
                <w:szCs w:val="24"/>
              </w:rPr>
              <w:t xml:space="preserve">ar redzīgu cilvēku atbalstu  izveidota infrastruktūra, ar speciālu orientācijas sistēmu neredzīgiem, lai redzes invalīdi varētu patstāvīgi nokļūt ciematos izveidotajos medicīnas, kultūras un rehabilitācijas centros. Dzīvojamās mājās dzīvo LNB sistēmā strādājošie, kā arī uzņēmumu bijušie darbinieki, arī darbinieki - pensionāri, kas devuši lielu ieguldījumu LNB attīstībā, palīdzējuši redzes invalīdiem integrēties sabiedrībā. </w:t>
            </w:r>
          </w:p>
          <w:p w:rsidR="00E6281B" w:rsidRDefault="00221AE8" w:rsidP="00221AE8">
            <w:pPr>
              <w:ind w:firstLine="171"/>
              <w:rPr>
                <w:sz w:val="24"/>
                <w:szCs w:val="24"/>
              </w:rPr>
            </w:pPr>
            <w:r w:rsidRPr="00221AE8">
              <w:rPr>
                <w:sz w:val="24"/>
                <w:szCs w:val="24"/>
                <w:u w:val="single"/>
              </w:rPr>
              <w:t xml:space="preserve">Saskaņā ar Sociālo pakalpojumu un sociālās palīdzības </w:t>
            </w:r>
            <w:r w:rsidRPr="00221AE8">
              <w:rPr>
                <w:sz w:val="24"/>
                <w:szCs w:val="24"/>
                <w:u w:val="single"/>
              </w:rPr>
              <w:lastRenderedPageBreak/>
              <w:t>likuma 13.pantu valsts nodrošina atbilstoši ikgadējā valsts budžeta likumā piešķirtajiem līdzekļiem redzes un dzirdes invalīdu sociālo rehabilitāciju, un noteikto pakalpojumu sniegšanu nodrošina LNB. LNB atrodas Labklājības ministrijas funkcionālā pārraudzībā.</w:t>
            </w:r>
            <w:r w:rsidRPr="00221AE8">
              <w:rPr>
                <w:sz w:val="24"/>
                <w:szCs w:val="24"/>
              </w:rPr>
              <w:t xml:space="preserve"> </w:t>
            </w:r>
            <w:r w:rsidR="00E6281B" w:rsidRPr="00221AE8">
              <w:rPr>
                <w:sz w:val="24"/>
                <w:szCs w:val="24"/>
              </w:rPr>
              <w:t xml:space="preserve">Ar Finanšu ministrijas 2006.gada 19.janvāra lēmumu Nr.19 LNB ir piešķirts sabiedriskā labuma statuss šādās jomās: pilsoniskās sabiedrības attīstīšana, izglītības, kultūras, sporta atbalstīšana, </w:t>
            </w:r>
            <w:r w:rsidR="006425B9" w:rsidRPr="00221AE8">
              <w:rPr>
                <w:sz w:val="24"/>
                <w:szCs w:val="24"/>
              </w:rPr>
              <w:t>trūcīgo un sociāli</w:t>
            </w:r>
            <w:r w:rsidR="006425B9">
              <w:rPr>
                <w:sz w:val="24"/>
                <w:szCs w:val="24"/>
              </w:rPr>
              <w:t xml:space="preserve"> mazaizsargāto personu grupu sociālās labklājības celšana.</w:t>
            </w:r>
          </w:p>
          <w:p w:rsidR="000A1942" w:rsidRDefault="00233885" w:rsidP="00DA3E8F">
            <w:pPr>
              <w:ind w:firstLine="171"/>
              <w:rPr>
                <w:sz w:val="24"/>
                <w:szCs w:val="24"/>
              </w:rPr>
            </w:pPr>
            <w:r>
              <w:rPr>
                <w:sz w:val="24"/>
                <w:szCs w:val="24"/>
              </w:rPr>
              <w:t>Bezatlīdzības lietošanā nododamās zemes vienības un uz tām esošie ēku</w:t>
            </w:r>
            <w:r w:rsidR="00775D87">
              <w:rPr>
                <w:sz w:val="24"/>
                <w:szCs w:val="24"/>
              </w:rPr>
              <w:t xml:space="preserve"> (būvju)</w:t>
            </w:r>
            <w:r>
              <w:rPr>
                <w:sz w:val="24"/>
                <w:szCs w:val="24"/>
              </w:rPr>
              <w:t xml:space="preserve"> īpašumi</w:t>
            </w:r>
            <w:r w:rsidR="00861939">
              <w:rPr>
                <w:sz w:val="24"/>
                <w:szCs w:val="24"/>
              </w:rPr>
              <w:t>.</w:t>
            </w:r>
          </w:p>
          <w:p w:rsidR="002E1F74" w:rsidRDefault="005C7A96" w:rsidP="0046792B">
            <w:pPr>
              <w:ind w:firstLine="171"/>
              <w:rPr>
                <w:sz w:val="24"/>
                <w:szCs w:val="24"/>
                <w:lang w:eastAsia="lv-LV"/>
              </w:rPr>
            </w:pPr>
            <w:r w:rsidRPr="002E1F74">
              <w:rPr>
                <w:b/>
                <w:sz w:val="24"/>
                <w:szCs w:val="24"/>
                <w:lang w:eastAsia="lv-LV"/>
              </w:rPr>
              <w:t>1.</w:t>
            </w:r>
            <w:r w:rsidRPr="00AB3D33">
              <w:rPr>
                <w:sz w:val="24"/>
                <w:szCs w:val="24"/>
                <w:lang w:eastAsia="lv-LV"/>
              </w:rPr>
              <w:t xml:space="preserve"> </w:t>
            </w:r>
            <w:r w:rsidR="00861939">
              <w:rPr>
                <w:sz w:val="24"/>
                <w:szCs w:val="24"/>
                <w:lang w:eastAsia="lv-LV"/>
              </w:rPr>
              <w:t>N</w:t>
            </w:r>
            <w:r w:rsidRPr="00AB3D33">
              <w:rPr>
                <w:sz w:val="24"/>
                <w:szCs w:val="24"/>
                <w:lang w:eastAsia="lv-LV"/>
              </w:rPr>
              <w:t xml:space="preserve">ekustamais īpašums (nekustamā īpašuma kadastra Nr.2100 017 0142) – zemes vienība 729 m² </w:t>
            </w:r>
            <w:r w:rsidR="00A80111">
              <w:rPr>
                <w:sz w:val="24"/>
                <w:szCs w:val="24"/>
                <w:lang w:eastAsia="lv-LV"/>
              </w:rPr>
              <w:t xml:space="preserve">platībā </w:t>
            </w:r>
            <w:r w:rsidRPr="00AB3D33">
              <w:rPr>
                <w:sz w:val="24"/>
                <w:szCs w:val="24"/>
                <w:lang w:eastAsia="lv-LV"/>
              </w:rPr>
              <w:t xml:space="preserve">(zemes vienības kadastra apzīmējums 2100 017 0142) </w:t>
            </w:r>
            <w:proofErr w:type="spellStart"/>
            <w:r w:rsidRPr="007B5890">
              <w:rPr>
                <w:b/>
                <w:sz w:val="24"/>
                <w:szCs w:val="24"/>
                <w:lang w:eastAsia="lv-LV"/>
              </w:rPr>
              <w:t>Bukmuižas</w:t>
            </w:r>
            <w:proofErr w:type="spellEnd"/>
            <w:r w:rsidRPr="007B5890">
              <w:rPr>
                <w:b/>
                <w:sz w:val="24"/>
                <w:szCs w:val="24"/>
                <w:lang w:eastAsia="lv-LV"/>
              </w:rPr>
              <w:t xml:space="preserve"> ielā 20, Rēzeknē,</w:t>
            </w:r>
            <w:r w:rsidRPr="00AB3D33">
              <w:rPr>
                <w:sz w:val="24"/>
                <w:szCs w:val="24"/>
                <w:lang w:eastAsia="lv-LV"/>
              </w:rPr>
              <w:t xml:space="preserve"> kadastrālā vērtība uz 2012.gada 1.janvāri sastāda LVL 1312</w:t>
            </w:r>
            <w:r w:rsidR="00AB3D33" w:rsidRPr="00AB3D33">
              <w:rPr>
                <w:sz w:val="24"/>
                <w:szCs w:val="24"/>
                <w:lang w:eastAsia="lv-LV"/>
              </w:rPr>
              <w:t xml:space="preserve">. </w:t>
            </w:r>
          </w:p>
          <w:p w:rsidR="00933F5B" w:rsidRDefault="00AB3D33" w:rsidP="0046792B">
            <w:pPr>
              <w:ind w:firstLine="171"/>
              <w:rPr>
                <w:sz w:val="24"/>
                <w:szCs w:val="24"/>
                <w:lang w:eastAsia="lv-LV"/>
              </w:rPr>
            </w:pPr>
            <w:r>
              <w:rPr>
                <w:sz w:val="24"/>
                <w:szCs w:val="24"/>
                <w:lang w:eastAsia="lv-LV"/>
              </w:rPr>
              <w:t>Īpašuma tiesības uz zemesgabalu ar zemesgrāmatu tiesneša 2000.gada 3.novembra lēmumu nostiprinātas Rēzeknes pilsētas zemesgrāmatas nodalījumā Nr.2847 uz valsts vārda Finanšu ministrijas personā.</w:t>
            </w:r>
            <w:r w:rsidR="004F6B98">
              <w:rPr>
                <w:sz w:val="24"/>
                <w:szCs w:val="24"/>
                <w:lang w:eastAsia="lv-LV"/>
              </w:rPr>
              <w:t xml:space="preserve"> Uz zemesgabala atrodas </w:t>
            </w:r>
            <w:r w:rsidR="00012609">
              <w:rPr>
                <w:sz w:val="24"/>
                <w:szCs w:val="24"/>
                <w:lang w:eastAsia="lv-LV"/>
              </w:rPr>
              <w:t xml:space="preserve"> LNB </w:t>
            </w:r>
            <w:r w:rsidR="004F6B98">
              <w:rPr>
                <w:sz w:val="24"/>
                <w:szCs w:val="24"/>
                <w:lang w:eastAsia="lv-LV"/>
              </w:rPr>
              <w:t xml:space="preserve"> piederoša ēka</w:t>
            </w:r>
            <w:r w:rsidR="00861939">
              <w:rPr>
                <w:sz w:val="24"/>
                <w:szCs w:val="24"/>
                <w:lang w:eastAsia="lv-LV"/>
              </w:rPr>
              <w:t xml:space="preserve"> (</w:t>
            </w:r>
            <w:r w:rsidR="00166DC6">
              <w:rPr>
                <w:sz w:val="24"/>
                <w:szCs w:val="24"/>
                <w:lang w:eastAsia="lv-LV"/>
              </w:rPr>
              <w:t xml:space="preserve">kadastra Nr.2100 517 0102; </w:t>
            </w:r>
            <w:r w:rsidR="00861939">
              <w:rPr>
                <w:sz w:val="24"/>
                <w:szCs w:val="24"/>
                <w:lang w:eastAsia="lv-LV"/>
              </w:rPr>
              <w:t>īpašuma tiesības nostiprinātas ar zemesgrāmatu tiesneša 2006.gada 23.februāra lēmumu Rēzeknes pilsētas zemesgrāmatas nodalījumā Nr.100000204139)</w:t>
            </w:r>
            <w:r w:rsidR="00012609">
              <w:rPr>
                <w:sz w:val="24"/>
                <w:szCs w:val="24"/>
                <w:lang w:eastAsia="lv-LV"/>
              </w:rPr>
              <w:t xml:space="preserve">. </w:t>
            </w:r>
          </w:p>
          <w:p w:rsidR="0046792B" w:rsidRDefault="0046792B" w:rsidP="0046792B">
            <w:pPr>
              <w:ind w:firstLine="171"/>
              <w:rPr>
                <w:sz w:val="24"/>
                <w:szCs w:val="24"/>
                <w:lang w:eastAsia="lv-LV"/>
              </w:rPr>
            </w:pPr>
            <w:r>
              <w:rPr>
                <w:sz w:val="24"/>
                <w:szCs w:val="24"/>
                <w:lang w:eastAsia="lv-LV"/>
              </w:rPr>
              <w:t xml:space="preserve">Kā informē </w:t>
            </w:r>
            <w:r w:rsidR="007B5890">
              <w:rPr>
                <w:sz w:val="24"/>
                <w:szCs w:val="24"/>
                <w:lang w:eastAsia="lv-LV"/>
              </w:rPr>
              <w:t>LNB</w:t>
            </w:r>
            <w:r>
              <w:rPr>
                <w:sz w:val="24"/>
                <w:szCs w:val="24"/>
                <w:lang w:eastAsia="lv-LV"/>
              </w:rPr>
              <w:t xml:space="preserve"> Centrālā valde savā 2011.gada 8.novembra vēstulē Nr.01-06/91</w:t>
            </w:r>
            <w:r w:rsidR="00933F5B">
              <w:rPr>
                <w:sz w:val="24"/>
                <w:szCs w:val="24"/>
                <w:lang w:eastAsia="lv-LV"/>
              </w:rPr>
              <w:t>,</w:t>
            </w:r>
            <w:r>
              <w:rPr>
                <w:sz w:val="24"/>
                <w:szCs w:val="24"/>
                <w:lang w:eastAsia="lv-LV"/>
              </w:rPr>
              <w:t xml:space="preserve"> a</w:t>
            </w:r>
            <w:r w:rsidR="00E269C4">
              <w:rPr>
                <w:sz w:val="24"/>
                <w:szCs w:val="24"/>
                <w:lang w:eastAsia="lv-LV"/>
              </w:rPr>
              <w:t>dministratīvajā ēkā atrodas LNB Rēzeknes teritoriālā organizācija</w:t>
            </w:r>
            <w:r w:rsidR="00E76897">
              <w:rPr>
                <w:sz w:val="24"/>
                <w:szCs w:val="24"/>
              </w:rPr>
              <w:t xml:space="preserve">, teritoriālais rehabilitācijas  dienas centrs, Latvijas Neredzīgo bibliotēkas filiāle. Rēzeknes teritoriālā organizācija sniedz sociālās rehabilitācijas pakalpojumus personām ar redzes zudumu:  apmāca neredzīgas personas apgūt  klūgu pīšanu, </w:t>
            </w:r>
            <w:proofErr w:type="spellStart"/>
            <w:r w:rsidR="00E76897">
              <w:rPr>
                <w:sz w:val="24"/>
                <w:szCs w:val="24"/>
              </w:rPr>
              <w:t>datorapmācību</w:t>
            </w:r>
            <w:proofErr w:type="spellEnd"/>
            <w:r w:rsidR="00E76897">
              <w:rPr>
                <w:sz w:val="24"/>
                <w:szCs w:val="24"/>
              </w:rPr>
              <w:t xml:space="preserve">, pielāgotās fiziskās aktivitātes, apgūst  intelektuālā un fiziskā darba pamatiemaņas, mobilitāti un orientāciju, </w:t>
            </w:r>
            <w:proofErr w:type="spellStart"/>
            <w:r w:rsidR="00E76897">
              <w:rPr>
                <w:sz w:val="24"/>
                <w:szCs w:val="24"/>
              </w:rPr>
              <w:t>Braila</w:t>
            </w:r>
            <w:proofErr w:type="spellEnd"/>
            <w:r w:rsidR="00E76897">
              <w:rPr>
                <w:sz w:val="24"/>
                <w:szCs w:val="24"/>
              </w:rPr>
              <w:t xml:space="preserve"> raksta apguvi un citas prasmes. Rēzeknes teritoriālā organizācija apkalpo vairāk nekā 400 redzes invalīdus no Ludzas, Rēzeknes un Preiļu novadiem.</w:t>
            </w:r>
            <w:r>
              <w:rPr>
                <w:sz w:val="24"/>
                <w:szCs w:val="24"/>
                <w:lang w:eastAsia="lv-LV"/>
              </w:rPr>
              <w:t xml:space="preserve"> </w:t>
            </w:r>
          </w:p>
          <w:p w:rsidR="00AA46A5" w:rsidRDefault="0046792B" w:rsidP="0046792B">
            <w:pPr>
              <w:ind w:firstLine="171"/>
              <w:rPr>
                <w:sz w:val="24"/>
                <w:szCs w:val="24"/>
                <w:lang w:eastAsia="lv-LV"/>
              </w:rPr>
            </w:pPr>
            <w:r>
              <w:rPr>
                <w:sz w:val="24"/>
                <w:szCs w:val="24"/>
                <w:lang w:eastAsia="lv-LV"/>
              </w:rPr>
              <w:t>A</w:t>
            </w:r>
            <w:r w:rsidR="00012609">
              <w:rPr>
                <w:sz w:val="24"/>
                <w:szCs w:val="24"/>
                <w:lang w:eastAsia="lv-LV"/>
              </w:rPr>
              <w:t xml:space="preserve">pbūvēta zemesgabala nomas līgums </w:t>
            </w:r>
            <w:proofErr w:type="spellStart"/>
            <w:r w:rsidR="00012609">
              <w:rPr>
                <w:sz w:val="24"/>
                <w:szCs w:val="24"/>
                <w:lang w:eastAsia="lv-LV"/>
              </w:rPr>
              <w:t>Nr.D-3074-z</w:t>
            </w:r>
            <w:proofErr w:type="spellEnd"/>
            <w:r w:rsidR="00012609">
              <w:rPr>
                <w:sz w:val="24"/>
                <w:szCs w:val="24"/>
                <w:lang w:eastAsia="lv-LV"/>
              </w:rPr>
              <w:t xml:space="preserve">/2 starp </w:t>
            </w:r>
            <w:r w:rsidR="00703CB6">
              <w:rPr>
                <w:sz w:val="24"/>
                <w:szCs w:val="24"/>
                <w:lang w:eastAsia="lv-LV"/>
              </w:rPr>
              <w:t>VNĪ</w:t>
            </w:r>
            <w:r w:rsidR="00012609">
              <w:rPr>
                <w:sz w:val="24"/>
                <w:szCs w:val="24"/>
                <w:lang w:eastAsia="lv-LV"/>
              </w:rPr>
              <w:t xml:space="preserve"> un LNB noslēgts 2008.gada 7.augustā LNB piederošas ēkas uzturēšanai un apsa</w:t>
            </w:r>
            <w:r w:rsidR="002E1F74">
              <w:rPr>
                <w:sz w:val="24"/>
                <w:szCs w:val="24"/>
                <w:lang w:eastAsia="lv-LV"/>
              </w:rPr>
              <w:t>imniekošanai uz desmit gadiem. Saskaņā ar Ministru kabineta 2007.gada 30.oktobra noteikumu Nr.735 „Noteikumi par valsts vai pašvaldības zemes nomu”</w:t>
            </w:r>
            <w:r w:rsidR="00AA46A5">
              <w:rPr>
                <w:sz w:val="24"/>
                <w:szCs w:val="24"/>
                <w:lang w:eastAsia="lv-LV"/>
              </w:rPr>
              <w:t xml:space="preserve"> (turpmāk –</w:t>
            </w:r>
            <w:r w:rsidR="00DF632D">
              <w:rPr>
                <w:sz w:val="24"/>
                <w:szCs w:val="24"/>
                <w:lang w:eastAsia="lv-LV"/>
              </w:rPr>
              <w:t xml:space="preserve"> N</w:t>
            </w:r>
            <w:r w:rsidR="00AA46A5">
              <w:rPr>
                <w:sz w:val="24"/>
                <w:szCs w:val="24"/>
                <w:lang w:eastAsia="lv-LV"/>
              </w:rPr>
              <w:t>oteikumi Nr.735)</w:t>
            </w:r>
            <w:r w:rsidR="002E1F74">
              <w:rPr>
                <w:sz w:val="24"/>
                <w:szCs w:val="24"/>
                <w:lang w:eastAsia="lv-LV"/>
              </w:rPr>
              <w:t xml:space="preserve"> 7.2. apakšpunktu zemesgabala nomas maksa gadā tiek noteikta 1,5% apmēr</w:t>
            </w:r>
            <w:r w:rsidR="005707F8">
              <w:rPr>
                <w:sz w:val="24"/>
                <w:szCs w:val="24"/>
                <w:lang w:eastAsia="lv-LV"/>
              </w:rPr>
              <w:t xml:space="preserve">ā no zemes kadastrālās vērtības, </w:t>
            </w:r>
            <w:r w:rsidR="005707F8" w:rsidRPr="005707F8">
              <w:rPr>
                <w:sz w:val="24"/>
                <w:szCs w:val="24"/>
                <w:u w:val="single"/>
                <w:lang w:eastAsia="lv-LV"/>
              </w:rPr>
              <w:t>kas sastāda L</w:t>
            </w:r>
            <w:r w:rsidR="008C0876">
              <w:rPr>
                <w:sz w:val="24"/>
                <w:szCs w:val="24"/>
                <w:u w:val="single"/>
                <w:lang w:eastAsia="lv-LV"/>
              </w:rPr>
              <w:t>VL</w:t>
            </w:r>
            <w:r w:rsidR="005707F8" w:rsidRPr="005707F8">
              <w:rPr>
                <w:sz w:val="24"/>
                <w:szCs w:val="24"/>
                <w:u w:val="single"/>
                <w:lang w:eastAsia="lv-LV"/>
              </w:rPr>
              <w:t xml:space="preserve"> 19,68 gadā.</w:t>
            </w:r>
          </w:p>
          <w:p w:rsidR="00933F5B" w:rsidRDefault="00933F5B" w:rsidP="0046792B">
            <w:pPr>
              <w:ind w:firstLine="171"/>
              <w:rPr>
                <w:sz w:val="24"/>
                <w:szCs w:val="24"/>
                <w:lang w:eastAsia="lv-LV"/>
              </w:rPr>
            </w:pPr>
          </w:p>
          <w:p w:rsidR="00AA46A5" w:rsidRDefault="00AA46A5" w:rsidP="00AA46A5">
            <w:pPr>
              <w:ind w:firstLine="171"/>
              <w:rPr>
                <w:sz w:val="24"/>
                <w:szCs w:val="24"/>
                <w:lang w:eastAsia="lv-LV"/>
              </w:rPr>
            </w:pPr>
            <w:r w:rsidRPr="00A80111">
              <w:rPr>
                <w:b/>
                <w:sz w:val="24"/>
                <w:szCs w:val="24"/>
                <w:lang w:eastAsia="lv-LV"/>
              </w:rPr>
              <w:t>2.</w:t>
            </w:r>
            <w:r w:rsidRPr="00A80111">
              <w:rPr>
                <w:sz w:val="24"/>
                <w:szCs w:val="24"/>
                <w:lang w:eastAsia="lv-LV"/>
              </w:rPr>
              <w:t xml:space="preserve"> </w:t>
            </w:r>
            <w:r w:rsidR="00A80111" w:rsidRPr="00A80111">
              <w:rPr>
                <w:sz w:val="24"/>
                <w:szCs w:val="24"/>
                <w:lang w:eastAsia="lv-LV"/>
              </w:rPr>
              <w:t xml:space="preserve">Nekustamais īpašums (nekustamā īpašuma kadastra Nr.2700 013 1405) – zemes vienība 1164 m² platībā </w:t>
            </w:r>
            <w:r w:rsidR="00A80111" w:rsidRPr="00A80111">
              <w:rPr>
                <w:sz w:val="24"/>
                <w:szCs w:val="24"/>
                <w:lang w:eastAsia="lv-LV"/>
              </w:rPr>
              <w:lastRenderedPageBreak/>
              <w:t xml:space="preserve">(zemes vienības kadastra apzīmējums 2700 013 1405) </w:t>
            </w:r>
            <w:r w:rsidR="00A80111" w:rsidRPr="007B5890">
              <w:rPr>
                <w:b/>
                <w:sz w:val="24"/>
                <w:szCs w:val="24"/>
                <w:lang w:eastAsia="lv-LV"/>
              </w:rPr>
              <w:t>Baldones ielā 16, Ventspilī,</w:t>
            </w:r>
            <w:r w:rsidR="00A80111" w:rsidRPr="00A80111">
              <w:rPr>
                <w:sz w:val="24"/>
                <w:szCs w:val="24"/>
                <w:lang w:eastAsia="lv-LV"/>
              </w:rPr>
              <w:t xml:space="preserve"> kadastrālā vērtība uz 2012.gada 1.janvāri sastāda LVL 6984</w:t>
            </w:r>
            <w:r w:rsidR="00166DC6">
              <w:rPr>
                <w:sz w:val="24"/>
                <w:szCs w:val="24"/>
                <w:lang w:eastAsia="lv-LV"/>
              </w:rPr>
              <w:t>.</w:t>
            </w:r>
          </w:p>
          <w:p w:rsidR="00166DC6" w:rsidRDefault="00166DC6" w:rsidP="00166DC6">
            <w:pPr>
              <w:ind w:firstLine="171"/>
              <w:rPr>
                <w:sz w:val="24"/>
                <w:szCs w:val="24"/>
                <w:lang w:eastAsia="lv-LV"/>
              </w:rPr>
            </w:pPr>
            <w:r>
              <w:rPr>
                <w:sz w:val="24"/>
                <w:szCs w:val="24"/>
                <w:lang w:eastAsia="lv-LV"/>
              </w:rPr>
              <w:t xml:space="preserve">Īpašuma tiesības uz zemesgabalu ar zemesgrāmatu tiesneša 2008.gada 15.aprīļa lēmumu nostiprinātas Ventspils pilsētas zemesgrāmatas nodalījumā Nr.100000431515 uz valsts vārda Finanšu ministrijas personā. Uz zemesgabala atrodas  LNB  piederošas ēkas (kadastra Nr.2700 513 0048; īpašuma tiesības nostiprinātas ar zemesgrāmatu tiesneša </w:t>
            </w:r>
            <w:r w:rsidR="0023097F">
              <w:rPr>
                <w:sz w:val="24"/>
                <w:szCs w:val="24"/>
                <w:lang w:eastAsia="lv-LV"/>
              </w:rPr>
              <w:t>1996</w:t>
            </w:r>
            <w:r>
              <w:rPr>
                <w:sz w:val="24"/>
                <w:szCs w:val="24"/>
                <w:lang w:eastAsia="lv-LV"/>
              </w:rPr>
              <w:t xml:space="preserve">.gada </w:t>
            </w:r>
            <w:r w:rsidR="0023097F">
              <w:rPr>
                <w:sz w:val="24"/>
                <w:szCs w:val="24"/>
                <w:lang w:eastAsia="lv-LV"/>
              </w:rPr>
              <w:t>10.decembra</w:t>
            </w:r>
            <w:r>
              <w:rPr>
                <w:sz w:val="24"/>
                <w:szCs w:val="24"/>
                <w:lang w:eastAsia="lv-LV"/>
              </w:rPr>
              <w:t xml:space="preserve"> lēmumu </w:t>
            </w:r>
            <w:r w:rsidR="0023097F">
              <w:rPr>
                <w:sz w:val="24"/>
                <w:szCs w:val="24"/>
                <w:lang w:eastAsia="lv-LV"/>
              </w:rPr>
              <w:t>Ventspils</w:t>
            </w:r>
            <w:r>
              <w:rPr>
                <w:sz w:val="24"/>
                <w:szCs w:val="24"/>
                <w:lang w:eastAsia="lv-LV"/>
              </w:rPr>
              <w:t xml:space="preserve"> pilsētas zemesgrāmatas nodalījumā Nr.</w:t>
            </w:r>
            <w:r w:rsidR="0023097F">
              <w:rPr>
                <w:sz w:val="24"/>
                <w:szCs w:val="24"/>
                <w:lang w:eastAsia="lv-LV"/>
              </w:rPr>
              <w:t>323A</w:t>
            </w:r>
            <w:r>
              <w:rPr>
                <w:sz w:val="24"/>
                <w:szCs w:val="24"/>
                <w:lang w:eastAsia="lv-LV"/>
              </w:rPr>
              <w:t xml:space="preserve">). </w:t>
            </w:r>
          </w:p>
          <w:p w:rsidR="00933F5B" w:rsidRDefault="00933F5B" w:rsidP="00166DC6">
            <w:pPr>
              <w:ind w:firstLine="171"/>
              <w:rPr>
                <w:sz w:val="24"/>
                <w:szCs w:val="24"/>
                <w:lang w:eastAsia="lv-LV"/>
              </w:rPr>
            </w:pPr>
            <w:r>
              <w:rPr>
                <w:sz w:val="24"/>
                <w:szCs w:val="24"/>
                <w:lang w:eastAsia="lv-LV"/>
              </w:rPr>
              <w:t xml:space="preserve">Kā informē </w:t>
            </w:r>
            <w:r w:rsidR="007B5890">
              <w:rPr>
                <w:sz w:val="24"/>
                <w:szCs w:val="24"/>
                <w:lang w:eastAsia="lv-LV"/>
              </w:rPr>
              <w:t>LNB</w:t>
            </w:r>
            <w:r>
              <w:rPr>
                <w:sz w:val="24"/>
                <w:szCs w:val="24"/>
                <w:lang w:eastAsia="lv-LV"/>
              </w:rPr>
              <w:t xml:space="preserve"> Centrālā valde savā 2011.gada 8.novembra vēstulē Nr.01-06/91,</w:t>
            </w:r>
            <w:r w:rsidR="00A82B64">
              <w:rPr>
                <w:sz w:val="24"/>
                <w:szCs w:val="24"/>
                <w:lang w:eastAsia="lv-LV"/>
              </w:rPr>
              <w:t xml:space="preserve"> </w:t>
            </w:r>
            <w:r>
              <w:rPr>
                <w:sz w:val="24"/>
                <w:szCs w:val="24"/>
                <w:lang w:eastAsia="lv-LV"/>
              </w:rPr>
              <w:t xml:space="preserve">ēkās </w:t>
            </w:r>
            <w:r>
              <w:rPr>
                <w:sz w:val="24"/>
                <w:szCs w:val="24"/>
              </w:rPr>
              <w:t xml:space="preserve">atrodas  Ventspils teritoriālā organizācija, teritoriālais rehabilitācijas dienas centrs, </w:t>
            </w:r>
            <w:r w:rsidR="007B5890">
              <w:rPr>
                <w:sz w:val="24"/>
                <w:szCs w:val="24"/>
              </w:rPr>
              <w:t>LNB</w:t>
            </w:r>
            <w:r>
              <w:rPr>
                <w:sz w:val="24"/>
                <w:szCs w:val="24"/>
              </w:rPr>
              <w:t xml:space="preserve"> filiāle. Vairāk nekā 150 redzes invalīdi </w:t>
            </w:r>
            <w:r w:rsidR="007B5890">
              <w:rPr>
                <w:sz w:val="24"/>
                <w:szCs w:val="24"/>
              </w:rPr>
              <w:t>no Ventspils un Talsu novadiem</w:t>
            </w:r>
            <w:r>
              <w:rPr>
                <w:sz w:val="24"/>
                <w:szCs w:val="24"/>
              </w:rPr>
              <w:t xml:space="preserve"> šeit saņem sociālās rehabilitācijas pakalpojumus, piedalās dažādos pasākumos, apgūst dzīvē noderīgas prasmes.</w:t>
            </w:r>
          </w:p>
          <w:p w:rsidR="00166DC6" w:rsidRDefault="00166DC6" w:rsidP="00166DC6">
            <w:pPr>
              <w:ind w:firstLine="171"/>
              <w:rPr>
                <w:sz w:val="24"/>
                <w:szCs w:val="24"/>
                <w:lang w:eastAsia="lv-LV"/>
              </w:rPr>
            </w:pPr>
            <w:r>
              <w:rPr>
                <w:sz w:val="24"/>
                <w:szCs w:val="24"/>
                <w:lang w:eastAsia="lv-LV"/>
              </w:rPr>
              <w:t xml:space="preserve">Apbūvēta zemesgabala nomas līgums </w:t>
            </w:r>
            <w:proofErr w:type="spellStart"/>
            <w:r>
              <w:rPr>
                <w:sz w:val="24"/>
                <w:szCs w:val="24"/>
                <w:lang w:eastAsia="lv-LV"/>
              </w:rPr>
              <w:t>Nr.</w:t>
            </w:r>
            <w:r w:rsidR="004F78B1">
              <w:rPr>
                <w:sz w:val="24"/>
                <w:szCs w:val="24"/>
                <w:lang w:eastAsia="lv-LV"/>
              </w:rPr>
              <w:t>L-8395-z</w:t>
            </w:r>
            <w:proofErr w:type="spellEnd"/>
            <w:r>
              <w:rPr>
                <w:sz w:val="24"/>
                <w:szCs w:val="24"/>
                <w:lang w:eastAsia="lv-LV"/>
              </w:rPr>
              <w:t xml:space="preserve"> starp </w:t>
            </w:r>
            <w:r w:rsidR="004F78B1">
              <w:rPr>
                <w:sz w:val="24"/>
                <w:szCs w:val="24"/>
                <w:lang w:eastAsia="lv-LV"/>
              </w:rPr>
              <w:t>VNĪ</w:t>
            </w:r>
            <w:r>
              <w:rPr>
                <w:sz w:val="24"/>
                <w:szCs w:val="24"/>
                <w:lang w:eastAsia="lv-LV"/>
              </w:rPr>
              <w:t xml:space="preserve"> un LNB noslēgts 2</w:t>
            </w:r>
            <w:r w:rsidR="004F78B1">
              <w:rPr>
                <w:sz w:val="24"/>
                <w:szCs w:val="24"/>
                <w:lang w:eastAsia="lv-LV"/>
              </w:rPr>
              <w:t>008.gada 15.augustā LNB piederošo ēku</w:t>
            </w:r>
            <w:r>
              <w:rPr>
                <w:sz w:val="24"/>
                <w:szCs w:val="24"/>
                <w:lang w:eastAsia="lv-LV"/>
              </w:rPr>
              <w:t xml:space="preserve"> uzturēšanai un apsaimniekošanai uz desmit gadiem. Saskaņā ar </w:t>
            </w:r>
            <w:r w:rsidR="00DF632D">
              <w:rPr>
                <w:sz w:val="24"/>
                <w:szCs w:val="24"/>
                <w:lang w:eastAsia="lv-LV"/>
              </w:rPr>
              <w:t>N</w:t>
            </w:r>
            <w:r w:rsidR="004F78B1">
              <w:rPr>
                <w:sz w:val="24"/>
                <w:szCs w:val="24"/>
                <w:lang w:eastAsia="lv-LV"/>
              </w:rPr>
              <w:t>oteikumu</w:t>
            </w:r>
            <w:r>
              <w:rPr>
                <w:sz w:val="24"/>
                <w:szCs w:val="24"/>
                <w:lang w:eastAsia="lv-LV"/>
              </w:rPr>
              <w:t xml:space="preserve"> Nr.</w:t>
            </w:r>
            <w:r w:rsidR="004F78B1">
              <w:rPr>
                <w:sz w:val="24"/>
                <w:szCs w:val="24"/>
                <w:lang w:eastAsia="lv-LV"/>
              </w:rPr>
              <w:t xml:space="preserve">735 </w:t>
            </w:r>
            <w:r>
              <w:rPr>
                <w:sz w:val="24"/>
                <w:szCs w:val="24"/>
                <w:lang w:eastAsia="lv-LV"/>
              </w:rPr>
              <w:t>7.2. apakšpunktu zemesgabala nomas maksa gadā tiek noteikta 1,5% apmēr</w:t>
            </w:r>
            <w:r w:rsidR="005707F8">
              <w:rPr>
                <w:sz w:val="24"/>
                <w:szCs w:val="24"/>
                <w:lang w:eastAsia="lv-LV"/>
              </w:rPr>
              <w:t xml:space="preserve">ā no zemes kadastrālās vērtības, </w:t>
            </w:r>
            <w:r w:rsidR="005707F8" w:rsidRPr="005707F8">
              <w:rPr>
                <w:sz w:val="24"/>
                <w:szCs w:val="24"/>
                <w:u w:val="single"/>
                <w:lang w:eastAsia="lv-LV"/>
              </w:rPr>
              <w:t xml:space="preserve">kas sastāda </w:t>
            </w:r>
            <w:r w:rsidR="009504A1">
              <w:rPr>
                <w:sz w:val="24"/>
                <w:szCs w:val="24"/>
                <w:u w:val="single"/>
                <w:lang w:eastAsia="lv-LV"/>
              </w:rPr>
              <w:t xml:space="preserve">        </w:t>
            </w:r>
            <w:r w:rsidR="008C0876">
              <w:rPr>
                <w:sz w:val="24"/>
                <w:szCs w:val="24"/>
                <w:u w:val="single"/>
                <w:lang w:eastAsia="lv-LV"/>
              </w:rPr>
              <w:t>LVL</w:t>
            </w:r>
            <w:r w:rsidR="005707F8" w:rsidRPr="005707F8">
              <w:rPr>
                <w:sz w:val="24"/>
                <w:szCs w:val="24"/>
                <w:u w:val="single"/>
                <w:lang w:eastAsia="lv-LV"/>
              </w:rPr>
              <w:t xml:space="preserve"> 104,76 gadā.</w:t>
            </w:r>
          </w:p>
          <w:p w:rsidR="00A82B64" w:rsidRDefault="00A82B64" w:rsidP="00166DC6">
            <w:pPr>
              <w:ind w:firstLine="171"/>
              <w:rPr>
                <w:sz w:val="24"/>
                <w:szCs w:val="24"/>
                <w:lang w:eastAsia="lv-LV"/>
              </w:rPr>
            </w:pPr>
          </w:p>
          <w:p w:rsidR="00DF632D" w:rsidRDefault="00DF632D" w:rsidP="00166DC6">
            <w:pPr>
              <w:ind w:firstLine="171"/>
              <w:rPr>
                <w:sz w:val="24"/>
                <w:szCs w:val="24"/>
                <w:lang w:eastAsia="lv-LV"/>
              </w:rPr>
            </w:pPr>
            <w:r w:rsidRPr="00DF632D">
              <w:rPr>
                <w:b/>
                <w:sz w:val="24"/>
                <w:szCs w:val="24"/>
                <w:lang w:eastAsia="lv-LV"/>
              </w:rPr>
              <w:t>3.</w:t>
            </w:r>
            <w:r>
              <w:rPr>
                <w:sz w:val="24"/>
                <w:szCs w:val="24"/>
                <w:lang w:eastAsia="lv-LV"/>
              </w:rPr>
              <w:t xml:space="preserve"> N</w:t>
            </w:r>
            <w:r w:rsidRPr="00DF632D">
              <w:rPr>
                <w:sz w:val="24"/>
                <w:szCs w:val="24"/>
                <w:lang w:eastAsia="lv-LV"/>
              </w:rPr>
              <w:t>ekustam</w:t>
            </w:r>
            <w:r>
              <w:rPr>
                <w:sz w:val="24"/>
                <w:szCs w:val="24"/>
                <w:lang w:eastAsia="lv-LV"/>
              </w:rPr>
              <w:t>ais īpašums</w:t>
            </w:r>
            <w:r w:rsidRPr="00DF632D">
              <w:rPr>
                <w:sz w:val="24"/>
                <w:szCs w:val="24"/>
                <w:lang w:eastAsia="lv-LV"/>
              </w:rPr>
              <w:t xml:space="preserve"> (nekustamā īpašuma kadastra Nr.1700 012 0542</w:t>
            </w:r>
            <w:r>
              <w:rPr>
                <w:sz w:val="24"/>
                <w:szCs w:val="24"/>
                <w:lang w:eastAsia="lv-LV"/>
              </w:rPr>
              <w:t>) – zemes vienība</w:t>
            </w:r>
            <w:r w:rsidRPr="00DF632D">
              <w:rPr>
                <w:sz w:val="24"/>
                <w:szCs w:val="24"/>
                <w:lang w:eastAsia="lv-LV"/>
              </w:rPr>
              <w:t xml:space="preserve"> 1412 m² platībā (zemes vienības kadastra apzīmējums 1700 012 0542) </w:t>
            </w:r>
            <w:r w:rsidRPr="007B5890">
              <w:rPr>
                <w:b/>
                <w:sz w:val="24"/>
                <w:szCs w:val="24"/>
                <w:lang w:eastAsia="lv-LV"/>
              </w:rPr>
              <w:t>Krūmu ielā 28, Liepājā,</w:t>
            </w:r>
            <w:r w:rsidRPr="00DF632D">
              <w:rPr>
                <w:sz w:val="24"/>
                <w:szCs w:val="24"/>
                <w:lang w:eastAsia="lv-LV"/>
              </w:rPr>
              <w:t xml:space="preserve"> kadastrālā vērtība uz 2012.gada 1.janvāri sastāda LVL 16944</w:t>
            </w:r>
            <w:r w:rsidR="005707F8">
              <w:rPr>
                <w:sz w:val="24"/>
                <w:szCs w:val="24"/>
                <w:lang w:eastAsia="lv-LV"/>
              </w:rPr>
              <w:t xml:space="preserve"> </w:t>
            </w:r>
            <w:r w:rsidR="005707F8" w:rsidRPr="005707F8">
              <w:rPr>
                <w:sz w:val="24"/>
                <w:szCs w:val="24"/>
                <w:u w:val="single"/>
                <w:lang w:eastAsia="lv-LV"/>
              </w:rPr>
              <w:t xml:space="preserve">jeb bezatlīdzības lietošanā nododamo </w:t>
            </w:r>
            <w:r w:rsidR="00C7232F">
              <w:rPr>
                <w:sz w:val="24"/>
                <w:szCs w:val="24"/>
                <w:u w:val="single"/>
                <w:lang w:eastAsia="lv-LV"/>
              </w:rPr>
              <w:t xml:space="preserve">4314/12019 </w:t>
            </w:r>
            <w:r w:rsidR="005707F8" w:rsidRPr="005707F8">
              <w:rPr>
                <w:sz w:val="24"/>
                <w:szCs w:val="24"/>
                <w:u w:val="single"/>
                <w:lang w:eastAsia="lv-LV"/>
              </w:rPr>
              <w:t>dom</w:t>
            </w:r>
            <w:r w:rsidR="009504A1">
              <w:rPr>
                <w:sz w:val="24"/>
                <w:szCs w:val="24"/>
                <w:u w:val="single"/>
                <w:lang w:eastAsia="lv-LV"/>
              </w:rPr>
              <w:t>ājamo daļu kadastrālā vērtība sastāda</w:t>
            </w:r>
            <w:r w:rsidR="008C0876">
              <w:rPr>
                <w:sz w:val="24"/>
                <w:szCs w:val="24"/>
                <w:u w:val="single"/>
                <w:lang w:eastAsia="lv-LV"/>
              </w:rPr>
              <w:t xml:space="preserve"> LVL</w:t>
            </w:r>
            <w:r w:rsidR="005707F8" w:rsidRPr="005707F8">
              <w:rPr>
                <w:sz w:val="24"/>
                <w:szCs w:val="24"/>
                <w:u w:val="single"/>
                <w:lang w:eastAsia="lv-LV"/>
              </w:rPr>
              <w:t xml:space="preserve"> 6082.</w:t>
            </w:r>
          </w:p>
          <w:p w:rsidR="00DF632D" w:rsidRDefault="00DF632D" w:rsidP="00DF632D">
            <w:pPr>
              <w:ind w:firstLine="171"/>
              <w:rPr>
                <w:sz w:val="24"/>
                <w:szCs w:val="24"/>
                <w:lang w:eastAsia="lv-LV"/>
              </w:rPr>
            </w:pPr>
            <w:r>
              <w:rPr>
                <w:sz w:val="24"/>
                <w:szCs w:val="24"/>
                <w:lang w:eastAsia="lv-LV"/>
              </w:rPr>
              <w:t xml:space="preserve">Īpašuma tiesības uz zemesgabalu ar zemesgrāmatu tiesneša 2002.gada 4.februāra lēmumu nostiprinātas Liepājas pilsētas zemesgrāmatas nodalījumā Nr.100000058463 uz valsts vārda Finanšu ministrijas personā. Uz zemesgabala atrodas  LNB  piederoša ēka (kadastra Nr.1700 512 0542; īpašuma tiesības nostiprinātas ar zemesgrāmatu tiesneša 2002.gada 29.jūlija lēmumu Liepājas pilsētas zemesgrāmatas nodalījumā Nr.100000074125). </w:t>
            </w:r>
          </w:p>
          <w:p w:rsidR="00A82B64" w:rsidRDefault="00A82B64" w:rsidP="00DF632D">
            <w:pPr>
              <w:ind w:firstLine="171"/>
              <w:rPr>
                <w:sz w:val="24"/>
                <w:szCs w:val="24"/>
                <w:lang w:eastAsia="lv-LV"/>
              </w:rPr>
            </w:pPr>
            <w:r>
              <w:rPr>
                <w:sz w:val="24"/>
                <w:szCs w:val="24"/>
                <w:lang w:eastAsia="lv-LV"/>
              </w:rPr>
              <w:t xml:space="preserve">Kā informē </w:t>
            </w:r>
            <w:r w:rsidR="007B5890">
              <w:rPr>
                <w:sz w:val="24"/>
                <w:szCs w:val="24"/>
                <w:lang w:eastAsia="lv-LV"/>
              </w:rPr>
              <w:t>LNB</w:t>
            </w:r>
            <w:r>
              <w:rPr>
                <w:sz w:val="24"/>
                <w:szCs w:val="24"/>
                <w:lang w:eastAsia="lv-LV"/>
              </w:rPr>
              <w:t xml:space="preserve"> Centrālā valde savā 2011.gada 8.novembra vēstulē Nr.01-06/91, dzīvojamā ēka ir</w:t>
            </w:r>
            <w:r>
              <w:rPr>
                <w:sz w:val="24"/>
                <w:szCs w:val="24"/>
              </w:rPr>
              <w:t xml:space="preserve"> 31 dzīvokļa dzīvojamā māja ar dzīvokļu kopējo platību 1201,9 </w:t>
            </w:r>
            <w:r w:rsidR="00D533AA" w:rsidRPr="00DF632D">
              <w:rPr>
                <w:sz w:val="24"/>
                <w:szCs w:val="24"/>
                <w:lang w:eastAsia="lv-LV"/>
              </w:rPr>
              <w:t>m²</w:t>
            </w:r>
            <w:r>
              <w:rPr>
                <w:sz w:val="24"/>
                <w:szCs w:val="24"/>
              </w:rPr>
              <w:t xml:space="preserve">, 13 dzīvokļos, ar kopējo platību 431,40 </w:t>
            </w:r>
            <w:r w:rsidR="00D533AA" w:rsidRPr="00DF632D">
              <w:rPr>
                <w:sz w:val="24"/>
                <w:szCs w:val="24"/>
                <w:lang w:eastAsia="lv-LV"/>
              </w:rPr>
              <w:t>m²</w:t>
            </w:r>
            <w:r>
              <w:rPr>
                <w:sz w:val="24"/>
                <w:szCs w:val="24"/>
              </w:rPr>
              <w:t>, dzīvo cilvēki ar invaliditāti.</w:t>
            </w:r>
            <w:r w:rsidR="00A130E2">
              <w:rPr>
                <w:sz w:val="24"/>
                <w:szCs w:val="24"/>
              </w:rPr>
              <w:t xml:space="preserve"> Tāpēc</w:t>
            </w:r>
            <w:r w:rsidR="00FF064F">
              <w:rPr>
                <w:sz w:val="24"/>
                <w:szCs w:val="24"/>
              </w:rPr>
              <w:t xml:space="preserve"> bezatlīdzības lietošanā tiek nodotas 4314/12019 domājamās daļas no zemes vienības.</w:t>
            </w:r>
          </w:p>
          <w:p w:rsidR="00DF632D" w:rsidRDefault="00DF632D" w:rsidP="00DF632D">
            <w:pPr>
              <w:ind w:firstLine="171"/>
              <w:rPr>
                <w:sz w:val="24"/>
                <w:szCs w:val="24"/>
                <w:lang w:eastAsia="lv-LV"/>
              </w:rPr>
            </w:pPr>
            <w:r>
              <w:rPr>
                <w:sz w:val="24"/>
                <w:szCs w:val="24"/>
                <w:lang w:eastAsia="lv-LV"/>
              </w:rPr>
              <w:lastRenderedPageBreak/>
              <w:t xml:space="preserve">Apbūvēta zemesgabala nomas līgums </w:t>
            </w:r>
            <w:proofErr w:type="spellStart"/>
            <w:r>
              <w:rPr>
                <w:sz w:val="24"/>
                <w:szCs w:val="24"/>
                <w:lang w:eastAsia="lv-LV"/>
              </w:rPr>
              <w:t>Nr.L-4071-z</w:t>
            </w:r>
            <w:proofErr w:type="spellEnd"/>
            <w:r>
              <w:rPr>
                <w:sz w:val="24"/>
                <w:szCs w:val="24"/>
                <w:lang w:eastAsia="lv-LV"/>
              </w:rPr>
              <w:t xml:space="preserve">/2 starp VNĪ un </w:t>
            </w:r>
            <w:r w:rsidR="008E103A">
              <w:rPr>
                <w:sz w:val="24"/>
                <w:szCs w:val="24"/>
                <w:lang w:eastAsia="lv-LV"/>
              </w:rPr>
              <w:t>SIA „Liepājas Pērkonīte” (</w:t>
            </w:r>
            <w:r>
              <w:rPr>
                <w:sz w:val="24"/>
                <w:szCs w:val="24"/>
                <w:lang w:eastAsia="lv-LV"/>
              </w:rPr>
              <w:t>LNB</w:t>
            </w:r>
            <w:r w:rsidR="008E103A">
              <w:rPr>
                <w:sz w:val="24"/>
                <w:szCs w:val="24"/>
                <w:lang w:eastAsia="lv-LV"/>
              </w:rPr>
              <w:t xml:space="preserve"> vārdā saskaņā ar statūtiem)</w:t>
            </w:r>
            <w:r>
              <w:rPr>
                <w:sz w:val="24"/>
                <w:szCs w:val="24"/>
                <w:lang w:eastAsia="lv-LV"/>
              </w:rPr>
              <w:t xml:space="preserve"> noslēgts 2008.gada 8.janvārī LNB piederošās ēkas uzturēšanai un apsaimniekošanai uz desmit gadiem. Saskaņā ar Noteikumu Nr.735 7.2. apakšpunktu zemesgabala nomas maksa gadā tiek noteikta 1,5% apmēr</w:t>
            </w:r>
            <w:r w:rsidR="00BB6771">
              <w:rPr>
                <w:sz w:val="24"/>
                <w:szCs w:val="24"/>
                <w:lang w:eastAsia="lv-LV"/>
              </w:rPr>
              <w:t xml:space="preserve">ā no zemes kadastrālās vērtības, </w:t>
            </w:r>
            <w:r w:rsidR="00BB6771" w:rsidRPr="00BB6771">
              <w:rPr>
                <w:sz w:val="24"/>
                <w:szCs w:val="24"/>
                <w:u w:val="single"/>
                <w:lang w:eastAsia="lv-LV"/>
              </w:rPr>
              <w:t>k</w:t>
            </w:r>
            <w:r w:rsidR="008C0876">
              <w:rPr>
                <w:sz w:val="24"/>
                <w:szCs w:val="24"/>
                <w:u w:val="single"/>
                <w:lang w:eastAsia="lv-LV"/>
              </w:rPr>
              <w:t>as visam zemesgabalam sastāda LVL</w:t>
            </w:r>
            <w:r w:rsidR="00BB6771" w:rsidRPr="00BB6771">
              <w:rPr>
                <w:sz w:val="24"/>
                <w:szCs w:val="24"/>
                <w:u w:val="single"/>
                <w:lang w:eastAsia="lv-LV"/>
              </w:rPr>
              <w:t xml:space="preserve"> 254,16, bet bezatlīdzības lietošanā nododamajām 4314/12019 domājamām daļām no zemes vienības –</w:t>
            </w:r>
            <w:r w:rsidR="008C0876">
              <w:rPr>
                <w:sz w:val="24"/>
                <w:szCs w:val="24"/>
                <w:u w:val="single"/>
                <w:lang w:eastAsia="lv-LV"/>
              </w:rPr>
              <w:t xml:space="preserve"> LVL</w:t>
            </w:r>
            <w:r w:rsidR="00BB6771" w:rsidRPr="00BB6771">
              <w:rPr>
                <w:sz w:val="24"/>
                <w:szCs w:val="24"/>
                <w:u w:val="single"/>
                <w:lang w:eastAsia="lv-LV"/>
              </w:rPr>
              <w:t xml:space="preserve"> 91,23.</w:t>
            </w:r>
          </w:p>
          <w:p w:rsidR="004D0B69" w:rsidRDefault="004D0B69" w:rsidP="00DF632D">
            <w:pPr>
              <w:ind w:firstLine="171"/>
              <w:rPr>
                <w:sz w:val="24"/>
                <w:szCs w:val="24"/>
                <w:lang w:eastAsia="lv-LV"/>
              </w:rPr>
            </w:pPr>
          </w:p>
          <w:p w:rsidR="009872C9" w:rsidRDefault="009872C9" w:rsidP="00DF632D">
            <w:pPr>
              <w:ind w:firstLine="171"/>
              <w:rPr>
                <w:sz w:val="24"/>
                <w:szCs w:val="24"/>
                <w:lang w:eastAsia="lv-LV"/>
              </w:rPr>
            </w:pPr>
            <w:r w:rsidRPr="0065792E">
              <w:rPr>
                <w:b/>
                <w:sz w:val="24"/>
                <w:szCs w:val="24"/>
                <w:lang w:eastAsia="lv-LV"/>
              </w:rPr>
              <w:t>4.</w:t>
            </w:r>
            <w:r w:rsidRPr="009872C9">
              <w:rPr>
                <w:sz w:val="24"/>
                <w:szCs w:val="24"/>
                <w:lang w:eastAsia="lv-LV"/>
              </w:rPr>
              <w:t xml:space="preserve"> </w:t>
            </w:r>
            <w:r>
              <w:rPr>
                <w:sz w:val="24"/>
                <w:szCs w:val="24"/>
                <w:lang w:eastAsia="lv-LV"/>
              </w:rPr>
              <w:t>Nekustamais īpašums</w:t>
            </w:r>
            <w:r w:rsidRPr="009872C9">
              <w:rPr>
                <w:sz w:val="24"/>
                <w:szCs w:val="24"/>
                <w:lang w:eastAsia="lv-LV"/>
              </w:rPr>
              <w:t xml:space="preserve"> (nekustamā īpašuma kadastra Nr.1700 044 0176</w:t>
            </w:r>
            <w:r>
              <w:rPr>
                <w:sz w:val="24"/>
                <w:szCs w:val="24"/>
                <w:lang w:eastAsia="lv-LV"/>
              </w:rPr>
              <w:t>) – zemes vienība</w:t>
            </w:r>
            <w:r w:rsidRPr="009872C9">
              <w:rPr>
                <w:sz w:val="24"/>
                <w:szCs w:val="24"/>
                <w:lang w:eastAsia="lv-LV"/>
              </w:rPr>
              <w:t xml:space="preserve"> 1597 m² platībā (zemes vienības kadastra apzīmējums 1700 044 0176) </w:t>
            </w:r>
            <w:r w:rsidRPr="007B5890">
              <w:rPr>
                <w:b/>
                <w:sz w:val="24"/>
                <w:szCs w:val="24"/>
                <w:lang w:eastAsia="lv-LV"/>
              </w:rPr>
              <w:t>Dunikas ielā 5A, Liepājā,</w:t>
            </w:r>
            <w:r w:rsidRPr="009872C9">
              <w:rPr>
                <w:sz w:val="24"/>
                <w:szCs w:val="24"/>
                <w:lang w:eastAsia="lv-LV"/>
              </w:rPr>
              <w:t xml:space="preserve"> kadastrālā vērtība uz 2012.g</w:t>
            </w:r>
            <w:r w:rsidR="00C73B29">
              <w:rPr>
                <w:sz w:val="24"/>
                <w:szCs w:val="24"/>
                <w:lang w:eastAsia="lv-LV"/>
              </w:rPr>
              <w:t xml:space="preserve">ada 1.janvāri sastāda LVL 14054 </w:t>
            </w:r>
            <w:r w:rsidR="00C73B29" w:rsidRPr="005707F8">
              <w:rPr>
                <w:sz w:val="24"/>
                <w:szCs w:val="24"/>
                <w:u w:val="single"/>
                <w:lang w:eastAsia="lv-LV"/>
              </w:rPr>
              <w:t xml:space="preserve">jeb bezatlīdzības lietošanā nododamo </w:t>
            </w:r>
            <w:r w:rsidR="009504A1">
              <w:rPr>
                <w:sz w:val="24"/>
                <w:szCs w:val="24"/>
                <w:u w:val="single"/>
                <w:lang w:eastAsia="lv-LV"/>
              </w:rPr>
              <w:t>9424/30062</w:t>
            </w:r>
            <w:r w:rsidR="00C73B29">
              <w:rPr>
                <w:sz w:val="24"/>
                <w:szCs w:val="24"/>
                <w:u w:val="single"/>
                <w:lang w:eastAsia="lv-LV"/>
              </w:rPr>
              <w:t xml:space="preserve"> </w:t>
            </w:r>
            <w:r w:rsidR="00C73B29" w:rsidRPr="005707F8">
              <w:rPr>
                <w:sz w:val="24"/>
                <w:szCs w:val="24"/>
                <w:u w:val="single"/>
                <w:lang w:eastAsia="lv-LV"/>
              </w:rPr>
              <w:t>dom</w:t>
            </w:r>
            <w:r w:rsidR="009504A1">
              <w:rPr>
                <w:sz w:val="24"/>
                <w:szCs w:val="24"/>
                <w:u w:val="single"/>
                <w:lang w:eastAsia="lv-LV"/>
              </w:rPr>
              <w:t>ājamo daļu kadastrālā vērtība sastāda</w:t>
            </w:r>
            <w:r w:rsidR="008C0876">
              <w:rPr>
                <w:sz w:val="24"/>
                <w:szCs w:val="24"/>
                <w:u w:val="single"/>
                <w:lang w:eastAsia="lv-LV"/>
              </w:rPr>
              <w:t xml:space="preserve"> LVL</w:t>
            </w:r>
            <w:r w:rsidR="00C73B29" w:rsidRPr="005707F8">
              <w:rPr>
                <w:sz w:val="24"/>
                <w:szCs w:val="24"/>
                <w:u w:val="single"/>
                <w:lang w:eastAsia="lv-LV"/>
              </w:rPr>
              <w:t xml:space="preserve"> </w:t>
            </w:r>
            <w:r w:rsidR="009504A1">
              <w:rPr>
                <w:sz w:val="24"/>
                <w:szCs w:val="24"/>
                <w:u w:val="single"/>
                <w:lang w:eastAsia="lv-LV"/>
              </w:rPr>
              <w:t>4406</w:t>
            </w:r>
            <w:r w:rsidR="00C73B29" w:rsidRPr="005707F8">
              <w:rPr>
                <w:sz w:val="24"/>
                <w:szCs w:val="24"/>
                <w:u w:val="single"/>
                <w:lang w:eastAsia="lv-LV"/>
              </w:rPr>
              <w:t>.</w:t>
            </w:r>
          </w:p>
          <w:p w:rsidR="009872C9" w:rsidRDefault="009872C9" w:rsidP="009872C9">
            <w:pPr>
              <w:ind w:firstLine="171"/>
              <w:rPr>
                <w:sz w:val="24"/>
                <w:szCs w:val="24"/>
                <w:lang w:eastAsia="lv-LV"/>
              </w:rPr>
            </w:pPr>
            <w:r>
              <w:rPr>
                <w:sz w:val="24"/>
                <w:szCs w:val="24"/>
                <w:lang w:eastAsia="lv-LV"/>
              </w:rPr>
              <w:t>Īpašuma tiesības uz zemesgabalu ar z</w:t>
            </w:r>
            <w:r w:rsidR="0065792E">
              <w:rPr>
                <w:sz w:val="24"/>
                <w:szCs w:val="24"/>
                <w:lang w:eastAsia="lv-LV"/>
              </w:rPr>
              <w:t>emesgrāmatu tiesneša 2002.gada 14</w:t>
            </w:r>
            <w:r>
              <w:rPr>
                <w:sz w:val="24"/>
                <w:szCs w:val="24"/>
                <w:lang w:eastAsia="lv-LV"/>
              </w:rPr>
              <w:t>.marta lēmumu nostiprinātas Liepājas pilsētas zemesgrāmatas nodalījumā Nr.100000061769 uz valsts vārda Finanšu ministrijas personā. Uz zemesgabala atrodas  LNB  piederoša ēka</w:t>
            </w:r>
            <w:r w:rsidR="00E66C59">
              <w:rPr>
                <w:sz w:val="24"/>
                <w:szCs w:val="24"/>
                <w:lang w:eastAsia="lv-LV"/>
              </w:rPr>
              <w:t xml:space="preserve"> ar adresi Dunikas iela 3, Liepāja</w:t>
            </w:r>
            <w:r>
              <w:rPr>
                <w:sz w:val="24"/>
                <w:szCs w:val="24"/>
                <w:lang w:eastAsia="lv-LV"/>
              </w:rPr>
              <w:t xml:space="preserve"> (kadastra Nr.1700 544 0002; īpašuma tiesības nostiprinātas ar zemesgrāmatu tiesneša 2002.gada 29.jūlija lēmumu Liepājas pilsētas zemesgrāmatas nodalījumā Nr.100000074133). </w:t>
            </w:r>
          </w:p>
          <w:p w:rsidR="00057B8C" w:rsidRDefault="00057B8C" w:rsidP="009872C9">
            <w:pPr>
              <w:ind w:firstLine="171"/>
              <w:rPr>
                <w:sz w:val="24"/>
                <w:szCs w:val="24"/>
                <w:lang w:eastAsia="lv-LV"/>
              </w:rPr>
            </w:pPr>
            <w:r>
              <w:rPr>
                <w:sz w:val="24"/>
                <w:szCs w:val="24"/>
                <w:lang w:eastAsia="lv-LV"/>
              </w:rPr>
              <w:t xml:space="preserve">Kā informē </w:t>
            </w:r>
            <w:r w:rsidR="007B5890">
              <w:rPr>
                <w:sz w:val="24"/>
                <w:szCs w:val="24"/>
                <w:lang w:eastAsia="lv-LV"/>
              </w:rPr>
              <w:t>LNB</w:t>
            </w:r>
            <w:r>
              <w:rPr>
                <w:sz w:val="24"/>
                <w:szCs w:val="24"/>
                <w:lang w:eastAsia="lv-LV"/>
              </w:rPr>
              <w:t xml:space="preserve"> Centrālā valde savā 2011.gada 8.novembra vēstulē Nr.01-06/91, ēkā, kas ir </w:t>
            </w:r>
            <w:r>
              <w:rPr>
                <w:sz w:val="24"/>
                <w:szCs w:val="24"/>
              </w:rPr>
              <w:t xml:space="preserve">56 dzīvokļu dzīvojamā māja ar 3006,2 </w:t>
            </w:r>
            <w:r w:rsidR="00372717">
              <w:rPr>
                <w:sz w:val="24"/>
                <w:szCs w:val="24"/>
                <w:lang w:eastAsia="lv-LV"/>
              </w:rPr>
              <w:t>m²</w:t>
            </w:r>
            <w:r>
              <w:rPr>
                <w:sz w:val="24"/>
                <w:szCs w:val="24"/>
              </w:rPr>
              <w:t xml:space="preserve"> dzīvokļu kopējo platību, 21 dzīvoklī, ar kopējo platību 942,40 </w:t>
            </w:r>
            <w:r w:rsidR="00372717" w:rsidRPr="00DF632D">
              <w:rPr>
                <w:sz w:val="24"/>
                <w:szCs w:val="24"/>
                <w:lang w:eastAsia="lv-LV"/>
              </w:rPr>
              <w:t>m²</w:t>
            </w:r>
            <w:r>
              <w:rPr>
                <w:sz w:val="24"/>
                <w:szCs w:val="24"/>
              </w:rPr>
              <w:t>, dzīvo cilvēki ar invaliditāti</w:t>
            </w:r>
            <w:r w:rsidR="00372717">
              <w:rPr>
                <w:sz w:val="24"/>
                <w:szCs w:val="24"/>
              </w:rPr>
              <w:t>.</w:t>
            </w:r>
            <w:r w:rsidR="00FF064F">
              <w:rPr>
                <w:sz w:val="24"/>
                <w:szCs w:val="24"/>
              </w:rPr>
              <w:t xml:space="preserve"> Tāpēc bezatlīdzības lietošanā tiek nodotas 9424/30062 domājamās daļas no zemes vienības.</w:t>
            </w:r>
          </w:p>
          <w:p w:rsidR="009872C9" w:rsidRDefault="009872C9" w:rsidP="009872C9">
            <w:pPr>
              <w:ind w:firstLine="171"/>
              <w:rPr>
                <w:sz w:val="24"/>
                <w:szCs w:val="24"/>
                <w:lang w:eastAsia="lv-LV"/>
              </w:rPr>
            </w:pPr>
            <w:r>
              <w:rPr>
                <w:sz w:val="24"/>
                <w:szCs w:val="24"/>
                <w:lang w:eastAsia="lv-LV"/>
              </w:rPr>
              <w:t xml:space="preserve">Apbūvēta zemesgabala nomas līgums </w:t>
            </w:r>
            <w:proofErr w:type="spellStart"/>
            <w:r>
              <w:rPr>
                <w:sz w:val="24"/>
                <w:szCs w:val="24"/>
                <w:lang w:eastAsia="lv-LV"/>
              </w:rPr>
              <w:t>Nr.L-</w:t>
            </w:r>
            <w:r w:rsidR="0065792E">
              <w:rPr>
                <w:sz w:val="24"/>
                <w:szCs w:val="24"/>
                <w:lang w:eastAsia="lv-LV"/>
              </w:rPr>
              <w:t>4239</w:t>
            </w:r>
            <w:r>
              <w:rPr>
                <w:sz w:val="24"/>
                <w:szCs w:val="24"/>
                <w:lang w:eastAsia="lv-LV"/>
              </w:rPr>
              <w:t>-z</w:t>
            </w:r>
            <w:proofErr w:type="spellEnd"/>
            <w:r>
              <w:rPr>
                <w:sz w:val="24"/>
                <w:szCs w:val="24"/>
                <w:lang w:eastAsia="lv-LV"/>
              </w:rPr>
              <w:t>/2 starp VNĪ un SIA „Liepājas Pērkonīte” (LNB vārdā sas</w:t>
            </w:r>
            <w:r w:rsidR="0065792E">
              <w:rPr>
                <w:sz w:val="24"/>
                <w:szCs w:val="24"/>
                <w:lang w:eastAsia="lv-LV"/>
              </w:rPr>
              <w:t>kaņā ar statūtiem) noslēgts 2007</w:t>
            </w:r>
            <w:r>
              <w:rPr>
                <w:sz w:val="24"/>
                <w:szCs w:val="24"/>
                <w:lang w:eastAsia="lv-LV"/>
              </w:rPr>
              <w:t xml:space="preserve">.gada </w:t>
            </w:r>
            <w:r w:rsidR="0065792E">
              <w:rPr>
                <w:sz w:val="24"/>
                <w:szCs w:val="24"/>
                <w:lang w:eastAsia="lv-LV"/>
              </w:rPr>
              <w:t>24.septembrī</w:t>
            </w:r>
            <w:r>
              <w:rPr>
                <w:sz w:val="24"/>
                <w:szCs w:val="24"/>
                <w:lang w:eastAsia="lv-LV"/>
              </w:rPr>
              <w:t xml:space="preserve"> LNB piederošās </w:t>
            </w:r>
            <w:r w:rsidR="0065792E">
              <w:rPr>
                <w:sz w:val="24"/>
                <w:szCs w:val="24"/>
                <w:lang w:eastAsia="lv-LV"/>
              </w:rPr>
              <w:t xml:space="preserve">dzīvojamās </w:t>
            </w:r>
            <w:r>
              <w:rPr>
                <w:sz w:val="24"/>
                <w:szCs w:val="24"/>
                <w:lang w:eastAsia="lv-LV"/>
              </w:rPr>
              <w:t>ēkas uzturēšanai un apsaimniekošanai uz desmit gadiem. Saskaņā ar Noteikumu Nr.735 7.2. apakšpunktu zemesgabala nomas maksa gadā tiek noteikta 1,5% apmēr</w:t>
            </w:r>
            <w:r w:rsidR="009504A1">
              <w:rPr>
                <w:sz w:val="24"/>
                <w:szCs w:val="24"/>
                <w:lang w:eastAsia="lv-LV"/>
              </w:rPr>
              <w:t xml:space="preserve">ā no zemes kadastrālās vērtības, </w:t>
            </w:r>
            <w:r w:rsidR="009504A1" w:rsidRPr="00BB6771">
              <w:rPr>
                <w:sz w:val="24"/>
                <w:szCs w:val="24"/>
                <w:u w:val="single"/>
                <w:lang w:eastAsia="lv-LV"/>
              </w:rPr>
              <w:t>kas visam zemesgabalam sastāda L</w:t>
            </w:r>
            <w:r w:rsidR="008C0876">
              <w:rPr>
                <w:sz w:val="24"/>
                <w:szCs w:val="24"/>
                <w:u w:val="single"/>
                <w:lang w:eastAsia="lv-LV"/>
              </w:rPr>
              <w:t>VL</w:t>
            </w:r>
            <w:r w:rsidR="009504A1" w:rsidRPr="00BB6771">
              <w:rPr>
                <w:sz w:val="24"/>
                <w:szCs w:val="24"/>
                <w:u w:val="single"/>
                <w:lang w:eastAsia="lv-LV"/>
              </w:rPr>
              <w:t xml:space="preserve"> </w:t>
            </w:r>
            <w:r w:rsidR="009504A1">
              <w:rPr>
                <w:sz w:val="24"/>
                <w:szCs w:val="24"/>
                <w:u w:val="single"/>
                <w:lang w:eastAsia="lv-LV"/>
              </w:rPr>
              <w:t>210,81,</w:t>
            </w:r>
            <w:r w:rsidR="009504A1" w:rsidRPr="00BB6771">
              <w:rPr>
                <w:sz w:val="24"/>
                <w:szCs w:val="24"/>
                <w:u w:val="single"/>
                <w:lang w:eastAsia="lv-LV"/>
              </w:rPr>
              <w:t xml:space="preserve"> bet bezatlīdzības lietošanā nododamajām </w:t>
            </w:r>
            <w:r w:rsidR="009504A1">
              <w:rPr>
                <w:sz w:val="24"/>
                <w:szCs w:val="24"/>
                <w:u w:val="single"/>
                <w:lang w:eastAsia="lv-LV"/>
              </w:rPr>
              <w:t xml:space="preserve">9424/30062 </w:t>
            </w:r>
            <w:r w:rsidR="009504A1" w:rsidRPr="00BB6771">
              <w:rPr>
                <w:sz w:val="24"/>
                <w:szCs w:val="24"/>
                <w:u w:val="single"/>
                <w:lang w:eastAsia="lv-LV"/>
              </w:rPr>
              <w:t>domājamām daļām no zemes vienības –</w:t>
            </w:r>
            <w:r w:rsidR="009504A1">
              <w:rPr>
                <w:sz w:val="24"/>
                <w:szCs w:val="24"/>
                <w:u w:val="single"/>
                <w:lang w:eastAsia="lv-LV"/>
              </w:rPr>
              <w:t xml:space="preserve">    </w:t>
            </w:r>
            <w:r w:rsidR="008C0876">
              <w:rPr>
                <w:sz w:val="24"/>
                <w:szCs w:val="24"/>
                <w:u w:val="single"/>
                <w:lang w:eastAsia="lv-LV"/>
              </w:rPr>
              <w:t xml:space="preserve"> LVL</w:t>
            </w:r>
            <w:r w:rsidR="009504A1" w:rsidRPr="00BB6771">
              <w:rPr>
                <w:sz w:val="24"/>
                <w:szCs w:val="24"/>
                <w:u w:val="single"/>
                <w:lang w:eastAsia="lv-LV"/>
              </w:rPr>
              <w:t xml:space="preserve"> </w:t>
            </w:r>
            <w:r w:rsidR="009504A1">
              <w:rPr>
                <w:sz w:val="24"/>
                <w:szCs w:val="24"/>
                <w:u w:val="single"/>
                <w:lang w:eastAsia="lv-LV"/>
              </w:rPr>
              <w:t>66,09.</w:t>
            </w:r>
          </w:p>
          <w:p w:rsidR="00483C9D" w:rsidRDefault="00483C9D" w:rsidP="009872C9">
            <w:pPr>
              <w:ind w:firstLine="171"/>
              <w:rPr>
                <w:sz w:val="24"/>
                <w:szCs w:val="24"/>
                <w:lang w:eastAsia="lv-LV"/>
              </w:rPr>
            </w:pPr>
          </w:p>
          <w:p w:rsidR="00D912EF" w:rsidRDefault="00D912EF" w:rsidP="00D912EF">
            <w:pPr>
              <w:ind w:firstLine="171"/>
              <w:rPr>
                <w:sz w:val="24"/>
                <w:szCs w:val="24"/>
                <w:lang w:eastAsia="lv-LV"/>
              </w:rPr>
            </w:pPr>
            <w:r w:rsidRPr="00D912EF">
              <w:rPr>
                <w:b/>
                <w:sz w:val="24"/>
                <w:szCs w:val="24"/>
                <w:lang w:eastAsia="lv-LV"/>
              </w:rPr>
              <w:t>5.</w:t>
            </w:r>
            <w:r>
              <w:rPr>
                <w:sz w:val="24"/>
                <w:szCs w:val="24"/>
                <w:lang w:eastAsia="lv-LV"/>
              </w:rPr>
              <w:t xml:space="preserve"> N</w:t>
            </w:r>
            <w:r w:rsidRPr="00DF632D">
              <w:rPr>
                <w:sz w:val="24"/>
                <w:szCs w:val="24"/>
                <w:lang w:eastAsia="lv-LV"/>
              </w:rPr>
              <w:t>ekustam</w:t>
            </w:r>
            <w:r>
              <w:rPr>
                <w:sz w:val="24"/>
                <w:szCs w:val="24"/>
                <w:lang w:eastAsia="lv-LV"/>
              </w:rPr>
              <w:t>ais īpašums</w:t>
            </w:r>
            <w:r w:rsidRPr="00DF632D">
              <w:rPr>
                <w:sz w:val="24"/>
                <w:szCs w:val="24"/>
                <w:lang w:eastAsia="lv-LV"/>
              </w:rPr>
              <w:t xml:space="preserve"> (nekustamā īpašuma kadastra Nr.1700 </w:t>
            </w:r>
            <w:r w:rsidR="009D42F1">
              <w:rPr>
                <w:sz w:val="24"/>
                <w:szCs w:val="24"/>
                <w:lang w:eastAsia="lv-LV"/>
              </w:rPr>
              <w:t>044 0197</w:t>
            </w:r>
            <w:r>
              <w:rPr>
                <w:sz w:val="24"/>
                <w:szCs w:val="24"/>
                <w:lang w:eastAsia="lv-LV"/>
              </w:rPr>
              <w:t>) – zemes vienība</w:t>
            </w:r>
            <w:r w:rsidRPr="00DF632D">
              <w:rPr>
                <w:sz w:val="24"/>
                <w:szCs w:val="24"/>
                <w:lang w:eastAsia="lv-LV"/>
              </w:rPr>
              <w:t xml:space="preserve"> </w:t>
            </w:r>
            <w:r w:rsidR="009D42F1">
              <w:rPr>
                <w:sz w:val="24"/>
                <w:szCs w:val="24"/>
                <w:lang w:eastAsia="lv-LV"/>
              </w:rPr>
              <w:t>3206</w:t>
            </w:r>
            <w:r w:rsidRPr="00DF632D">
              <w:rPr>
                <w:sz w:val="24"/>
                <w:szCs w:val="24"/>
                <w:lang w:eastAsia="lv-LV"/>
              </w:rPr>
              <w:t xml:space="preserve"> m² platībā (zemes vienības kadastra apzīmējums 1700 </w:t>
            </w:r>
            <w:r w:rsidR="009D42F1">
              <w:rPr>
                <w:sz w:val="24"/>
                <w:szCs w:val="24"/>
                <w:lang w:eastAsia="lv-LV"/>
              </w:rPr>
              <w:t>044 0197</w:t>
            </w:r>
            <w:r w:rsidRPr="00DF632D">
              <w:rPr>
                <w:sz w:val="24"/>
                <w:szCs w:val="24"/>
                <w:lang w:eastAsia="lv-LV"/>
              </w:rPr>
              <w:t xml:space="preserve">) </w:t>
            </w:r>
            <w:r w:rsidR="009D42F1" w:rsidRPr="007B5890">
              <w:rPr>
                <w:b/>
                <w:sz w:val="24"/>
                <w:szCs w:val="24"/>
                <w:lang w:eastAsia="lv-LV"/>
              </w:rPr>
              <w:t>Dunikas ielā 1a</w:t>
            </w:r>
            <w:r w:rsidRPr="007B5890">
              <w:rPr>
                <w:b/>
                <w:sz w:val="24"/>
                <w:szCs w:val="24"/>
                <w:lang w:eastAsia="lv-LV"/>
              </w:rPr>
              <w:t>, Liepājā,</w:t>
            </w:r>
            <w:r w:rsidRPr="00DF632D">
              <w:rPr>
                <w:sz w:val="24"/>
                <w:szCs w:val="24"/>
                <w:lang w:eastAsia="lv-LV"/>
              </w:rPr>
              <w:t xml:space="preserve"> kadastrālā vērtība uz 2012.gada 1.janvāri sastāda LVL </w:t>
            </w:r>
            <w:r w:rsidR="009D42F1">
              <w:rPr>
                <w:sz w:val="24"/>
                <w:szCs w:val="24"/>
                <w:lang w:eastAsia="lv-LV"/>
              </w:rPr>
              <w:t>32316</w:t>
            </w:r>
            <w:r w:rsidR="009A2701">
              <w:rPr>
                <w:sz w:val="24"/>
                <w:szCs w:val="24"/>
                <w:lang w:eastAsia="lv-LV"/>
              </w:rPr>
              <w:t xml:space="preserve"> </w:t>
            </w:r>
            <w:r w:rsidR="009A2701" w:rsidRPr="005707F8">
              <w:rPr>
                <w:sz w:val="24"/>
                <w:szCs w:val="24"/>
                <w:u w:val="single"/>
                <w:lang w:eastAsia="lv-LV"/>
              </w:rPr>
              <w:t xml:space="preserve">jeb bezatlīdzības </w:t>
            </w:r>
            <w:r w:rsidR="009A2701" w:rsidRPr="005707F8">
              <w:rPr>
                <w:sz w:val="24"/>
                <w:szCs w:val="24"/>
                <w:u w:val="single"/>
                <w:lang w:eastAsia="lv-LV"/>
              </w:rPr>
              <w:lastRenderedPageBreak/>
              <w:t xml:space="preserve">lietošanā nododamo </w:t>
            </w:r>
            <w:r w:rsidR="009A2701">
              <w:rPr>
                <w:sz w:val="24"/>
                <w:szCs w:val="24"/>
                <w:u w:val="single"/>
                <w:lang w:eastAsia="lv-LV"/>
              </w:rPr>
              <w:t xml:space="preserve">13257/30445 </w:t>
            </w:r>
            <w:r w:rsidR="009A2701" w:rsidRPr="005707F8">
              <w:rPr>
                <w:sz w:val="24"/>
                <w:szCs w:val="24"/>
                <w:u w:val="single"/>
                <w:lang w:eastAsia="lv-LV"/>
              </w:rPr>
              <w:t>dom</w:t>
            </w:r>
            <w:r w:rsidR="009A2701">
              <w:rPr>
                <w:sz w:val="24"/>
                <w:szCs w:val="24"/>
                <w:u w:val="single"/>
                <w:lang w:eastAsia="lv-LV"/>
              </w:rPr>
              <w:t>ājamo daļu kadastrālā vērtība sastāda</w:t>
            </w:r>
            <w:r w:rsidR="008C0876">
              <w:rPr>
                <w:sz w:val="24"/>
                <w:szCs w:val="24"/>
                <w:u w:val="single"/>
                <w:lang w:eastAsia="lv-LV"/>
              </w:rPr>
              <w:t xml:space="preserve"> LVL</w:t>
            </w:r>
            <w:r w:rsidR="009A2701" w:rsidRPr="005707F8">
              <w:rPr>
                <w:sz w:val="24"/>
                <w:szCs w:val="24"/>
                <w:u w:val="single"/>
                <w:lang w:eastAsia="lv-LV"/>
              </w:rPr>
              <w:t xml:space="preserve"> </w:t>
            </w:r>
            <w:r w:rsidR="009A2701">
              <w:rPr>
                <w:sz w:val="24"/>
                <w:szCs w:val="24"/>
                <w:u w:val="single"/>
                <w:lang w:eastAsia="lv-LV"/>
              </w:rPr>
              <w:t>14072</w:t>
            </w:r>
            <w:r w:rsidR="009A2701" w:rsidRPr="005707F8">
              <w:rPr>
                <w:sz w:val="24"/>
                <w:szCs w:val="24"/>
                <w:u w:val="single"/>
                <w:lang w:eastAsia="lv-LV"/>
              </w:rPr>
              <w:t>.</w:t>
            </w:r>
          </w:p>
          <w:p w:rsidR="00D912EF" w:rsidRDefault="00D912EF" w:rsidP="00D912EF">
            <w:pPr>
              <w:ind w:firstLine="171"/>
              <w:rPr>
                <w:sz w:val="24"/>
                <w:szCs w:val="24"/>
                <w:lang w:eastAsia="lv-LV"/>
              </w:rPr>
            </w:pPr>
            <w:r>
              <w:rPr>
                <w:sz w:val="24"/>
                <w:szCs w:val="24"/>
                <w:lang w:eastAsia="lv-LV"/>
              </w:rPr>
              <w:t xml:space="preserve">Īpašuma tiesības uz zemesgabalu ar zemesgrāmatu tiesneša 2002.gada </w:t>
            </w:r>
            <w:r w:rsidR="009D42F1">
              <w:rPr>
                <w:sz w:val="24"/>
                <w:szCs w:val="24"/>
                <w:lang w:eastAsia="lv-LV"/>
              </w:rPr>
              <w:t>15.marta</w:t>
            </w:r>
            <w:r>
              <w:rPr>
                <w:sz w:val="24"/>
                <w:szCs w:val="24"/>
                <w:lang w:eastAsia="lv-LV"/>
              </w:rPr>
              <w:t xml:space="preserve"> lēmumu nostiprinātas Liepājas pilsētas zemesgrāmatas nodalījumā Nr.</w:t>
            </w:r>
            <w:r w:rsidR="009D42F1">
              <w:rPr>
                <w:sz w:val="24"/>
                <w:szCs w:val="24"/>
                <w:lang w:eastAsia="lv-LV"/>
              </w:rPr>
              <w:t>100000062724</w:t>
            </w:r>
            <w:r>
              <w:rPr>
                <w:sz w:val="24"/>
                <w:szCs w:val="24"/>
                <w:lang w:eastAsia="lv-LV"/>
              </w:rPr>
              <w:t xml:space="preserve"> uz valsts vārda Finanšu ministrijas personā. Uz zemesgabala atrodas  LNB  piederoša ēka</w:t>
            </w:r>
            <w:r w:rsidR="005057CF">
              <w:rPr>
                <w:sz w:val="24"/>
                <w:szCs w:val="24"/>
                <w:lang w:eastAsia="lv-LV"/>
              </w:rPr>
              <w:t xml:space="preserve"> ar adresi Dunikas iela 1, Liepāja</w:t>
            </w:r>
            <w:r>
              <w:rPr>
                <w:sz w:val="24"/>
                <w:szCs w:val="24"/>
                <w:lang w:eastAsia="lv-LV"/>
              </w:rPr>
              <w:t xml:space="preserve"> (kadastra Nr.1700 </w:t>
            </w:r>
            <w:r w:rsidR="009D42F1">
              <w:rPr>
                <w:sz w:val="24"/>
                <w:szCs w:val="24"/>
                <w:lang w:eastAsia="lv-LV"/>
              </w:rPr>
              <w:t>544 0197</w:t>
            </w:r>
            <w:r>
              <w:rPr>
                <w:sz w:val="24"/>
                <w:szCs w:val="24"/>
                <w:lang w:eastAsia="lv-LV"/>
              </w:rPr>
              <w:t>; īpašuma tiesības nostiprinātas ar zemesgrāmatu tiesneša 2002.gada 29.jūlija lēmumu Liepājas pilsētas zemesgrāmatas nodalījumā Nr.</w:t>
            </w:r>
            <w:r w:rsidR="009D42F1">
              <w:rPr>
                <w:sz w:val="24"/>
                <w:szCs w:val="24"/>
                <w:lang w:eastAsia="lv-LV"/>
              </w:rPr>
              <w:t>100000074130</w:t>
            </w:r>
            <w:r>
              <w:rPr>
                <w:sz w:val="24"/>
                <w:szCs w:val="24"/>
                <w:lang w:eastAsia="lv-LV"/>
              </w:rPr>
              <w:t xml:space="preserve">). </w:t>
            </w:r>
          </w:p>
          <w:p w:rsidR="00483C9D" w:rsidRDefault="00483C9D" w:rsidP="00D912EF">
            <w:pPr>
              <w:ind w:firstLine="171"/>
              <w:rPr>
                <w:sz w:val="24"/>
                <w:szCs w:val="24"/>
                <w:lang w:eastAsia="lv-LV"/>
              </w:rPr>
            </w:pPr>
            <w:r>
              <w:rPr>
                <w:sz w:val="24"/>
                <w:szCs w:val="24"/>
                <w:lang w:eastAsia="lv-LV"/>
              </w:rPr>
              <w:t xml:space="preserve">Kā informē </w:t>
            </w:r>
            <w:r w:rsidR="007B5890">
              <w:rPr>
                <w:sz w:val="24"/>
                <w:szCs w:val="24"/>
                <w:lang w:eastAsia="lv-LV"/>
              </w:rPr>
              <w:t>LNB</w:t>
            </w:r>
            <w:r>
              <w:rPr>
                <w:sz w:val="24"/>
                <w:szCs w:val="24"/>
                <w:lang w:eastAsia="lv-LV"/>
              </w:rPr>
              <w:t xml:space="preserve"> Centrālā valde savā 2011.gada 8.novembra vēstulē Nr.01-06/91, ēkā, kas ir </w:t>
            </w:r>
            <w:r>
              <w:rPr>
                <w:sz w:val="24"/>
                <w:szCs w:val="24"/>
              </w:rPr>
              <w:t xml:space="preserve">56 dzīvokļu dzīvojamā māja ar dzīvokļu kopējo platību 3044,5 </w:t>
            </w:r>
            <w:r w:rsidRPr="00DF632D">
              <w:rPr>
                <w:sz w:val="24"/>
                <w:szCs w:val="24"/>
                <w:lang w:eastAsia="lv-LV"/>
              </w:rPr>
              <w:t>m²</w:t>
            </w:r>
            <w:r>
              <w:rPr>
                <w:sz w:val="24"/>
                <w:szCs w:val="24"/>
              </w:rPr>
              <w:t xml:space="preserve">, 26 dzīvokļos, ar kopējo platību 1325,7 </w:t>
            </w:r>
            <w:r w:rsidRPr="00DF632D">
              <w:rPr>
                <w:sz w:val="24"/>
                <w:szCs w:val="24"/>
                <w:lang w:eastAsia="lv-LV"/>
              </w:rPr>
              <w:t>m²</w:t>
            </w:r>
            <w:r>
              <w:rPr>
                <w:sz w:val="24"/>
                <w:szCs w:val="24"/>
              </w:rPr>
              <w:t xml:space="preserve">, dzīvo cilvēki ar invaliditāti. Sadarbībā ar Liepājas Neredzīgo biedrību, minētajā adresē ir izveidots  sociālās rehabilitācijas centrs cilvēkiem ar invaliditāti „Dzīves skola”. Atbalsts tam ir saņemts no </w:t>
            </w:r>
            <w:proofErr w:type="spellStart"/>
            <w:r>
              <w:rPr>
                <w:sz w:val="24"/>
                <w:szCs w:val="24"/>
              </w:rPr>
              <w:t>Niderlandes</w:t>
            </w:r>
            <w:proofErr w:type="spellEnd"/>
            <w:r>
              <w:rPr>
                <w:sz w:val="24"/>
                <w:szCs w:val="24"/>
              </w:rPr>
              <w:t xml:space="preserve"> </w:t>
            </w:r>
            <w:proofErr w:type="spellStart"/>
            <w:r>
              <w:rPr>
                <w:sz w:val="24"/>
                <w:szCs w:val="24"/>
              </w:rPr>
              <w:t>Oranje</w:t>
            </w:r>
            <w:proofErr w:type="spellEnd"/>
            <w:r>
              <w:rPr>
                <w:sz w:val="24"/>
                <w:szCs w:val="24"/>
              </w:rPr>
              <w:t xml:space="preserve"> fonda, Liepājas domes, Kristīgā radio  atbalsta fonda u.c. Centra mērķis ir attīstīt sociālās prasmes un pilnveidot </w:t>
            </w:r>
            <w:proofErr w:type="spellStart"/>
            <w:r>
              <w:rPr>
                <w:sz w:val="24"/>
                <w:szCs w:val="24"/>
              </w:rPr>
              <w:t>pašaprūpes</w:t>
            </w:r>
            <w:proofErr w:type="spellEnd"/>
            <w:r>
              <w:rPr>
                <w:sz w:val="24"/>
                <w:szCs w:val="24"/>
              </w:rPr>
              <w:t xml:space="preserve"> iemaņas, attīstīt sabiedriskās funkcionēšanas iespējas  un nodrošināt sociālās rehabilitācijas pakalpojumu pieejamību  Kurzemes reģionā dzīvojošiem cilvēkiem ar invaliditāti. Šajā centrā pārstāvji no citiem reģioniem un sabiedriskajām organizācijām var iegūt pozitīvu  pieredzi un mācīties, lai pilnveidotu un uzlabotu vides pieejamību cilvēkiem ar invaliditāti arī citur Latvijā pēc universālā dizaina principiem. Tiek radītas jaunas darba vietas redzes invalīdiem un citiem cilvēkiem ar invaliditāti.</w:t>
            </w:r>
            <w:r w:rsidR="00FF064F">
              <w:rPr>
                <w:sz w:val="24"/>
                <w:szCs w:val="24"/>
              </w:rPr>
              <w:t xml:space="preserve"> Tāpēc bezatlīdzības lietošanā tiek nodotas 13257/30445 domājamās daļas no zemes vienības.</w:t>
            </w:r>
          </w:p>
          <w:p w:rsidR="00D912EF" w:rsidRDefault="00D912EF" w:rsidP="00D912EF">
            <w:pPr>
              <w:ind w:firstLine="171"/>
              <w:rPr>
                <w:sz w:val="24"/>
                <w:szCs w:val="24"/>
                <w:lang w:eastAsia="lv-LV"/>
              </w:rPr>
            </w:pPr>
            <w:r>
              <w:rPr>
                <w:sz w:val="24"/>
                <w:szCs w:val="24"/>
                <w:lang w:eastAsia="lv-LV"/>
              </w:rPr>
              <w:t xml:space="preserve">Apbūvēta zemesgabala nomas līgums </w:t>
            </w:r>
            <w:proofErr w:type="spellStart"/>
            <w:r>
              <w:rPr>
                <w:sz w:val="24"/>
                <w:szCs w:val="24"/>
                <w:lang w:eastAsia="lv-LV"/>
              </w:rPr>
              <w:t>Nr.L-</w:t>
            </w:r>
            <w:r w:rsidR="009D42F1">
              <w:rPr>
                <w:sz w:val="24"/>
                <w:szCs w:val="24"/>
                <w:lang w:eastAsia="lv-LV"/>
              </w:rPr>
              <w:t>4238</w:t>
            </w:r>
            <w:r>
              <w:rPr>
                <w:sz w:val="24"/>
                <w:szCs w:val="24"/>
                <w:lang w:eastAsia="lv-LV"/>
              </w:rPr>
              <w:t>-z</w:t>
            </w:r>
            <w:proofErr w:type="spellEnd"/>
            <w:r>
              <w:rPr>
                <w:sz w:val="24"/>
                <w:szCs w:val="24"/>
                <w:lang w:eastAsia="lv-LV"/>
              </w:rPr>
              <w:t>/2 starp VNĪ un SIA „Liepājas Pērkonīte” (LNB vārdā saskaņā ar statūtiem)</w:t>
            </w:r>
            <w:r w:rsidR="009D42F1">
              <w:rPr>
                <w:sz w:val="24"/>
                <w:szCs w:val="24"/>
                <w:lang w:eastAsia="lv-LV"/>
              </w:rPr>
              <w:t xml:space="preserve"> noslēgts 2007</w:t>
            </w:r>
            <w:r>
              <w:rPr>
                <w:sz w:val="24"/>
                <w:szCs w:val="24"/>
                <w:lang w:eastAsia="lv-LV"/>
              </w:rPr>
              <w:t xml:space="preserve">.gada </w:t>
            </w:r>
            <w:r w:rsidR="009D42F1">
              <w:rPr>
                <w:sz w:val="24"/>
                <w:szCs w:val="24"/>
                <w:lang w:eastAsia="lv-LV"/>
              </w:rPr>
              <w:t>24.septembrī</w:t>
            </w:r>
            <w:r>
              <w:rPr>
                <w:sz w:val="24"/>
                <w:szCs w:val="24"/>
                <w:lang w:eastAsia="lv-LV"/>
              </w:rPr>
              <w:t xml:space="preserve"> LNB piederošās </w:t>
            </w:r>
            <w:r w:rsidR="009D42F1">
              <w:rPr>
                <w:sz w:val="24"/>
                <w:szCs w:val="24"/>
                <w:lang w:eastAsia="lv-LV"/>
              </w:rPr>
              <w:t xml:space="preserve">dzīvojamās </w:t>
            </w:r>
            <w:r>
              <w:rPr>
                <w:sz w:val="24"/>
                <w:szCs w:val="24"/>
                <w:lang w:eastAsia="lv-LV"/>
              </w:rPr>
              <w:t>ēkas uzturēšanai un apsaimniekošanai uz desmit gadiem. Saskaņā ar Noteikumu Nr.735 7.2. apakšpunktu zemesgabala nomas maksa gadā tiek noteikta 1,5% apmērā no zemes kadastrālās vērtības</w:t>
            </w:r>
            <w:r w:rsidR="009A2701">
              <w:rPr>
                <w:sz w:val="24"/>
                <w:szCs w:val="24"/>
                <w:lang w:eastAsia="lv-LV"/>
              </w:rPr>
              <w:t xml:space="preserve">, </w:t>
            </w:r>
            <w:r w:rsidR="009A2701" w:rsidRPr="00BB6771">
              <w:rPr>
                <w:sz w:val="24"/>
                <w:szCs w:val="24"/>
                <w:u w:val="single"/>
                <w:lang w:eastAsia="lv-LV"/>
              </w:rPr>
              <w:t>kas visam zemesgabalam sastāda L</w:t>
            </w:r>
            <w:r w:rsidR="008C0876">
              <w:rPr>
                <w:sz w:val="24"/>
                <w:szCs w:val="24"/>
                <w:u w:val="single"/>
                <w:lang w:eastAsia="lv-LV"/>
              </w:rPr>
              <w:t>VL</w:t>
            </w:r>
            <w:r w:rsidR="009A2701" w:rsidRPr="00BB6771">
              <w:rPr>
                <w:sz w:val="24"/>
                <w:szCs w:val="24"/>
                <w:u w:val="single"/>
                <w:lang w:eastAsia="lv-LV"/>
              </w:rPr>
              <w:t xml:space="preserve"> </w:t>
            </w:r>
            <w:r w:rsidR="009A2701">
              <w:rPr>
                <w:sz w:val="24"/>
                <w:szCs w:val="24"/>
                <w:u w:val="single"/>
                <w:lang w:eastAsia="lv-LV"/>
              </w:rPr>
              <w:t>484,74,</w:t>
            </w:r>
            <w:r w:rsidR="009A2701" w:rsidRPr="00BB6771">
              <w:rPr>
                <w:sz w:val="24"/>
                <w:szCs w:val="24"/>
                <w:u w:val="single"/>
                <w:lang w:eastAsia="lv-LV"/>
              </w:rPr>
              <w:t xml:space="preserve"> bet bezatlīdzības lietošanā nododamajām </w:t>
            </w:r>
            <w:r w:rsidR="009A2701">
              <w:rPr>
                <w:sz w:val="24"/>
                <w:szCs w:val="24"/>
                <w:u w:val="single"/>
                <w:lang w:eastAsia="lv-LV"/>
              </w:rPr>
              <w:t xml:space="preserve">13257/30445 </w:t>
            </w:r>
            <w:r w:rsidR="009A2701" w:rsidRPr="00BB6771">
              <w:rPr>
                <w:sz w:val="24"/>
                <w:szCs w:val="24"/>
                <w:u w:val="single"/>
                <w:lang w:eastAsia="lv-LV"/>
              </w:rPr>
              <w:t>domājamām daļām no zemes vienības –</w:t>
            </w:r>
            <w:r w:rsidR="009A2701">
              <w:rPr>
                <w:sz w:val="24"/>
                <w:szCs w:val="24"/>
                <w:u w:val="single"/>
                <w:lang w:eastAsia="lv-LV"/>
              </w:rPr>
              <w:t xml:space="preserve">    </w:t>
            </w:r>
            <w:r w:rsidR="008C0876">
              <w:rPr>
                <w:sz w:val="24"/>
                <w:szCs w:val="24"/>
                <w:u w:val="single"/>
                <w:lang w:eastAsia="lv-LV"/>
              </w:rPr>
              <w:t xml:space="preserve"> LVL</w:t>
            </w:r>
            <w:r w:rsidR="009A2701" w:rsidRPr="00BB6771">
              <w:rPr>
                <w:sz w:val="24"/>
                <w:szCs w:val="24"/>
                <w:u w:val="single"/>
                <w:lang w:eastAsia="lv-LV"/>
              </w:rPr>
              <w:t xml:space="preserve"> </w:t>
            </w:r>
            <w:r w:rsidR="009A2701">
              <w:rPr>
                <w:sz w:val="24"/>
                <w:szCs w:val="24"/>
                <w:u w:val="single"/>
                <w:lang w:eastAsia="lv-LV"/>
              </w:rPr>
              <w:t>211,08.</w:t>
            </w:r>
          </w:p>
          <w:p w:rsidR="005057CF" w:rsidRDefault="005057CF" w:rsidP="00D912EF">
            <w:pPr>
              <w:ind w:firstLine="171"/>
              <w:rPr>
                <w:sz w:val="24"/>
                <w:szCs w:val="24"/>
                <w:lang w:eastAsia="lv-LV"/>
              </w:rPr>
            </w:pPr>
          </w:p>
          <w:p w:rsidR="00FE50F4" w:rsidRDefault="00FE50F4" w:rsidP="00FE50F4">
            <w:pPr>
              <w:ind w:firstLine="171"/>
              <w:rPr>
                <w:sz w:val="24"/>
                <w:szCs w:val="24"/>
                <w:lang w:eastAsia="lv-LV"/>
              </w:rPr>
            </w:pPr>
            <w:r w:rsidRPr="00FE50F4">
              <w:rPr>
                <w:b/>
                <w:sz w:val="24"/>
                <w:szCs w:val="24"/>
                <w:lang w:eastAsia="lv-LV"/>
              </w:rPr>
              <w:t>6.</w:t>
            </w:r>
            <w:r>
              <w:rPr>
                <w:sz w:val="24"/>
                <w:szCs w:val="24"/>
                <w:lang w:eastAsia="lv-LV"/>
              </w:rPr>
              <w:t xml:space="preserve"> N</w:t>
            </w:r>
            <w:r w:rsidRPr="00DF632D">
              <w:rPr>
                <w:sz w:val="24"/>
                <w:szCs w:val="24"/>
                <w:lang w:eastAsia="lv-LV"/>
              </w:rPr>
              <w:t>ekustam</w:t>
            </w:r>
            <w:r>
              <w:rPr>
                <w:sz w:val="24"/>
                <w:szCs w:val="24"/>
                <w:lang w:eastAsia="lv-LV"/>
              </w:rPr>
              <w:t>ais īpašums</w:t>
            </w:r>
            <w:r w:rsidRPr="00DF632D">
              <w:rPr>
                <w:sz w:val="24"/>
                <w:szCs w:val="24"/>
                <w:lang w:eastAsia="lv-LV"/>
              </w:rPr>
              <w:t xml:space="preserve"> (nekustamā īpašuma kadastra Nr.1700 </w:t>
            </w:r>
            <w:r>
              <w:rPr>
                <w:sz w:val="24"/>
                <w:szCs w:val="24"/>
                <w:lang w:eastAsia="lv-LV"/>
              </w:rPr>
              <w:t>044 0144) – zemes vienība</w:t>
            </w:r>
            <w:r w:rsidRPr="00DF632D">
              <w:rPr>
                <w:sz w:val="24"/>
                <w:szCs w:val="24"/>
                <w:lang w:eastAsia="lv-LV"/>
              </w:rPr>
              <w:t xml:space="preserve"> </w:t>
            </w:r>
            <w:r>
              <w:rPr>
                <w:sz w:val="24"/>
                <w:szCs w:val="24"/>
                <w:lang w:eastAsia="lv-LV"/>
              </w:rPr>
              <w:t>22856</w:t>
            </w:r>
            <w:r w:rsidRPr="00DF632D">
              <w:rPr>
                <w:sz w:val="24"/>
                <w:szCs w:val="24"/>
                <w:lang w:eastAsia="lv-LV"/>
              </w:rPr>
              <w:t xml:space="preserve"> m² platībā (zemes vienības kadastra apzīmējums 1700 </w:t>
            </w:r>
            <w:r>
              <w:rPr>
                <w:sz w:val="24"/>
                <w:szCs w:val="24"/>
                <w:lang w:eastAsia="lv-LV"/>
              </w:rPr>
              <w:t>044 0114</w:t>
            </w:r>
            <w:r w:rsidRPr="00DF632D">
              <w:rPr>
                <w:sz w:val="24"/>
                <w:szCs w:val="24"/>
                <w:lang w:eastAsia="lv-LV"/>
              </w:rPr>
              <w:t xml:space="preserve">) </w:t>
            </w:r>
            <w:r w:rsidRPr="007B5890">
              <w:rPr>
                <w:b/>
                <w:sz w:val="24"/>
                <w:szCs w:val="24"/>
                <w:lang w:eastAsia="lv-LV"/>
              </w:rPr>
              <w:t>Ganību ielā 197/205, Liepājā</w:t>
            </w:r>
            <w:r w:rsidRPr="00DF632D">
              <w:rPr>
                <w:sz w:val="24"/>
                <w:szCs w:val="24"/>
                <w:lang w:eastAsia="lv-LV"/>
              </w:rPr>
              <w:t xml:space="preserve">, kadastrālā vērtība uz 2012.gada 1.janvāri sastāda LVL </w:t>
            </w:r>
            <w:r>
              <w:rPr>
                <w:sz w:val="24"/>
                <w:szCs w:val="24"/>
                <w:lang w:eastAsia="lv-LV"/>
              </w:rPr>
              <w:t>187033.</w:t>
            </w:r>
          </w:p>
          <w:p w:rsidR="00FE50F4" w:rsidRDefault="00FE50F4" w:rsidP="00FE50F4">
            <w:pPr>
              <w:ind w:firstLine="171"/>
              <w:rPr>
                <w:sz w:val="24"/>
                <w:szCs w:val="24"/>
                <w:lang w:eastAsia="lv-LV"/>
              </w:rPr>
            </w:pPr>
            <w:r>
              <w:rPr>
                <w:sz w:val="24"/>
                <w:szCs w:val="24"/>
                <w:lang w:eastAsia="lv-LV"/>
              </w:rPr>
              <w:t xml:space="preserve">Īpašuma tiesības uz zemesgabalu ar zemesgrāmatu </w:t>
            </w:r>
            <w:r>
              <w:rPr>
                <w:sz w:val="24"/>
                <w:szCs w:val="24"/>
                <w:lang w:eastAsia="lv-LV"/>
              </w:rPr>
              <w:lastRenderedPageBreak/>
              <w:t xml:space="preserve">tiesneša 2001.gada 21.maija lēmumu nostiprinātas Liepājas pilsētas zemesgrāmatas nodalījumā Nr.100000002509 uz valsts vārda Finanšu ministrijas personā. Uz zemesgabala atrodas  LNB  piederoša ēka (kadastra Nr.1700 544 0114; īpašuma tiesības nostiprinātas ar zemesgrāmatu tiesneša 2002.gada 18.marta lēmumu Liepājas pilsētas zemesgrāmatas nodalījumā Nr.100000062833). </w:t>
            </w:r>
          </w:p>
          <w:p w:rsidR="005057CF" w:rsidRDefault="00CA505B" w:rsidP="00FE50F4">
            <w:pPr>
              <w:ind w:firstLine="171"/>
              <w:rPr>
                <w:sz w:val="24"/>
                <w:szCs w:val="24"/>
                <w:lang w:eastAsia="lv-LV"/>
              </w:rPr>
            </w:pPr>
            <w:r>
              <w:rPr>
                <w:sz w:val="24"/>
                <w:szCs w:val="24"/>
                <w:lang w:eastAsia="lv-LV"/>
              </w:rPr>
              <w:t xml:space="preserve">Kā informē </w:t>
            </w:r>
            <w:r w:rsidR="007B5890">
              <w:rPr>
                <w:sz w:val="24"/>
                <w:szCs w:val="24"/>
                <w:lang w:eastAsia="lv-LV"/>
              </w:rPr>
              <w:t xml:space="preserve">LNB </w:t>
            </w:r>
            <w:r>
              <w:rPr>
                <w:sz w:val="24"/>
                <w:szCs w:val="24"/>
                <w:lang w:eastAsia="lv-LV"/>
              </w:rPr>
              <w:t xml:space="preserve">Centrālā valde savā 2011.gada 8.novembra vēstulē Nr.01-06/91, ēkā </w:t>
            </w:r>
            <w:r w:rsidR="005057CF">
              <w:rPr>
                <w:sz w:val="24"/>
                <w:szCs w:val="24"/>
              </w:rPr>
              <w:t>atrodas SIA Neredzīgo biedrības Liepājas uzņēmums, Liepājas Neredzīgo biedrība, Liepājas teritoriālais rehabilitācijas dienas centrs, Neredzīgo sporta klubs, Latvijas Neredzīgo bibliotēkas filiāle</w:t>
            </w:r>
            <w:r>
              <w:rPr>
                <w:sz w:val="24"/>
                <w:szCs w:val="24"/>
              </w:rPr>
              <w:t>.</w:t>
            </w:r>
          </w:p>
          <w:p w:rsidR="000A1942" w:rsidRDefault="00FE50F4" w:rsidP="00EF07FC">
            <w:pPr>
              <w:ind w:firstLine="171"/>
              <w:rPr>
                <w:sz w:val="24"/>
                <w:szCs w:val="24"/>
                <w:lang w:eastAsia="lv-LV"/>
              </w:rPr>
            </w:pPr>
            <w:r>
              <w:rPr>
                <w:sz w:val="24"/>
                <w:szCs w:val="24"/>
                <w:lang w:eastAsia="lv-LV"/>
              </w:rPr>
              <w:t xml:space="preserve">Apbūvēta zemesgabala nomas līgums </w:t>
            </w:r>
            <w:proofErr w:type="spellStart"/>
            <w:r>
              <w:rPr>
                <w:sz w:val="24"/>
                <w:szCs w:val="24"/>
                <w:lang w:eastAsia="lv-LV"/>
              </w:rPr>
              <w:t>Nr.L-3320-z</w:t>
            </w:r>
            <w:proofErr w:type="spellEnd"/>
            <w:r>
              <w:rPr>
                <w:sz w:val="24"/>
                <w:szCs w:val="24"/>
                <w:lang w:eastAsia="lv-LV"/>
              </w:rPr>
              <w:t>/2 starp VNĪ un LNB noslēgts 2010.gada 5.oktobrī LNB piederošo ēku un būvju uzturēšanai un apsaimniekošanai uz desmit gadiem. Saskaņā ar Noteikumu Nr.735 7.2. apakšpunktu zemesgabala nomas maksa gadā tiek noteikta 1,5% apmēr</w:t>
            </w:r>
            <w:r w:rsidR="00EF07FC">
              <w:rPr>
                <w:sz w:val="24"/>
                <w:szCs w:val="24"/>
                <w:lang w:eastAsia="lv-LV"/>
              </w:rPr>
              <w:t>ā no zemes kadastrālās vērtības</w:t>
            </w:r>
            <w:r w:rsidR="008C0876">
              <w:rPr>
                <w:sz w:val="24"/>
                <w:szCs w:val="24"/>
                <w:lang w:eastAsia="lv-LV"/>
              </w:rPr>
              <w:t xml:space="preserve">, </w:t>
            </w:r>
            <w:r w:rsidR="008C0876" w:rsidRPr="008C0876">
              <w:rPr>
                <w:sz w:val="24"/>
                <w:szCs w:val="24"/>
                <w:u w:val="single"/>
                <w:lang w:eastAsia="lv-LV"/>
              </w:rPr>
              <w:t>kas sastāda LVL 2805,50.</w:t>
            </w:r>
          </w:p>
          <w:p w:rsidR="00AF5B2B" w:rsidRPr="00AF5B2B" w:rsidRDefault="00AF5B2B" w:rsidP="00D0758F">
            <w:pPr>
              <w:ind w:firstLine="0"/>
              <w:rPr>
                <w:sz w:val="24"/>
                <w:szCs w:val="24"/>
                <w:u w:val="single"/>
                <w:lang w:eastAsia="lv-LV"/>
              </w:rPr>
            </w:pPr>
          </w:p>
        </w:tc>
      </w:tr>
      <w:tr w:rsidR="000A1942" w:rsidRPr="00687C0A" w:rsidTr="003766AB">
        <w:trPr>
          <w:trHeight w:val="707"/>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ind w:firstLine="0"/>
              <w:jc w:val="left"/>
              <w:rPr>
                <w:sz w:val="24"/>
                <w:szCs w:val="24"/>
                <w:lang w:eastAsia="lv-LV"/>
              </w:rPr>
            </w:pPr>
            <w:r w:rsidRPr="00687C0A">
              <w:rPr>
                <w:sz w:val="24"/>
                <w:szCs w:val="24"/>
                <w:lang w:eastAsia="lv-LV"/>
              </w:rPr>
              <w:t> Saistītie politikas ietekmes novērtējumi un pētījumi</w:t>
            </w:r>
          </w:p>
        </w:tc>
        <w:tc>
          <w:tcPr>
            <w:tcW w:w="558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ind w:firstLine="125"/>
              <w:rPr>
                <w:sz w:val="24"/>
                <w:szCs w:val="24"/>
                <w:lang w:eastAsia="lv-LV"/>
              </w:rPr>
            </w:pPr>
            <w:r w:rsidRPr="00687C0A">
              <w:rPr>
                <w:sz w:val="24"/>
                <w:szCs w:val="24"/>
                <w:lang w:eastAsia="lv-LV"/>
              </w:rPr>
              <w:t> </w:t>
            </w:r>
            <w:r>
              <w:rPr>
                <w:sz w:val="24"/>
                <w:szCs w:val="24"/>
                <w:lang w:eastAsia="lv-LV"/>
              </w:rPr>
              <w:t>Projekts šo jomu neskar.</w:t>
            </w:r>
          </w:p>
        </w:tc>
      </w:tr>
      <w:tr w:rsidR="000A1942" w:rsidRPr="00687C0A" w:rsidTr="003766AB">
        <w:trPr>
          <w:trHeight w:val="384"/>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4.</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Tiesiskā regulējuma mērķis un būtība</w:t>
            </w:r>
          </w:p>
        </w:tc>
        <w:tc>
          <w:tcPr>
            <w:tcW w:w="5586" w:type="dxa"/>
            <w:tcBorders>
              <w:top w:val="outset" w:sz="6" w:space="0" w:color="auto"/>
              <w:left w:val="outset" w:sz="6" w:space="0" w:color="auto"/>
              <w:bottom w:val="outset" w:sz="6" w:space="0" w:color="auto"/>
              <w:right w:val="outset" w:sz="6" w:space="0" w:color="auto"/>
            </w:tcBorders>
          </w:tcPr>
          <w:p w:rsidR="000A1942" w:rsidRPr="00CF4B75" w:rsidRDefault="009B403D" w:rsidP="00CF4B75">
            <w:pPr>
              <w:tabs>
                <w:tab w:val="left" w:pos="8820"/>
              </w:tabs>
              <w:ind w:firstLine="125"/>
              <w:rPr>
                <w:sz w:val="24"/>
                <w:szCs w:val="24"/>
              </w:rPr>
            </w:pPr>
            <w:r>
              <w:rPr>
                <w:sz w:val="24"/>
                <w:szCs w:val="24"/>
              </w:rPr>
              <w:t xml:space="preserve"> </w:t>
            </w:r>
            <w:r w:rsidR="000A1942" w:rsidRPr="00CF4B75">
              <w:rPr>
                <w:sz w:val="24"/>
                <w:szCs w:val="24"/>
              </w:rPr>
              <w:t>Anotācijas I sadaļas 2.punktā minētās problēmas tiks atrisinātas pilnībā.</w:t>
            </w:r>
          </w:p>
          <w:p w:rsidR="009B403D" w:rsidRPr="00CF4B75" w:rsidRDefault="003447DF" w:rsidP="003447DF">
            <w:pPr>
              <w:ind w:firstLine="171"/>
              <w:rPr>
                <w:sz w:val="24"/>
                <w:szCs w:val="24"/>
                <w:lang w:eastAsia="lv-LV"/>
              </w:rPr>
            </w:pPr>
            <w:r>
              <w:rPr>
                <w:sz w:val="24"/>
                <w:szCs w:val="24"/>
                <w:lang w:eastAsia="lv-LV"/>
              </w:rPr>
              <w:t>Izpildot ar Ministru prezidenta rezolūciju doto uzdevumu</w:t>
            </w:r>
            <w:r w:rsidR="007B5890">
              <w:rPr>
                <w:sz w:val="24"/>
                <w:szCs w:val="24"/>
                <w:lang w:eastAsia="lv-LV"/>
              </w:rPr>
              <w:t>,</w:t>
            </w:r>
            <w:r>
              <w:rPr>
                <w:sz w:val="24"/>
                <w:szCs w:val="24"/>
                <w:lang w:eastAsia="lv-LV"/>
              </w:rPr>
              <w:t xml:space="preserve"> un</w:t>
            </w:r>
            <w:r w:rsidR="00641A9B">
              <w:rPr>
                <w:sz w:val="24"/>
                <w:szCs w:val="24"/>
                <w:lang w:eastAsia="lv-LV"/>
              </w:rPr>
              <w:t>,</w:t>
            </w:r>
            <w:r>
              <w:rPr>
                <w:sz w:val="24"/>
                <w:szCs w:val="24"/>
                <w:lang w:eastAsia="lv-LV"/>
              </w:rPr>
              <w:t xml:space="preserve"> l</w:t>
            </w:r>
            <w:r w:rsidR="00CF4B75">
              <w:rPr>
                <w:sz w:val="24"/>
                <w:szCs w:val="24"/>
                <w:lang w:eastAsia="lv-LV"/>
              </w:rPr>
              <w:t>ai veicinātu</w:t>
            </w:r>
            <w:r w:rsidR="00CF4B75" w:rsidRPr="00CF4B75">
              <w:rPr>
                <w:sz w:val="24"/>
                <w:szCs w:val="24"/>
                <w:lang w:eastAsia="lv-LV"/>
              </w:rPr>
              <w:t xml:space="preserve"> cilvēku ar redzes invaliditāti interešu aizstāvību, integrējot šos cilvēkus sabiedrībā, uzlabojot dzīves kvalitāti, nodrošinot viņu interešu aizstāvību, sekmējot personu ar redzes invaliditāti izglītību, kultūru, sportu, sociālo rehabilitāciju, arodapmācību, nodarbinātību un apgādi ar tehniskajiem palīglīdzekļiem, nodrošinot vides un informācijas pieejamību, tādējādi veicinot pil</w:t>
            </w:r>
            <w:r w:rsidR="00CF4B75">
              <w:rPr>
                <w:sz w:val="24"/>
                <w:szCs w:val="24"/>
                <w:lang w:eastAsia="lv-LV"/>
              </w:rPr>
              <w:t>soniskas sabiedrības veidošanos</w:t>
            </w:r>
            <w:r w:rsidR="007B5890">
              <w:rPr>
                <w:sz w:val="24"/>
                <w:szCs w:val="24"/>
                <w:lang w:eastAsia="lv-LV"/>
              </w:rPr>
              <w:t>,</w:t>
            </w:r>
            <w:r w:rsidR="00CF4B75">
              <w:rPr>
                <w:sz w:val="24"/>
                <w:szCs w:val="24"/>
                <w:lang w:eastAsia="lv-LV"/>
              </w:rPr>
              <w:t xml:space="preserve"> ir sagatavots </w:t>
            </w:r>
            <w:r w:rsidR="009B403D" w:rsidRPr="00CF4B75">
              <w:rPr>
                <w:sz w:val="24"/>
                <w:szCs w:val="24"/>
              </w:rPr>
              <w:t>Ministru kabineta rīkojuma projekts</w:t>
            </w:r>
            <w:r w:rsidR="00CF4B75">
              <w:rPr>
                <w:sz w:val="24"/>
                <w:szCs w:val="24"/>
              </w:rPr>
              <w:t>, kas</w:t>
            </w:r>
            <w:r w:rsidR="009B403D" w:rsidRPr="00CF4B75">
              <w:rPr>
                <w:sz w:val="24"/>
                <w:szCs w:val="24"/>
              </w:rPr>
              <w:t xml:space="preserve"> paredz </w:t>
            </w:r>
            <w:r w:rsidR="009B403D" w:rsidRPr="00CF4B75">
              <w:rPr>
                <w:sz w:val="24"/>
                <w:szCs w:val="24"/>
                <w:lang w:eastAsia="lv-LV"/>
              </w:rPr>
              <w:t xml:space="preserve">nodot sabiedriskā labuma organizācijai biedrībai "Latvijas Neredzīgo biedrība” bezatlīdzības lietošanā </w:t>
            </w:r>
            <w:r w:rsidR="006F4DA2" w:rsidRPr="00CF4B75">
              <w:rPr>
                <w:sz w:val="24"/>
                <w:szCs w:val="24"/>
                <w:lang w:eastAsia="lv-LV"/>
              </w:rPr>
              <w:t xml:space="preserve">uz laiku līdz 10 gadiem </w:t>
            </w:r>
            <w:r w:rsidR="009B403D" w:rsidRPr="00CF4B75">
              <w:rPr>
                <w:sz w:val="24"/>
                <w:szCs w:val="24"/>
                <w:lang w:eastAsia="lv-LV"/>
              </w:rPr>
              <w:t xml:space="preserve">sešas </w:t>
            </w:r>
            <w:r w:rsidR="007C46D0" w:rsidRPr="00CF4B75">
              <w:rPr>
                <w:sz w:val="24"/>
                <w:szCs w:val="24"/>
                <w:lang w:eastAsia="lv-LV"/>
              </w:rPr>
              <w:t xml:space="preserve">valstij piederošas </w:t>
            </w:r>
            <w:r w:rsidR="00390FBA" w:rsidRPr="00CF4B75">
              <w:rPr>
                <w:sz w:val="24"/>
                <w:szCs w:val="24"/>
                <w:lang w:eastAsia="lv-LV"/>
              </w:rPr>
              <w:t>zemes vienības:</w:t>
            </w:r>
          </w:p>
          <w:p w:rsidR="007C46D0" w:rsidRPr="00CF4B75" w:rsidRDefault="007C46D0" w:rsidP="00CF4B75">
            <w:pPr>
              <w:tabs>
                <w:tab w:val="left" w:pos="8820"/>
              </w:tabs>
              <w:ind w:firstLine="125"/>
              <w:rPr>
                <w:sz w:val="24"/>
                <w:szCs w:val="24"/>
                <w:lang w:eastAsia="lv-LV"/>
              </w:rPr>
            </w:pPr>
            <w:proofErr w:type="spellStart"/>
            <w:r w:rsidRPr="00CF4B75">
              <w:rPr>
                <w:sz w:val="24"/>
                <w:szCs w:val="24"/>
                <w:lang w:eastAsia="lv-LV"/>
              </w:rPr>
              <w:t>Bukmuižas</w:t>
            </w:r>
            <w:proofErr w:type="spellEnd"/>
            <w:r w:rsidRPr="00CF4B75">
              <w:rPr>
                <w:sz w:val="24"/>
                <w:szCs w:val="24"/>
                <w:lang w:eastAsia="lv-LV"/>
              </w:rPr>
              <w:t xml:space="preserve"> ielā 20, Rēzeknē,</w:t>
            </w:r>
          </w:p>
          <w:p w:rsidR="007C46D0" w:rsidRPr="00390FBA" w:rsidRDefault="007C46D0" w:rsidP="009B403D">
            <w:pPr>
              <w:tabs>
                <w:tab w:val="left" w:pos="8820"/>
              </w:tabs>
              <w:ind w:firstLine="125"/>
              <w:rPr>
                <w:sz w:val="24"/>
                <w:szCs w:val="24"/>
                <w:lang w:eastAsia="lv-LV"/>
              </w:rPr>
            </w:pPr>
            <w:r w:rsidRPr="00390FBA">
              <w:rPr>
                <w:sz w:val="24"/>
                <w:szCs w:val="24"/>
                <w:lang w:eastAsia="lv-LV"/>
              </w:rPr>
              <w:t>Baldones ielā 16, Ventspilī,</w:t>
            </w:r>
          </w:p>
          <w:p w:rsidR="007C46D0" w:rsidRPr="00390FBA" w:rsidRDefault="007C46D0" w:rsidP="009B403D">
            <w:pPr>
              <w:tabs>
                <w:tab w:val="left" w:pos="8820"/>
              </w:tabs>
              <w:ind w:firstLine="125"/>
              <w:rPr>
                <w:sz w:val="24"/>
                <w:szCs w:val="24"/>
                <w:lang w:eastAsia="lv-LV"/>
              </w:rPr>
            </w:pPr>
            <w:r w:rsidRPr="00390FBA">
              <w:rPr>
                <w:sz w:val="24"/>
                <w:szCs w:val="24"/>
                <w:lang w:eastAsia="lv-LV"/>
              </w:rPr>
              <w:t>Krūmu ielā 28, Liepājā</w:t>
            </w:r>
            <w:r w:rsidR="00390FBA" w:rsidRPr="00390FBA">
              <w:rPr>
                <w:sz w:val="24"/>
                <w:szCs w:val="24"/>
                <w:lang w:eastAsia="lv-LV"/>
              </w:rPr>
              <w:t xml:space="preserve"> (431</w:t>
            </w:r>
            <w:r w:rsidR="00D03968">
              <w:rPr>
                <w:sz w:val="24"/>
                <w:szCs w:val="24"/>
                <w:lang w:eastAsia="lv-LV"/>
              </w:rPr>
              <w:t>4/12019</w:t>
            </w:r>
            <w:r w:rsidR="00390FBA" w:rsidRPr="00390FBA">
              <w:rPr>
                <w:sz w:val="24"/>
                <w:szCs w:val="24"/>
                <w:lang w:eastAsia="lv-LV"/>
              </w:rPr>
              <w:t xml:space="preserve"> domājam</w:t>
            </w:r>
            <w:r w:rsidR="00390FBA">
              <w:rPr>
                <w:sz w:val="24"/>
                <w:szCs w:val="24"/>
                <w:lang w:eastAsia="lv-LV"/>
              </w:rPr>
              <w:t>ā</w:t>
            </w:r>
            <w:r w:rsidR="00D03968">
              <w:rPr>
                <w:sz w:val="24"/>
                <w:szCs w:val="24"/>
                <w:lang w:eastAsia="lv-LV"/>
              </w:rPr>
              <w:t>s</w:t>
            </w:r>
            <w:r w:rsidR="00390FBA" w:rsidRPr="00390FBA">
              <w:rPr>
                <w:sz w:val="24"/>
                <w:szCs w:val="24"/>
                <w:lang w:eastAsia="lv-LV"/>
              </w:rPr>
              <w:t xml:space="preserve"> da</w:t>
            </w:r>
            <w:r w:rsidR="00390FBA">
              <w:rPr>
                <w:sz w:val="24"/>
                <w:szCs w:val="24"/>
                <w:lang w:eastAsia="lv-LV"/>
              </w:rPr>
              <w:t>ļa</w:t>
            </w:r>
            <w:r w:rsidR="00D03968">
              <w:rPr>
                <w:sz w:val="24"/>
                <w:szCs w:val="24"/>
                <w:lang w:eastAsia="lv-LV"/>
              </w:rPr>
              <w:t>s</w:t>
            </w:r>
            <w:r w:rsidR="00390FBA" w:rsidRPr="00390FBA">
              <w:rPr>
                <w:sz w:val="24"/>
                <w:szCs w:val="24"/>
                <w:lang w:eastAsia="lv-LV"/>
              </w:rPr>
              <w:t>)</w:t>
            </w:r>
          </w:p>
          <w:p w:rsidR="007C46D0" w:rsidRPr="00390FBA" w:rsidRDefault="007C46D0" w:rsidP="009B403D">
            <w:pPr>
              <w:tabs>
                <w:tab w:val="left" w:pos="8820"/>
              </w:tabs>
              <w:ind w:firstLine="125"/>
              <w:rPr>
                <w:sz w:val="24"/>
                <w:szCs w:val="24"/>
                <w:lang w:eastAsia="lv-LV"/>
              </w:rPr>
            </w:pPr>
            <w:r w:rsidRPr="00390FBA">
              <w:rPr>
                <w:sz w:val="24"/>
                <w:szCs w:val="24"/>
                <w:lang w:eastAsia="lv-LV"/>
              </w:rPr>
              <w:t>Dunikas ielā 5A, Liepājā</w:t>
            </w:r>
            <w:r w:rsidR="00390FBA">
              <w:rPr>
                <w:sz w:val="24"/>
                <w:szCs w:val="24"/>
                <w:lang w:eastAsia="lv-LV"/>
              </w:rPr>
              <w:t xml:space="preserve"> (942</w:t>
            </w:r>
            <w:r w:rsidR="00D03968">
              <w:rPr>
                <w:sz w:val="24"/>
                <w:szCs w:val="24"/>
                <w:lang w:eastAsia="lv-LV"/>
              </w:rPr>
              <w:t>4</w:t>
            </w:r>
            <w:r w:rsidR="00390FBA">
              <w:rPr>
                <w:sz w:val="24"/>
                <w:szCs w:val="24"/>
                <w:lang w:eastAsia="lv-LV"/>
              </w:rPr>
              <w:t>/3006</w:t>
            </w:r>
            <w:r w:rsidR="00D03968">
              <w:rPr>
                <w:sz w:val="24"/>
                <w:szCs w:val="24"/>
                <w:lang w:eastAsia="lv-LV"/>
              </w:rPr>
              <w:t>2</w:t>
            </w:r>
            <w:r w:rsidR="00390FBA">
              <w:rPr>
                <w:sz w:val="24"/>
                <w:szCs w:val="24"/>
                <w:lang w:eastAsia="lv-LV"/>
              </w:rPr>
              <w:t xml:space="preserve"> domājamās daļas)</w:t>
            </w:r>
          </w:p>
          <w:p w:rsidR="00390FBA" w:rsidRDefault="007C46D0" w:rsidP="00390FBA">
            <w:pPr>
              <w:tabs>
                <w:tab w:val="left" w:pos="3450"/>
              </w:tabs>
              <w:ind w:firstLine="125"/>
              <w:rPr>
                <w:sz w:val="24"/>
                <w:szCs w:val="24"/>
                <w:lang w:eastAsia="lv-LV"/>
              </w:rPr>
            </w:pPr>
            <w:r w:rsidRPr="00390FBA">
              <w:rPr>
                <w:sz w:val="24"/>
                <w:szCs w:val="24"/>
                <w:lang w:eastAsia="lv-LV"/>
              </w:rPr>
              <w:t>Dunikas ielā 1A, Liepājā</w:t>
            </w:r>
            <w:r w:rsidR="00D03968">
              <w:rPr>
                <w:sz w:val="24"/>
                <w:szCs w:val="24"/>
                <w:lang w:eastAsia="lv-LV"/>
              </w:rPr>
              <w:t xml:space="preserve"> (13257/30445</w:t>
            </w:r>
            <w:r w:rsidR="00390FBA">
              <w:rPr>
                <w:sz w:val="24"/>
                <w:szCs w:val="24"/>
                <w:lang w:eastAsia="lv-LV"/>
              </w:rPr>
              <w:t xml:space="preserve"> domājamās daļas)</w:t>
            </w:r>
          </w:p>
          <w:p w:rsidR="006F4DA2" w:rsidRPr="00390FBA" w:rsidRDefault="007C46D0" w:rsidP="003447DF">
            <w:pPr>
              <w:tabs>
                <w:tab w:val="left" w:pos="3450"/>
              </w:tabs>
              <w:ind w:firstLine="125"/>
              <w:rPr>
                <w:sz w:val="24"/>
                <w:szCs w:val="24"/>
                <w:lang w:eastAsia="lv-LV"/>
              </w:rPr>
            </w:pPr>
            <w:r w:rsidRPr="00390FBA">
              <w:rPr>
                <w:sz w:val="24"/>
                <w:szCs w:val="24"/>
                <w:lang w:eastAsia="lv-LV"/>
              </w:rPr>
              <w:t>Ganību ielā 197/205, Liepājā</w:t>
            </w:r>
          </w:p>
        </w:tc>
      </w:tr>
      <w:tr w:rsidR="000A1942" w:rsidRPr="00687C0A" w:rsidTr="003766AB">
        <w:trPr>
          <w:trHeight w:val="476"/>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lastRenderedPageBreak/>
              <w:t> 5.</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Projekta izstrādē iesaistītās institūcijas</w:t>
            </w:r>
          </w:p>
        </w:tc>
        <w:tc>
          <w:tcPr>
            <w:tcW w:w="5586" w:type="dxa"/>
            <w:tcBorders>
              <w:top w:val="outset" w:sz="6" w:space="0" w:color="auto"/>
              <w:left w:val="outset" w:sz="6" w:space="0" w:color="auto"/>
              <w:bottom w:val="outset" w:sz="6" w:space="0" w:color="auto"/>
              <w:right w:val="outset" w:sz="6" w:space="0" w:color="auto"/>
            </w:tcBorders>
          </w:tcPr>
          <w:p w:rsidR="000A1942" w:rsidRPr="00F41ADA" w:rsidRDefault="000A1942" w:rsidP="003766AB">
            <w:pPr>
              <w:spacing w:before="100" w:beforeAutospacing="1" w:after="100" w:afterAutospacing="1"/>
              <w:ind w:firstLine="125"/>
              <w:jc w:val="left"/>
              <w:rPr>
                <w:sz w:val="24"/>
                <w:szCs w:val="24"/>
                <w:lang w:eastAsia="lv-LV"/>
              </w:rPr>
            </w:pPr>
            <w:r w:rsidRPr="00F41ADA">
              <w:rPr>
                <w:sz w:val="24"/>
                <w:szCs w:val="24"/>
                <w:lang w:eastAsia="lv-LV"/>
              </w:rPr>
              <w:t xml:space="preserve">VNĪ </w:t>
            </w:r>
          </w:p>
        </w:tc>
      </w:tr>
      <w:tr w:rsidR="000A1942" w:rsidRPr="00687C0A" w:rsidTr="003766AB">
        <w:trPr>
          <w:trHeight w:val="1340"/>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Iemesli, kādēļ netika nodrošināta sabiedrības līdzdalība</w:t>
            </w:r>
          </w:p>
        </w:tc>
        <w:tc>
          <w:tcPr>
            <w:tcW w:w="5586" w:type="dxa"/>
            <w:tcBorders>
              <w:top w:val="outset" w:sz="6" w:space="0" w:color="auto"/>
              <w:left w:val="outset" w:sz="6" w:space="0" w:color="auto"/>
              <w:bottom w:val="outset" w:sz="6" w:space="0" w:color="auto"/>
              <w:right w:val="outset" w:sz="6" w:space="0" w:color="auto"/>
            </w:tcBorders>
          </w:tcPr>
          <w:p w:rsidR="000A1942" w:rsidRPr="00EC33AC" w:rsidRDefault="000A1942" w:rsidP="00AD2499">
            <w:pPr>
              <w:ind w:firstLine="125"/>
              <w:rPr>
                <w:sz w:val="24"/>
                <w:szCs w:val="24"/>
                <w:lang w:eastAsia="lv-LV"/>
              </w:rPr>
            </w:pPr>
            <w:r w:rsidRPr="00F01415">
              <w:rPr>
                <w:sz w:val="24"/>
                <w:szCs w:val="24"/>
                <w:lang w:eastAsia="lv-LV"/>
              </w:rPr>
              <w:t>Rīkojuma projektu izstrādā VNĪ savu funkciju un uzdevumu ietvaros saskaņā ar normatīvos aktos noteikto deleģējumu, jo rīkojuma projektā paredzētā</w:t>
            </w:r>
            <w:r w:rsidR="00F01415" w:rsidRPr="00F01415">
              <w:rPr>
                <w:sz w:val="24"/>
                <w:szCs w:val="24"/>
                <w:lang w:eastAsia="lv-LV"/>
              </w:rPr>
              <w:t>s darbības skar nelielu sabiedrības da</w:t>
            </w:r>
            <w:r w:rsidR="00AD2499">
              <w:rPr>
                <w:sz w:val="24"/>
                <w:szCs w:val="24"/>
                <w:lang w:eastAsia="lv-LV"/>
              </w:rPr>
              <w:t>ļu, kuru intereses aizstāv</w:t>
            </w:r>
            <w:r w:rsidR="00F01415" w:rsidRPr="00F01415">
              <w:rPr>
                <w:sz w:val="24"/>
                <w:szCs w:val="24"/>
                <w:lang w:eastAsia="lv-LV"/>
              </w:rPr>
              <w:t xml:space="preserve"> sabiedriskā labuma organizācija</w:t>
            </w:r>
            <w:r w:rsidR="00AD2499">
              <w:rPr>
                <w:sz w:val="24"/>
                <w:szCs w:val="24"/>
                <w:lang w:eastAsia="lv-LV"/>
              </w:rPr>
              <w:t xml:space="preserve"> </w:t>
            </w:r>
            <w:r w:rsidR="00AD2499" w:rsidRPr="00CF4B75">
              <w:rPr>
                <w:sz w:val="24"/>
                <w:szCs w:val="24"/>
                <w:lang w:eastAsia="lv-LV"/>
              </w:rPr>
              <w:t>"Latvijas Neredzīgo biedrība”</w:t>
            </w:r>
            <w:r w:rsidR="00AD2499">
              <w:rPr>
                <w:sz w:val="24"/>
                <w:szCs w:val="24"/>
                <w:lang w:eastAsia="lv-LV"/>
              </w:rPr>
              <w:t>.</w:t>
            </w:r>
          </w:p>
        </w:tc>
      </w:tr>
      <w:tr w:rsidR="000A1942" w:rsidRPr="00687C0A" w:rsidTr="003766AB">
        <w:trPr>
          <w:tblCellSpacing w:w="0" w:type="dxa"/>
        </w:trPr>
        <w:tc>
          <w:tcPr>
            <w:tcW w:w="52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7.</w:t>
            </w:r>
          </w:p>
        </w:tc>
        <w:tc>
          <w:tcPr>
            <w:tcW w:w="2989"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586" w:type="dxa"/>
            <w:tcBorders>
              <w:top w:val="outset" w:sz="6" w:space="0" w:color="auto"/>
              <w:left w:val="outset" w:sz="6" w:space="0" w:color="auto"/>
              <w:bottom w:val="outset" w:sz="6" w:space="0" w:color="auto"/>
              <w:right w:val="outset" w:sz="6" w:space="0" w:color="auto"/>
            </w:tcBorders>
          </w:tcPr>
          <w:p w:rsidR="000A1942" w:rsidRPr="00C00190" w:rsidRDefault="000A1942" w:rsidP="00C00190">
            <w:pPr>
              <w:spacing w:before="100" w:beforeAutospacing="1" w:after="100" w:afterAutospacing="1"/>
              <w:ind w:firstLine="0"/>
              <w:rPr>
                <w:sz w:val="24"/>
                <w:szCs w:val="24"/>
                <w:u w:val="single"/>
                <w:lang w:eastAsia="lv-LV"/>
              </w:rPr>
            </w:pPr>
            <w:r w:rsidRPr="00687C0A">
              <w:rPr>
                <w:sz w:val="24"/>
                <w:szCs w:val="24"/>
                <w:lang w:eastAsia="lv-LV"/>
              </w:rPr>
              <w:t> </w:t>
            </w:r>
            <w:r w:rsidR="00C00190" w:rsidRPr="00C00190">
              <w:rPr>
                <w:sz w:val="24"/>
                <w:szCs w:val="24"/>
                <w:u w:val="single"/>
                <w:lang w:eastAsia="lv-LV"/>
              </w:rPr>
              <w:t>LNB ir informēti, ka bezatlīdzības lietošanā tiks nodotas domājamās daļas no konkrētiem īpa</w:t>
            </w:r>
            <w:r w:rsidR="00C00190">
              <w:rPr>
                <w:sz w:val="24"/>
                <w:szCs w:val="24"/>
                <w:u w:val="single"/>
                <w:lang w:eastAsia="lv-LV"/>
              </w:rPr>
              <w:t>šumiem, par kuru apjomu LNB paši ir snieguši informāciju 2011.gada 8.novembra vēstulē Nr.01-06/91.</w:t>
            </w:r>
          </w:p>
        </w:tc>
      </w:tr>
    </w:tbl>
    <w:p w:rsidR="000A1942" w:rsidRPr="00687C0A" w:rsidRDefault="000A1942" w:rsidP="000A1942">
      <w:pPr>
        <w:spacing w:before="100" w:beforeAutospacing="1" w:after="100" w:afterAutospacing="1"/>
        <w:ind w:firstLine="0"/>
        <w:jc w:val="left"/>
        <w:rPr>
          <w:sz w:val="24"/>
          <w:szCs w:val="24"/>
          <w:lang w:eastAsia="lv-LV"/>
        </w:rPr>
      </w:pPr>
      <w:r w:rsidRPr="00687C0A">
        <w:rPr>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7"/>
        <w:gridCol w:w="2998"/>
        <w:gridCol w:w="5586"/>
      </w:tblGrid>
      <w:tr w:rsidR="000A1942" w:rsidRPr="00687C0A" w:rsidTr="003766AB">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0A1942" w:rsidRPr="003C5A87" w:rsidRDefault="000A1942" w:rsidP="003766AB">
            <w:pPr>
              <w:spacing w:before="100" w:beforeAutospacing="1" w:after="100" w:afterAutospacing="1"/>
              <w:ind w:firstLine="0"/>
              <w:jc w:val="left"/>
              <w:rPr>
                <w:b/>
                <w:sz w:val="24"/>
                <w:szCs w:val="24"/>
                <w:lang w:eastAsia="lv-LV"/>
              </w:rPr>
            </w:pPr>
            <w:r w:rsidRPr="00687C0A">
              <w:rPr>
                <w:sz w:val="24"/>
                <w:szCs w:val="24"/>
                <w:lang w:eastAsia="lv-LV"/>
              </w:rPr>
              <w:t> </w:t>
            </w:r>
            <w:r w:rsidRPr="003C5A87">
              <w:rPr>
                <w:b/>
                <w:sz w:val="24"/>
                <w:szCs w:val="24"/>
                <w:lang w:eastAsia="lv-LV"/>
              </w:rPr>
              <w:t>II. Tiesību akta projekta ietekme uz sabiedrību</w:t>
            </w:r>
          </w:p>
        </w:tc>
      </w:tr>
      <w:tr w:rsidR="000A1942" w:rsidRPr="00687C0A" w:rsidTr="003766AB">
        <w:trPr>
          <w:trHeight w:val="467"/>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xml:space="preserve"> Sabiedrības </w:t>
            </w:r>
            <w:proofErr w:type="spellStart"/>
            <w:r w:rsidRPr="00687C0A">
              <w:rPr>
                <w:sz w:val="24"/>
                <w:szCs w:val="24"/>
                <w:lang w:eastAsia="lv-LV"/>
              </w:rPr>
              <w:t>mērķgrupa</w:t>
            </w:r>
            <w:proofErr w:type="spellEnd"/>
          </w:p>
        </w:tc>
        <w:tc>
          <w:tcPr>
            <w:tcW w:w="5586" w:type="dxa"/>
            <w:tcBorders>
              <w:top w:val="outset" w:sz="6" w:space="0" w:color="auto"/>
              <w:left w:val="outset" w:sz="6" w:space="0" w:color="auto"/>
              <w:bottom w:val="outset" w:sz="6" w:space="0" w:color="auto"/>
              <w:right w:val="outset" w:sz="6" w:space="0" w:color="auto"/>
            </w:tcBorders>
          </w:tcPr>
          <w:p w:rsidR="000A1942" w:rsidRPr="003243FC" w:rsidRDefault="00910939" w:rsidP="003766AB">
            <w:pPr>
              <w:ind w:firstLine="125"/>
              <w:rPr>
                <w:sz w:val="24"/>
                <w:szCs w:val="24"/>
                <w:lang w:eastAsia="lv-LV"/>
              </w:rPr>
            </w:pPr>
            <w:r>
              <w:rPr>
                <w:sz w:val="24"/>
                <w:szCs w:val="24"/>
                <w:lang w:eastAsia="lv-LV"/>
              </w:rPr>
              <w:t>Personas ar redzes invaliditāti.</w:t>
            </w:r>
          </w:p>
        </w:tc>
      </w:tr>
      <w:tr w:rsidR="000A1942" w:rsidRPr="00687C0A" w:rsidTr="003766AB">
        <w:trPr>
          <w:trHeight w:val="523"/>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xml:space="preserve"> Citas sabiedrības grupas (bez </w:t>
            </w:r>
            <w:proofErr w:type="spellStart"/>
            <w:r w:rsidRPr="00687C0A">
              <w:rPr>
                <w:sz w:val="24"/>
                <w:szCs w:val="24"/>
                <w:lang w:eastAsia="lv-LV"/>
              </w:rPr>
              <w:t>mērķgrupas</w:t>
            </w:r>
            <w:proofErr w:type="spellEnd"/>
            <w:r w:rsidRPr="00687C0A">
              <w:rPr>
                <w:sz w:val="24"/>
                <w:szCs w:val="24"/>
                <w:lang w:eastAsia="lv-LV"/>
              </w:rPr>
              <w:t>), kuras tiesiskais regulējums arī ietekmē vai varētu ietekmēt</w:t>
            </w:r>
          </w:p>
        </w:tc>
        <w:tc>
          <w:tcPr>
            <w:tcW w:w="558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125"/>
              <w:rPr>
                <w:sz w:val="24"/>
                <w:szCs w:val="24"/>
                <w:lang w:eastAsia="lv-LV"/>
              </w:rPr>
            </w:pPr>
            <w:r>
              <w:rPr>
                <w:sz w:val="24"/>
                <w:szCs w:val="24"/>
                <w:lang w:eastAsia="lv-LV"/>
              </w:rPr>
              <w:t>Projekts šo jomu neskar.</w:t>
            </w:r>
          </w:p>
        </w:tc>
      </w:tr>
      <w:tr w:rsidR="000A1942" w:rsidRPr="00687C0A" w:rsidTr="003766AB">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Tiesiskā regulējuma finansiālā ietekme</w:t>
            </w:r>
          </w:p>
        </w:tc>
        <w:tc>
          <w:tcPr>
            <w:tcW w:w="5586" w:type="dxa"/>
            <w:tcBorders>
              <w:top w:val="outset" w:sz="6" w:space="0" w:color="auto"/>
              <w:left w:val="outset" w:sz="6" w:space="0" w:color="auto"/>
              <w:bottom w:val="outset" w:sz="6" w:space="0" w:color="auto"/>
              <w:right w:val="outset" w:sz="6" w:space="0" w:color="auto"/>
            </w:tcBorders>
          </w:tcPr>
          <w:p w:rsidR="000A1942" w:rsidRPr="00B45043" w:rsidRDefault="000A1942" w:rsidP="003766AB">
            <w:pPr>
              <w:ind w:firstLine="125"/>
              <w:rPr>
                <w:sz w:val="24"/>
                <w:szCs w:val="24"/>
              </w:rPr>
            </w:pPr>
            <w:r w:rsidRPr="00DB4674">
              <w:rPr>
                <w:sz w:val="24"/>
                <w:szCs w:val="24"/>
              </w:rPr>
              <w:t>Ministru kabineta rī</w:t>
            </w:r>
            <w:r>
              <w:rPr>
                <w:sz w:val="24"/>
                <w:szCs w:val="24"/>
              </w:rPr>
              <w:t xml:space="preserve">kojuma projekta īstenošanai papildus līdzekļi no </w:t>
            </w:r>
            <w:r w:rsidRPr="00DB4674">
              <w:rPr>
                <w:sz w:val="24"/>
                <w:szCs w:val="24"/>
              </w:rPr>
              <w:t>valsts</w:t>
            </w:r>
            <w:r>
              <w:rPr>
                <w:sz w:val="24"/>
                <w:szCs w:val="24"/>
              </w:rPr>
              <w:t xml:space="preserve"> vai pašvaldību</w:t>
            </w:r>
            <w:r w:rsidRPr="00DB4674">
              <w:rPr>
                <w:sz w:val="24"/>
                <w:szCs w:val="24"/>
              </w:rPr>
              <w:t xml:space="preserve"> budžeta nav nepieciešami.</w:t>
            </w:r>
          </w:p>
        </w:tc>
      </w:tr>
      <w:tr w:rsidR="000A1942" w:rsidRPr="00687C0A" w:rsidTr="003766AB">
        <w:trPr>
          <w:trHeight w:val="517"/>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4.</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Tiesiskā regulējuma nefinansiālā ietekme</w:t>
            </w:r>
          </w:p>
        </w:tc>
        <w:tc>
          <w:tcPr>
            <w:tcW w:w="558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ind w:firstLine="125"/>
              <w:rPr>
                <w:sz w:val="24"/>
                <w:szCs w:val="24"/>
              </w:rPr>
            </w:pPr>
            <w:bookmarkStart w:id="3" w:name="OLE_LINK1"/>
            <w:bookmarkStart w:id="4" w:name="OLE_LINK2"/>
            <w:r>
              <w:rPr>
                <w:sz w:val="24"/>
                <w:szCs w:val="24"/>
                <w:lang w:eastAsia="lv-LV"/>
              </w:rPr>
              <w:t>Projekts šo jomu neskar.</w:t>
            </w:r>
            <w:bookmarkEnd w:id="3"/>
            <w:bookmarkEnd w:id="4"/>
          </w:p>
        </w:tc>
      </w:tr>
      <w:tr w:rsidR="000A1942" w:rsidRPr="00D8532F" w:rsidTr="003766AB">
        <w:trPr>
          <w:trHeight w:val="531"/>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spacing w:before="100" w:beforeAutospacing="1" w:after="100" w:afterAutospacing="1"/>
              <w:ind w:firstLine="0"/>
              <w:jc w:val="left"/>
              <w:rPr>
                <w:sz w:val="24"/>
                <w:szCs w:val="24"/>
                <w:lang w:eastAsia="lv-LV"/>
              </w:rPr>
            </w:pPr>
            <w:r w:rsidRPr="00D8532F">
              <w:rPr>
                <w:sz w:val="24"/>
                <w:szCs w:val="24"/>
                <w:lang w:eastAsia="lv-LV"/>
              </w:rPr>
              <w:t> 5.</w:t>
            </w:r>
          </w:p>
        </w:tc>
        <w:tc>
          <w:tcPr>
            <w:tcW w:w="2998"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spacing w:before="100" w:beforeAutospacing="1" w:after="100" w:afterAutospacing="1"/>
              <w:ind w:firstLine="0"/>
              <w:jc w:val="left"/>
              <w:rPr>
                <w:sz w:val="24"/>
                <w:szCs w:val="24"/>
                <w:lang w:eastAsia="lv-LV"/>
              </w:rPr>
            </w:pPr>
            <w:r w:rsidRPr="00D8532F">
              <w:rPr>
                <w:sz w:val="24"/>
                <w:szCs w:val="24"/>
                <w:lang w:eastAsia="lv-LV"/>
              </w:rPr>
              <w:t> Administratīvās procedūras raksturojums</w:t>
            </w:r>
          </w:p>
        </w:tc>
        <w:tc>
          <w:tcPr>
            <w:tcW w:w="5586"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ind w:firstLine="125"/>
              <w:rPr>
                <w:sz w:val="24"/>
                <w:szCs w:val="24"/>
                <w:lang w:eastAsia="lv-LV"/>
              </w:rPr>
            </w:pPr>
            <w:r>
              <w:rPr>
                <w:sz w:val="24"/>
                <w:szCs w:val="24"/>
                <w:lang w:eastAsia="lv-LV"/>
              </w:rPr>
              <w:t>Projekts šo jomu neskar.</w:t>
            </w:r>
          </w:p>
        </w:tc>
      </w:tr>
      <w:tr w:rsidR="000A1942" w:rsidRPr="00687C0A" w:rsidTr="003766AB">
        <w:trPr>
          <w:trHeight w:val="357"/>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Administratīvo izmaksu monetārs novērtējums</w:t>
            </w:r>
          </w:p>
        </w:tc>
        <w:tc>
          <w:tcPr>
            <w:tcW w:w="558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125"/>
              <w:jc w:val="left"/>
              <w:rPr>
                <w:sz w:val="24"/>
                <w:szCs w:val="24"/>
                <w:lang w:eastAsia="lv-LV"/>
              </w:rPr>
            </w:pPr>
            <w:r>
              <w:rPr>
                <w:sz w:val="24"/>
                <w:szCs w:val="24"/>
                <w:lang w:eastAsia="lv-LV"/>
              </w:rPr>
              <w:t>Projekts šo jomu neskar.</w:t>
            </w:r>
          </w:p>
        </w:tc>
      </w:tr>
      <w:tr w:rsidR="000A1942" w:rsidRPr="00687C0A" w:rsidTr="003766AB">
        <w:trPr>
          <w:tblCellSpacing w:w="0" w:type="dxa"/>
        </w:trPr>
        <w:tc>
          <w:tcPr>
            <w:tcW w:w="517"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7.</w:t>
            </w:r>
          </w:p>
        </w:tc>
        <w:tc>
          <w:tcPr>
            <w:tcW w:w="299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586"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125"/>
              <w:jc w:val="left"/>
              <w:rPr>
                <w:sz w:val="24"/>
                <w:szCs w:val="24"/>
                <w:lang w:eastAsia="lv-LV"/>
              </w:rPr>
            </w:pPr>
            <w:r>
              <w:rPr>
                <w:sz w:val="24"/>
                <w:szCs w:val="24"/>
                <w:lang w:eastAsia="lv-LV"/>
              </w:rPr>
              <w:t>Nav.</w:t>
            </w:r>
          </w:p>
        </w:tc>
      </w:tr>
    </w:tbl>
    <w:p w:rsidR="000A1942" w:rsidRPr="00687C0A" w:rsidRDefault="000A1942" w:rsidP="000A1942">
      <w:pPr>
        <w:spacing w:before="100" w:beforeAutospacing="1" w:after="100" w:afterAutospacing="1"/>
        <w:ind w:firstLine="0"/>
        <w:jc w:val="left"/>
        <w:rPr>
          <w:sz w:val="24"/>
          <w:szCs w:val="24"/>
          <w:lang w:eastAsia="lv-LV"/>
        </w:rPr>
      </w:pPr>
      <w:r w:rsidRPr="00687C0A">
        <w:rPr>
          <w:sz w:val="24"/>
          <w:szCs w:val="24"/>
          <w:lang w:eastAsia="lv-LV"/>
        </w:rPr>
        <w:t> </w:t>
      </w:r>
    </w:p>
    <w:tbl>
      <w:tblPr>
        <w:tblW w:w="96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351"/>
        <w:gridCol w:w="1343"/>
        <w:gridCol w:w="1388"/>
        <w:gridCol w:w="1358"/>
        <w:gridCol w:w="1115"/>
        <w:gridCol w:w="1120"/>
      </w:tblGrid>
      <w:tr w:rsidR="000A1942" w:rsidRPr="00687C0A" w:rsidTr="003766AB">
        <w:trPr>
          <w:trHeight w:val="652"/>
          <w:tblCellSpacing w:w="0" w:type="dxa"/>
        </w:trPr>
        <w:tc>
          <w:tcPr>
            <w:tcW w:w="9675" w:type="dxa"/>
            <w:gridSpan w:val="6"/>
            <w:tcBorders>
              <w:top w:val="outset" w:sz="6" w:space="0" w:color="auto"/>
              <w:left w:val="outset" w:sz="6" w:space="0" w:color="auto"/>
              <w:bottom w:val="outset" w:sz="6" w:space="0" w:color="auto"/>
              <w:right w:val="outset" w:sz="6" w:space="0" w:color="auto"/>
            </w:tcBorders>
          </w:tcPr>
          <w:p w:rsidR="000A1942" w:rsidRPr="00B84FAD" w:rsidRDefault="000A1942" w:rsidP="003766AB">
            <w:pPr>
              <w:spacing w:before="100" w:beforeAutospacing="1" w:after="100" w:afterAutospacing="1"/>
              <w:ind w:firstLine="0"/>
              <w:jc w:val="left"/>
              <w:rPr>
                <w:b/>
                <w:sz w:val="24"/>
                <w:szCs w:val="24"/>
                <w:lang w:eastAsia="lv-LV"/>
              </w:rPr>
            </w:pPr>
            <w:r w:rsidRPr="00B84FAD">
              <w:rPr>
                <w:b/>
                <w:sz w:val="24"/>
                <w:szCs w:val="24"/>
                <w:lang w:eastAsia="lv-LV"/>
              </w:rPr>
              <w:t>III. Tiesību akta projekta ietekme uz valsts budžetu un pašvaldību budžetiem</w:t>
            </w:r>
          </w:p>
        </w:tc>
      </w:tr>
      <w:tr w:rsidR="000A1942" w:rsidRPr="00687C0A" w:rsidTr="003766AB">
        <w:trPr>
          <w:tblCellSpacing w:w="0" w:type="dxa"/>
        </w:trPr>
        <w:tc>
          <w:tcPr>
            <w:tcW w:w="3351" w:type="dxa"/>
            <w:vMerge w:val="restart"/>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sidRPr="00687C0A">
              <w:rPr>
                <w:b/>
                <w:bCs/>
                <w:sz w:val="24"/>
                <w:szCs w:val="24"/>
                <w:lang w:eastAsia="lv-LV"/>
              </w:rPr>
              <w:t>Rādītāji</w:t>
            </w:r>
          </w:p>
        </w:tc>
        <w:tc>
          <w:tcPr>
            <w:tcW w:w="2731" w:type="dxa"/>
            <w:gridSpan w:val="2"/>
            <w:vMerge w:val="restart"/>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b/>
                <w:bCs/>
                <w:sz w:val="24"/>
                <w:szCs w:val="24"/>
                <w:lang w:eastAsia="lv-LV"/>
              </w:rPr>
              <w:t>2012.</w:t>
            </w:r>
            <w:r w:rsidRPr="00687C0A">
              <w:rPr>
                <w:b/>
                <w:bCs/>
                <w:sz w:val="24"/>
                <w:szCs w:val="24"/>
                <w:lang w:eastAsia="lv-LV"/>
              </w:rPr>
              <w:t xml:space="preserve"> gads</w:t>
            </w:r>
          </w:p>
        </w:tc>
        <w:tc>
          <w:tcPr>
            <w:tcW w:w="3593" w:type="dxa"/>
            <w:gridSpan w:val="3"/>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Turpmākie trīs gadi (tūkst. latu)</w:t>
            </w:r>
          </w:p>
        </w:tc>
      </w:tr>
      <w:tr w:rsidR="000A1942" w:rsidRPr="00687C0A" w:rsidTr="003766AB">
        <w:trPr>
          <w:tblCellSpacing w:w="0" w:type="dxa"/>
        </w:trPr>
        <w:tc>
          <w:tcPr>
            <w:tcW w:w="3351"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2731" w:type="dxa"/>
            <w:gridSpan w:val="2"/>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2013.</w:t>
            </w:r>
          </w:p>
        </w:tc>
        <w:tc>
          <w:tcPr>
            <w:tcW w:w="1115"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2014.</w:t>
            </w:r>
          </w:p>
        </w:tc>
        <w:tc>
          <w:tcPr>
            <w:tcW w:w="1120"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2015.</w:t>
            </w:r>
          </w:p>
        </w:tc>
      </w:tr>
      <w:tr w:rsidR="000A1942" w:rsidRPr="00687C0A" w:rsidTr="003766AB">
        <w:trPr>
          <w:tblCellSpacing w:w="0" w:type="dxa"/>
        </w:trPr>
        <w:tc>
          <w:tcPr>
            <w:tcW w:w="3351"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43"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Saskaņā ar valsts budžetu kārtējam gadam</w:t>
            </w:r>
          </w:p>
        </w:tc>
        <w:tc>
          <w:tcPr>
            <w:tcW w:w="1388"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Izmaiņas kārtējā gadā, salīdzinot ar budžetu kārtējam gadam</w:t>
            </w:r>
          </w:p>
        </w:tc>
        <w:tc>
          <w:tcPr>
            <w:tcW w:w="1358"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Izmaiņas, salīdzinot ar kārtējo (n) gadu</w:t>
            </w:r>
          </w:p>
        </w:tc>
        <w:tc>
          <w:tcPr>
            <w:tcW w:w="1115"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Izmaiņas, salīdzinot ar kārtējo (n) gadu</w:t>
            </w:r>
          </w:p>
        </w:tc>
        <w:tc>
          <w:tcPr>
            <w:tcW w:w="1120"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Izmaiņas, salīdzinot ar kārtējo (n) gadu</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w:t>
            </w:r>
          </w:p>
        </w:tc>
        <w:tc>
          <w:tcPr>
            <w:tcW w:w="1343"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w:t>
            </w:r>
          </w:p>
        </w:tc>
        <w:tc>
          <w:tcPr>
            <w:tcW w:w="1388"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w:t>
            </w:r>
          </w:p>
        </w:tc>
        <w:tc>
          <w:tcPr>
            <w:tcW w:w="1358"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4</w:t>
            </w:r>
          </w:p>
        </w:tc>
        <w:tc>
          <w:tcPr>
            <w:tcW w:w="1115"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5</w:t>
            </w:r>
          </w:p>
        </w:tc>
        <w:tc>
          <w:tcPr>
            <w:tcW w:w="1120" w:type="dxa"/>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 Budžeta ieņēmumi:</w:t>
            </w:r>
          </w:p>
        </w:tc>
        <w:tc>
          <w:tcPr>
            <w:tcW w:w="1343"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 xml:space="preserve">Nav precīzi </w:t>
            </w:r>
            <w:r>
              <w:rPr>
                <w:sz w:val="24"/>
                <w:szCs w:val="24"/>
                <w:lang w:eastAsia="lv-LV"/>
              </w:rPr>
              <w:lastRenderedPageBreak/>
              <w:t>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 Nav precīzi </w:t>
            </w:r>
            <w:r>
              <w:rPr>
                <w:sz w:val="24"/>
                <w:szCs w:val="24"/>
                <w:lang w:eastAsia="lv-LV"/>
              </w:rPr>
              <w:lastRenderedPageBreak/>
              <w:t>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lastRenderedPageBreak/>
              <w:t> </w:t>
            </w:r>
            <w:r>
              <w:rPr>
                <w:sz w:val="24"/>
                <w:szCs w:val="24"/>
                <w:lang w:eastAsia="lv-LV"/>
              </w:rPr>
              <w:t xml:space="preserve">Nav precīzi </w:t>
            </w:r>
            <w:r>
              <w:rPr>
                <w:sz w:val="24"/>
                <w:szCs w:val="24"/>
                <w:lang w:eastAsia="lv-LV"/>
              </w:rPr>
              <w:lastRenderedPageBreak/>
              <w:t>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3373"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lastRenderedPageBreak/>
              <w:t> 1.1. valsts pamatbudžets, tai skaitā ieņēmumi no maksas pakalpojumiem un citi pašu ieņēmumi</w:t>
            </w:r>
          </w:p>
        </w:tc>
        <w:tc>
          <w:tcPr>
            <w:tcW w:w="1343"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1.2. valsts speciālais budžets</w:t>
            </w:r>
          </w:p>
        </w:tc>
        <w:tc>
          <w:tcPr>
            <w:tcW w:w="1343"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1.3. pašvaldību budžets</w:t>
            </w:r>
          </w:p>
        </w:tc>
        <w:tc>
          <w:tcPr>
            <w:tcW w:w="1343"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 Budžeta izdevumi:</w:t>
            </w:r>
          </w:p>
        </w:tc>
        <w:tc>
          <w:tcPr>
            <w:tcW w:w="1343"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0</w:t>
            </w:r>
          </w:p>
          <w:p w:rsidR="000A1942" w:rsidRPr="00683373" w:rsidRDefault="000A1942" w:rsidP="003766AB">
            <w:pPr>
              <w:spacing w:before="100" w:beforeAutospacing="1" w:after="100" w:afterAutospacing="1"/>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r>
              <w:rPr>
                <w:sz w:val="24"/>
                <w:szCs w:val="24"/>
                <w:lang w:eastAsia="lv-LV"/>
              </w:rPr>
              <w:t>0</w:t>
            </w: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3373">
              <w:rPr>
                <w:sz w:val="24"/>
                <w:szCs w:val="24"/>
                <w:lang w:eastAsia="lv-LV"/>
              </w:rPr>
              <w:t>  </w:t>
            </w:r>
            <w:r>
              <w:rPr>
                <w:sz w:val="24"/>
                <w:szCs w:val="24"/>
                <w:lang w:eastAsia="lv-LV"/>
              </w:rPr>
              <w:t>Nav precīzi 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3373"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3373"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2.1. valsts pamatbudžets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2.2. valsts speciālais 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2.3. pašvaldību 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 Finansiālā ietekme:</w:t>
            </w:r>
          </w:p>
        </w:tc>
        <w:tc>
          <w:tcPr>
            <w:tcW w:w="1343" w:type="dxa"/>
            <w:tcBorders>
              <w:top w:val="outset" w:sz="6" w:space="0" w:color="auto"/>
              <w:left w:val="outset" w:sz="6" w:space="0" w:color="auto"/>
              <w:bottom w:val="outset" w:sz="6" w:space="0" w:color="auto"/>
              <w:right w:val="outset" w:sz="6" w:space="0" w:color="auto"/>
            </w:tcBorders>
            <w:vAlign w:val="center"/>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3.1. valsts pamatbudžets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3.2. speciālais 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3.3. pašvaldību budžets</w:t>
            </w:r>
          </w:p>
        </w:tc>
        <w:tc>
          <w:tcPr>
            <w:tcW w:w="1343"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vMerge w:val="restart"/>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4. Finanšu līdzekļi papildu izde</w:t>
            </w:r>
            <w:r w:rsidRPr="00687C0A">
              <w:rPr>
                <w:sz w:val="24"/>
                <w:szCs w:val="24"/>
                <w:lang w:eastAsia="lv-LV"/>
              </w:rPr>
              <w:softHyphen/>
              <w:t>vumu finansēšanai (kompensējošu izdevumu samazinājumu norāda ar "+" zīmi)</w:t>
            </w:r>
          </w:p>
        </w:tc>
        <w:tc>
          <w:tcPr>
            <w:tcW w:w="1343" w:type="dxa"/>
            <w:vMerge w:val="restart"/>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 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43"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43"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5. Precizēta finansiālā ietekme:</w:t>
            </w:r>
          </w:p>
        </w:tc>
        <w:tc>
          <w:tcPr>
            <w:tcW w:w="1343" w:type="dxa"/>
            <w:vMerge w:val="restart"/>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t xml:space="preserve"> Nav precīzi </w:t>
            </w:r>
            <w:r>
              <w:rPr>
                <w:sz w:val="24"/>
                <w:szCs w:val="24"/>
                <w:lang w:eastAsia="lv-LV"/>
              </w:rPr>
              <w:lastRenderedPageBreak/>
              <w:t>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358"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15"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7C0A" w:rsidRDefault="000A1942" w:rsidP="003766AB">
            <w:pPr>
              <w:spacing w:before="100" w:beforeAutospacing="1" w:after="100" w:afterAutospacing="1"/>
              <w:ind w:firstLine="0"/>
              <w:jc w:val="left"/>
              <w:rPr>
                <w:sz w:val="24"/>
                <w:szCs w:val="24"/>
                <w:lang w:eastAsia="lv-LV"/>
              </w:rPr>
            </w:pPr>
          </w:p>
        </w:tc>
        <w:tc>
          <w:tcPr>
            <w:tcW w:w="1120" w:type="dxa"/>
            <w:tcBorders>
              <w:top w:val="outset" w:sz="6" w:space="0" w:color="auto"/>
              <w:left w:val="outset" w:sz="6" w:space="0" w:color="auto"/>
              <w:bottom w:val="outset" w:sz="6" w:space="0" w:color="auto"/>
              <w:right w:val="outset" w:sz="6" w:space="0" w:color="auto"/>
            </w:tcBorders>
          </w:tcPr>
          <w:p w:rsidR="000A1942" w:rsidRPr="00683373" w:rsidRDefault="000A1942" w:rsidP="003766AB">
            <w:pPr>
              <w:spacing w:before="100" w:beforeAutospacing="1" w:after="100" w:afterAutospacing="1"/>
              <w:ind w:firstLine="0"/>
              <w:jc w:val="left"/>
              <w:rPr>
                <w:sz w:val="24"/>
                <w:szCs w:val="24"/>
                <w:lang w:eastAsia="lv-LV"/>
              </w:rPr>
            </w:pPr>
            <w:r>
              <w:rPr>
                <w:sz w:val="24"/>
                <w:szCs w:val="24"/>
                <w:lang w:eastAsia="lv-LV"/>
              </w:rPr>
              <w:lastRenderedPageBreak/>
              <w:t xml:space="preserve">Nav precīzi </w:t>
            </w:r>
            <w:r>
              <w:rPr>
                <w:sz w:val="24"/>
                <w:szCs w:val="24"/>
                <w:lang w:eastAsia="lv-LV"/>
              </w:rPr>
              <w:lastRenderedPageBreak/>
              <w:t>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lastRenderedPageBreak/>
              <w:t> 5.1. valsts pamatbudžets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5.2. speciālais 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5.3. pašvaldību budžets</w:t>
            </w:r>
          </w:p>
        </w:tc>
        <w:tc>
          <w:tcPr>
            <w:tcW w:w="1343" w:type="dxa"/>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c>
          <w:tcPr>
            <w:tcW w:w="138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358"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1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c>
          <w:tcPr>
            <w:tcW w:w="112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 Detalizēts ieņēmumu un izdevu</w:t>
            </w:r>
            <w:r w:rsidRPr="00687C0A">
              <w:rPr>
                <w:sz w:val="24"/>
                <w:szCs w:val="24"/>
                <w:lang w:eastAsia="lv-LV"/>
              </w:rPr>
              <w:softHyphen/>
              <w:t>mu aprēķins (ja nepieciešams, detalizētu ieņēmumu un izdevumu aprēķinu var pievienot anotācijas pielikumā):</w:t>
            </w:r>
          </w:p>
        </w:tc>
        <w:tc>
          <w:tcPr>
            <w:tcW w:w="6324" w:type="dxa"/>
            <w:gridSpan w:val="5"/>
            <w:vMerge w:val="restart"/>
            <w:tcBorders>
              <w:top w:val="outset" w:sz="6" w:space="0" w:color="auto"/>
              <w:left w:val="outset" w:sz="6" w:space="0" w:color="auto"/>
              <w:bottom w:val="outset" w:sz="6" w:space="0" w:color="auto"/>
              <w:right w:val="outset" w:sz="6" w:space="0" w:color="auto"/>
            </w:tcBorders>
            <w:vAlign w:val="center"/>
          </w:tcPr>
          <w:p w:rsidR="000A1942" w:rsidRPr="00683373"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Nav precīzi aprēķināms</w:t>
            </w:r>
          </w:p>
          <w:p w:rsidR="000A1942" w:rsidRPr="00687C0A" w:rsidRDefault="000A1942" w:rsidP="003766AB">
            <w:pPr>
              <w:spacing w:before="100" w:beforeAutospacing="1" w:after="100" w:afterAutospacing="1"/>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6.1. detalizēts ieņēmumu aprēķins</w:t>
            </w:r>
          </w:p>
        </w:tc>
        <w:tc>
          <w:tcPr>
            <w:tcW w:w="6324" w:type="dxa"/>
            <w:gridSpan w:val="5"/>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6.2. detalizēts izdevumu aprēķins</w:t>
            </w:r>
          </w:p>
        </w:tc>
        <w:tc>
          <w:tcPr>
            <w:tcW w:w="6324" w:type="dxa"/>
            <w:gridSpan w:val="5"/>
            <w:vMerge/>
            <w:tcBorders>
              <w:top w:val="outset" w:sz="6" w:space="0" w:color="auto"/>
              <w:left w:val="outset" w:sz="6" w:space="0" w:color="auto"/>
              <w:bottom w:val="outset" w:sz="6" w:space="0" w:color="auto"/>
              <w:right w:val="outset" w:sz="6" w:space="0" w:color="auto"/>
            </w:tcBorders>
            <w:vAlign w:val="center"/>
          </w:tcPr>
          <w:p w:rsidR="000A1942" w:rsidRPr="00687C0A" w:rsidRDefault="000A1942" w:rsidP="003766AB">
            <w:pPr>
              <w:ind w:firstLine="0"/>
              <w:jc w:val="left"/>
              <w:rPr>
                <w:sz w:val="24"/>
                <w:szCs w:val="24"/>
                <w:lang w:eastAsia="lv-LV"/>
              </w:rPr>
            </w:pPr>
          </w:p>
        </w:tc>
      </w:tr>
      <w:tr w:rsidR="000A1942" w:rsidRPr="00687C0A" w:rsidTr="003766AB">
        <w:trPr>
          <w:tblCellSpacing w:w="0" w:type="dxa"/>
        </w:trPr>
        <w:tc>
          <w:tcPr>
            <w:tcW w:w="3351"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7. Cita informācija</w:t>
            </w:r>
          </w:p>
        </w:tc>
        <w:tc>
          <w:tcPr>
            <w:tcW w:w="6324" w:type="dxa"/>
            <w:gridSpan w:val="5"/>
            <w:tcBorders>
              <w:top w:val="outset" w:sz="6" w:space="0" w:color="auto"/>
              <w:left w:val="outset" w:sz="6" w:space="0" w:color="auto"/>
              <w:bottom w:val="outset" w:sz="6" w:space="0" w:color="auto"/>
              <w:right w:val="outset" w:sz="6" w:space="0" w:color="auto"/>
            </w:tcBorders>
          </w:tcPr>
          <w:p w:rsidR="00346BBD" w:rsidRDefault="00681EC7" w:rsidP="00681EC7">
            <w:pPr>
              <w:ind w:firstLine="125"/>
              <w:rPr>
                <w:sz w:val="24"/>
                <w:szCs w:val="24"/>
                <w:u w:val="single"/>
                <w:lang w:eastAsia="lv-LV"/>
              </w:rPr>
            </w:pPr>
            <w:r>
              <w:rPr>
                <w:sz w:val="24"/>
                <w:szCs w:val="24"/>
                <w:u w:val="single"/>
                <w:lang w:eastAsia="lv-LV"/>
              </w:rPr>
              <w:t xml:space="preserve">Rīkojuma projekta pieņemšana radīs negatīvu ietekmi uz valsts budžeta ieņēmumiem, jo netiks saņemta zemes nomas maksa (1.5% apmērā no noteiktās īpašuma kadastrālās vērtības uz kārtējā gada 1.janvāri) no bezatlīdzības lietošanā nodotajiem īpašumiem. </w:t>
            </w:r>
          </w:p>
          <w:p w:rsidR="00346BBD" w:rsidRDefault="00346BBD" w:rsidP="00681EC7">
            <w:pPr>
              <w:ind w:firstLine="125"/>
              <w:rPr>
                <w:sz w:val="24"/>
                <w:szCs w:val="24"/>
                <w:u w:val="single"/>
                <w:lang w:eastAsia="lv-LV"/>
              </w:rPr>
            </w:pPr>
            <w:r>
              <w:rPr>
                <w:sz w:val="24"/>
                <w:szCs w:val="24"/>
                <w:u w:val="single"/>
                <w:lang w:eastAsia="lv-LV"/>
              </w:rPr>
              <w:t>Tā kā nav iespējams precīzi noteikt datumu, kad, pēc Ministru kabineta rīkojuma izdošanas, tiks noslēgti līgumi par zemes vienību nodošanu bezatlīdzības lietošanā, kā arī tas, ka VNĪ veic maksājumus dividenžu veidā valsts budžetā</w:t>
            </w:r>
            <w:r w:rsidR="008F4138">
              <w:rPr>
                <w:sz w:val="24"/>
                <w:szCs w:val="24"/>
                <w:u w:val="single"/>
                <w:lang w:eastAsia="lv-LV"/>
              </w:rPr>
              <w:t xml:space="preserve">, nav iespējams precīzi aprēķināt projekta ietekmi uz valsts budžetu. </w:t>
            </w:r>
          </w:p>
          <w:p w:rsidR="00586B88" w:rsidRDefault="008F4138" w:rsidP="00681EC7">
            <w:pPr>
              <w:ind w:firstLine="125"/>
              <w:rPr>
                <w:sz w:val="24"/>
                <w:szCs w:val="24"/>
                <w:u w:val="single"/>
                <w:lang w:eastAsia="lv-LV"/>
              </w:rPr>
            </w:pPr>
            <w:r>
              <w:rPr>
                <w:sz w:val="24"/>
                <w:szCs w:val="24"/>
                <w:u w:val="single"/>
                <w:lang w:eastAsia="lv-LV"/>
              </w:rPr>
              <w:t xml:space="preserve">Ilustratīvi tiek </w:t>
            </w:r>
            <w:r w:rsidR="00586B88">
              <w:rPr>
                <w:sz w:val="24"/>
                <w:szCs w:val="24"/>
                <w:u w:val="single"/>
                <w:lang w:eastAsia="lv-LV"/>
              </w:rPr>
              <w:t>sniegti aprēķini par 2012.gadu:</w:t>
            </w:r>
          </w:p>
          <w:p w:rsidR="008F4138" w:rsidRPr="00586B88" w:rsidRDefault="008F4138" w:rsidP="00586B88">
            <w:pPr>
              <w:pStyle w:val="ListParagraph"/>
              <w:numPr>
                <w:ilvl w:val="0"/>
                <w:numId w:val="2"/>
              </w:numPr>
              <w:rPr>
                <w:sz w:val="24"/>
                <w:szCs w:val="24"/>
                <w:u w:val="single"/>
                <w:lang w:eastAsia="lv-LV"/>
              </w:rPr>
            </w:pPr>
            <w:r w:rsidRPr="00586B88">
              <w:rPr>
                <w:sz w:val="24"/>
                <w:szCs w:val="24"/>
                <w:u w:val="single"/>
                <w:lang w:eastAsia="lv-LV"/>
              </w:rPr>
              <w:t xml:space="preserve">VNĪ </w:t>
            </w:r>
            <w:r w:rsidR="002948B7">
              <w:rPr>
                <w:sz w:val="24"/>
                <w:szCs w:val="24"/>
                <w:u w:val="single"/>
                <w:lang w:eastAsia="lv-LV"/>
              </w:rPr>
              <w:t>neiegūtā nomas maksa</w:t>
            </w:r>
            <w:r w:rsidRPr="00586B88">
              <w:rPr>
                <w:sz w:val="24"/>
                <w:szCs w:val="24"/>
                <w:u w:val="single"/>
                <w:lang w:eastAsia="lv-LV"/>
              </w:rPr>
              <w:t xml:space="preserve"> </w:t>
            </w:r>
            <w:r w:rsidR="002948B7">
              <w:rPr>
                <w:sz w:val="24"/>
                <w:szCs w:val="24"/>
                <w:u w:val="single"/>
                <w:lang w:eastAsia="lv-LV"/>
              </w:rPr>
              <w:t>sastāda</w:t>
            </w:r>
            <w:r w:rsidRPr="00586B88">
              <w:rPr>
                <w:sz w:val="24"/>
                <w:szCs w:val="24"/>
                <w:u w:val="single"/>
                <w:lang w:eastAsia="lv-LV"/>
              </w:rPr>
              <w:t xml:space="preserve"> LVL 3298,34 gadā.</w:t>
            </w:r>
          </w:p>
          <w:p w:rsidR="00586B88" w:rsidRPr="00586B88" w:rsidRDefault="00586B88" w:rsidP="00586B88">
            <w:pPr>
              <w:pStyle w:val="ListParagraph"/>
              <w:numPr>
                <w:ilvl w:val="0"/>
                <w:numId w:val="2"/>
              </w:numPr>
              <w:rPr>
                <w:sz w:val="24"/>
                <w:szCs w:val="24"/>
                <w:u w:val="single"/>
                <w:lang w:eastAsia="lv-LV"/>
              </w:rPr>
            </w:pPr>
            <w:r w:rsidRPr="00586B88">
              <w:rPr>
                <w:sz w:val="24"/>
                <w:szCs w:val="24"/>
                <w:u w:val="single"/>
                <w:lang w:eastAsia="lv-LV"/>
              </w:rPr>
              <w:t xml:space="preserve">VNĪ </w:t>
            </w:r>
            <w:r w:rsidR="002948B7">
              <w:rPr>
                <w:sz w:val="24"/>
                <w:szCs w:val="24"/>
                <w:u w:val="single"/>
                <w:lang w:eastAsia="lv-LV"/>
              </w:rPr>
              <w:t>ieņēmumi no nomas maksas</w:t>
            </w:r>
            <w:r w:rsidRPr="00586B88">
              <w:rPr>
                <w:sz w:val="24"/>
                <w:szCs w:val="24"/>
                <w:u w:val="single"/>
                <w:lang w:eastAsia="lv-LV"/>
              </w:rPr>
              <w:t xml:space="preserve"> par to zemes vienību domājamo daļu lietošanu, kas netiek izmantota LNB funkciju īstenošanai</w:t>
            </w:r>
            <w:r w:rsidR="002948B7">
              <w:rPr>
                <w:sz w:val="24"/>
                <w:szCs w:val="24"/>
                <w:u w:val="single"/>
                <w:lang w:eastAsia="lv-LV"/>
              </w:rPr>
              <w:t>,</w:t>
            </w:r>
            <w:r w:rsidRPr="00586B88">
              <w:rPr>
                <w:sz w:val="24"/>
                <w:szCs w:val="24"/>
                <w:u w:val="single"/>
                <w:lang w:eastAsia="lv-LV"/>
              </w:rPr>
              <w:t xml:space="preserve"> –   LVL </w:t>
            </w:r>
            <w:r>
              <w:rPr>
                <w:sz w:val="24"/>
                <w:szCs w:val="24"/>
                <w:u w:val="single"/>
                <w:lang w:eastAsia="lv-LV"/>
              </w:rPr>
              <w:t>581,31 gadā.</w:t>
            </w:r>
          </w:p>
          <w:p w:rsidR="000A1942" w:rsidRPr="00687C0A" w:rsidRDefault="000A1942" w:rsidP="00681EC7">
            <w:pPr>
              <w:ind w:firstLine="125"/>
              <w:rPr>
                <w:sz w:val="24"/>
                <w:szCs w:val="24"/>
                <w:lang w:eastAsia="lv-LV"/>
              </w:rPr>
            </w:pPr>
            <w:r w:rsidRPr="006F099A">
              <w:rPr>
                <w:sz w:val="24"/>
                <w:szCs w:val="24"/>
                <w:lang w:eastAsia="lv-LV"/>
              </w:rPr>
              <w:t>Tiesību akta izpilde neradīs izdevumus valsts budžetam.</w:t>
            </w:r>
          </w:p>
        </w:tc>
      </w:tr>
    </w:tbl>
    <w:p w:rsidR="000A1942" w:rsidRPr="00D853D1" w:rsidRDefault="000A1942" w:rsidP="000A1942">
      <w:pPr>
        <w:spacing w:before="100" w:beforeAutospacing="1" w:after="100" w:afterAutospacing="1"/>
        <w:ind w:firstLine="0"/>
        <w:jc w:val="left"/>
        <w:rPr>
          <w:iCs/>
          <w:sz w:val="24"/>
          <w:szCs w:val="24"/>
          <w:lang w:eastAsia="lv-LV"/>
        </w:rPr>
      </w:pPr>
      <w:r w:rsidRPr="00D853D1">
        <w:rPr>
          <w:b/>
          <w:iCs/>
          <w:sz w:val="24"/>
          <w:szCs w:val="24"/>
          <w:lang w:eastAsia="lv-LV"/>
        </w:rPr>
        <w:t xml:space="preserve">Anotācijas </w:t>
      </w:r>
      <w:r>
        <w:rPr>
          <w:b/>
          <w:iCs/>
          <w:sz w:val="24"/>
          <w:szCs w:val="24"/>
          <w:lang w:eastAsia="lv-LV"/>
        </w:rPr>
        <w:t>IV,</w:t>
      </w:r>
      <w:r w:rsidRPr="00D853D1">
        <w:rPr>
          <w:b/>
          <w:iCs/>
          <w:sz w:val="24"/>
          <w:szCs w:val="24"/>
          <w:lang w:eastAsia="lv-LV"/>
        </w:rPr>
        <w:t xml:space="preserve"> V </w:t>
      </w:r>
      <w:r>
        <w:rPr>
          <w:b/>
          <w:iCs/>
          <w:sz w:val="24"/>
          <w:szCs w:val="24"/>
          <w:lang w:eastAsia="lv-LV"/>
        </w:rPr>
        <w:t xml:space="preserve">un VI </w:t>
      </w:r>
      <w:r w:rsidRPr="00D853D1">
        <w:rPr>
          <w:b/>
          <w:iCs/>
          <w:sz w:val="24"/>
          <w:szCs w:val="24"/>
          <w:lang w:eastAsia="lv-LV"/>
        </w:rPr>
        <w:t>sadaļa</w:t>
      </w:r>
      <w:r>
        <w:rPr>
          <w:iCs/>
          <w:sz w:val="24"/>
          <w:szCs w:val="24"/>
          <w:lang w:eastAsia="lv-LV"/>
        </w:rPr>
        <w:t xml:space="preserve"> - p</w:t>
      </w:r>
      <w:r>
        <w:rPr>
          <w:sz w:val="24"/>
          <w:szCs w:val="24"/>
          <w:lang w:eastAsia="lv-LV"/>
        </w:rPr>
        <w:t>rojekts šīs jomas neskar.</w:t>
      </w:r>
      <w:r w:rsidRPr="00687C0A">
        <w:rPr>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3"/>
        <w:gridCol w:w="3912"/>
        <w:gridCol w:w="4686"/>
      </w:tblGrid>
      <w:tr w:rsidR="000A1942" w:rsidRPr="00687C0A" w:rsidTr="003766AB">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b/>
                <w:bCs/>
                <w:sz w:val="24"/>
                <w:szCs w:val="24"/>
                <w:lang w:eastAsia="lv-LV"/>
              </w:rPr>
              <w:t> VII. Tiesību akta projekta izpildes nodrošināšana un tās ietekme uz institūcijām</w:t>
            </w:r>
          </w:p>
        </w:tc>
      </w:tr>
      <w:tr w:rsidR="000A1942" w:rsidRPr="00D8532F" w:rsidTr="003766AB">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spacing w:before="100" w:beforeAutospacing="1" w:after="100" w:afterAutospacing="1"/>
              <w:ind w:firstLine="0"/>
              <w:jc w:val="left"/>
              <w:rPr>
                <w:sz w:val="24"/>
                <w:szCs w:val="24"/>
                <w:lang w:eastAsia="lv-LV"/>
              </w:rPr>
            </w:pPr>
            <w:r w:rsidRPr="00D8532F">
              <w:rPr>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spacing w:before="100" w:beforeAutospacing="1" w:after="100" w:afterAutospacing="1"/>
              <w:ind w:firstLine="0"/>
              <w:jc w:val="left"/>
              <w:rPr>
                <w:sz w:val="24"/>
                <w:szCs w:val="24"/>
                <w:lang w:eastAsia="lv-LV"/>
              </w:rPr>
            </w:pPr>
            <w:r w:rsidRPr="00D8532F">
              <w:rPr>
                <w:sz w:val="24"/>
                <w:szCs w:val="24"/>
                <w:lang w:eastAsia="lv-LV"/>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0A1942" w:rsidRPr="00D8532F" w:rsidRDefault="000A1942" w:rsidP="003766AB">
            <w:pPr>
              <w:ind w:firstLine="0"/>
              <w:jc w:val="left"/>
              <w:rPr>
                <w:sz w:val="24"/>
                <w:szCs w:val="24"/>
                <w:lang w:eastAsia="lv-LV"/>
              </w:rPr>
            </w:pPr>
            <w:r w:rsidRPr="00D8532F">
              <w:rPr>
                <w:sz w:val="24"/>
                <w:szCs w:val="24"/>
                <w:lang w:eastAsia="lv-LV"/>
              </w:rPr>
              <w:t> </w:t>
            </w:r>
            <w:r>
              <w:rPr>
                <w:sz w:val="24"/>
                <w:szCs w:val="24"/>
                <w:lang w:eastAsia="lv-LV"/>
              </w:rPr>
              <w:t>VNĪ</w:t>
            </w:r>
          </w:p>
        </w:tc>
      </w:tr>
      <w:tr w:rsidR="000A1942" w:rsidRPr="00687C0A" w:rsidTr="003766AB">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0A1942" w:rsidRPr="00AD67DB" w:rsidRDefault="000A1942" w:rsidP="003766AB">
            <w:pPr>
              <w:spacing w:before="100" w:beforeAutospacing="1" w:after="100" w:afterAutospacing="1"/>
              <w:ind w:firstLine="0"/>
              <w:rPr>
                <w:sz w:val="24"/>
                <w:szCs w:val="24"/>
                <w:lang w:eastAsia="lv-LV"/>
              </w:rPr>
            </w:pPr>
            <w:r w:rsidRPr="00687C0A">
              <w:rPr>
                <w:sz w:val="24"/>
                <w:szCs w:val="24"/>
                <w:lang w:eastAsia="lv-LV"/>
              </w:rPr>
              <w:t> </w:t>
            </w:r>
            <w:r w:rsidRPr="00AD67DB">
              <w:rPr>
                <w:sz w:val="24"/>
                <w:szCs w:val="24"/>
                <w:lang w:eastAsia="lv-LV"/>
              </w:rPr>
              <w:t xml:space="preserve">Rīkojuma projekta izpilde neietekmē </w:t>
            </w:r>
            <w:r>
              <w:rPr>
                <w:sz w:val="24"/>
                <w:szCs w:val="24"/>
                <w:lang w:eastAsia="lv-LV"/>
              </w:rPr>
              <w:t xml:space="preserve">VNĪ </w:t>
            </w:r>
            <w:r w:rsidRPr="00AD67DB">
              <w:rPr>
                <w:sz w:val="24"/>
                <w:szCs w:val="24"/>
                <w:lang w:eastAsia="lv-LV"/>
              </w:rPr>
              <w:t>funkcijas un uzdevumus, tās netiek paplašinātas vai sašaurinātas.</w:t>
            </w:r>
          </w:p>
        </w:tc>
      </w:tr>
      <w:tr w:rsidR="000A1942" w:rsidRPr="00687C0A" w:rsidTr="003766AB">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0A1942" w:rsidRPr="00F934F5" w:rsidRDefault="000A1942" w:rsidP="003766AB">
            <w:pPr>
              <w:spacing w:before="100" w:beforeAutospacing="1" w:after="100" w:afterAutospacing="1"/>
              <w:ind w:firstLine="0"/>
              <w:rPr>
                <w:sz w:val="24"/>
                <w:szCs w:val="24"/>
                <w:lang w:eastAsia="lv-LV"/>
              </w:rPr>
            </w:pPr>
            <w:r w:rsidRPr="00912FF5">
              <w:rPr>
                <w:sz w:val="24"/>
                <w:szCs w:val="24"/>
                <w:lang w:eastAsia="lv-LV"/>
              </w:rPr>
              <w:t> </w:t>
            </w:r>
            <w:r>
              <w:rPr>
                <w:sz w:val="24"/>
                <w:szCs w:val="24"/>
                <w:lang w:eastAsia="lv-LV"/>
              </w:rPr>
              <w:t>Projekts šo jomu neskar.</w:t>
            </w:r>
          </w:p>
        </w:tc>
      </w:tr>
      <w:tr w:rsidR="000A1942" w:rsidRPr="00687C0A" w:rsidTr="003766AB">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Projekts šo jomu neskar.</w:t>
            </w:r>
          </w:p>
        </w:tc>
      </w:tr>
      <w:tr w:rsidR="000A1942" w:rsidRPr="00687C0A" w:rsidTr="003766AB">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lastRenderedPageBreak/>
              <w:t> 5.</w:t>
            </w:r>
          </w:p>
        </w:tc>
        <w:tc>
          <w:tcPr>
            <w:tcW w:w="448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Projekta izpildes ietekme uz pārvaldes institucionālo struktūru.</w:t>
            </w:r>
          </w:p>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w:t>
            </w:r>
            <w:r>
              <w:rPr>
                <w:sz w:val="24"/>
                <w:szCs w:val="24"/>
                <w:lang w:eastAsia="lv-LV"/>
              </w:rPr>
              <w:t>Projekts šo jomu neskar.</w:t>
            </w:r>
          </w:p>
        </w:tc>
      </w:tr>
      <w:tr w:rsidR="000A1942" w:rsidRPr="00687C0A" w:rsidTr="003766AB">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6.</w:t>
            </w:r>
          </w:p>
        </w:tc>
        <w:tc>
          <w:tcPr>
            <w:tcW w:w="4485" w:type="dxa"/>
            <w:tcBorders>
              <w:top w:val="outset" w:sz="6" w:space="0" w:color="auto"/>
              <w:left w:val="outset" w:sz="6" w:space="0" w:color="auto"/>
              <w:bottom w:val="outset" w:sz="6" w:space="0" w:color="auto"/>
              <w:right w:val="outset" w:sz="6" w:space="0" w:color="auto"/>
            </w:tcBorders>
          </w:tcPr>
          <w:p w:rsidR="000A1942" w:rsidRPr="00687C0A" w:rsidRDefault="000A1942" w:rsidP="003766AB">
            <w:pPr>
              <w:spacing w:before="100" w:beforeAutospacing="1" w:after="100" w:afterAutospacing="1"/>
              <w:ind w:firstLine="0"/>
              <w:jc w:val="left"/>
              <w:rPr>
                <w:sz w:val="24"/>
                <w:szCs w:val="24"/>
                <w:lang w:eastAsia="lv-LV"/>
              </w:rPr>
            </w:pPr>
            <w:r w:rsidRPr="00687C0A">
              <w:rPr>
                <w:sz w:val="24"/>
                <w:szCs w:val="24"/>
                <w:lang w:eastAsia="lv-LV"/>
              </w:rPr>
              <w:t> Cita informācija</w:t>
            </w:r>
          </w:p>
        </w:tc>
        <w:tc>
          <w:tcPr>
            <w:tcW w:w="5400" w:type="dxa"/>
            <w:tcBorders>
              <w:top w:val="outset" w:sz="6" w:space="0" w:color="auto"/>
              <w:left w:val="outset" w:sz="6" w:space="0" w:color="auto"/>
              <w:bottom w:val="outset" w:sz="6" w:space="0" w:color="auto"/>
              <w:right w:val="outset" w:sz="6" w:space="0" w:color="auto"/>
            </w:tcBorders>
          </w:tcPr>
          <w:p w:rsidR="000A1942" w:rsidRPr="00AD67DB" w:rsidRDefault="000A1942" w:rsidP="003766AB">
            <w:pPr>
              <w:spacing w:before="100" w:beforeAutospacing="1" w:after="100" w:afterAutospacing="1"/>
              <w:ind w:firstLine="0"/>
              <w:rPr>
                <w:sz w:val="24"/>
                <w:szCs w:val="24"/>
                <w:lang w:eastAsia="lv-LV"/>
              </w:rPr>
            </w:pPr>
            <w:r w:rsidRPr="00687C0A">
              <w:rPr>
                <w:sz w:val="24"/>
                <w:szCs w:val="24"/>
                <w:lang w:eastAsia="lv-LV"/>
              </w:rPr>
              <w:t> </w:t>
            </w:r>
            <w:r w:rsidRPr="00AD67DB">
              <w:rPr>
                <w:sz w:val="24"/>
                <w:szCs w:val="24"/>
                <w:lang w:eastAsia="lv-LV"/>
              </w:rPr>
              <w:t xml:space="preserve">Ministru kabineta </w:t>
            </w:r>
            <w:smartTag w:uri="schemas-tilde-lv/tildestengine" w:element="veidnes">
              <w:smartTagPr>
                <w:attr w:name="id" w:val="-1"/>
                <w:attr w:name="baseform" w:val="rīkojums"/>
                <w:attr w:name="text" w:val="rīkojums"/>
              </w:smartTagPr>
              <w:r w:rsidRPr="00AD67DB">
                <w:rPr>
                  <w:sz w:val="24"/>
                  <w:szCs w:val="24"/>
                  <w:lang w:eastAsia="lv-LV"/>
                </w:rPr>
                <w:t>rīkojums</w:t>
              </w:r>
            </w:smartTag>
            <w:r w:rsidRPr="00AD67DB">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9" w:history="1">
              <w:r w:rsidRPr="00AD67DB">
                <w:rPr>
                  <w:sz w:val="24"/>
                  <w:szCs w:val="24"/>
                  <w:lang w:eastAsia="lv-LV"/>
                </w:rPr>
                <w:t>www.likumi.lv</w:t>
              </w:r>
            </w:hyperlink>
            <w:r w:rsidRPr="00AD67DB">
              <w:rPr>
                <w:sz w:val="24"/>
                <w:szCs w:val="24"/>
                <w:lang w:eastAsia="lv-LV"/>
              </w:rPr>
              <w:t>.</w:t>
            </w:r>
          </w:p>
        </w:tc>
      </w:tr>
    </w:tbl>
    <w:p w:rsidR="000A1942" w:rsidRDefault="000A1942" w:rsidP="000A1942">
      <w:pPr>
        <w:ind w:firstLine="0"/>
      </w:pPr>
    </w:p>
    <w:p w:rsidR="000A1942" w:rsidRDefault="000A1942" w:rsidP="000A1942">
      <w:pPr>
        <w:ind w:firstLine="0"/>
      </w:pPr>
    </w:p>
    <w:p w:rsidR="000A1942" w:rsidRPr="00962C87" w:rsidRDefault="000A1942" w:rsidP="00962C87">
      <w:pPr>
        <w:pStyle w:val="BodyTextIndent"/>
        <w:ind w:left="0" w:firstLine="0"/>
      </w:pPr>
      <w:r w:rsidRPr="00307644">
        <w:t>Finanšu ministrs</w:t>
      </w:r>
      <w:r w:rsidRPr="00307644">
        <w:tab/>
      </w:r>
      <w:r w:rsidRPr="00307644">
        <w:tab/>
      </w:r>
      <w:r w:rsidRPr="00307644">
        <w:tab/>
      </w:r>
      <w:r w:rsidRPr="00307644">
        <w:tab/>
      </w:r>
      <w:r w:rsidRPr="00307644">
        <w:tab/>
      </w:r>
      <w:r w:rsidRPr="00307644">
        <w:tab/>
      </w:r>
      <w:r w:rsidRPr="00307644">
        <w:tab/>
      </w:r>
      <w:r>
        <w:t>A.Vilks</w:t>
      </w:r>
    </w:p>
    <w:p w:rsidR="000A1942" w:rsidRDefault="000A1942"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8A2821" w:rsidRDefault="008A2821" w:rsidP="000A1942">
      <w:pPr>
        <w:ind w:right="611" w:firstLine="0"/>
        <w:rPr>
          <w:sz w:val="20"/>
          <w:szCs w:val="20"/>
        </w:rPr>
      </w:pPr>
    </w:p>
    <w:p w:rsidR="00B17BD8" w:rsidRDefault="00B17BD8" w:rsidP="000A1942">
      <w:pPr>
        <w:ind w:right="611" w:firstLine="0"/>
        <w:rPr>
          <w:sz w:val="20"/>
          <w:szCs w:val="20"/>
        </w:rPr>
      </w:pPr>
    </w:p>
    <w:p w:rsidR="00B17BD8" w:rsidRDefault="00B17BD8" w:rsidP="000A1942">
      <w:pPr>
        <w:ind w:right="611" w:firstLine="0"/>
        <w:rPr>
          <w:sz w:val="20"/>
          <w:szCs w:val="20"/>
        </w:rPr>
      </w:pPr>
    </w:p>
    <w:p w:rsidR="000A1942" w:rsidRPr="000F1899" w:rsidRDefault="008A2821" w:rsidP="000A1942">
      <w:pPr>
        <w:ind w:right="611" w:firstLine="0"/>
        <w:rPr>
          <w:sz w:val="20"/>
          <w:szCs w:val="20"/>
        </w:rPr>
      </w:pPr>
      <w:r>
        <w:rPr>
          <w:sz w:val="20"/>
          <w:szCs w:val="20"/>
        </w:rPr>
        <w:t>23.04</w:t>
      </w:r>
      <w:r w:rsidR="000A1942">
        <w:rPr>
          <w:sz w:val="20"/>
          <w:szCs w:val="20"/>
        </w:rPr>
        <w:t>.2012.</w:t>
      </w:r>
      <w:r w:rsidR="000A1942" w:rsidRPr="000F1899">
        <w:rPr>
          <w:sz w:val="20"/>
          <w:szCs w:val="20"/>
        </w:rPr>
        <w:tab/>
      </w:r>
      <w:r w:rsidR="005318C8">
        <w:rPr>
          <w:sz w:val="20"/>
          <w:szCs w:val="20"/>
        </w:rPr>
        <w:t>16:18</w:t>
      </w:r>
    </w:p>
    <w:p w:rsidR="000A1942" w:rsidRPr="000F1899" w:rsidRDefault="002948B7" w:rsidP="000A1942">
      <w:pPr>
        <w:ind w:right="611" w:firstLine="0"/>
        <w:rPr>
          <w:sz w:val="20"/>
          <w:szCs w:val="20"/>
        </w:rPr>
      </w:pPr>
      <w:r>
        <w:rPr>
          <w:sz w:val="20"/>
          <w:szCs w:val="20"/>
        </w:rPr>
        <w:t>2747</w:t>
      </w:r>
    </w:p>
    <w:p w:rsidR="000A1942" w:rsidRPr="000F1899" w:rsidRDefault="000A1942" w:rsidP="000A1942">
      <w:pPr>
        <w:ind w:right="611" w:firstLine="0"/>
        <w:rPr>
          <w:sz w:val="20"/>
          <w:szCs w:val="20"/>
        </w:rPr>
      </w:pPr>
      <w:r w:rsidRPr="000F1899">
        <w:rPr>
          <w:sz w:val="20"/>
          <w:szCs w:val="20"/>
        </w:rPr>
        <w:t>S.Lūse 67024904</w:t>
      </w:r>
    </w:p>
    <w:p w:rsidR="000A1942" w:rsidRPr="00E75CC5" w:rsidRDefault="00080C2E" w:rsidP="000A1942">
      <w:pPr>
        <w:ind w:right="611" w:firstLine="0"/>
        <w:rPr>
          <w:sz w:val="20"/>
          <w:szCs w:val="20"/>
        </w:rPr>
      </w:pPr>
      <w:hyperlink r:id="rId10" w:history="1">
        <w:r w:rsidR="000A1942" w:rsidRPr="000F1899">
          <w:rPr>
            <w:rStyle w:val="Hyperlink"/>
            <w:sz w:val="20"/>
            <w:szCs w:val="20"/>
          </w:rPr>
          <w:t>Santa.Luse@vni.lv</w:t>
        </w:r>
      </w:hyperlink>
      <w:r w:rsidR="000A1942" w:rsidRPr="000F1899">
        <w:rPr>
          <w:sz w:val="20"/>
          <w:szCs w:val="20"/>
        </w:rPr>
        <w:tab/>
      </w:r>
      <w:r w:rsidR="000A1942" w:rsidRPr="000F1899">
        <w:rPr>
          <w:sz w:val="20"/>
          <w:szCs w:val="20"/>
        </w:rPr>
        <w:tab/>
      </w:r>
    </w:p>
    <w:p w:rsidR="00F80266" w:rsidRDefault="00F80266" w:rsidP="00962C87">
      <w:pPr>
        <w:ind w:firstLine="0"/>
      </w:pPr>
    </w:p>
    <w:sectPr w:rsidR="00F80266" w:rsidSect="003766AB">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2E" w:rsidRDefault="00080C2E">
      <w:r>
        <w:separator/>
      </w:r>
    </w:p>
  </w:endnote>
  <w:endnote w:type="continuationSeparator" w:id="0">
    <w:p w:rsidR="00080C2E" w:rsidRDefault="000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D" w:rsidRPr="0087280E" w:rsidRDefault="00346BBD" w:rsidP="0087280E">
    <w:pPr>
      <w:ind w:firstLine="0"/>
      <w:jc w:val="center"/>
      <w:rPr>
        <w:sz w:val="20"/>
        <w:szCs w:val="20"/>
        <w:lang w:eastAsia="lv-LV"/>
      </w:rPr>
    </w:pPr>
    <w:r w:rsidRPr="0087280E">
      <w:rPr>
        <w:sz w:val="20"/>
        <w:szCs w:val="20"/>
      </w:rPr>
      <w:fldChar w:fldCharType="begin"/>
    </w:r>
    <w:r w:rsidRPr="0087280E">
      <w:rPr>
        <w:sz w:val="20"/>
        <w:szCs w:val="20"/>
      </w:rPr>
      <w:instrText xml:space="preserve"> FILENAME   \* MERGEFORMAT </w:instrText>
    </w:r>
    <w:r w:rsidRPr="0087280E">
      <w:rPr>
        <w:sz w:val="20"/>
        <w:szCs w:val="20"/>
      </w:rPr>
      <w:fldChar w:fldCharType="separate"/>
    </w:r>
    <w:r>
      <w:rPr>
        <w:noProof/>
        <w:sz w:val="20"/>
        <w:szCs w:val="20"/>
      </w:rPr>
      <w:t>FManot_020212_LNB</w:t>
    </w:r>
    <w:r w:rsidRPr="0087280E">
      <w:rPr>
        <w:sz w:val="20"/>
        <w:szCs w:val="20"/>
      </w:rPr>
      <w:fldChar w:fldCharType="end"/>
    </w:r>
    <w:r w:rsidRPr="0087280E">
      <w:rPr>
        <w:sz w:val="20"/>
        <w:szCs w:val="20"/>
      </w:rPr>
      <w:t xml:space="preserve">;  </w:t>
    </w:r>
    <w:r w:rsidRPr="0087280E">
      <w:rPr>
        <w:sz w:val="20"/>
        <w:szCs w:val="20"/>
        <w:lang w:eastAsia="lv-LV"/>
      </w:rPr>
      <w:t>Ministru kabineta rīkojuma projekta „</w:t>
    </w:r>
    <w:r w:rsidRPr="0087280E">
      <w:rPr>
        <w:sz w:val="20"/>
        <w:szCs w:val="20"/>
      </w:rPr>
      <w:t xml:space="preserve">Par valsts nekustamo īpašumu </w:t>
    </w:r>
    <w:r w:rsidRPr="0087280E">
      <w:rPr>
        <w:sz w:val="20"/>
        <w:szCs w:val="20"/>
        <w:lang w:eastAsia="lv-LV"/>
      </w:rPr>
      <w:t>nodošanu bezatlīdzības lietošanā biedrībai „Latvijas Neredzīgo biedrība””</w:t>
    </w:r>
    <w:r w:rsidRPr="0087280E">
      <w:rPr>
        <w:sz w:val="20"/>
        <w:szCs w:val="20"/>
      </w:rPr>
      <w:t xml:space="preserve"> </w:t>
    </w:r>
    <w:r w:rsidRPr="0087280E">
      <w:rPr>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D" w:rsidRPr="0087280E" w:rsidRDefault="00346BBD" w:rsidP="0087280E">
    <w:pPr>
      <w:ind w:firstLine="0"/>
      <w:jc w:val="center"/>
      <w:rPr>
        <w:sz w:val="20"/>
        <w:szCs w:val="20"/>
        <w:lang w:eastAsia="lv-LV"/>
      </w:rPr>
    </w:pPr>
    <w:r w:rsidRPr="0087280E">
      <w:rPr>
        <w:sz w:val="20"/>
        <w:szCs w:val="20"/>
      </w:rPr>
      <w:fldChar w:fldCharType="begin"/>
    </w:r>
    <w:r w:rsidRPr="0087280E">
      <w:rPr>
        <w:sz w:val="20"/>
        <w:szCs w:val="20"/>
      </w:rPr>
      <w:instrText xml:space="preserve"> FILENAME   \* MERGEFORMAT </w:instrText>
    </w:r>
    <w:r w:rsidRPr="0087280E">
      <w:rPr>
        <w:sz w:val="20"/>
        <w:szCs w:val="20"/>
      </w:rPr>
      <w:fldChar w:fldCharType="separate"/>
    </w:r>
    <w:r>
      <w:rPr>
        <w:noProof/>
        <w:sz w:val="20"/>
        <w:szCs w:val="20"/>
      </w:rPr>
      <w:t>FManot_020212_LNB</w:t>
    </w:r>
    <w:r w:rsidRPr="0087280E">
      <w:rPr>
        <w:sz w:val="20"/>
        <w:szCs w:val="20"/>
      </w:rPr>
      <w:fldChar w:fldCharType="end"/>
    </w:r>
    <w:r w:rsidRPr="0087280E">
      <w:rPr>
        <w:sz w:val="20"/>
        <w:szCs w:val="20"/>
      </w:rPr>
      <w:t xml:space="preserve">;  </w:t>
    </w:r>
    <w:r w:rsidRPr="0087280E">
      <w:rPr>
        <w:sz w:val="20"/>
        <w:szCs w:val="20"/>
        <w:lang w:eastAsia="lv-LV"/>
      </w:rPr>
      <w:t>Ministru kabineta rīkojuma projekta „</w:t>
    </w:r>
    <w:r w:rsidRPr="0087280E">
      <w:rPr>
        <w:sz w:val="20"/>
        <w:szCs w:val="20"/>
      </w:rPr>
      <w:t xml:space="preserve">Par valsts nekustamo īpašumu </w:t>
    </w:r>
    <w:r w:rsidRPr="0087280E">
      <w:rPr>
        <w:sz w:val="20"/>
        <w:szCs w:val="20"/>
        <w:lang w:eastAsia="lv-LV"/>
      </w:rPr>
      <w:t>nodošanu bezatlīdzības lietošanā biedrībai „Latvijas Neredzīgo biedrība””</w:t>
    </w:r>
    <w:r w:rsidRPr="0087280E">
      <w:rPr>
        <w:sz w:val="20"/>
        <w:szCs w:val="20"/>
      </w:rPr>
      <w:t xml:space="preserve"> </w:t>
    </w:r>
    <w:r w:rsidRPr="0087280E">
      <w:rPr>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2E" w:rsidRDefault="00080C2E">
      <w:r>
        <w:separator/>
      </w:r>
    </w:p>
  </w:footnote>
  <w:footnote w:type="continuationSeparator" w:id="0">
    <w:p w:rsidR="00080C2E" w:rsidRDefault="0008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D" w:rsidRDefault="00346BBD" w:rsidP="00376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BBD" w:rsidRDefault="00346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BD" w:rsidRDefault="00346BBD" w:rsidP="00376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913">
      <w:rPr>
        <w:rStyle w:val="PageNumber"/>
        <w:noProof/>
      </w:rPr>
      <w:t>2</w:t>
    </w:r>
    <w:r>
      <w:rPr>
        <w:rStyle w:val="PageNumber"/>
      </w:rPr>
      <w:fldChar w:fldCharType="end"/>
    </w:r>
  </w:p>
  <w:p w:rsidR="00346BBD" w:rsidRDefault="00346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FD"/>
    <w:multiLevelType w:val="hybridMultilevel"/>
    <w:tmpl w:val="E23E1C84"/>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3717EF"/>
    <w:multiLevelType w:val="hybridMultilevel"/>
    <w:tmpl w:val="ECA86D38"/>
    <w:lvl w:ilvl="0" w:tplc="FDFA12FE">
      <w:numFmt w:val="bullet"/>
      <w:lvlText w:val="-"/>
      <w:lvlJc w:val="left"/>
      <w:pPr>
        <w:ind w:left="485" w:hanging="360"/>
      </w:pPr>
      <w:rPr>
        <w:rFonts w:ascii="Times New Roman" w:eastAsia="Times New Roman" w:hAnsi="Times New Roman" w:cs="Times New Roman" w:hint="default"/>
      </w:rPr>
    </w:lvl>
    <w:lvl w:ilvl="1" w:tplc="04260003" w:tentative="1">
      <w:start w:val="1"/>
      <w:numFmt w:val="bullet"/>
      <w:lvlText w:val="o"/>
      <w:lvlJc w:val="left"/>
      <w:pPr>
        <w:ind w:left="1205" w:hanging="360"/>
      </w:pPr>
      <w:rPr>
        <w:rFonts w:ascii="Courier New" w:hAnsi="Courier New" w:cs="Courier New" w:hint="default"/>
      </w:rPr>
    </w:lvl>
    <w:lvl w:ilvl="2" w:tplc="04260005" w:tentative="1">
      <w:start w:val="1"/>
      <w:numFmt w:val="bullet"/>
      <w:lvlText w:val=""/>
      <w:lvlJc w:val="left"/>
      <w:pPr>
        <w:ind w:left="1925" w:hanging="360"/>
      </w:pPr>
      <w:rPr>
        <w:rFonts w:ascii="Wingdings" w:hAnsi="Wingdings" w:hint="default"/>
      </w:rPr>
    </w:lvl>
    <w:lvl w:ilvl="3" w:tplc="04260001" w:tentative="1">
      <w:start w:val="1"/>
      <w:numFmt w:val="bullet"/>
      <w:lvlText w:val=""/>
      <w:lvlJc w:val="left"/>
      <w:pPr>
        <w:ind w:left="2645" w:hanging="360"/>
      </w:pPr>
      <w:rPr>
        <w:rFonts w:ascii="Symbol" w:hAnsi="Symbol" w:hint="default"/>
      </w:rPr>
    </w:lvl>
    <w:lvl w:ilvl="4" w:tplc="04260003" w:tentative="1">
      <w:start w:val="1"/>
      <w:numFmt w:val="bullet"/>
      <w:lvlText w:val="o"/>
      <w:lvlJc w:val="left"/>
      <w:pPr>
        <w:ind w:left="3365" w:hanging="360"/>
      </w:pPr>
      <w:rPr>
        <w:rFonts w:ascii="Courier New" w:hAnsi="Courier New" w:cs="Courier New" w:hint="default"/>
      </w:rPr>
    </w:lvl>
    <w:lvl w:ilvl="5" w:tplc="04260005" w:tentative="1">
      <w:start w:val="1"/>
      <w:numFmt w:val="bullet"/>
      <w:lvlText w:val=""/>
      <w:lvlJc w:val="left"/>
      <w:pPr>
        <w:ind w:left="4085" w:hanging="360"/>
      </w:pPr>
      <w:rPr>
        <w:rFonts w:ascii="Wingdings" w:hAnsi="Wingdings" w:hint="default"/>
      </w:rPr>
    </w:lvl>
    <w:lvl w:ilvl="6" w:tplc="04260001" w:tentative="1">
      <w:start w:val="1"/>
      <w:numFmt w:val="bullet"/>
      <w:lvlText w:val=""/>
      <w:lvlJc w:val="left"/>
      <w:pPr>
        <w:ind w:left="4805" w:hanging="360"/>
      </w:pPr>
      <w:rPr>
        <w:rFonts w:ascii="Symbol" w:hAnsi="Symbol" w:hint="default"/>
      </w:rPr>
    </w:lvl>
    <w:lvl w:ilvl="7" w:tplc="04260003" w:tentative="1">
      <w:start w:val="1"/>
      <w:numFmt w:val="bullet"/>
      <w:lvlText w:val="o"/>
      <w:lvlJc w:val="left"/>
      <w:pPr>
        <w:ind w:left="5525" w:hanging="360"/>
      </w:pPr>
      <w:rPr>
        <w:rFonts w:ascii="Courier New" w:hAnsi="Courier New" w:cs="Courier New" w:hint="default"/>
      </w:rPr>
    </w:lvl>
    <w:lvl w:ilvl="8" w:tplc="04260005" w:tentative="1">
      <w:start w:val="1"/>
      <w:numFmt w:val="bullet"/>
      <w:lvlText w:val=""/>
      <w:lvlJc w:val="left"/>
      <w:pPr>
        <w:ind w:left="6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42"/>
    <w:rsid w:val="00012609"/>
    <w:rsid w:val="00032F4E"/>
    <w:rsid w:val="00057B8C"/>
    <w:rsid w:val="00080C2E"/>
    <w:rsid w:val="00082BD5"/>
    <w:rsid w:val="000900C4"/>
    <w:rsid w:val="00097CA0"/>
    <w:rsid w:val="000A1942"/>
    <w:rsid w:val="00127D1B"/>
    <w:rsid w:val="00161BFD"/>
    <w:rsid w:val="00166DC6"/>
    <w:rsid w:val="0016789B"/>
    <w:rsid w:val="0019063B"/>
    <w:rsid w:val="001E7EFD"/>
    <w:rsid w:val="00221AE8"/>
    <w:rsid w:val="0023097F"/>
    <w:rsid w:val="00233885"/>
    <w:rsid w:val="002948B7"/>
    <w:rsid w:val="002E1F74"/>
    <w:rsid w:val="003447DF"/>
    <w:rsid w:val="00346BBD"/>
    <w:rsid w:val="00372717"/>
    <w:rsid w:val="003766AB"/>
    <w:rsid w:val="00390FBA"/>
    <w:rsid w:val="0046792B"/>
    <w:rsid w:val="00483C9D"/>
    <w:rsid w:val="004A16E6"/>
    <w:rsid w:val="004D0B69"/>
    <w:rsid w:val="004F44E6"/>
    <w:rsid w:val="004F6B98"/>
    <w:rsid w:val="004F78B1"/>
    <w:rsid w:val="005057CF"/>
    <w:rsid w:val="005318C8"/>
    <w:rsid w:val="00531AFB"/>
    <w:rsid w:val="00543C17"/>
    <w:rsid w:val="005707F8"/>
    <w:rsid w:val="005743E7"/>
    <w:rsid w:val="00586B88"/>
    <w:rsid w:val="005A728E"/>
    <w:rsid w:val="005C7A96"/>
    <w:rsid w:val="005F301D"/>
    <w:rsid w:val="005F4BC3"/>
    <w:rsid w:val="00641A9B"/>
    <w:rsid w:val="006425B9"/>
    <w:rsid w:val="0065792E"/>
    <w:rsid w:val="00681EC7"/>
    <w:rsid w:val="00687DED"/>
    <w:rsid w:val="006E5509"/>
    <w:rsid w:val="006F4DA2"/>
    <w:rsid w:val="00703CB6"/>
    <w:rsid w:val="00711238"/>
    <w:rsid w:val="00737B05"/>
    <w:rsid w:val="00740D24"/>
    <w:rsid w:val="0074636C"/>
    <w:rsid w:val="00775D87"/>
    <w:rsid w:val="007B5890"/>
    <w:rsid w:val="007C46D0"/>
    <w:rsid w:val="00821606"/>
    <w:rsid w:val="00861939"/>
    <w:rsid w:val="0087280E"/>
    <w:rsid w:val="0089566D"/>
    <w:rsid w:val="008A2821"/>
    <w:rsid w:val="008C0876"/>
    <w:rsid w:val="008E103A"/>
    <w:rsid w:val="008F4138"/>
    <w:rsid w:val="00910939"/>
    <w:rsid w:val="009201A6"/>
    <w:rsid w:val="00930DB8"/>
    <w:rsid w:val="00930F40"/>
    <w:rsid w:val="00933F5B"/>
    <w:rsid w:val="009504A1"/>
    <w:rsid w:val="00962C87"/>
    <w:rsid w:val="009872C9"/>
    <w:rsid w:val="00996936"/>
    <w:rsid w:val="009A2701"/>
    <w:rsid w:val="009B403D"/>
    <w:rsid w:val="009B5BB3"/>
    <w:rsid w:val="009D42F1"/>
    <w:rsid w:val="00A00BEE"/>
    <w:rsid w:val="00A130E2"/>
    <w:rsid w:val="00A276FF"/>
    <w:rsid w:val="00A54A8F"/>
    <w:rsid w:val="00A80111"/>
    <w:rsid w:val="00A82B64"/>
    <w:rsid w:val="00AA46A5"/>
    <w:rsid w:val="00AB3D33"/>
    <w:rsid w:val="00AB75B6"/>
    <w:rsid w:val="00AD2499"/>
    <w:rsid w:val="00AF5B2B"/>
    <w:rsid w:val="00B04087"/>
    <w:rsid w:val="00B152EF"/>
    <w:rsid w:val="00B17AB1"/>
    <w:rsid w:val="00B17BD8"/>
    <w:rsid w:val="00B31AF1"/>
    <w:rsid w:val="00B74A34"/>
    <w:rsid w:val="00BB6771"/>
    <w:rsid w:val="00C00190"/>
    <w:rsid w:val="00C7232F"/>
    <w:rsid w:val="00C73B29"/>
    <w:rsid w:val="00C77913"/>
    <w:rsid w:val="00CA505B"/>
    <w:rsid w:val="00CD659C"/>
    <w:rsid w:val="00CF4B75"/>
    <w:rsid w:val="00D03968"/>
    <w:rsid w:val="00D07232"/>
    <w:rsid w:val="00D0758F"/>
    <w:rsid w:val="00D428F0"/>
    <w:rsid w:val="00D533AA"/>
    <w:rsid w:val="00D8503A"/>
    <w:rsid w:val="00D912EF"/>
    <w:rsid w:val="00DA3E8F"/>
    <w:rsid w:val="00DC58DF"/>
    <w:rsid w:val="00DE56F6"/>
    <w:rsid w:val="00DF632D"/>
    <w:rsid w:val="00E269C4"/>
    <w:rsid w:val="00E30E72"/>
    <w:rsid w:val="00E6281B"/>
    <w:rsid w:val="00E66C59"/>
    <w:rsid w:val="00E76897"/>
    <w:rsid w:val="00EF07FC"/>
    <w:rsid w:val="00F01415"/>
    <w:rsid w:val="00F80266"/>
    <w:rsid w:val="00FE50F4"/>
    <w:rsid w:val="00FF0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42"/>
    <w:pPr>
      <w:spacing w:after="0" w:line="240" w:lineRule="auto"/>
      <w:ind w:firstLine="720"/>
      <w:jc w:val="both"/>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0A1942"/>
    <w:pPr>
      <w:keepNext/>
      <w:ind w:firstLine="0"/>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942"/>
    <w:rPr>
      <w:rFonts w:ascii="Times New Roman" w:eastAsia="Times New Roman" w:hAnsi="Times New Roman" w:cs="Times New Roman"/>
      <w:b/>
      <w:bCs/>
      <w:sz w:val="28"/>
      <w:szCs w:val="20"/>
    </w:rPr>
  </w:style>
  <w:style w:type="paragraph" w:styleId="Header">
    <w:name w:val="header"/>
    <w:basedOn w:val="Normal"/>
    <w:link w:val="HeaderChar"/>
    <w:rsid w:val="000A1942"/>
    <w:pPr>
      <w:tabs>
        <w:tab w:val="center" w:pos="4153"/>
        <w:tab w:val="right" w:pos="8306"/>
      </w:tabs>
    </w:pPr>
  </w:style>
  <w:style w:type="character" w:customStyle="1" w:styleId="HeaderChar">
    <w:name w:val="Header Char"/>
    <w:basedOn w:val="DefaultParagraphFont"/>
    <w:link w:val="Header"/>
    <w:rsid w:val="000A1942"/>
    <w:rPr>
      <w:rFonts w:ascii="Times New Roman" w:eastAsia="Times New Roman" w:hAnsi="Times New Roman" w:cs="Times New Roman"/>
      <w:sz w:val="28"/>
      <w:szCs w:val="28"/>
    </w:rPr>
  </w:style>
  <w:style w:type="character" w:styleId="Hyperlink">
    <w:name w:val="Hyperlink"/>
    <w:rsid w:val="000A1942"/>
    <w:rPr>
      <w:color w:val="0000FF"/>
      <w:u w:val="single"/>
    </w:rPr>
  </w:style>
  <w:style w:type="paragraph" w:styleId="BodyTextIndent">
    <w:name w:val="Body Text Indent"/>
    <w:basedOn w:val="Normal"/>
    <w:link w:val="BodyTextIndentChar"/>
    <w:rsid w:val="000A1942"/>
    <w:pPr>
      <w:spacing w:after="120"/>
      <w:ind w:left="283"/>
    </w:pPr>
  </w:style>
  <w:style w:type="character" w:customStyle="1" w:styleId="BodyTextIndentChar">
    <w:name w:val="Body Text Indent Char"/>
    <w:basedOn w:val="DefaultParagraphFont"/>
    <w:link w:val="BodyTextIndent"/>
    <w:rsid w:val="000A1942"/>
    <w:rPr>
      <w:rFonts w:ascii="Times New Roman" w:eastAsia="Times New Roman" w:hAnsi="Times New Roman" w:cs="Times New Roman"/>
      <w:sz w:val="28"/>
      <w:szCs w:val="28"/>
    </w:rPr>
  </w:style>
  <w:style w:type="character" w:styleId="PageNumber">
    <w:name w:val="page number"/>
    <w:basedOn w:val="DefaultParagraphFont"/>
    <w:rsid w:val="000A1942"/>
  </w:style>
  <w:style w:type="paragraph" w:styleId="ListParagraph">
    <w:name w:val="List Paragraph"/>
    <w:basedOn w:val="Normal"/>
    <w:uiPriority w:val="34"/>
    <w:qFormat/>
    <w:rsid w:val="005C7A96"/>
    <w:pPr>
      <w:ind w:left="720"/>
      <w:contextualSpacing/>
    </w:pPr>
  </w:style>
  <w:style w:type="paragraph" w:styleId="Footer">
    <w:name w:val="footer"/>
    <w:basedOn w:val="Normal"/>
    <w:link w:val="FooterChar"/>
    <w:uiPriority w:val="99"/>
    <w:unhideWhenUsed/>
    <w:rsid w:val="0087280E"/>
    <w:pPr>
      <w:tabs>
        <w:tab w:val="center" w:pos="4153"/>
        <w:tab w:val="right" w:pos="8306"/>
      </w:tabs>
    </w:pPr>
  </w:style>
  <w:style w:type="character" w:customStyle="1" w:styleId="FooterChar">
    <w:name w:val="Footer Char"/>
    <w:basedOn w:val="DefaultParagraphFont"/>
    <w:link w:val="Footer"/>
    <w:uiPriority w:val="99"/>
    <w:rsid w:val="0087280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F4BC3"/>
    <w:rPr>
      <w:rFonts w:ascii="Tahoma" w:hAnsi="Tahoma" w:cs="Tahoma"/>
      <w:sz w:val="16"/>
      <w:szCs w:val="16"/>
    </w:rPr>
  </w:style>
  <w:style w:type="character" w:customStyle="1" w:styleId="BalloonTextChar">
    <w:name w:val="Balloon Text Char"/>
    <w:basedOn w:val="DefaultParagraphFont"/>
    <w:link w:val="BalloonText"/>
    <w:uiPriority w:val="99"/>
    <w:semiHidden/>
    <w:rsid w:val="005F4B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42"/>
    <w:pPr>
      <w:spacing w:after="0" w:line="240" w:lineRule="auto"/>
      <w:ind w:firstLine="720"/>
      <w:jc w:val="both"/>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0A1942"/>
    <w:pPr>
      <w:keepNext/>
      <w:ind w:firstLine="0"/>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942"/>
    <w:rPr>
      <w:rFonts w:ascii="Times New Roman" w:eastAsia="Times New Roman" w:hAnsi="Times New Roman" w:cs="Times New Roman"/>
      <w:b/>
      <w:bCs/>
      <w:sz w:val="28"/>
      <w:szCs w:val="20"/>
    </w:rPr>
  </w:style>
  <w:style w:type="paragraph" w:styleId="Header">
    <w:name w:val="header"/>
    <w:basedOn w:val="Normal"/>
    <w:link w:val="HeaderChar"/>
    <w:rsid w:val="000A1942"/>
    <w:pPr>
      <w:tabs>
        <w:tab w:val="center" w:pos="4153"/>
        <w:tab w:val="right" w:pos="8306"/>
      </w:tabs>
    </w:pPr>
  </w:style>
  <w:style w:type="character" w:customStyle="1" w:styleId="HeaderChar">
    <w:name w:val="Header Char"/>
    <w:basedOn w:val="DefaultParagraphFont"/>
    <w:link w:val="Header"/>
    <w:rsid w:val="000A1942"/>
    <w:rPr>
      <w:rFonts w:ascii="Times New Roman" w:eastAsia="Times New Roman" w:hAnsi="Times New Roman" w:cs="Times New Roman"/>
      <w:sz w:val="28"/>
      <w:szCs w:val="28"/>
    </w:rPr>
  </w:style>
  <w:style w:type="character" w:styleId="Hyperlink">
    <w:name w:val="Hyperlink"/>
    <w:rsid w:val="000A1942"/>
    <w:rPr>
      <w:color w:val="0000FF"/>
      <w:u w:val="single"/>
    </w:rPr>
  </w:style>
  <w:style w:type="paragraph" w:styleId="BodyTextIndent">
    <w:name w:val="Body Text Indent"/>
    <w:basedOn w:val="Normal"/>
    <w:link w:val="BodyTextIndentChar"/>
    <w:rsid w:val="000A1942"/>
    <w:pPr>
      <w:spacing w:after="120"/>
      <w:ind w:left="283"/>
    </w:pPr>
  </w:style>
  <w:style w:type="character" w:customStyle="1" w:styleId="BodyTextIndentChar">
    <w:name w:val="Body Text Indent Char"/>
    <w:basedOn w:val="DefaultParagraphFont"/>
    <w:link w:val="BodyTextIndent"/>
    <w:rsid w:val="000A1942"/>
    <w:rPr>
      <w:rFonts w:ascii="Times New Roman" w:eastAsia="Times New Roman" w:hAnsi="Times New Roman" w:cs="Times New Roman"/>
      <w:sz w:val="28"/>
      <w:szCs w:val="28"/>
    </w:rPr>
  </w:style>
  <w:style w:type="character" w:styleId="PageNumber">
    <w:name w:val="page number"/>
    <w:basedOn w:val="DefaultParagraphFont"/>
    <w:rsid w:val="000A1942"/>
  </w:style>
  <w:style w:type="paragraph" w:styleId="ListParagraph">
    <w:name w:val="List Paragraph"/>
    <w:basedOn w:val="Normal"/>
    <w:uiPriority w:val="34"/>
    <w:qFormat/>
    <w:rsid w:val="005C7A96"/>
    <w:pPr>
      <w:ind w:left="720"/>
      <w:contextualSpacing/>
    </w:pPr>
  </w:style>
  <w:style w:type="paragraph" w:styleId="Footer">
    <w:name w:val="footer"/>
    <w:basedOn w:val="Normal"/>
    <w:link w:val="FooterChar"/>
    <w:uiPriority w:val="99"/>
    <w:unhideWhenUsed/>
    <w:rsid w:val="0087280E"/>
    <w:pPr>
      <w:tabs>
        <w:tab w:val="center" w:pos="4153"/>
        <w:tab w:val="right" w:pos="8306"/>
      </w:tabs>
    </w:pPr>
  </w:style>
  <w:style w:type="character" w:customStyle="1" w:styleId="FooterChar">
    <w:name w:val="Footer Char"/>
    <w:basedOn w:val="DefaultParagraphFont"/>
    <w:link w:val="Footer"/>
    <w:uiPriority w:val="99"/>
    <w:rsid w:val="0087280E"/>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F4BC3"/>
    <w:rPr>
      <w:rFonts w:ascii="Tahoma" w:hAnsi="Tahoma" w:cs="Tahoma"/>
      <w:sz w:val="16"/>
      <w:szCs w:val="16"/>
    </w:rPr>
  </w:style>
  <w:style w:type="character" w:customStyle="1" w:styleId="BalloonTextChar">
    <w:name w:val="Balloon Text Char"/>
    <w:basedOn w:val="DefaultParagraphFont"/>
    <w:link w:val="BalloonText"/>
    <w:uiPriority w:val="99"/>
    <w:semiHidden/>
    <w:rsid w:val="005F4B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1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ta.Luse@vni.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14310</Words>
  <Characters>8157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projektu Par valsts nekustamo īpašumu nodošanu bezatlīdzības lietošanā biedrībai „Latvijas Neredzīgo biedrība”</dc:title>
  <dc:subject>Anotācija</dc:subject>
  <dc:creator>Santa Lūse</dc:creator>
  <dc:description>67024904
Santa.Luse@vni.lv                              </dc:description>
  <cp:lastModifiedBy>Windows User</cp:lastModifiedBy>
  <cp:revision>120</cp:revision>
  <cp:lastPrinted>2012-02-06T14:29:00Z</cp:lastPrinted>
  <dcterms:created xsi:type="dcterms:W3CDTF">2012-02-02T09:17:00Z</dcterms:created>
  <dcterms:modified xsi:type="dcterms:W3CDTF">2012-05-17T09:11:00Z</dcterms:modified>
</cp:coreProperties>
</file>