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FB" w:rsidRPr="00045B81" w:rsidRDefault="00F031FB" w:rsidP="00F031FB">
      <w:pPr>
        <w:jc w:val="center"/>
        <w:rPr>
          <w:bCs/>
          <w:sz w:val="26"/>
          <w:szCs w:val="26"/>
          <w14:shadow w14:blurRad="50800" w14:dist="38100" w14:dir="2700000" w14:sx="100000" w14:sy="100000" w14:kx="0" w14:ky="0" w14:algn="tl">
            <w14:srgbClr w14:val="000000">
              <w14:alpha w14:val="60000"/>
            </w14:srgbClr>
          </w14:shadow>
        </w:rPr>
      </w:pPr>
      <w:r w:rsidRPr="00045B81">
        <w:rPr>
          <w:b/>
          <w:sz w:val="26"/>
          <w:szCs w:val="26"/>
        </w:rPr>
        <w:t xml:space="preserve">Likumprojekta </w:t>
      </w:r>
      <w:r w:rsidR="00D73EB0" w:rsidRPr="00045B81">
        <w:rPr>
          <w:b/>
          <w:sz w:val="26"/>
          <w:szCs w:val="26"/>
        </w:rPr>
        <w:t>"</w:t>
      </w:r>
      <w:r w:rsidR="009B42E5" w:rsidRPr="00045B81">
        <w:rPr>
          <w:b/>
          <w:sz w:val="26"/>
          <w:szCs w:val="26"/>
        </w:rPr>
        <w:t>Grozījum</w:t>
      </w:r>
      <w:r w:rsidR="00F641D8" w:rsidRPr="00045B81">
        <w:rPr>
          <w:b/>
          <w:sz w:val="26"/>
          <w:szCs w:val="26"/>
        </w:rPr>
        <w:t>i</w:t>
      </w:r>
      <w:r w:rsidR="009B42E5" w:rsidRPr="00045B81">
        <w:rPr>
          <w:b/>
          <w:sz w:val="26"/>
          <w:szCs w:val="26"/>
        </w:rPr>
        <w:t xml:space="preserve"> </w:t>
      </w:r>
      <w:r w:rsidR="00E866EA" w:rsidRPr="00045B81">
        <w:rPr>
          <w:b/>
          <w:sz w:val="26"/>
          <w:szCs w:val="26"/>
        </w:rPr>
        <w:t>Kredītu reģistra likumā</w:t>
      </w:r>
      <w:r w:rsidR="009B42E5" w:rsidRPr="00045B81">
        <w:rPr>
          <w:b/>
          <w:sz w:val="26"/>
          <w:szCs w:val="26"/>
        </w:rPr>
        <w:t>"</w:t>
      </w:r>
      <w:r w:rsidRPr="00045B81">
        <w:rPr>
          <w:b/>
          <w:sz w:val="26"/>
          <w:szCs w:val="26"/>
        </w:rPr>
        <w:t xml:space="preserve"> </w:t>
      </w:r>
      <w:r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045B81">
        <w:tc>
          <w:tcPr>
            <w:tcW w:w="972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262E2B" w:rsidRPr="00045B81" w:rsidRDefault="002D7F54" w:rsidP="006C4607">
            <w:pPr>
              <w:pStyle w:val="naiskr"/>
              <w:spacing w:before="0" w:after="0"/>
              <w:ind w:hanging="10"/>
              <w:rPr>
                <w:sz w:val="26"/>
                <w:szCs w:val="26"/>
              </w:rPr>
            </w:pPr>
            <w:r w:rsidRPr="00045B81">
              <w:rPr>
                <w:sz w:val="26"/>
                <w:szCs w:val="26"/>
              </w:rPr>
              <w:t>Pamatojums</w:t>
            </w:r>
          </w:p>
        </w:tc>
        <w:tc>
          <w:tcPr>
            <w:tcW w:w="4860" w:type="dxa"/>
          </w:tcPr>
          <w:p w:rsidR="00262E2B" w:rsidRPr="00045B81" w:rsidRDefault="00D73EB0" w:rsidP="00EE78A6">
            <w:pPr>
              <w:spacing w:after="120"/>
              <w:jc w:val="both"/>
              <w:rPr>
                <w:sz w:val="26"/>
                <w:szCs w:val="26"/>
              </w:rPr>
            </w:pPr>
            <w:r w:rsidRPr="00045B81">
              <w:rPr>
                <w:sz w:val="26"/>
                <w:szCs w:val="26"/>
              </w:rPr>
              <w:t xml:space="preserve">Ministru kabinets 2013.gada 2.aprīlī izskatīja informatīvo ziņojumu par vienotās attīstības finanšu institūcijas izveidi un atbalstīja, ka </w:t>
            </w:r>
            <w:r w:rsidR="00617BC7" w:rsidRPr="00045B81">
              <w:rPr>
                <w:sz w:val="26"/>
                <w:szCs w:val="26"/>
              </w:rPr>
              <w:t>vienotā attīstības finanšu institūcija tiek veidota kā holdinga sabiedrība, apvienojot valsts akciju sabiedrību „Latvijas Hipotēku un zemes banka”</w:t>
            </w:r>
            <w:r w:rsidR="00FE6828" w:rsidRPr="00045B81">
              <w:rPr>
                <w:sz w:val="26"/>
                <w:szCs w:val="26"/>
              </w:rPr>
              <w:t xml:space="preserve"> (turpmāk -</w:t>
            </w:r>
            <w:r w:rsidR="00617BC7" w:rsidRPr="00045B81">
              <w:rPr>
                <w:sz w:val="26"/>
                <w:szCs w:val="26"/>
              </w:rPr>
              <w:t xml:space="preserve"> Hipotēku banka), sabiedrību ar ierobežotu atbildību  „Latvijas Garantiju aģentūra”, valsts akciju sabiedrību „Lauku attīstības fonds” un dibinot jaunu holdinga sabiedrību. Lai nodrošinātu vienotās attīstības finanšu institūcijas izveidošanu, Finanšu ministrijai kā Hipotēku bankas kapitāla daļu turētājai tika uzdots nodrošināt, ka Hipotēku banka veic nepieciešamos sagatavošanas un īstenošanas pasākumus, lai nodrošinātu reorganizācijas veikšanu, Hipotēku bankai atsako</w:t>
            </w:r>
            <w:r w:rsidR="00FE6828" w:rsidRPr="00045B81">
              <w:rPr>
                <w:sz w:val="26"/>
                <w:szCs w:val="26"/>
              </w:rPr>
              <w:t xml:space="preserve">ties no kredītiestādes licences. </w:t>
            </w:r>
          </w:p>
        </w:tc>
      </w:tr>
      <w:tr w:rsidR="00262E2B" w:rsidRPr="00045B81">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60" w:type="dxa"/>
          </w:tcPr>
          <w:p w:rsidR="00262E2B" w:rsidRPr="00045B81" w:rsidRDefault="00FE6828" w:rsidP="0002322C">
            <w:pPr>
              <w:spacing w:before="120" w:after="120"/>
              <w:jc w:val="both"/>
              <w:rPr>
                <w:sz w:val="26"/>
                <w:szCs w:val="26"/>
              </w:rPr>
            </w:pPr>
            <w:r w:rsidRPr="00045B81">
              <w:rPr>
                <w:sz w:val="26"/>
                <w:szCs w:val="26"/>
              </w:rPr>
              <w:t>Šobrīd Hipotēku banka ir Kredītu reģistra dalībnieks, un tāds statuss ir jāsaglabā arī turpmāk</w:t>
            </w:r>
            <w:r w:rsidR="0002322C" w:rsidRPr="00045B81">
              <w:rPr>
                <w:sz w:val="26"/>
                <w:szCs w:val="26"/>
              </w:rPr>
              <w:t xml:space="preserve"> pēc reorganizācijas</w:t>
            </w:r>
            <w:r w:rsidRPr="00045B81">
              <w:rPr>
                <w:sz w:val="26"/>
                <w:szCs w:val="26"/>
              </w:rPr>
              <w:t>, lai tāpat kā citi Kredītu reģistra dalībnieki, efektīvi veiktu kredītriska pārvaldību, papildus saņemtu savu uzdevumu veikšanai nepieciešamās ziņas, kā arī sniegtu ieguldījumu atbildīgas kreditēšanas un atbildīgas un godprātīgas aizņemšanās veicināšanu.</w:t>
            </w:r>
          </w:p>
          <w:p w:rsidR="00D430D5" w:rsidRPr="00045B81" w:rsidRDefault="00AA2856" w:rsidP="00AA2856">
            <w:pPr>
              <w:spacing w:before="120" w:after="120"/>
              <w:jc w:val="both"/>
              <w:rPr>
                <w:sz w:val="26"/>
                <w:szCs w:val="26"/>
              </w:rPr>
            </w:pPr>
            <w:r>
              <w:rPr>
                <w:sz w:val="26"/>
                <w:szCs w:val="26"/>
              </w:rPr>
              <w:t>Nepieciešams</w:t>
            </w:r>
            <w:r w:rsidR="009B2AA7" w:rsidRPr="00045B81">
              <w:rPr>
                <w:sz w:val="26"/>
                <w:szCs w:val="26"/>
              </w:rPr>
              <w:t xml:space="preserve"> nodrošināt Eiropas Centrālo banku sistēmas uzdevumu izpildi, </w:t>
            </w:r>
            <w:r>
              <w:rPr>
                <w:sz w:val="26"/>
                <w:szCs w:val="26"/>
              </w:rPr>
              <w:t>kā arī</w:t>
            </w:r>
            <w:r w:rsidR="009B2AA7" w:rsidRPr="00045B81">
              <w:rPr>
                <w:sz w:val="26"/>
                <w:szCs w:val="26"/>
              </w:rPr>
              <w:t xml:space="preserve"> paplašināt Kredītu reģistra mērķi un papildināt Latvijas Bankas un Finanšu un kapitāla tirgus komisijas tiesības atbilstoši Kredītu reģistra likumā paredzētajam mērķim sniegt Kredītu reģistrā iekļautās ziņas arī Eiropas Savienības institūcijām.</w:t>
            </w:r>
          </w:p>
        </w:tc>
      </w:tr>
      <w:tr w:rsidR="00262E2B" w:rsidRPr="00045B81">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3.</w:t>
            </w:r>
          </w:p>
        </w:tc>
        <w:tc>
          <w:tcPr>
            <w:tcW w:w="4315" w:type="dxa"/>
          </w:tcPr>
          <w:p w:rsidR="00262E2B" w:rsidRPr="00045B81" w:rsidRDefault="00420870" w:rsidP="006C4607">
            <w:pPr>
              <w:pStyle w:val="naiskr"/>
              <w:spacing w:before="0" w:after="0"/>
              <w:rPr>
                <w:sz w:val="26"/>
                <w:szCs w:val="26"/>
              </w:rPr>
            </w:pPr>
            <w:r w:rsidRPr="00045B81">
              <w:rPr>
                <w:sz w:val="26"/>
                <w:szCs w:val="26"/>
              </w:rPr>
              <w:t>S</w:t>
            </w:r>
            <w:r w:rsidR="000B69CF" w:rsidRPr="00045B81">
              <w:rPr>
                <w:sz w:val="26"/>
                <w:szCs w:val="26"/>
              </w:rPr>
              <w:t xml:space="preserve">aistītie </w:t>
            </w:r>
            <w:r w:rsidR="001A6AE4" w:rsidRPr="00045B81">
              <w:rPr>
                <w:sz w:val="26"/>
                <w:szCs w:val="26"/>
              </w:rPr>
              <w:t>politikas ietekmes novērtējumi</w:t>
            </w:r>
            <w:r w:rsidR="00CB0247" w:rsidRPr="00045B81">
              <w:rPr>
                <w:sz w:val="26"/>
                <w:szCs w:val="26"/>
              </w:rPr>
              <w:t xml:space="preserve"> un</w:t>
            </w:r>
            <w:r w:rsidR="001A6AE4" w:rsidRPr="00045B81">
              <w:rPr>
                <w:sz w:val="26"/>
                <w:szCs w:val="26"/>
              </w:rPr>
              <w:t xml:space="preserve"> </w:t>
            </w:r>
            <w:r w:rsidR="000B69CF" w:rsidRPr="00045B81">
              <w:rPr>
                <w:sz w:val="26"/>
                <w:szCs w:val="26"/>
              </w:rPr>
              <w:t>pētījumi</w:t>
            </w:r>
          </w:p>
        </w:tc>
        <w:tc>
          <w:tcPr>
            <w:tcW w:w="4860" w:type="dxa"/>
          </w:tcPr>
          <w:p w:rsidR="00D20FF4" w:rsidRPr="00045B81" w:rsidRDefault="001B71CD" w:rsidP="006C4607">
            <w:pPr>
              <w:pStyle w:val="FootnoteText"/>
              <w:rPr>
                <w:sz w:val="26"/>
                <w:szCs w:val="26"/>
              </w:rPr>
            </w:pPr>
            <w:r w:rsidRPr="00045B81">
              <w:rPr>
                <w:sz w:val="26"/>
                <w:szCs w:val="26"/>
              </w:rPr>
              <w:t>Projekts šo jomu neskar</w:t>
            </w:r>
            <w:r w:rsidR="00E66595" w:rsidRPr="00045B81">
              <w:rPr>
                <w:sz w:val="26"/>
                <w:szCs w:val="26"/>
              </w:rPr>
              <w:t>.</w:t>
            </w:r>
          </w:p>
        </w:tc>
      </w:tr>
      <w:tr w:rsidR="00262E2B" w:rsidRPr="00045B81">
        <w:trPr>
          <w:trHeight w:val="384"/>
        </w:trPr>
        <w:tc>
          <w:tcPr>
            <w:tcW w:w="550" w:type="dxa"/>
          </w:tcPr>
          <w:p w:rsidR="00262E2B" w:rsidRPr="00045B81" w:rsidRDefault="00262E2B" w:rsidP="006C4607">
            <w:pPr>
              <w:pStyle w:val="naiskr"/>
              <w:spacing w:before="0" w:after="0"/>
              <w:rPr>
                <w:sz w:val="26"/>
                <w:szCs w:val="26"/>
              </w:rPr>
            </w:pPr>
            <w:r w:rsidRPr="00045B81">
              <w:rPr>
                <w:sz w:val="26"/>
                <w:szCs w:val="26"/>
              </w:rPr>
              <w:t>4.</w:t>
            </w:r>
          </w:p>
        </w:tc>
        <w:tc>
          <w:tcPr>
            <w:tcW w:w="4315" w:type="dxa"/>
          </w:tcPr>
          <w:p w:rsidR="00262E2B" w:rsidRPr="00045B81" w:rsidRDefault="000C790C" w:rsidP="006C4607">
            <w:pPr>
              <w:pStyle w:val="naiskr"/>
              <w:spacing w:before="0" w:after="0"/>
              <w:rPr>
                <w:sz w:val="26"/>
                <w:szCs w:val="26"/>
              </w:rPr>
            </w:pPr>
            <w:r w:rsidRPr="00045B81">
              <w:rPr>
                <w:sz w:val="26"/>
                <w:szCs w:val="26"/>
              </w:rPr>
              <w:t>Tiesiskā r</w:t>
            </w:r>
            <w:r w:rsidR="00400032" w:rsidRPr="00045B81">
              <w:rPr>
                <w:sz w:val="26"/>
                <w:szCs w:val="26"/>
              </w:rPr>
              <w:t xml:space="preserve">egulējuma </w:t>
            </w:r>
            <w:r w:rsidR="00262E2B" w:rsidRPr="00045B81">
              <w:rPr>
                <w:sz w:val="26"/>
                <w:szCs w:val="26"/>
              </w:rPr>
              <w:t>mērķis un būtība</w:t>
            </w:r>
          </w:p>
        </w:tc>
        <w:tc>
          <w:tcPr>
            <w:tcW w:w="4860" w:type="dxa"/>
          </w:tcPr>
          <w:p w:rsidR="0002322C" w:rsidRPr="00045B81" w:rsidRDefault="0002322C" w:rsidP="007A6D22">
            <w:pPr>
              <w:pStyle w:val="naiskr"/>
              <w:spacing w:before="120" w:after="120"/>
              <w:jc w:val="both"/>
              <w:rPr>
                <w:sz w:val="26"/>
                <w:szCs w:val="26"/>
              </w:rPr>
            </w:pPr>
            <w:r w:rsidRPr="00045B81">
              <w:rPr>
                <w:sz w:val="26"/>
                <w:szCs w:val="26"/>
              </w:rPr>
              <w:t>Līdz ar atteikšanos no kredītiestādes licences, Hipotēku banka, vairs nebū</w:t>
            </w:r>
            <w:r w:rsidR="00F641D8" w:rsidRPr="00045B81">
              <w:rPr>
                <w:sz w:val="26"/>
                <w:szCs w:val="26"/>
              </w:rPr>
              <w:t>tu</w:t>
            </w:r>
            <w:r w:rsidRPr="00045B81">
              <w:rPr>
                <w:sz w:val="26"/>
                <w:szCs w:val="26"/>
              </w:rPr>
              <w:t xml:space="preserve"> Kredītu reģistra dalībnieks, </w:t>
            </w:r>
            <w:r w:rsidR="00F641D8" w:rsidRPr="00045B81">
              <w:rPr>
                <w:sz w:val="26"/>
                <w:szCs w:val="26"/>
              </w:rPr>
              <w:t xml:space="preserve">bet kļūtu par ierobežotu Kredītu </w:t>
            </w:r>
            <w:r w:rsidRPr="00045B81">
              <w:rPr>
                <w:sz w:val="26"/>
                <w:szCs w:val="26"/>
              </w:rPr>
              <w:t>reģistra dalībniek</w:t>
            </w:r>
            <w:r w:rsidR="00F641D8" w:rsidRPr="00045B81">
              <w:rPr>
                <w:sz w:val="26"/>
                <w:szCs w:val="26"/>
              </w:rPr>
              <w:t>u, kuram</w:t>
            </w:r>
            <w:r w:rsidRPr="00045B81">
              <w:rPr>
                <w:sz w:val="26"/>
                <w:szCs w:val="26"/>
              </w:rPr>
              <w:t xml:space="preserve"> būtu jāaktualizē </w:t>
            </w:r>
            <w:r w:rsidR="00360CCC" w:rsidRPr="00045B81">
              <w:rPr>
                <w:sz w:val="26"/>
                <w:szCs w:val="26"/>
              </w:rPr>
              <w:t xml:space="preserve">Kredītu reģistrā tikai </w:t>
            </w:r>
            <w:r w:rsidR="00F641D8" w:rsidRPr="00045B81">
              <w:rPr>
                <w:sz w:val="26"/>
                <w:szCs w:val="26"/>
              </w:rPr>
              <w:t xml:space="preserve">ziņas par </w:t>
            </w:r>
            <w:r w:rsidR="00360CCC" w:rsidRPr="00045B81">
              <w:rPr>
                <w:sz w:val="26"/>
                <w:szCs w:val="26"/>
              </w:rPr>
              <w:t>tā</w:t>
            </w:r>
            <w:r w:rsidR="00F641D8" w:rsidRPr="00045B81">
              <w:rPr>
                <w:sz w:val="26"/>
                <w:szCs w:val="26"/>
              </w:rPr>
              <w:t>m saistībām</w:t>
            </w:r>
            <w:r w:rsidR="00360CCC" w:rsidRPr="00045B81">
              <w:rPr>
                <w:sz w:val="26"/>
                <w:szCs w:val="26"/>
              </w:rPr>
              <w:t>, k</w:t>
            </w:r>
            <w:r w:rsidR="00F641D8" w:rsidRPr="00045B81">
              <w:rPr>
                <w:sz w:val="26"/>
                <w:szCs w:val="26"/>
              </w:rPr>
              <w:t>uras</w:t>
            </w:r>
            <w:r w:rsidR="00360CCC" w:rsidRPr="00045B81">
              <w:rPr>
                <w:sz w:val="26"/>
                <w:szCs w:val="26"/>
              </w:rPr>
              <w:t xml:space="preserve"> </w:t>
            </w:r>
            <w:r w:rsidR="00F641D8" w:rsidRPr="00045B81">
              <w:rPr>
                <w:sz w:val="26"/>
                <w:szCs w:val="26"/>
              </w:rPr>
              <w:t>Hipotēku bankā būtu iekļ</w:t>
            </w:r>
            <w:r w:rsidR="006E08F9">
              <w:rPr>
                <w:sz w:val="26"/>
                <w:szCs w:val="26"/>
              </w:rPr>
              <w:t>āvusi</w:t>
            </w:r>
            <w:r w:rsidR="00F641D8" w:rsidRPr="00045B81">
              <w:rPr>
                <w:sz w:val="26"/>
                <w:szCs w:val="26"/>
              </w:rPr>
              <w:t xml:space="preserve"> Kredītu </w:t>
            </w:r>
            <w:r w:rsidR="00360CCC" w:rsidRPr="00045B81">
              <w:rPr>
                <w:sz w:val="26"/>
                <w:szCs w:val="26"/>
              </w:rPr>
              <w:t>reģistrā līdz atteikšanās no kredītiestādes licences dienai, uzturot IT un citus resursus līdz dienai, kad pēdējais klients, par kuru ziņas ievadītas Kredītu reģistrā, dzēstu visas saistības Hipotēku bankai.</w:t>
            </w:r>
          </w:p>
          <w:p w:rsidR="006F6551" w:rsidRPr="00045B81" w:rsidRDefault="00D8574C" w:rsidP="007A6D22">
            <w:pPr>
              <w:pStyle w:val="naiskr"/>
              <w:spacing w:before="120" w:after="120"/>
              <w:jc w:val="both"/>
              <w:rPr>
                <w:sz w:val="26"/>
                <w:szCs w:val="26"/>
              </w:rPr>
            </w:pPr>
            <w:r w:rsidRPr="00045B81">
              <w:rPr>
                <w:sz w:val="26"/>
                <w:szCs w:val="26"/>
              </w:rPr>
              <w:t>Lai Hipotēku banka kā valsts kapitālsabiedrība efektīvi nodrošinātu kredītriska pārvaldību un turpinātu izmantot iepriekš veiktās investīcijas, kā arī, lai citi dalībnieki iegūtu pilnu informāciju par klientu saistībām Hipotēku bankā, ir nepieciešams Kredītu reģistra likumā veikt izmaiņas, paredzot, ka Hipotēku banka saglabā Kredītu reģistra dalībnieka statusu arī pēc atteikšanās no kredītiestādes licences.</w:t>
            </w:r>
            <w:r w:rsidR="00526FE9" w:rsidRPr="00045B81">
              <w:rPr>
                <w:sz w:val="26"/>
                <w:szCs w:val="26"/>
              </w:rPr>
              <w:t xml:space="preserve"> </w:t>
            </w:r>
          </w:p>
          <w:p w:rsidR="00D430D5" w:rsidRDefault="00F641D8" w:rsidP="00F641D8">
            <w:pPr>
              <w:pStyle w:val="naiskr"/>
              <w:spacing w:before="120" w:after="120"/>
              <w:jc w:val="both"/>
              <w:rPr>
                <w:sz w:val="26"/>
                <w:szCs w:val="26"/>
              </w:rPr>
            </w:pPr>
            <w:r w:rsidRPr="00045B81">
              <w:rPr>
                <w:sz w:val="26"/>
                <w:szCs w:val="26"/>
              </w:rPr>
              <w:t>Tāpat par Kredītu reģistra dalībnieku ir nepieciešams kļūt vienotai attīstības finanšu institūcijai, kad tā pārņems no klienta līguma vai klienta galvinieka līguma izrietošās tiesības un saistības vai prasījuma tiesības no Hipotēku bankas. Vienlaikus no minētās pārņemšanas dienas vienotā attīstības finanšu institūcija Kredītu reģistrā iekļaus ziņas par pārējiem finanšu pakalpojumiem ar kredītrisku (Kredītu reģistra likuma izpratnē), kurus šī institūcijas būs pārņēmusi no „Latvijas Garantiju aģentūras”</w:t>
            </w:r>
            <w:r w:rsidR="007278AC">
              <w:rPr>
                <w:sz w:val="26"/>
                <w:szCs w:val="26"/>
              </w:rPr>
              <w:t xml:space="preserve"> (turpmāk -</w:t>
            </w:r>
            <w:r w:rsidR="007278AC" w:rsidRPr="00045B81">
              <w:rPr>
                <w:sz w:val="26"/>
                <w:szCs w:val="26"/>
              </w:rPr>
              <w:t xml:space="preserve"> </w:t>
            </w:r>
            <w:r w:rsidR="007278AC">
              <w:rPr>
                <w:sz w:val="26"/>
                <w:szCs w:val="26"/>
              </w:rPr>
              <w:t>Latvijas Garantiju aģentūra)</w:t>
            </w:r>
            <w:r w:rsidR="007278AC" w:rsidRPr="00045B81">
              <w:rPr>
                <w:sz w:val="26"/>
                <w:szCs w:val="26"/>
              </w:rPr>
              <w:t xml:space="preserve"> </w:t>
            </w:r>
            <w:r w:rsidRPr="00045B81">
              <w:rPr>
                <w:sz w:val="26"/>
                <w:szCs w:val="26"/>
              </w:rPr>
              <w:t xml:space="preserve"> un „Lauku attīstības fonda”</w:t>
            </w:r>
            <w:r w:rsidR="009B2AA7" w:rsidRPr="00045B81">
              <w:rPr>
                <w:sz w:val="26"/>
                <w:szCs w:val="26"/>
              </w:rPr>
              <w:t xml:space="preserve"> vai sniegusi savā vārdā</w:t>
            </w:r>
            <w:r w:rsidR="007278AC">
              <w:rPr>
                <w:sz w:val="26"/>
                <w:szCs w:val="26"/>
              </w:rPr>
              <w:t xml:space="preserve"> (turpmāk -</w:t>
            </w:r>
            <w:r w:rsidR="007278AC" w:rsidRPr="00045B81">
              <w:rPr>
                <w:sz w:val="26"/>
                <w:szCs w:val="26"/>
              </w:rPr>
              <w:t xml:space="preserve"> </w:t>
            </w:r>
            <w:r w:rsidR="007278AC">
              <w:rPr>
                <w:sz w:val="26"/>
                <w:szCs w:val="26"/>
              </w:rPr>
              <w:t>Lauku attīstības fonds)</w:t>
            </w:r>
            <w:r w:rsidR="009B2AA7" w:rsidRPr="00045B81">
              <w:rPr>
                <w:sz w:val="26"/>
                <w:szCs w:val="26"/>
              </w:rPr>
              <w:t>.</w:t>
            </w:r>
          </w:p>
          <w:p w:rsidR="007278AC" w:rsidRPr="00F7539E" w:rsidRDefault="00F7539E" w:rsidP="00F641D8">
            <w:pPr>
              <w:pStyle w:val="naiskr"/>
              <w:spacing w:before="120" w:after="120"/>
              <w:jc w:val="both"/>
              <w:rPr>
                <w:sz w:val="26"/>
                <w:szCs w:val="26"/>
              </w:rPr>
            </w:pPr>
            <w:r w:rsidRPr="005860A1">
              <w:rPr>
                <w:sz w:val="26"/>
                <w:szCs w:val="26"/>
              </w:rPr>
              <w:t>Ņemot vērā augstāk minēto</w:t>
            </w:r>
            <w:r w:rsidR="006E08F9" w:rsidRPr="005860A1">
              <w:rPr>
                <w:sz w:val="26"/>
                <w:szCs w:val="26"/>
              </w:rPr>
              <w:t xml:space="preserve"> kredītu reģistra dalībnieku loka pa</w:t>
            </w:r>
            <w:r w:rsidR="0056766B" w:rsidRPr="005860A1">
              <w:rPr>
                <w:sz w:val="26"/>
                <w:szCs w:val="26"/>
              </w:rPr>
              <w:t>p</w:t>
            </w:r>
            <w:r w:rsidR="006E08F9" w:rsidRPr="005860A1">
              <w:rPr>
                <w:sz w:val="26"/>
                <w:szCs w:val="26"/>
              </w:rPr>
              <w:t xml:space="preserve">lašināšana ir attiecināma </w:t>
            </w:r>
            <w:r w:rsidR="0056766B" w:rsidRPr="005860A1">
              <w:rPr>
                <w:sz w:val="26"/>
                <w:szCs w:val="26"/>
              </w:rPr>
              <w:t>uz Hipotēku banku</w:t>
            </w:r>
            <w:r w:rsidR="00AC4FDE" w:rsidRPr="005860A1">
              <w:rPr>
                <w:sz w:val="26"/>
                <w:szCs w:val="26"/>
              </w:rPr>
              <w:t>,</w:t>
            </w:r>
            <w:r w:rsidR="0056766B" w:rsidRPr="005860A1">
              <w:rPr>
                <w:sz w:val="26"/>
                <w:szCs w:val="26"/>
              </w:rPr>
              <w:t xml:space="preserve"> </w:t>
            </w:r>
            <w:r w:rsidR="007278AC" w:rsidRPr="005860A1">
              <w:rPr>
                <w:sz w:val="26"/>
                <w:szCs w:val="26"/>
              </w:rPr>
              <w:t>tai</w:t>
            </w:r>
            <w:r w:rsidR="0056766B" w:rsidRPr="005860A1">
              <w:rPr>
                <w:sz w:val="26"/>
                <w:szCs w:val="26"/>
              </w:rPr>
              <w:t xml:space="preserve"> </w:t>
            </w:r>
            <w:r w:rsidR="007278AC" w:rsidRPr="005860A1">
              <w:rPr>
                <w:sz w:val="26"/>
                <w:szCs w:val="26"/>
              </w:rPr>
              <w:t>atsakoties</w:t>
            </w:r>
            <w:r w:rsidR="005860A1" w:rsidRPr="005860A1">
              <w:rPr>
                <w:sz w:val="26"/>
                <w:szCs w:val="26"/>
              </w:rPr>
              <w:t xml:space="preserve"> no kredītiestādes licences 2014.gada 1.janvārī</w:t>
            </w:r>
            <w:r w:rsidR="007278AC" w:rsidRPr="005860A1">
              <w:rPr>
                <w:sz w:val="26"/>
                <w:szCs w:val="26"/>
              </w:rPr>
              <w:t xml:space="preserve"> un uz </w:t>
            </w:r>
            <w:r w:rsidRPr="005860A1">
              <w:rPr>
                <w:sz w:val="26"/>
                <w:szCs w:val="26"/>
              </w:rPr>
              <w:t>v</w:t>
            </w:r>
            <w:r w:rsidR="007278AC" w:rsidRPr="005860A1">
              <w:rPr>
                <w:sz w:val="26"/>
                <w:szCs w:val="26"/>
              </w:rPr>
              <w:t>ienot</w:t>
            </w:r>
            <w:r w:rsidRPr="005860A1">
              <w:rPr>
                <w:sz w:val="26"/>
                <w:szCs w:val="26"/>
              </w:rPr>
              <w:t>o</w:t>
            </w:r>
            <w:r w:rsidR="007278AC" w:rsidRPr="005860A1">
              <w:rPr>
                <w:sz w:val="26"/>
                <w:szCs w:val="26"/>
              </w:rPr>
              <w:t xml:space="preserve"> attīstības finanšu institūciju</w:t>
            </w:r>
            <w:r w:rsidR="00DA1722" w:rsidRPr="005860A1">
              <w:rPr>
                <w:sz w:val="26"/>
                <w:szCs w:val="26"/>
              </w:rPr>
              <w:t xml:space="preserve">. </w:t>
            </w:r>
            <w:r w:rsidRPr="005860A1">
              <w:rPr>
                <w:sz w:val="26"/>
                <w:szCs w:val="26"/>
              </w:rPr>
              <w:t xml:space="preserve">Vienotā attīstības finanšu institūcija tiks </w:t>
            </w:r>
            <w:r w:rsidR="002B03E7" w:rsidRPr="005860A1">
              <w:rPr>
                <w:sz w:val="26"/>
                <w:szCs w:val="26"/>
              </w:rPr>
              <w:lastRenderedPageBreak/>
              <w:t>no</w:t>
            </w:r>
            <w:r w:rsidRPr="005860A1">
              <w:rPr>
                <w:sz w:val="26"/>
                <w:szCs w:val="26"/>
              </w:rPr>
              <w:t>dibināt</w:t>
            </w:r>
            <w:r w:rsidR="00C5783C" w:rsidRPr="005860A1">
              <w:rPr>
                <w:sz w:val="26"/>
                <w:szCs w:val="26"/>
              </w:rPr>
              <w:t>a</w:t>
            </w:r>
            <w:r w:rsidRPr="005860A1">
              <w:rPr>
                <w:sz w:val="26"/>
                <w:szCs w:val="26"/>
              </w:rPr>
              <w:t xml:space="preserve"> </w:t>
            </w:r>
            <w:r w:rsidR="005860A1" w:rsidRPr="005860A1">
              <w:rPr>
                <w:sz w:val="26"/>
                <w:szCs w:val="26"/>
              </w:rPr>
              <w:t>līdz 2014.gada 1.janvārim, taču</w:t>
            </w:r>
            <w:r w:rsidR="007278AC" w:rsidRPr="005860A1">
              <w:rPr>
                <w:sz w:val="26"/>
                <w:szCs w:val="26"/>
              </w:rPr>
              <w:t xml:space="preserve"> </w:t>
            </w:r>
            <w:r w:rsidR="002B03E7" w:rsidRPr="005860A1">
              <w:rPr>
                <w:sz w:val="26"/>
                <w:szCs w:val="26"/>
              </w:rPr>
              <w:t>tikai</w:t>
            </w:r>
            <w:r w:rsidR="005860A1" w:rsidRPr="005860A1">
              <w:rPr>
                <w:sz w:val="26"/>
                <w:szCs w:val="26"/>
              </w:rPr>
              <w:t xml:space="preserve"> vēlāk reorganizācijas procesā</w:t>
            </w:r>
            <w:r w:rsidR="002B03E7" w:rsidRPr="005860A1">
              <w:rPr>
                <w:sz w:val="26"/>
                <w:szCs w:val="26"/>
              </w:rPr>
              <w:t xml:space="preserve"> </w:t>
            </w:r>
            <w:r w:rsidRPr="005860A1">
              <w:rPr>
                <w:sz w:val="26"/>
                <w:szCs w:val="26"/>
              </w:rPr>
              <w:t xml:space="preserve">tā </w:t>
            </w:r>
            <w:r w:rsidR="007278AC" w:rsidRPr="005860A1">
              <w:rPr>
                <w:sz w:val="26"/>
                <w:szCs w:val="26"/>
              </w:rPr>
              <w:t xml:space="preserve">apvienos un pakāpeniski integrēs Hipotēku banku, </w:t>
            </w:r>
            <w:r w:rsidR="00AC4FDE" w:rsidRPr="005860A1">
              <w:rPr>
                <w:sz w:val="26"/>
                <w:szCs w:val="26"/>
              </w:rPr>
              <w:t>Latvijas Garantiju aģentūru</w:t>
            </w:r>
            <w:r w:rsidRPr="005860A1">
              <w:rPr>
                <w:sz w:val="26"/>
                <w:szCs w:val="26"/>
              </w:rPr>
              <w:t xml:space="preserve"> un </w:t>
            </w:r>
            <w:r w:rsidR="007278AC" w:rsidRPr="005860A1">
              <w:rPr>
                <w:sz w:val="26"/>
                <w:szCs w:val="26"/>
              </w:rPr>
              <w:t>Lauku attīstības fond</w:t>
            </w:r>
            <w:r w:rsidR="002B03E7" w:rsidRPr="005860A1">
              <w:rPr>
                <w:sz w:val="26"/>
                <w:szCs w:val="26"/>
              </w:rPr>
              <w:t xml:space="preserve">u. Kredītu reģistra dalībnieku statuss netiks attiecināts uz </w:t>
            </w:r>
            <w:r w:rsidRPr="005860A1">
              <w:rPr>
                <w:sz w:val="26"/>
                <w:szCs w:val="26"/>
              </w:rPr>
              <w:t xml:space="preserve">Latvijas </w:t>
            </w:r>
            <w:r w:rsidR="00AC4FDE" w:rsidRPr="005860A1">
              <w:rPr>
                <w:sz w:val="26"/>
                <w:szCs w:val="26"/>
              </w:rPr>
              <w:t>Garantiju aģentūru</w:t>
            </w:r>
            <w:r w:rsidRPr="005860A1">
              <w:rPr>
                <w:sz w:val="26"/>
                <w:szCs w:val="26"/>
              </w:rPr>
              <w:t xml:space="preserve"> un Lauku attīstības fondu.</w:t>
            </w:r>
          </w:p>
          <w:p w:rsidR="009B2AA7" w:rsidRPr="00045B81" w:rsidRDefault="009B2AA7" w:rsidP="009B2AA7">
            <w:pPr>
              <w:pStyle w:val="naiskr"/>
              <w:spacing w:before="120" w:after="120"/>
              <w:jc w:val="both"/>
              <w:rPr>
                <w:sz w:val="26"/>
                <w:szCs w:val="26"/>
              </w:rPr>
            </w:pPr>
            <w:r w:rsidRPr="00045B81">
              <w:rPr>
                <w:sz w:val="26"/>
                <w:szCs w:val="26"/>
              </w:rPr>
              <w:t>Ņemot vērā aizvien pieaugošu nepieciešamību regulāri sniegt Kredītu reģistrā iekļautās ziņas Eiropas Centrālajai bankai ar mērķi nodrošināt Eiropas Centrālo banku sistēmas uzdevumu izpildi, nepieciešams paplašināt Kredītu reģistra mērķi ar ieguldījuma sniegšanu Eiropas Centrālo banku sistēmas uzdevumu izpildes veicināšanā, kā arī papildināt Latvijas Bankas un Finanšu un kapitāla tirgus komisijas tiesības atbilstoši Kredītu reģistra likumā paredzētajam mērķim sniegt Kredītu reģistrā iekļautās ziņas arī Eiropas Savienības institūcijām.</w:t>
            </w:r>
          </w:p>
        </w:tc>
      </w:tr>
      <w:tr w:rsidR="00262E2B" w:rsidRPr="00045B81">
        <w:trPr>
          <w:trHeight w:val="476"/>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5.</w:t>
            </w:r>
          </w:p>
        </w:tc>
        <w:tc>
          <w:tcPr>
            <w:tcW w:w="4315" w:type="dxa"/>
          </w:tcPr>
          <w:p w:rsidR="00262E2B" w:rsidRPr="00045B81" w:rsidRDefault="001A4066" w:rsidP="006C4607">
            <w:pPr>
              <w:pStyle w:val="naiskr"/>
              <w:spacing w:before="0" w:after="0"/>
              <w:rPr>
                <w:sz w:val="26"/>
                <w:szCs w:val="26"/>
              </w:rPr>
            </w:pPr>
            <w:r w:rsidRPr="00045B81">
              <w:rPr>
                <w:sz w:val="26"/>
                <w:szCs w:val="26"/>
              </w:rPr>
              <w:t>Projekta i</w:t>
            </w:r>
            <w:r w:rsidR="00262E2B" w:rsidRPr="00045B81">
              <w:rPr>
                <w:sz w:val="26"/>
                <w:szCs w:val="26"/>
              </w:rPr>
              <w:t>zstrād</w:t>
            </w:r>
            <w:r w:rsidR="00420870" w:rsidRPr="00045B81">
              <w:rPr>
                <w:sz w:val="26"/>
                <w:szCs w:val="26"/>
              </w:rPr>
              <w:t xml:space="preserve">ē </w:t>
            </w:r>
            <w:r w:rsidR="00262E2B" w:rsidRPr="00045B81">
              <w:rPr>
                <w:sz w:val="26"/>
                <w:szCs w:val="26"/>
              </w:rPr>
              <w:t>iesaistītās institūcijas</w:t>
            </w:r>
          </w:p>
        </w:tc>
        <w:tc>
          <w:tcPr>
            <w:tcW w:w="4860" w:type="dxa"/>
          </w:tcPr>
          <w:p w:rsidR="00262E2B" w:rsidRPr="00045B81" w:rsidRDefault="00DB383F" w:rsidP="00B4661D">
            <w:pPr>
              <w:pStyle w:val="naiskr"/>
              <w:spacing w:before="0" w:after="0"/>
              <w:jc w:val="both"/>
              <w:rPr>
                <w:sz w:val="26"/>
                <w:szCs w:val="26"/>
              </w:rPr>
            </w:pPr>
            <w:r w:rsidRPr="00045B81">
              <w:rPr>
                <w:sz w:val="26"/>
                <w:szCs w:val="26"/>
              </w:rPr>
              <w:t>V</w:t>
            </w:r>
            <w:r w:rsidR="001B71CD" w:rsidRPr="00045B81">
              <w:rPr>
                <w:sz w:val="26"/>
                <w:szCs w:val="26"/>
              </w:rPr>
              <w:t>alsts akciju sabiedrība „Lat</w:t>
            </w:r>
            <w:r w:rsidR="00C20646" w:rsidRPr="00045B81">
              <w:rPr>
                <w:sz w:val="26"/>
                <w:szCs w:val="26"/>
              </w:rPr>
              <w:t xml:space="preserve">vijas Hipotēku un zemes banka”, </w:t>
            </w:r>
            <w:r w:rsidR="001B71CD" w:rsidRPr="00045B81">
              <w:rPr>
                <w:sz w:val="26"/>
                <w:szCs w:val="26"/>
              </w:rPr>
              <w:t>Tieslietu ministrija</w:t>
            </w:r>
            <w:r w:rsidRPr="00045B81">
              <w:rPr>
                <w:sz w:val="26"/>
                <w:szCs w:val="26"/>
              </w:rPr>
              <w:t>, Ekonomikas ministrija</w:t>
            </w:r>
            <w:r w:rsidR="00853D47" w:rsidRPr="00045B81">
              <w:rPr>
                <w:sz w:val="26"/>
                <w:szCs w:val="26"/>
              </w:rPr>
              <w:t>, Latvijas Banka.</w:t>
            </w:r>
          </w:p>
        </w:tc>
      </w:tr>
      <w:tr w:rsidR="00262E2B" w:rsidRPr="00045B81" w:rsidTr="00A27EDB">
        <w:trPr>
          <w:trHeight w:val="726"/>
        </w:trPr>
        <w:tc>
          <w:tcPr>
            <w:tcW w:w="550" w:type="dxa"/>
          </w:tcPr>
          <w:p w:rsidR="00262E2B" w:rsidRPr="00045B81" w:rsidRDefault="00262E2B" w:rsidP="006C4607">
            <w:pPr>
              <w:pStyle w:val="naiskr"/>
              <w:spacing w:before="0" w:after="0"/>
              <w:rPr>
                <w:sz w:val="26"/>
                <w:szCs w:val="26"/>
              </w:rPr>
            </w:pPr>
            <w:r w:rsidRPr="00045B81">
              <w:rPr>
                <w:sz w:val="26"/>
                <w:szCs w:val="26"/>
              </w:rPr>
              <w:t>6.</w:t>
            </w:r>
          </w:p>
        </w:tc>
        <w:tc>
          <w:tcPr>
            <w:tcW w:w="4315" w:type="dxa"/>
          </w:tcPr>
          <w:p w:rsidR="00262E2B" w:rsidRPr="00045B81" w:rsidRDefault="00BB7C94" w:rsidP="006C4607">
            <w:pPr>
              <w:pStyle w:val="naiskr"/>
              <w:spacing w:before="0" w:after="0"/>
              <w:rPr>
                <w:i/>
                <w:sz w:val="26"/>
                <w:szCs w:val="26"/>
              </w:rPr>
            </w:pPr>
            <w:r w:rsidRPr="00045B81">
              <w:rPr>
                <w:sz w:val="26"/>
                <w:szCs w:val="26"/>
              </w:rPr>
              <w:t xml:space="preserve">Iemesli, kādēļ netika nodrošināta </w:t>
            </w:r>
            <w:r w:rsidR="00262E2B" w:rsidRPr="00045B81">
              <w:rPr>
                <w:sz w:val="26"/>
                <w:szCs w:val="26"/>
              </w:rPr>
              <w:t xml:space="preserve">sabiedrības </w:t>
            </w:r>
            <w:r w:rsidRPr="00045B81">
              <w:rPr>
                <w:sz w:val="26"/>
                <w:szCs w:val="26"/>
              </w:rPr>
              <w:t>līdzdalība</w:t>
            </w:r>
          </w:p>
        </w:tc>
        <w:tc>
          <w:tcPr>
            <w:tcW w:w="4860" w:type="dxa"/>
          </w:tcPr>
          <w:p w:rsidR="00D20FF4" w:rsidRPr="00045B81" w:rsidRDefault="00133905" w:rsidP="006C4607">
            <w:pPr>
              <w:pStyle w:val="FootnoteText"/>
              <w:rPr>
                <w:sz w:val="26"/>
                <w:szCs w:val="26"/>
              </w:rPr>
            </w:pPr>
            <w:r w:rsidRPr="00045B81">
              <w:rPr>
                <w:sz w:val="26"/>
                <w:szCs w:val="26"/>
              </w:rPr>
              <w:t>Projekts skar tikai Ministru kabineta kompetenci.</w:t>
            </w:r>
          </w:p>
        </w:tc>
      </w:tr>
      <w:tr w:rsidR="00262E2B" w:rsidRPr="00045B81">
        <w:tc>
          <w:tcPr>
            <w:tcW w:w="550" w:type="dxa"/>
          </w:tcPr>
          <w:p w:rsidR="00262E2B" w:rsidRPr="00045B81" w:rsidRDefault="00262E2B" w:rsidP="006C4607">
            <w:pPr>
              <w:pStyle w:val="naiskr"/>
              <w:spacing w:before="0" w:after="0"/>
              <w:rPr>
                <w:sz w:val="26"/>
                <w:szCs w:val="26"/>
              </w:rPr>
            </w:pPr>
            <w:r w:rsidRPr="00045B81">
              <w:rPr>
                <w:sz w:val="26"/>
                <w:szCs w:val="26"/>
              </w:rPr>
              <w:t>7.</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60" w:type="dxa"/>
          </w:tcPr>
          <w:p w:rsidR="00262E2B" w:rsidRPr="00045B81" w:rsidRDefault="001B71CD" w:rsidP="006C4607">
            <w:pPr>
              <w:pStyle w:val="naiskr"/>
              <w:spacing w:before="0" w:after="0"/>
              <w:rPr>
                <w:sz w:val="26"/>
                <w:szCs w:val="26"/>
              </w:rPr>
            </w:pPr>
            <w:r w:rsidRPr="00045B81">
              <w:rPr>
                <w:sz w:val="26"/>
                <w:szCs w:val="26"/>
              </w:rPr>
              <w:t>Nav.</w:t>
            </w:r>
          </w:p>
        </w:tc>
      </w:tr>
    </w:tbl>
    <w:p w:rsidR="00045B81" w:rsidRPr="00045B81" w:rsidRDefault="00045B81"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proofErr w:type="spellEnd"/>
          </w:p>
        </w:tc>
        <w:tc>
          <w:tcPr>
            <w:tcW w:w="4500" w:type="dxa"/>
          </w:tcPr>
          <w:p w:rsidR="00C71170" w:rsidRPr="00045B81" w:rsidRDefault="00D8574C" w:rsidP="00544417">
            <w:pPr>
              <w:pStyle w:val="naiskr"/>
              <w:spacing w:before="120" w:after="120"/>
              <w:jc w:val="both"/>
              <w:rPr>
                <w:sz w:val="26"/>
                <w:szCs w:val="26"/>
              </w:rPr>
            </w:pPr>
            <w:r w:rsidRPr="00045B81">
              <w:rPr>
                <w:sz w:val="26"/>
                <w:szCs w:val="26"/>
              </w:rPr>
              <w:t>Hipotēku banka pēc atteikšanās no kredītiestādes licences.</w:t>
            </w:r>
            <w:r w:rsidRPr="00045B81">
              <w:rPr>
                <w:iCs/>
                <w:sz w:val="26"/>
                <w:szCs w:val="26"/>
              </w:rPr>
              <w:t xml:space="preserve"> </w:t>
            </w:r>
          </w:p>
          <w:p w:rsidR="00A75E7F" w:rsidRPr="00045B81" w:rsidRDefault="009B2AA7" w:rsidP="00644813">
            <w:pPr>
              <w:pStyle w:val="naiskr"/>
              <w:spacing w:before="120" w:after="120"/>
              <w:jc w:val="both"/>
              <w:rPr>
                <w:iCs/>
                <w:sz w:val="26"/>
                <w:szCs w:val="26"/>
              </w:rPr>
            </w:pPr>
            <w:r w:rsidRPr="00045B81">
              <w:rPr>
                <w:sz w:val="26"/>
                <w:szCs w:val="26"/>
              </w:rPr>
              <w:t>Vienotā attī</w:t>
            </w:r>
            <w:r w:rsidR="00C71170" w:rsidRPr="00045B81">
              <w:rPr>
                <w:sz w:val="26"/>
                <w:szCs w:val="26"/>
              </w:rPr>
              <w:t xml:space="preserve">stības finanšu institūcija, kad </w:t>
            </w:r>
            <w:r w:rsidRPr="00045B81">
              <w:rPr>
                <w:sz w:val="26"/>
                <w:szCs w:val="26"/>
              </w:rPr>
              <w:t>tā pārņems no klienta līguma vai klienta galvinieka līguma izrietošās tiesības un saistības vai prasījuma tiesības no Hipotēku bankas.</w:t>
            </w:r>
            <w:r w:rsidRPr="00045B81">
              <w:rPr>
                <w:iCs/>
                <w:sz w:val="26"/>
                <w:szCs w:val="26"/>
              </w:rPr>
              <w:t xml:space="preserve"> </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t>2.</w:t>
            </w:r>
          </w:p>
        </w:tc>
        <w:tc>
          <w:tcPr>
            <w:tcW w:w="4855" w:type="dxa"/>
          </w:tcPr>
          <w:p w:rsidR="00C1133D" w:rsidRPr="00045B81" w:rsidRDefault="00C27A08" w:rsidP="006C4607">
            <w:pPr>
              <w:pStyle w:val="naiskr"/>
              <w:spacing w:before="0" w:after="0"/>
              <w:rPr>
                <w:sz w:val="26"/>
                <w:szCs w:val="26"/>
              </w:rPr>
            </w:pPr>
            <w:r w:rsidRPr="00045B81">
              <w:rPr>
                <w:sz w:val="26"/>
                <w:szCs w:val="26"/>
              </w:rPr>
              <w:t xml:space="preserve">Citas sabiedrības grupas (bez </w:t>
            </w:r>
            <w:proofErr w:type="spellStart"/>
            <w:r w:rsidRPr="00045B81">
              <w:rPr>
                <w:sz w:val="26"/>
                <w:szCs w:val="26"/>
              </w:rPr>
              <w:t>mērķgrupas</w:t>
            </w:r>
            <w:proofErr w:type="spellEnd"/>
            <w:r w:rsidRPr="00045B81">
              <w:rPr>
                <w:sz w:val="26"/>
                <w:szCs w:val="26"/>
              </w:rPr>
              <w:t>), kuras tiesiskais regulējums arī ietekmē vai varētu ietekmēt</w:t>
            </w:r>
          </w:p>
        </w:tc>
        <w:tc>
          <w:tcPr>
            <w:tcW w:w="4500" w:type="dxa"/>
          </w:tcPr>
          <w:p w:rsidR="0062298A" w:rsidRPr="00045B81" w:rsidRDefault="00C71170" w:rsidP="006C4607">
            <w:pPr>
              <w:pStyle w:val="naiskr"/>
              <w:spacing w:before="0" w:after="0"/>
              <w:rPr>
                <w:sz w:val="26"/>
                <w:szCs w:val="26"/>
              </w:rPr>
            </w:pPr>
            <w:r w:rsidRPr="00045B81">
              <w:rPr>
                <w:iCs/>
                <w:sz w:val="26"/>
                <w:szCs w:val="26"/>
              </w:rPr>
              <w:t>Kredītu reģistra dalībnieki.</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t>3.</w:t>
            </w:r>
          </w:p>
        </w:tc>
        <w:tc>
          <w:tcPr>
            <w:tcW w:w="4855" w:type="dxa"/>
          </w:tcPr>
          <w:p w:rsidR="00C1133D" w:rsidRPr="00045B81" w:rsidRDefault="000C790C" w:rsidP="006C4607">
            <w:pPr>
              <w:pStyle w:val="naiskr"/>
              <w:spacing w:before="0" w:after="0"/>
              <w:rPr>
                <w:sz w:val="26"/>
                <w:szCs w:val="26"/>
              </w:rPr>
            </w:pPr>
            <w:r w:rsidRPr="00045B81">
              <w:rPr>
                <w:sz w:val="26"/>
                <w:szCs w:val="26"/>
              </w:rPr>
              <w:t>Tiesiskā r</w:t>
            </w:r>
            <w:r w:rsidR="003D21FF" w:rsidRPr="00045B81">
              <w:rPr>
                <w:sz w:val="26"/>
                <w:szCs w:val="26"/>
              </w:rPr>
              <w:t>egulējuma</w:t>
            </w:r>
            <w:r w:rsidR="00C27A08" w:rsidRPr="00045B81">
              <w:rPr>
                <w:sz w:val="26"/>
                <w:szCs w:val="26"/>
              </w:rPr>
              <w:t xml:space="preserve"> finansiālā ietekme</w:t>
            </w:r>
          </w:p>
        </w:tc>
        <w:tc>
          <w:tcPr>
            <w:tcW w:w="4500" w:type="dxa"/>
          </w:tcPr>
          <w:p w:rsidR="0062298A" w:rsidRPr="00045B81" w:rsidRDefault="009B4171" w:rsidP="00DB0D45">
            <w:pPr>
              <w:pStyle w:val="naiskr"/>
              <w:spacing w:before="120" w:after="120"/>
              <w:jc w:val="both"/>
              <w:rPr>
                <w:sz w:val="26"/>
                <w:szCs w:val="26"/>
              </w:rPr>
            </w:pPr>
            <w:r w:rsidRPr="00045B81">
              <w:rPr>
                <w:sz w:val="26"/>
                <w:szCs w:val="26"/>
              </w:rPr>
              <w:t>Hipotēku banka pēc atteikšanās</w:t>
            </w:r>
            <w:r w:rsidR="009F5C8A">
              <w:rPr>
                <w:sz w:val="26"/>
                <w:szCs w:val="26"/>
              </w:rPr>
              <w:t xml:space="preserve"> no kredītiestādes licences un V</w:t>
            </w:r>
            <w:r w:rsidRPr="00045B81">
              <w:rPr>
                <w:sz w:val="26"/>
                <w:szCs w:val="26"/>
              </w:rPr>
              <w:t xml:space="preserve">ienotā attīstības finanšu institūcija maksās Latvijas Bankai maksu par reģistra izmantošanu, lai segtu reģistra uzturēšanas </w:t>
            </w:r>
            <w:r w:rsidRPr="00045B81">
              <w:rPr>
                <w:sz w:val="26"/>
                <w:szCs w:val="26"/>
              </w:rPr>
              <w:lastRenderedPageBreak/>
              <w:t>izdevumus.</w:t>
            </w:r>
            <w:r w:rsidR="005848E0" w:rsidRPr="00045B81">
              <w:rPr>
                <w:sz w:val="26"/>
                <w:szCs w:val="26"/>
              </w:rPr>
              <w:t xml:space="preserve"> Maksa ir noteikta</w:t>
            </w:r>
            <w:r w:rsidR="00DB0D45" w:rsidRPr="00045B81">
              <w:rPr>
                <w:sz w:val="26"/>
                <w:szCs w:val="26"/>
              </w:rPr>
              <w:t xml:space="preserve"> 2012.gada 13.septembra</w:t>
            </w:r>
            <w:r w:rsidR="005848E0" w:rsidRPr="00045B81">
              <w:rPr>
                <w:sz w:val="26"/>
                <w:szCs w:val="26"/>
              </w:rPr>
              <w:t xml:space="preserve"> Latvijas bankas </w:t>
            </w:r>
            <w:r w:rsidR="00DB0D45" w:rsidRPr="00045B81">
              <w:rPr>
                <w:sz w:val="26"/>
                <w:szCs w:val="26"/>
              </w:rPr>
              <w:t>noteikumos Nr.93. „Kredītu reģistra noteikumi”.</w:t>
            </w:r>
          </w:p>
        </w:tc>
      </w:tr>
      <w:tr w:rsidR="00C27A08" w:rsidRPr="00045B81">
        <w:trPr>
          <w:trHeight w:val="517"/>
        </w:trPr>
        <w:tc>
          <w:tcPr>
            <w:tcW w:w="550" w:type="dxa"/>
          </w:tcPr>
          <w:p w:rsidR="00C27A08" w:rsidRPr="00045B81" w:rsidRDefault="00C27A08" w:rsidP="006C4607">
            <w:pPr>
              <w:pStyle w:val="naiskr"/>
              <w:spacing w:before="0" w:after="0"/>
              <w:rPr>
                <w:sz w:val="26"/>
                <w:szCs w:val="26"/>
              </w:rPr>
            </w:pPr>
            <w:r w:rsidRPr="00045B81">
              <w:rPr>
                <w:sz w:val="26"/>
                <w:szCs w:val="26"/>
              </w:rPr>
              <w:lastRenderedPageBreak/>
              <w:t>4.</w:t>
            </w:r>
          </w:p>
        </w:tc>
        <w:tc>
          <w:tcPr>
            <w:tcW w:w="4855" w:type="dxa"/>
          </w:tcPr>
          <w:p w:rsidR="00C27A08" w:rsidRPr="00045B81" w:rsidRDefault="00C27A08" w:rsidP="006C4607">
            <w:pPr>
              <w:pStyle w:val="naiskr"/>
              <w:spacing w:before="0" w:after="0"/>
              <w:rPr>
                <w:sz w:val="26"/>
                <w:szCs w:val="26"/>
              </w:rPr>
            </w:pPr>
            <w:r w:rsidRPr="00045B81">
              <w:rPr>
                <w:sz w:val="26"/>
                <w:szCs w:val="26"/>
              </w:rPr>
              <w:t>Tiesiskā regulējuma nefinansiālā ietekme</w:t>
            </w:r>
          </w:p>
        </w:tc>
        <w:tc>
          <w:tcPr>
            <w:tcW w:w="4500" w:type="dxa"/>
          </w:tcPr>
          <w:p w:rsidR="00C27A08" w:rsidRPr="00045B81" w:rsidRDefault="00544417" w:rsidP="00C71170">
            <w:pPr>
              <w:pStyle w:val="naiskr"/>
              <w:spacing w:before="120" w:after="120"/>
              <w:jc w:val="both"/>
              <w:rPr>
                <w:sz w:val="26"/>
                <w:szCs w:val="26"/>
              </w:rPr>
            </w:pPr>
            <w:r w:rsidRPr="00045B81">
              <w:rPr>
                <w:sz w:val="26"/>
                <w:szCs w:val="26"/>
              </w:rPr>
              <w:t>Projekts šo jomu neskar.</w:t>
            </w:r>
          </w:p>
        </w:tc>
      </w:tr>
      <w:tr w:rsidR="0062298A" w:rsidRPr="00045B81">
        <w:trPr>
          <w:trHeight w:val="531"/>
        </w:trPr>
        <w:tc>
          <w:tcPr>
            <w:tcW w:w="550" w:type="dxa"/>
          </w:tcPr>
          <w:p w:rsidR="0062298A" w:rsidRPr="00045B81" w:rsidRDefault="00C27A08" w:rsidP="006C4607">
            <w:pPr>
              <w:pStyle w:val="naiskr"/>
              <w:spacing w:before="0" w:after="0"/>
              <w:rPr>
                <w:sz w:val="26"/>
                <w:szCs w:val="26"/>
              </w:rPr>
            </w:pPr>
            <w:r w:rsidRPr="00045B81">
              <w:rPr>
                <w:sz w:val="26"/>
                <w:szCs w:val="26"/>
              </w:rPr>
              <w:t>5</w:t>
            </w:r>
            <w:r w:rsidR="0062298A" w:rsidRPr="00045B81">
              <w:rPr>
                <w:sz w:val="26"/>
                <w:szCs w:val="26"/>
              </w:rPr>
              <w:t>.</w:t>
            </w:r>
          </w:p>
        </w:tc>
        <w:tc>
          <w:tcPr>
            <w:tcW w:w="4855" w:type="dxa"/>
          </w:tcPr>
          <w:p w:rsidR="00C1133D" w:rsidRPr="00045B81" w:rsidRDefault="00C1133D" w:rsidP="006C4607">
            <w:pPr>
              <w:pStyle w:val="naiskr"/>
              <w:spacing w:before="0" w:after="0"/>
              <w:rPr>
                <w:sz w:val="26"/>
                <w:szCs w:val="26"/>
              </w:rPr>
            </w:pPr>
            <w:r w:rsidRPr="00045B81">
              <w:rPr>
                <w:sz w:val="26"/>
                <w:szCs w:val="26"/>
              </w:rPr>
              <w:t>Administratīv</w:t>
            </w:r>
            <w:r w:rsidR="00C27A08" w:rsidRPr="00045B81">
              <w:rPr>
                <w:sz w:val="26"/>
                <w:szCs w:val="26"/>
              </w:rPr>
              <w:t>ās</w:t>
            </w:r>
            <w:r w:rsidRPr="00045B81">
              <w:rPr>
                <w:sz w:val="26"/>
                <w:szCs w:val="26"/>
              </w:rPr>
              <w:t xml:space="preserve"> procedūr</w:t>
            </w:r>
            <w:r w:rsidR="00965897" w:rsidRPr="00045B81">
              <w:rPr>
                <w:sz w:val="26"/>
                <w:szCs w:val="26"/>
              </w:rPr>
              <w:t>a</w:t>
            </w:r>
            <w:r w:rsidRPr="00045B81">
              <w:rPr>
                <w:sz w:val="26"/>
                <w:szCs w:val="26"/>
              </w:rPr>
              <w:t xml:space="preserve">s </w:t>
            </w:r>
            <w:r w:rsidR="00C27A08" w:rsidRPr="00045B81">
              <w:rPr>
                <w:sz w:val="26"/>
                <w:szCs w:val="26"/>
              </w:rPr>
              <w:t>raksturojums</w:t>
            </w:r>
          </w:p>
        </w:tc>
        <w:tc>
          <w:tcPr>
            <w:tcW w:w="4500" w:type="dxa"/>
          </w:tcPr>
          <w:p w:rsidR="0062298A" w:rsidRPr="00045B81" w:rsidRDefault="00D80273" w:rsidP="007A6D22">
            <w:pPr>
              <w:pStyle w:val="naiskr"/>
              <w:spacing w:before="120" w:after="120"/>
              <w:jc w:val="both"/>
              <w:rPr>
                <w:sz w:val="26"/>
                <w:szCs w:val="26"/>
              </w:rPr>
            </w:pPr>
            <w:r w:rsidRPr="00045B81">
              <w:rPr>
                <w:sz w:val="26"/>
                <w:szCs w:val="26"/>
              </w:rPr>
              <w:t>Projekts šo jomu neskar.</w:t>
            </w:r>
          </w:p>
        </w:tc>
      </w:tr>
      <w:tr w:rsidR="0062298A" w:rsidRPr="00045B81">
        <w:trPr>
          <w:trHeight w:val="357"/>
        </w:trPr>
        <w:tc>
          <w:tcPr>
            <w:tcW w:w="550" w:type="dxa"/>
          </w:tcPr>
          <w:p w:rsidR="0062298A" w:rsidRPr="00045B81" w:rsidRDefault="00C27A08" w:rsidP="006C4607">
            <w:pPr>
              <w:pStyle w:val="naiskr"/>
              <w:spacing w:before="0" w:after="0"/>
              <w:rPr>
                <w:sz w:val="26"/>
                <w:szCs w:val="26"/>
              </w:rPr>
            </w:pPr>
            <w:r w:rsidRPr="00045B81">
              <w:rPr>
                <w:sz w:val="26"/>
                <w:szCs w:val="26"/>
              </w:rPr>
              <w:t>6</w:t>
            </w:r>
            <w:r w:rsidR="0062298A" w:rsidRPr="00045B81">
              <w:rPr>
                <w:sz w:val="26"/>
                <w:szCs w:val="26"/>
              </w:rPr>
              <w:t>.</w:t>
            </w:r>
          </w:p>
        </w:tc>
        <w:tc>
          <w:tcPr>
            <w:tcW w:w="4855" w:type="dxa"/>
          </w:tcPr>
          <w:p w:rsidR="00AE5066" w:rsidRPr="00045B81" w:rsidRDefault="00C27A08" w:rsidP="006C4607">
            <w:pPr>
              <w:pStyle w:val="naiskr"/>
              <w:spacing w:before="0" w:after="0"/>
              <w:rPr>
                <w:sz w:val="26"/>
                <w:szCs w:val="26"/>
              </w:rPr>
            </w:pPr>
            <w:r w:rsidRPr="00045B81">
              <w:rPr>
                <w:sz w:val="26"/>
                <w:szCs w:val="26"/>
              </w:rPr>
              <w:t xml:space="preserve">Administratīvo izmaksu </w:t>
            </w:r>
            <w:r w:rsidR="00502374" w:rsidRPr="00045B81">
              <w:rPr>
                <w:sz w:val="26"/>
                <w:szCs w:val="26"/>
              </w:rPr>
              <w:t xml:space="preserve">monetārs </w:t>
            </w:r>
            <w:r w:rsidRPr="00045B81">
              <w:rPr>
                <w:sz w:val="26"/>
                <w:szCs w:val="26"/>
              </w:rPr>
              <w:t>novērtējums</w:t>
            </w:r>
          </w:p>
        </w:tc>
        <w:tc>
          <w:tcPr>
            <w:tcW w:w="4500" w:type="dxa"/>
          </w:tcPr>
          <w:p w:rsidR="0062298A" w:rsidRPr="00045B81" w:rsidRDefault="00C20646" w:rsidP="006C4607">
            <w:pPr>
              <w:pStyle w:val="naiskr"/>
              <w:spacing w:before="0" w:after="0"/>
              <w:rPr>
                <w:sz w:val="26"/>
                <w:szCs w:val="26"/>
              </w:rPr>
            </w:pPr>
            <w:r w:rsidRPr="00045B81">
              <w:rPr>
                <w:sz w:val="26"/>
                <w:szCs w:val="26"/>
              </w:rPr>
              <w:t>Projekts šo jomu neskar.</w:t>
            </w:r>
          </w:p>
        </w:tc>
      </w:tr>
      <w:tr w:rsidR="0062298A" w:rsidRPr="00045B81">
        <w:tc>
          <w:tcPr>
            <w:tcW w:w="550" w:type="dxa"/>
          </w:tcPr>
          <w:p w:rsidR="0062298A" w:rsidRPr="00045B81" w:rsidRDefault="00C27A08" w:rsidP="006C4607">
            <w:pPr>
              <w:pStyle w:val="naiskr"/>
              <w:spacing w:before="0" w:after="0"/>
              <w:rPr>
                <w:sz w:val="26"/>
                <w:szCs w:val="26"/>
              </w:rPr>
            </w:pPr>
            <w:r w:rsidRPr="00045B81">
              <w:rPr>
                <w:sz w:val="26"/>
                <w:szCs w:val="26"/>
              </w:rPr>
              <w:t>7</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p>
        </w:tc>
      </w:tr>
    </w:tbl>
    <w:p w:rsidR="00F52382" w:rsidRPr="00045B81" w:rsidRDefault="00F52382" w:rsidP="005C5EDC">
      <w:pPr>
        <w:pStyle w:val="naisf"/>
        <w:spacing w:before="0" w:after="0"/>
        <w:ind w:firstLine="0"/>
        <w:rPr>
          <w:sz w:val="26"/>
          <w:szCs w:val="26"/>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Pr="00045B81" w:rsidRDefault="00A718FC" w:rsidP="006C4607">
      <w:pPr>
        <w:pStyle w:val="naiskr"/>
        <w:tabs>
          <w:tab w:val="left" w:pos="2628"/>
        </w:tabs>
        <w:spacing w:before="0" w:after="0"/>
        <w:rPr>
          <w:i/>
          <w:sz w:val="26"/>
          <w:szCs w:val="26"/>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491985" w:rsidRPr="00D15C07" w:rsidRDefault="00B4661D" w:rsidP="00D15C07">
            <w:pPr>
              <w:pStyle w:val="naiskr"/>
              <w:tabs>
                <w:tab w:val="left" w:pos="427"/>
                <w:tab w:val="left" w:pos="2628"/>
              </w:tabs>
              <w:spacing w:before="0" w:after="0"/>
              <w:ind w:left="1"/>
              <w:jc w:val="both"/>
              <w:rPr>
                <w:sz w:val="26"/>
                <w:szCs w:val="26"/>
              </w:rPr>
            </w:pPr>
            <w:r w:rsidRPr="00045B81">
              <w:rPr>
                <w:sz w:val="26"/>
                <w:szCs w:val="26"/>
              </w:rPr>
              <w:t>Lai nodrošinātu Hipotēku bankas un vienotās attīstības finanšu institūcijas dalību Kredītu reģistrā, Latvijas Banka izstrādās grozījumus Latvijas Bankas noteikumos, kas regulē Kredītu reģistra darbību.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2.</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045B81" w:rsidRDefault="00D15C07" w:rsidP="00D15C07">
            <w:pPr>
              <w:pStyle w:val="naiskr"/>
              <w:tabs>
                <w:tab w:val="left" w:pos="2628"/>
              </w:tabs>
              <w:spacing w:before="0" w:after="0"/>
              <w:jc w:val="both"/>
              <w:rPr>
                <w:iCs/>
                <w:sz w:val="26"/>
                <w:szCs w:val="26"/>
              </w:rPr>
            </w:pPr>
            <w:r w:rsidRPr="00045B81">
              <w:rPr>
                <w:iCs/>
                <w:sz w:val="26"/>
                <w:szCs w:val="26"/>
              </w:rPr>
              <w:t>Ar Hipotēku bankas reorganizāciju, atsakoties no kredītiestādes licences, tiek veikti citi saistītie grozījumi sekojošos normatīvajos aktos:</w:t>
            </w:r>
          </w:p>
          <w:p w:rsidR="00D15C07" w:rsidRPr="00045B81" w:rsidRDefault="00D15C07" w:rsidP="00D15C07">
            <w:pPr>
              <w:pStyle w:val="naiskr"/>
              <w:numPr>
                <w:ilvl w:val="0"/>
                <w:numId w:val="20"/>
              </w:numPr>
              <w:tabs>
                <w:tab w:val="left" w:pos="427"/>
                <w:tab w:val="left" w:pos="2628"/>
              </w:tabs>
              <w:spacing w:before="0" w:after="0"/>
              <w:ind w:left="427" w:hanging="427"/>
              <w:jc w:val="both"/>
              <w:rPr>
                <w:iCs/>
                <w:sz w:val="26"/>
                <w:szCs w:val="26"/>
              </w:rPr>
            </w:pPr>
            <w:r w:rsidRPr="00045B81">
              <w:rPr>
                <w:iCs/>
                <w:sz w:val="26"/>
                <w:szCs w:val="26"/>
              </w:rPr>
              <w:t>likums „Par kompensāciju par saimnieciskās darbības ierobežojumiem aizsargājamās teritorijās”;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„Par privatizācijas sertifikātiem”;</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„Par valsts un pašvaldību dzīvojamo māju privatizāciju” ;</w:t>
            </w:r>
          </w:p>
          <w:p w:rsidR="00D15C07" w:rsidRPr="00045B81" w:rsidRDefault="00D15C07" w:rsidP="00D15C07">
            <w:pPr>
              <w:pStyle w:val="naiskr"/>
              <w:numPr>
                <w:ilvl w:val="0"/>
                <w:numId w:val="20"/>
              </w:numPr>
              <w:tabs>
                <w:tab w:val="left" w:pos="427"/>
              </w:tabs>
              <w:spacing w:before="0" w:after="0"/>
              <w:ind w:left="427" w:hanging="426"/>
              <w:jc w:val="both"/>
              <w:rPr>
                <w:iCs/>
                <w:sz w:val="26"/>
                <w:szCs w:val="26"/>
              </w:rPr>
            </w:pPr>
            <w:r w:rsidRPr="00045B81">
              <w:rPr>
                <w:iCs/>
                <w:sz w:val="26"/>
                <w:szCs w:val="26"/>
              </w:rPr>
              <w:t>likums „Par zemes komisijām”;</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„Par zemes privatizāciju lauku apvidos”;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w:t>
            </w:r>
            <w:r w:rsidRPr="00045B81">
              <w:rPr>
                <w:color w:val="000000"/>
                <w:sz w:val="26"/>
                <w:szCs w:val="26"/>
              </w:rPr>
              <w:t>Par zemes reformas pabeigšanu lauku apvidos</w:t>
            </w:r>
            <w:r w:rsidRPr="00045B81">
              <w:rPr>
                <w:iCs/>
                <w:sz w:val="26"/>
                <w:szCs w:val="26"/>
              </w:rPr>
              <w:t>”;</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„Par zemes reformas pabeigšanu pilsētās”;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likums „Valsts un pašvaldību īpašuma privatizācijas un privatizācijas sertifikātu izmantošanas pabeigšanas likums”;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2003. gada 11. februāra noteikumi Nr. 71 „Privatizācijas sertifikātu piešķiršanas un privatizācijas sertifikātu kontu atvēršanas noteikumi”;</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 xml:space="preserve">Ministru kabineta 1999. gada 02. marta noteikumi Nr. 78 „Kārtība, kādā valsts </w:t>
            </w:r>
            <w:r w:rsidRPr="00045B81">
              <w:rPr>
                <w:iCs/>
                <w:sz w:val="26"/>
                <w:szCs w:val="26"/>
              </w:rPr>
              <w:lastRenderedPageBreak/>
              <w:t>akciju sabiedrība „Latvijas Hipotēku un zemes banka” pārņem zemesgabalus, kas ierakstīti zemesgrāmatā uz valsts vārda citu institūciju personā”;</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1997. gada 06. maija noteikumi Nr. 171 „Noteikumi par kompensācijas aprēķināšanu bijušajiem zemes īpašniekiem vai viņu mantiniekiem un maksas noteikšanu par īpašumā nodoto zemi pilsētās”;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1997. gada 20. maija noteikumi Nr. 187 „Kārtība, kādā izmaksājama kompensācija naudā, dzēšos par bijušo zemes īpašumu lauku apvidos piešķirtos zemes īpašuma kompensācijas sertifikātus”;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1995. gada 11. jūlija noteikumi Nr. 191 „Privatizācijas sertifikātu anulēšanas noteikumi”;</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2008. gada 25. marta noteikumi Nr. 204 „Noteikumi par maksāšanas līdzekļu proporciju, pārdodot juridiskajām personām pastāvīgā lietošanā piešķirto zemi lauku apvidos”;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2008. gada 28. aprīļa noteikumi Nr. 305 „Kārtība, kādā veicama priekšapmaksa un iesniedzams apliecinājums par priekšapmaksu, izpērkot (pērkot) pilsētas zemi”;</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1997. gada 02. septembra noteikumi Nr. 312 „Kārtība un apmēri, kādos veicami maksājumi par dzīvokļa, mākslinieka darbnīcas un neapdzīvojamās telpas nodošanu īpašumā līdz dzīvojamās mājas privatizācijai”;</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1997. gada 09. decembra noteikumi Nr. 412 „Noteikumi par neatsavināto zemes īpašumu turpmākas izmantošanas un atsavināšanas kārtību lauku apvidos un pilsētās”;</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2003. gada 02. septembra noteikumi Nr. 487 „Kārtība, kādā veicami maksājumi par dzīvojamo māju privatizācijas objektiem”;</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2008. gada 25. janvāra noteikumi Nr. 686 „Zemes izpirkuma (pirkuma) līguma noslēgšanas kārtība”;</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color w:val="000000"/>
                <w:sz w:val="26"/>
                <w:szCs w:val="26"/>
              </w:rPr>
              <w:lastRenderedPageBreak/>
              <w:t>Ministru kabineta</w:t>
            </w:r>
            <w:r w:rsidRPr="00045B81">
              <w:rPr>
                <w:color w:val="000000"/>
                <w:sz w:val="26"/>
                <w:szCs w:val="26"/>
                <w:shd w:val="clear" w:color="auto" w:fill="FFFFFF"/>
              </w:rPr>
              <w:t xml:space="preserve"> 2007. gada 16. oktobra</w:t>
            </w:r>
            <w:r w:rsidRPr="00045B81">
              <w:rPr>
                <w:color w:val="000000"/>
                <w:sz w:val="26"/>
                <w:szCs w:val="26"/>
              </w:rPr>
              <w:t xml:space="preserve"> noteikumi Nr. 711 „Noteikumi par privatizācijas sertifikātu tirgus starpniecības sabiedrību licenču izsniegšanas, apturēšanas un anulēšanas kārtību, valsts nodevas likumi par tās saņemšanu, kā arī starpniecības sabiedrību pienākumiem un to uzraudzības kārtību”;</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2007. gada 16. oktobra noteikumi Nr. 712 „Privatizācijas sertifikātu izmantošanas noteikumi”;</w:t>
            </w:r>
          </w:p>
          <w:p w:rsidR="00D15C07" w:rsidRPr="00045B81" w:rsidRDefault="00D15C07" w:rsidP="00D15C07">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2012. gada 20. novembra noteikumi Nr. 782 „Kārtība, kādā politiski represētajām personām, dzēšot privatizācijas sertifikātus, izmaksā kompensāciju naudā”;</w:t>
            </w:r>
          </w:p>
          <w:p w:rsidR="00D15C07" w:rsidRPr="00561069" w:rsidRDefault="00D15C07" w:rsidP="005C5EDC">
            <w:pPr>
              <w:pStyle w:val="naiskr"/>
              <w:numPr>
                <w:ilvl w:val="0"/>
                <w:numId w:val="20"/>
              </w:numPr>
              <w:tabs>
                <w:tab w:val="left" w:pos="427"/>
                <w:tab w:val="left" w:pos="2628"/>
              </w:tabs>
              <w:spacing w:before="0" w:after="0"/>
              <w:ind w:left="427" w:hanging="426"/>
              <w:jc w:val="both"/>
              <w:rPr>
                <w:iCs/>
                <w:sz w:val="26"/>
                <w:szCs w:val="26"/>
              </w:rPr>
            </w:pPr>
            <w:r w:rsidRPr="00045B81">
              <w:rPr>
                <w:iCs/>
                <w:sz w:val="26"/>
                <w:szCs w:val="26"/>
              </w:rPr>
              <w:t>Ministru kabineta 2008. gada 22. septembra noteikumi Nr. 787 „Noteikumi par maksājumiem, izpērkot (pērkot) lauku apvidus zemi”.</w:t>
            </w:r>
            <w:r w:rsidRPr="00045B81">
              <w:rPr>
                <w:sz w:val="26"/>
                <w:szCs w:val="26"/>
              </w:rPr>
              <w:t xml:space="preserve"> </w:t>
            </w:r>
          </w:p>
          <w:p w:rsidR="00D15C07" w:rsidRPr="00D15C07" w:rsidRDefault="00C848C9" w:rsidP="005C5EDC">
            <w:pPr>
              <w:pStyle w:val="naiskr"/>
              <w:tabs>
                <w:tab w:val="left" w:pos="427"/>
                <w:tab w:val="left" w:pos="2628"/>
              </w:tabs>
              <w:spacing w:before="0" w:after="0"/>
              <w:ind w:left="1"/>
              <w:jc w:val="both"/>
              <w:rPr>
                <w:sz w:val="26"/>
                <w:szCs w:val="26"/>
              </w:rPr>
            </w:pPr>
            <w:r w:rsidRPr="00045B81">
              <w:rPr>
                <w:sz w:val="26"/>
                <w:szCs w:val="26"/>
              </w:rPr>
              <w:t xml:space="preserve">Likumprojekts „Grozījumi Kredītu reģistra likumā” pēc būtības ir jāvirza vienotā paketē ar </w:t>
            </w:r>
            <w:r w:rsidR="00561069">
              <w:rPr>
                <w:sz w:val="26"/>
                <w:szCs w:val="26"/>
              </w:rPr>
              <w:t>augstāk</w:t>
            </w:r>
            <w:r w:rsidRPr="00045B81">
              <w:rPr>
                <w:sz w:val="26"/>
                <w:szCs w:val="26"/>
              </w:rPr>
              <w:t xml:space="preserve"> minētajiem likumprojektiem.</w:t>
            </w:r>
            <w:r w:rsidR="00D15C07" w:rsidRPr="00045B81">
              <w:rPr>
                <w:sz w:val="26"/>
                <w:szCs w:val="26"/>
              </w:rPr>
              <w:t xml:space="preserve"> Saskaņā ar Ministru kabineta 2013.gada 24.septembra sēdes protokola Nr.50 153.§ 4.punktu augstākminētie likumprojekti </w:t>
            </w:r>
            <w:r w:rsidR="00A718FC">
              <w:rPr>
                <w:sz w:val="26"/>
                <w:szCs w:val="26"/>
              </w:rPr>
              <w:t xml:space="preserve">bija </w:t>
            </w:r>
            <w:r w:rsidR="00D15C07" w:rsidRPr="00045B81">
              <w:rPr>
                <w:sz w:val="26"/>
                <w:szCs w:val="26"/>
              </w:rPr>
              <w:t>jāvirza kā Ministru kabineta lieta.</w:t>
            </w:r>
          </w:p>
        </w:tc>
      </w:tr>
    </w:tbl>
    <w:p w:rsidR="00045B81" w:rsidRPr="00045B81" w:rsidRDefault="00045B81">
      <w:pPr>
        <w:rPr>
          <w:sz w:val="26"/>
          <w:szCs w:val="26"/>
        </w:rPr>
      </w:pPr>
    </w:p>
    <w:tbl>
      <w:tblPr>
        <w:tblW w:w="5468" w:type="pct"/>
        <w:jc w:val="center"/>
        <w:tblInd w:w="-36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35"/>
        <w:gridCol w:w="2017"/>
        <w:gridCol w:w="6893"/>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jc w:val="center"/>
              <w:rPr>
                <w:b/>
                <w:sz w:val="26"/>
                <w:szCs w:val="26"/>
              </w:rPr>
            </w:pPr>
            <w:r w:rsidRPr="00045B81">
              <w:rPr>
                <w:b/>
                <w:sz w:val="26"/>
                <w:szCs w:val="26"/>
              </w:rPr>
              <w:t>V. Tiesību akta projekta atbilstība Latvijas Republikas starptautiskajām saistībām</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Saistības pret Eiropas Savienību</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Citas starptautiskās saistības</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 informācija</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both"/>
              <w:rPr>
                <w:sz w:val="26"/>
                <w:szCs w:val="26"/>
              </w:rPr>
            </w:pPr>
            <w:r w:rsidRPr="00045B81">
              <w:rPr>
                <w:iCs/>
                <w:sz w:val="26"/>
                <w:szCs w:val="26"/>
              </w:rPr>
              <w:t>Likumprojekts nosūtīts saskaņošanai Eiropas Centrālai bankai.</w:t>
            </w:r>
          </w:p>
        </w:tc>
      </w:tr>
    </w:tbl>
    <w:p w:rsidR="00F52382" w:rsidRPr="00045B81" w:rsidRDefault="00F52382"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1.tabula</w:t>
            </w:r>
          </w:p>
          <w:p w:rsidR="00FE72CA" w:rsidRPr="00045B81" w:rsidRDefault="00FE72CA" w:rsidP="00173681">
            <w:pPr>
              <w:ind w:left="57"/>
              <w:jc w:val="center"/>
              <w:rPr>
                <w:sz w:val="26"/>
                <w:szCs w:val="26"/>
              </w:rPr>
            </w:pPr>
            <w:r w:rsidRPr="00045B81">
              <w:rPr>
                <w:b/>
                <w:sz w:val="26"/>
                <w:szCs w:val="26"/>
              </w:rPr>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2.tabula</w:t>
            </w:r>
          </w:p>
          <w:p w:rsidR="00FE72CA" w:rsidRPr="00045B81" w:rsidRDefault="00FE72CA" w:rsidP="0017368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17368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lastRenderedPageBreak/>
              <w:t>Projekts šo jomu neskar.</w:t>
            </w:r>
          </w:p>
        </w:tc>
      </w:tr>
    </w:tbl>
    <w:p w:rsidR="00F52382" w:rsidRPr="00045B81" w:rsidRDefault="00F52382">
      <w:pPr>
        <w:rPr>
          <w:sz w:val="26"/>
          <w:szCs w:val="26"/>
        </w:rPr>
      </w:pPr>
    </w:p>
    <w:tbl>
      <w:tblPr>
        <w:tblW w:w="1014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7D099D">
            <w:pPr>
              <w:pStyle w:val="naisnod"/>
              <w:spacing w:before="0" w:after="0"/>
              <w:ind w:left="57" w:right="57"/>
              <w:rPr>
                <w:sz w:val="26"/>
                <w:szCs w:val="26"/>
              </w:rPr>
            </w:pPr>
            <w:r w:rsidRPr="00045B81">
              <w:rPr>
                <w:sz w:val="26"/>
                <w:szCs w:val="26"/>
              </w:rPr>
              <w:t>VI</w:t>
            </w:r>
            <w:r w:rsidR="000941C5" w:rsidRPr="00045B81">
              <w:rPr>
                <w:sz w:val="26"/>
                <w:szCs w:val="26"/>
              </w:rPr>
              <w:t>.</w:t>
            </w:r>
            <w:r w:rsidRPr="00045B81">
              <w:rPr>
                <w:sz w:val="26"/>
                <w:szCs w:val="26"/>
              </w:rPr>
              <w:t xml:space="preserve"> Sabiedrības līdzdalība un šīs līdzdalības rezultāti</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490"/>
        <w:gridCol w:w="5342"/>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191865">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342" w:type="dxa"/>
          </w:tcPr>
          <w:p w:rsidR="0023436E" w:rsidRPr="00045B81" w:rsidRDefault="00054D69" w:rsidP="005C5EDC">
            <w:pPr>
              <w:pStyle w:val="naiskr"/>
              <w:tabs>
                <w:tab w:val="left" w:pos="427"/>
                <w:tab w:val="left" w:pos="2628"/>
              </w:tabs>
              <w:spacing w:before="0" w:after="0"/>
              <w:ind w:left="70"/>
              <w:jc w:val="both"/>
              <w:rPr>
                <w:iCs/>
                <w:sz w:val="26"/>
                <w:szCs w:val="26"/>
              </w:rPr>
            </w:pPr>
            <w:r w:rsidRPr="00045B81">
              <w:rPr>
                <w:iCs/>
                <w:sz w:val="26"/>
                <w:szCs w:val="26"/>
              </w:rPr>
              <w:t>Latvijas B</w:t>
            </w:r>
            <w:r w:rsidR="00D8574C" w:rsidRPr="00045B81">
              <w:rPr>
                <w:iCs/>
                <w:sz w:val="26"/>
                <w:szCs w:val="26"/>
              </w:rPr>
              <w:t>anka</w:t>
            </w:r>
            <w:r w:rsidR="00B4661D" w:rsidRPr="00045B81">
              <w:rPr>
                <w:iCs/>
                <w:sz w:val="26"/>
                <w:szCs w:val="26"/>
              </w:rPr>
              <w:t xml:space="preserve">, </w:t>
            </w:r>
            <w:r w:rsidR="00B4661D" w:rsidRPr="00045B81">
              <w:rPr>
                <w:sz w:val="26"/>
                <w:szCs w:val="26"/>
              </w:rPr>
              <w:t>Finanšu un kapitāla tirgus komisija</w:t>
            </w:r>
            <w:r w:rsidR="00B73BE1" w:rsidRPr="00045B81">
              <w:rPr>
                <w:iCs/>
                <w:sz w:val="26"/>
                <w:szCs w:val="26"/>
              </w:rPr>
              <w:t>.</w:t>
            </w:r>
          </w:p>
        </w:tc>
      </w:tr>
      <w:tr w:rsidR="0023436E" w:rsidRPr="00045B81" w:rsidTr="00191865">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342"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191865">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5C5EDC">
            <w:pPr>
              <w:pStyle w:val="naisf"/>
              <w:spacing w:before="0" w:after="0"/>
              <w:ind w:left="57" w:right="57" w:firstLine="0"/>
              <w:jc w:val="left"/>
              <w:rPr>
                <w:sz w:val="26"/>
                <w:szCs w:val="26"/>
              </w:rPr>
            </w:pPr>
            <w:r w:rsidRPr="00045B81">
              <w:rPr>
                <w:sz w:val="26"/>
                <w:szCs w:val="26"/>
              </w:rPr>
              <w:t>Jaunu institūciju izveide</w:t>
            </w:r>
          </w:p>
        </w:tc>
        <w:tc>
          <w:tcPr>
            <w:tcW w:w="5342" w:type="dxa"/>
          </w:tcPr>
          <w:p w:rsidR="0023436E" w:rsidRPr="00045B81" w:rsidRDefault="00DB383F" w:rsidP="005C5EDC">
            <w:pPr>
              <w:pStyle w:val="naisnod"/>
              <w:spacing w:before="0" w:after="0"/>
              <w:ind w:left="57" w:right="57"/>
              <w:jc w:val="left"/>
              <w:rPr>
                <w:b w:val="0"/>
                <w:sz w:val="26"/>
                <w:szCs w:val="26"/>
                <w:highlight w:val="yellow"/>
              </w:rPr>
            </w:pPr>
            <w:r w:rsidRPr="00045B81">
              <w:rPr>
                <w:b w:val="0"/>
                <w:sz w:val="26"/>
                <w:szCs w:val="26"/>
              </w:rPr>
              <w:t>Projekts šo jomu neskar.</w:t>
            </w:r>
          </w:p>
        </w:tc>
      </w:tr>
      <w:tr w:rsidR="0023436E" w:rsidRPr="00045B81" w:rsidTr="00191865">
        <w:trPr>
          <w:trHeight w:val="780"/>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4.</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zpildes ietekme uz pārvaldes institucionālo struktūru.</w:t>
            </w:r>
          </w:p>
          <w:p w:rsidR="0023436E" w:rsidRPr="00045B81" w:rsidRDefault="006C4607" w:rsidP="005C5EDC">
            <w:pPr>
              <w:pStyle w:val="naisf"/>
              <w:spacing w:before="0" w:after="0"/>
              <w:ind w:left="57" w:right="57" w:firstLine="0"/>
              <w:jc w:val="left"/>
              <w:rPr>
                <w:sz w:val="26"/>
                <w:szCs w:val="26"/>
              </w:rPr>
            </w:pPr>
            <w:r w:rsidRPr="00045B81">
              <w:rPr>
                <w:sz w:val="26"/>
                <w:szCs w:val="26"/>
              </w:rPr>
              <w:t>Esošu institūciju likvidācija</w:t>
            </w:r>
          </w:p>
        </w:tc>
        <w:tc>
          <w:tcPr>
            <w:tcW w:w="5342" w:type="dxa"/>
          </w:tcPr>
          <w:p w:rsidR="0023436E" w:rsidRPr="00045B81" w:rsidRDefault="00DB383F" w:rsidP="005C5EDC">
            <w:pPr>
              <w:pStyle w:val="naisnod"/>
              <w:spacing w:before="0" w:after="0"/>
              <w:ind w:left="57" w:right="57"/>
              <w:jc w:val="left"/>
              <w:rPr>
                <w:b w:val="0"/>
                <w:sz w:val="26"/>
                <w:szCs w:val="26"/>
                <w:highlight w:val="yellow"/>
              </w:rPr>
            </w:pPr>
            <w:r w:rsidRPr="00045B81">
              <w:rPr>
                <w:b w:val="0"/>
                <w:sz w:val="26"/>
                <w:szCs w:val="26"/>
              </w:rPr>
              <w:t>Projekts šo jomu neskar.</w:t>
            </w:r>
          </w:p>
        </w:tc>
      </w:tr>
      <w:tr w:rsidR="0023436E" w:rsidRPr="00045B81" w:rsidTr="00191865">
        <w:trPr>
          <w:trHeight w:val="70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5.</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zpildes ietekme uz pārvaldes institucionālo struktūru.</w:t>
            </w:r>
          </w:p>
          <w:p w:rsidR="0023436E" w:rsidRPr="00045B81" w:rsidRDefault="0023436E" w:rsidP="005C5EDC">
            <w:pPr>
              <w:pStyle w:val="naisf"/>
              <w:spacing w:before="0" w:after="0"/>
              <w:ind w:left="57" w:right="57" w:firstLine="0"/>
              <w:jc w:val="left"/>
              <w:rPr>
                <w:sz w:val="26"/>
                <w:szCs w:val="26"/>
              </w:rPr>
            </w:pPr>
            <w:r w:rsidRPr="00045B81">
              <w:rPr>
                <w:sz w:val="26"/>
                <w:szCs w:val="26"/>
              </w:rPr>
              <w:t>Esošu institūciju reorganizācija</w:t>
            </w:r>
          </w:p>
        </w:tc>
        <w:tc>
          <w:tcPr>
            <w:tcW w:w="5342" w:type="dxa"/>
          </w:tcPr>
          <w:p w:rsidR="0023436E" w:rsidRPr="00045B81" w:rsidRDefault="00DB383F" w:rsidP="005C5EDC">
            <w:pPr>
              <w:pStyle w:val="naisnod"/>
              <w:spacing w:before="0" w:after="0"/>
              <w:ind w:left="57" w:right="57"/>
              <w:jc w:val="left"/>
              <w:rPr>
                <w:b w:val="0"/>
                <w:sz w:val="26"/>
                <w:szCs w:val="26"/>
                <w:highlight w:val="yellow"/>
              </w:rPr>
            </w:pPr>
            <w:r w:rsidRPr="00045B81">
              <w:rPr>
                <w:b w:val="0"/>
                <w:sz w:val="26"/>
                <w:szCs w:val="26"/>
              </w:rPr>
              <w:t>Projekts šo jomu neskar.</w:t>
            </w:r>
          </w:p>
        </w:tc>
      </w:tr>
      <w:tr w:rsidR="0023436E" w:rsidRPr="00045B81" w:rsidTr="00F52382">
        <w:trPr>
          <w:trHeight w:val="357"/>
        </w:trPr>
        <w:tc>
          <w:tcPr>
            <w:tcW w:w="374" w:type="dxa"/>
          </w:tcPr>
          <w:p w:rsidR="0023436E" w:rsidRPr="00045B81" w:rsidRDefault="00F63DAC" w:rsidP="007D099D">
            <w:pPr>
              <w:pStyle w:val="naiskr"/>
              <w:spacing w:before="0" w:after="0"/>
              <w:ind w:left="57" w:right="57"/>
              <w:rPr>
                <w:sz w:val="26"/>
                <w:szCs w:val="26"/>
              </w:rPr>
            </w:pPr>
            <w:r w:rsidRPr="00045B81">
              <w:rPr>
                <w:sz w:val="26"/>
                <w:szCs w:val="26"/>
              </w:rPr>
              <w:t>6</w:t>
            </w:r>
            <w:r w:rsidR="0023436E" w:rsidRPr="00045B81">
              <w:rPr>
                <w:sz w:val="26"/>
                <w:szCs w:val="26"/>
              </w:rPr>
              <w:t>.</w:t>
            </w:r>
          </w:p>
        </w:tc>
        <w:tc>
          <w:tcPr>
            <w:tcW w:w="4490" w:type="dxa"/>
          </w:tcPr>
          <w:p w:rsidR="0023436E" w:rsidRPr="00045B81" w:rsidRDefault="006C4607" w:rsidP="007D099D">
            <w:pPr>
              <w:pStyle w:val="naiskr"/>
              <w:spacing w:before="0" w:after="0"/>
              <w:ind w:left="57" w:right="57"/>
              <w:rPr>
                <w:sz w:val="26"/>
                <w:szCs w:val="26"/>
              </w:rPr>
            </w:pPr>
            <w:r w:rsidRPr="00045B81">
              <w:rPr>
                <w:sz w:val="26"/>
                <w:szCs w:val="26"/>
              </w:rPr>
              <w:t>Cita informācija</w:t>
            </w:r>
          </w:p>
        </w:tc>
        <w:tc>
          <w:tcPr>
            <w:tcW w:w="5342" w:type="dxa"/>
          </w:tcPr>
          <w:p w:rsidR="0023436E" w:rsidRPr="00045B81" w:rsidRDefault="0023436E" w:rsidP="007D099D">
            <w:pPr>
              <w:pStyle w:val="naiskr"/>
              <w:spacing w:before="0" w:after="0"/>
              <w:ind w:left="57" w:right="57"/>
              <w:rPr>
                <w:sz w:val="26"/>
                <w:szCs w:val="26"/>
              </w:rPr>
            </w:pPr>
            <w:r w:rsidRPr="00045B81">
              <w:rPr>
                <w:sz w:val="26"/>
                <w:szCs w:val="26"/>
              </w:rPr>
              <w:t>Nav</w:t>
            </w:r>
            <w:r w:rsidR="00F031FB" w:rsidRPr="00045B81">
              <w:rPr>
                <w:sz w:val="26"/>
                <w:szCs w:val="26"/>
              </w:rPr>
              <w:t>.</w:t>
            </w:r>
          </w:p>
        </w:tc>
      </w:tr>
    </w:tbl>
    <w:p w:rsidR="00BF40ED" w:rsidRPr="00045B81" w:rsidRDefault="00BF40ED" w:rsidP="00DB383F">
      <w:pPr>
        <w:pStyle w:val="naisf"/>
        <w:tabs>
          <w:tab w:val="left" w:pos="6804"/>
        </w:tabs>
        <w:spacing w:before="0" w:after="0"/>
        <w:ind w:firstLine="0"/>
        <w:rPr>
          <w:sz w:val="26"/>
          <w:szCs w:val="26"/>
        </w:rPr>
      </w:pPr>
    </w:p>
    <w:p w:rsidR="00874FD4" w:rsidRPr="00045B81" w:rsidRDefault="00874FD4" w:rsidP="00DB383F">
      <w:pPr>
        <w:pStyle w:val="naisf"/>
        <w:tabs>
          <w:tab w:val="left" w:pos="6804"/>
        </w:tabs>
        <w:spacing w:before="0" w:after="0"/>
        <w:ind w:firstLine="0"/>
        <w:rPr>
          <w:sz w:val="26"/>
          <w:szCs w:val="26"/>
        </w:rPr>
      </w:pPr>
    </w:p>
    <w:p w:rsidR="0015060C" w:rsidRPr="00045B81" w:rsidRDefault="00D543DB" w:rsidP="00845811">
      <w:pPr>
        <w:pStyle w:val="naisf"/>
        <w:tabs>
          <w:tab w:val="left" w:pos="6804"/>
        </w:tabs>
        <w:spacing w:before="0" w:after="0"/>
        <w:ind w:firstLine="720"/>
        <w:rPr>
          <w:sz w:val="26"/>
          <w:szCs w:val="26"/>
        </w:rPr>
      </w:pPr>
      <w:r w:rsidRPr="00045B81">
        <w:rPr>
          <w:sz w:val="26"/>
          <w:szCs w:val="26"/>
        </w:rPr>
        <w:t>Finanšu</w:t>
      </w:r>
      <w:r w:rsidR="0015060C" w:rsidRPr="00045B81">
        <w:rPr>
          <w:sz w:val="26"/>
          <w:szCs w:val="26"/>
        </w:rPr>
        <w:t xml:space="preserve"> ministrs</w:t>
      </w:r>
      <w:r w:rsidR="00214094" w:rsidRPr="00045B81">
        <w:rPr>
          <w:sz w:val="26"/>
          <w:szCs w:val="26"/>
        </w:rPr>
        <w:tab/>
      </w:r>
      <w:r w:rsidRPr="00045B81">
        <w:rPr>
          <w:sz w:val="26"/>
          <w:szCs w:val="26"/>
        </w:rPr>
        <w:t xml:space="preserve">A.Vilks </w:t>
      </w:r>
    </w:p>
    <w:p w:rsidR="00D543DB" w:rsidRPr="00045B81" w:rsidRDefault="00D543DB" w:rsidP="00845811">
      <w:pPr>
        <w:pStyle w:val="naisf"/>
        <w:tabs>
          <w:tab w:val="left" w:pos="6804"/>
        </w:tabs>
        <w:spacing w:before="0" w:after="0"/>
        <w:ind w:firstLine="720"/>
        <w:rPr>
          <w:sz w:val="26"/>
          <w:szCs w:val="26"/>
        </w:rPr>
      </w:pPr>
    </w:p>
    <w:p w:rsidR="00874FD4" w:rsidRPr="00045B81" w:rsidRDefault="00874FD4" w:rsidP="00845811">
      <w:pPr>
        <w:pStyle w:val="naisf"/>
        <w:tabs>
          <w:tab w:val="left" w:pos="6804"/>
        </w:tabs>
        <w:spacing w:before="0" w:after="0"/>
        <w:ind w:firstLine="720"/>
        <w:rPr>
          <w:sz w:val="26"/>
          <w:szCs w:val="26"/>
        </w:rPr>
      </w:pPr>
    </w:p>
    <w:p w:rsidR="00874FD4" w:rsidRPr="00045B81" w:rsidRDefault="00874FD4" w:rsidP="00845811">
      <w:pPr>
        <w:pStyle w:val="naisf"/>
        <w:tabs>
          <w:tab w:val="left" w:pos="6804"/>
        </w:tabs>
        <w:spacing w:before="0" w:after="0"/>
        <w:ind w:firstLine="720"/>
        <w:rPr>
          <w:sz w:val="26"/>
          <w:szCs w:val="26"/>
        </w:rPr>
      </w:pPr>
    </w:p>
    <w:p w:rsidR="00874FD4" w:rsidRDefault="00874FD4"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845811">
      <w:pPr>
        <w:pStyle w:val="naisf"/>
        <w:tabs>
          <w:tab w:val="left" w:pos="6804"/>
        </w:tabs>
        <w:spacing w:before="0" w:after="0"/>
        <w:ind w:firstLine="720"/>
        <w:rPr>
          <w:sz w:val="26"/>
          <w:szCs w:val="26"/>
        </w:rPr>
      </w:pPr>
    </w:p>
    <w:p w:rsidR="00F52382" w:rsidRDefault="00F52382" w:rsidP="005C5EDC">
      <w:pPr>
        <w:pStyle w:val="naisf"/>
        <w:tabs>
          <w:tab w:val="left" w:pos="6804"/>
        </w:tabs>
        <w:spacing w:before="0" w:after="0"/>
        <w:ind w:firstLine="0"/>
        <w:rPr>
          <w:sz w:val="26"/>
          <w:szCs w:val="26"/>
        </w:rPr>
      </w:pPr>
    </w:p>
    <w:p w:rsidR="00F52382" w:rsidRPr="00045B81" w:rsidRDefault="00F52382" w:rsidP="00845811">
      <w:pPr>
        <w:pStyle w:val="naisf"/>
        <w:tabs>
          <w:tab w:val="left" w:pos="6804"/>
        </w:tabs>
        <w:spacing w:before="0" w:after="0"/>
        <w:ind w:firstLine="720"/>
        <w:rPr>
          <w:sz w:val="26"/>
          <w:szCs w:val="26"/>
        </w:rPr>
      </w:pPr>
    </w:p>
    <w:p w:rsidR="00874FD4" w:rsidRPr="00045B81" w:rsidRDefault="00874FD4" w:rsidP="00845811">
      <w:pPr>
        <w:pStyle w:val="naisf"/>
        <w:tabs>
          <w:tab w:val="left" w:pos="6804"/>
        </w:tabs>
        <w:spacing w:before="0" w:after="0"/>
        <w:ind w:firstLine="720"/>
        <w:rPr>
          <w:sz w:val="26"/>
          <w:szCs w:val="26"/>
        </w:rPr>
      </w:pPr>
    </w:p>
    <w:p w:rsidR="00874FD4" w:rsidRPr="00045B81" w:rsidRDefault="00F52382" w:rsidP="00874FD4">
      <w:pPr>
        <w:pStyle w:val="BlockText"/>
        <w:spacing w:before="0" w:beforeAutospacing="0" w:after="0" w:afterAutospacing="0"/>
        <w:jc w:val="both"/>
        <w:rPr>
          <w:color w:val="auto"/>
          <w:sz w:val="20"/>
          <w:szCs w:val="20"/>
        </w:rPr>
      </w:pPr>
      <w:r>
        <w:rPr>
          <w:color w:val="auto"/>
          <w:sz w:val="20"/>
          <w:szCs w:val="20"/>
        </w:rPr>
        <w:t>04</w:t>
      </w:r>
      <w:r w:rsidR="0030011F" w:rsidRPr="00045B81">
        <w:rPr>
          <w:color w:val="auto"/>
          <w:sz w:val="20"/>
          <w:szCs w:val="20"/>
        </w:rPr>
        <w:t>.12</w:t>
      </w:r>
      <w:r w:rsidR="00045B81">
        <w:rPr>
          <w:color w:val="auto"/>
          <w:sz w:val="20"/>
          <w:szCs w:val="20"/>
        </w:rPr>
        <w:t>.2013. 10:04</w:t>
      </w:r>
    </w:p>
    <w:p w:rsidR="00874FD4" w:rsidRPr="00045B81" w:rsidRDefault="00045B81" w:rsidP="00874FD4">
      <w:pPr>
        <w:pStyle w:val="BlockText"/>
        <w:spacing w:before="0" w:beforeAutospacing="0" w:after="0" w:afterAutospacing="0"/>
        <w:jc w:val="both"/>
        <w:rPr>
          <w:color w:val="auto"/>
          <w:sz w:val="20"/>
          <w:szCs w:val="20"/>
        </w:rPr>
      </w:pPr>
      <w:r>
        <w:rPr>
          <w:color w:val="auto"/>
          <w:sz w:val="20"/>
          <w:szCs w:val="20"/>
        </w:rPr>
        <w:t>1</w:t>
      </w:r>
      <w:r w:rsidR="00282E88">
        <w:rPr>
          <w:color w:val="auto"/>
          <w:sz w:val="20"/>
          <w:szCs w:val="20"/>
        </w:rPr>
        <w:t>4</w:t>
      </w:r>
      <w:r w:rsidR="00AA2856">
        <w:rPr>
          <w:color w:val="auto"/>
          <w:sz w:val="20"/>
          <w:szCs w:val="20"/>
        </w:rPr>
        <w:t>11</w:t>
      </w:r>
      <w:bookmarkStart w:id="0" w:name="_GoBack"/>
      <w:bookmarkEnd w:id="0"/>
    </w:p>
    <w:p w:rsidR="00874FD4" w:rsidRPr="00045B81" w:rsidRDefault="00874FD4" w:rsidP="00874FD4">
      <w:pPr>
        <w:rPr>
          <w:sz w:val="20"/>
          <w:szCs w:val="20"/>
        </w:rPr>
      </w:pPr>
      <w:r w:rsidRPr="00045B81">
        <w:rPr>
          <w:sz w:val="20"/>
          <w:szCs w:val="20"/>
        </w:rPr>
        <w:t>M. Stepiņš</w:t>
      </w:r>
    </w:p>
    <w:p w:rsidR="00045B81" w:rsidRPr="00045B81" w:rsidRDefault="00874FD4" w:rsidP="00054D69">
      <w:pPr>
        <w:rPr>
          <w:rStyle w:val="Hyperlink"/>
          <w:color w:val="auto"/>
          <w:sz w:val="20"/>
          <w:szCs w:val="20"/>
        </w:rPr>
      </w:pPr>
      <w:r w:rsidRPr="00045B81">
        <w:rPr>
          <w:sz w:val="20"/>
          <w:szCs w:val="20"/>
        </w:rPr>
        <w:t xml:space="preserve">67095490, </w:t>
      </w:r>
      <w:hyperlink r:id="rId12" w:history="1">
        <w:r w:rsidRPr="00045B81">
          <w:rPr>
            <w:rStyle w:val="Hyperlink"/>
            <w:color w:val="auto"/>
            <w:sz w:val="20"/>
            <w:szCs w:val="20"/>
          </w:rPr>
          <w:t>maris.stepins@fm.gov.lv</w:t>
        </w:r>
      </w:hyperlink>
    </w:p>
    <w:p w:rsidR="003F40CC" w:rsidRPr="00045B81" w:rsidRDefault="003F40CC" w:rsidP="00054D69">
      <w:pPr>
        <w:rPr>
          <w:rStyle w:val="Hyperlink"/>
          <w:color w:val="auto"/>
          <w:sz w:val="20"/>
          <w:szCs w:val="20"/>
        </w:rPr>
      </w:pPr>
    </w:p>
    <w:p w:rsidR="003F40CC" w:rsidRPr="00045B81" w:rsidRDefault="003F40CC" w:rsidP="003F40CC">
      <w:pPr>
        <w:rPr>
          <w:sz w:val="20"/>
          <w:szCs w:val="20"/>
        </w:rPr>
      </w:pPr>
      <w:r w:rsidRPr="00045B81">
        <w:rPr>
          <w:sz w:val="20"/>
          <w:szCs w:val="20"/>
        </w:rPr>
        <w:t>H.Ozols</w:t>
      </w:r>
    </w:p>
    <w:p w:rsidR="003F40CC" w:rsidRPr="00045B81" w:rsidRDefault="003F40CC" w:rsidP="003F40CC">
      <w:pPr>
        <w:rPr>
          <w:sz w:val="20"/>
          <w:szCs w:val="20"/>
          <w:u w:val="single"/>
        </w:rPr>
      </w:pPr>
      <w:r w:rsidRPr="00045B81">
        <w:rPr>
          <w:sz w:val="20"/>
          <w:szCs w:val="20"/>
        </w:rPr>
        <w:t xml:space="preserve">67022378, </w:t>
      </w:r>
      <w:hyperlink r:id="rId13" w:history="1">
        <w:r w:rsidRPr="00045B81">
          <w:rPr>
            <w:rStyle w:val="Hyperlink"/>
            <w:sz w:val="20"/>
            <w:szCs w:val="20"/>
          </w:rPr>
          <w:t>Harijs.Ozols@bank.lv</w:t>
        </w:r>
      </w:hyperlink>
    </w:p>
    <w:sectPr w:rsidR="003F40CC" w:rsidRPr="00045B81" w:rsidSect="00845811">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51" w:rsidRDefault="00084751">
      <w:r>
        <w:separator/>
      </w:r>
    </w:p>
  </w:endnote>
  <w:endnote w:type="continuationSeparator" w:id="0">
    <w:p w:rsidR="00084751" w:rsidRDefault="0008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52382" w:rsidRDefault="00F52382" w:rsidP="00F52382">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A2856">
      <w:rPr>
        <w:noProof/>
        <w:sz w:val="20"/>
        <w:szCs w:val="20"/>
      </w:rPr>
      <w:t>FManot_041213_KRL</w:t>
    </w:r>
    <w:r>
      <w:rPr>
        <w:sz w:val="20"/>
        <w:szCs w:val="20"/>
      </w:rPr>
      <w:fldChar w:fldCharType="end"/>
    </w:r>
    <w:r w:rsidRPr="00CA05C8">
      <w:rPr>
        <w:sz w:val="20"/>
        <w:szCs w:val="20"/>
      </w:rPr>
      <w:t>; Likumprojekta "Grozījums Kredītu reģistra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CA05C8" w:rsidRDefault="00F52382" w:rsidP="001B71C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A2856">
      <w:rPr>
        <w:noProof/>
        <w:sz w:val="20"/>
        <w:szCs w:val="20"/>
      </w:rPr>
      <w:t>FManot_041213_KRL</w:t>
    </w:r>
    <w:r>
      <w:rPr>
        <w:sz w:val="20"/>
        <w:szCs w:val="20"/>
      </w:rPr>
      <w:fldChar w:fldCharType="end"/>
    </w:r>
    <w:r w:rsidR="00CC0350" w:rsidRPr="00CA05C8">
      <w:rPr>
        <w:sz w:val="20"/>
        <w:szCs w:val="20"/>
      </w:rPr>
      <w:t xml:space="preserve">; </w:t>
    </w:r>
    <w:r w:rsidR="001B71CD" w:rsidRPr="00CA05C8">
      <w:rPr>
        <w:sz w:val="20"/>
        <w:szCs w:val="20"/>
      </w:rPr>
      <w:t xml:space="preserve">Likumprojekta </w:t>
    </w:r>
    <w:r w:rsidR="00054D69" w:rsidRPr="00CA05C8">
      <w:rPr>
        <w:sz w:val="20"/>
        <w:szCs w:val="20"/>
      </w:rPr>
      <w:t>"</w:t>
    </w:r>
    <w:r w:rsidR="009B42E5" w:rsidRPr="00CA05C8">
      <w:rPr>
        <w:sz w:val="20"/>
        <w:szCs w:val="20"/>
      </w:rPr>
      <w:t>Grozījums</w:t>
    </w:r>
    <w:r w:rsidR="00054D69" w:rsidRPr="00CA05C8">
      <w:rPr>
        <w:sz w:val="20"/>
        <w:szCs w:val="20"/>
      </w:rPr>
      <w:t xml:space="preserve"> Kredītu reģistra</w:t>
    </w:r>
    <w:r w:rsidR="009B42E5" w:rsidRPr="00CA05C8">
      <w:rPr>
        <w:sz w:val="20"/>
        <w:szCs w:val="20"/>
      </w:rPr>
      <w:t xml:space="preserve"> likumā</w:t>
    </w:r>
    <w:r w:rsidR="00054D69" w:rsidRPr="00CA05C8">
      <w:rPr>
        <w:sz w:val="20"/>
        <w:szCs w:val="20"/>
      </w:rPr>
      <w:t>"</w:t>
    </w:r>
    <w:r w:rsidR="001B71CD" w:rsidRPr="00CA05C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51" w:rsidRDefault="00084751">
      <w:r>
        <w:separator/>
      </w:r>
    </w:p>
  </w:footnote>
  <w:footnote w:type="continuationSeparator" w:id="0">
    <w:p w:rsidR="00084751" w:rsidRDefault="0008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856">
      <w:rPr>
        <w:rStyle w:val="PageNumber"/>
        <w:noProof/>
      </w:rPr>
      <w:t>7</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2"/>
  </w:num>
  <w:num w:numId="5">
    <w:abstractNumId w:val="1"/>
  </w:num>
  <w:num w:numId="6">
    <w:abstractNumId w:val="13"/>
  </w:num>
  <w:num w:numId="7">
    <w:abstractNumId w:val="17"/>
  </w:num>
  <w:num w:numId="8">
    <w:abstractNumId w:val="9"/>
  </w:num>
  <w:num w:numId="9">
    <w:abstractNumId w:val="3"/>
  </w:num>
  <w:num w:numId="10">
    <w:abstractNumId w:val="10"/>
  </w:num>
  <w:num w:numId="11">
    <w:abstractNumId w:val="11"/>
  </w:num>
  <w:num w:numId="12">
    <w:abstractNumId w:val="14"/>
  </w:num>
  <w:num w:numId="13">
    <w:abstractNumId w:val="15"/>
  </w:num>
  <w:num w:numId="14">
    <w:abstractNumId w:val="18"/>
  </w:num>
  <w:num w:numId="15">
    <w:abstractNumId w:val="4"/>
  </w:num>
  <w:num w:numId="16">
    <w:abstractNumId w:val="19"/>
  </w:num>
  <w:num w:numId="17">
    <w:abstractNumId w:val="0"/>
  </w:num>
  <w:num w:numId="18">
    <w:abstractNumId w:val="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322C"/>
    <w:rsid w:val="00032388"/>
    <w:rsid w:val="00035CE2"/>
    <w:rsid w:val="00045B81"/>
    <w:rsid w:val="00054D69"/>
    <w:rsid w:val="0005553B"/>
    <w:rsid w:val="00056D81"/>
    <w:rsid w:val="000604D2"/>
    <w:rsid w:val="000824C6"/>
    <w:rsid w:val="00084751"/>
    <w:rsid w:val="0009005E"/>
    <w:rsid w:val="000941C5"/>
    <w:rsid w:val="000A325D"/>
    <w:rsid w:val="000A6451"/>
    <w:rsid w:val="000B064E"/>
    <w:rsid w:val="000B69CF"/>
    <w:rsid w:val="000C790C"/>
    <w:rsid w:val="000F061D"/>
    <w:rsid w:val="000F4794"/>
    <w:rsid w:val="00124F12"/>
    <w:rsid w:val="00133905"/>
    <w:rsid w:val="00144E3A"/>
    <w:rsid w:val="0015060C"/>
    <w:rsid w:val="00157F32"/>
    <w:rsid w:val="0016018A"/>
    <w:rsid w:val="00161814"/>
    <w:rsid w:val="00161F0E"/>
    <w:rsid w:val="00170E2A"/>
    <w:rsid w:val="00175482"/>
    <w:rsid w:val="00177394"/>
    <w:rsid w:val="00182C18"/>
    <w:rsid w:val="00183CC2"/>
    <w:rsid w:val="00183E35"/>
    <w:rsid w:val="001900E4"/>
    <w:rsid w:val="00190F88"/>
    <w:rsid w:val="00191865"/>
    <w:rsid w:val="001A4066"/>
    <w:rsid w:val="001A6AE4"/>
    <w:rsid w:val="001B01FD"/>
    <w:rsid w:val="001B4A71"/>
    <w:rsid w:val="001B71AB"/>
    <w:rsid w:val="001B71CD"/>
    <w:rsid w:val="001C6135"/>
    <w:rsid w:val="001D5B54"/>
    <w:rsid w:val="001E06FA"/>
    <w:rsid w:val="001E1DBF"/>
    <w:rsid w:val="001E3A84"/>
    <w:rsid w:val="001E4639"/>
    <w:rsid w:val="001E4A7D"/>
    <w:rsid w:val="001F43A8"/>
    <w:rsid w:val="001F5CD6"/>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70429"/>
    <w:rsid w:val="0027054C"/>
    <w:rsid w:val="002720EB"/>
    <w:rsid w:val="002723E9"/>
    <w:rsid w:val="00277929"/>
    <w:rsid w:val="00277AB3"/>
    <w:rsid w:val="00282E88"/>
    <w:rsid w:val="00283B82"/>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F78C8"/>
    <w:rsid w:val="0030011F"/>
    <w:rsid w:val="00301CF3"/>
    <w:rsid w:val="00305BBD"/>
    <w:rsid w:val="0030705C"/>
    <w:rsid w:val="0032715C"/>
    <w:rsid w:val="00337CA5"/>
    <w:rsid w:val="0034622F"/>
    <w:rsid w:val="00351F03"/>
    <w:rsid w:val="00360CCC"/>
    <w:rsid w:val="00362478"/>
    <w:rsid w:val="00370649"/>
    <w:rsid w:val="00375B25"/>
    <w:rsid w:val="00385B77"/>
    <w:rsid w:val="00385D1E"/>
    <w:rsid w:val="00396542"/>
    <w:rsid w:val="0039685B"/>
    <w:rsid w:val="003A31A6"/>
    <w:rsid w:val="003A7F0C"/>
    <w:rsid w:val="003A7F79"/>
    <w:rsid w:val="003B0BA1"/>
    <w:rsid w:val="003B33FD"/>
    <w:rsid w:val="003B6404"/>
    <w:rsid w:val="003C098F"/>
    <w:rsid w:val="003C2392"/>
    <w:rsid w:val="003C449B"/>
    <w:rsid w:val="003C7B68"/>
    <w:rsid w:val="003D21FF"/>
    <w:rsid w:val="003F0112"/>
    <w:rsid w:val="003F071A"/>
    <w:rsid w:val="003F127A"/>
    <w:rsid w:val="003F160B"/>
    <w:rsid w:val="003F40CC"/>
    <w:rsid w:val="00400032"/>
    <w:rsid w:val="00400B5B"/>
    <w:rsid w:val="00405A00"/>
    <w:rsid w:val="00406E17"/>
    <w:rsid w:val="00420870"/>
    <w:rsid w:val="0043791B"/>
    <w:rsid w:val="00441483"/>
    <w:rsid w:val="00441BCB"/>
    <w:rsid w:val="0045176A"/>
    <w:rsid w:val="00456332"/>
    <w:rsid w:val="00461826"/>
    <w:rsid w:val="004800F9"/>
    <w:rsid w:val="0049134A"/>
    <w:rsid w:val="00491985"/>
    <w:rsid w:val="004933F1"/>
    <w:rsid w:val="004A58CB"/>
    <w:rsid w:val="004B1795"/>
    <w:rsid w:val="004B1F53"/>
    <w:rsid w:val="004B56DD"/>
    <w:rsid w:val="004C020F"/>
    <w:rsid w:val="004C1AFD"/>
    <w:rsid w:val="004C558B"/>
    <w:rsid w:val="004D5832"/>
    <w:rsid w:val="004E371E"/>
    <w:rsid w:val="004F1331"/>
    <w:rsid w:val="004F1F88"/>
    <w:rsid w:val="004F5F1B"/>
    <w:rsid w:val="004F6EEC"/>
    <w:rsid w:val="00502374"/>
    <w:rsid w:val="005060A1"/>
    <w:rsid w:val="00507312"/>
    <w:rsid w:val="00516072"/>
    <w:rsid w:val="00526FE9"/>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401B"/>
    <w:rsid w:val="005B4730"/>
    <w:rsid w:val="005C3924"/>
    <w:rsid w:val="005C5EDC"/>
    <w:rsid w:val="005D624F"/>
    <w:rsid w:val="005E05D7"/>
    <w:rsid w:val="005E41E7"/>
    <w:rsid w:val="005E450F"/>
    <w:rsid w:val="005E596F"/>
    <w:rsid w:val="006077F5"/>
    <w:rsid w:val="00617BC7"/>
    <w:rsid w:val="0062298A"/>
    <w:rsid w:val="00626514"/>
    <w:rsid w:val="00626589"/>
    <w:rsid w:val="006334AB"/>
    <w:rsid w:val="006339A0"/>
    <w:rsid w:val="006413A8"/>
    <w:rsid w:val="00642E56"/>
    <w:rsid w:val="00644813"/>
    <w:rsid w:val="006448B5"/>
    <w:rsid w:val="00651E00"/>
    <w:rsid w:val="00674572"/>
    <w:rsid w:val="00687763"/>
    <w:rsid w:val="00692B0D"/>
    <w:rsid w:val="00693E0E"/>
    <w:rsid w:val="00696A69"/>
    <w:rsid w:val="006A1AE3"/>
    <w:rsid w:val="006B20CC"/>
    <w:rsid w:val="006C0427"/>
    <w:rsid w:val="006C30E1"/>
    <w:rsid w:val="006C4607"/>
    <w:rsid w:val="006D48F1"/>
    <w:rsid w:val="006E08F9"/>
    <w:rsid w:val="006E1407"/>
    <w:rsid w:val="006F0091"/>
    <w:rsid w:val="006F45BE"/>
    <w:rsid w:val="006F6551"/>
    <w:rsid w:val="006F6579"/>
    <w:rsid w:val="007004FC"/>
    <w:rsid w:val="00706670"/>
    <w:rsid w:val="00715CFA"/>
    <w:rsid w:val="0072417C"/>
    <w:rsid w:val="00726DE2"/>
    <w:rsid w:val="007278AC"/>
    <w:rsid w:val="00734211"/>
    <w:rsid w:val="00734450"/>
    <w:rsid w:val="00737664"/>
    <w:rsid w:val="00745F67"/>
    <w:rsid w:val="0075039E"/>
    <w:rsid w:val="00752D9D"/>
    <w:rsid w:val="00754784"/>
    <w:rsid w:val="00757C6E"/>
    <w:rsid w:val="00762BDA"/>
    <w:rsid w:val="00763484"/>
    <w:rsid w:val="007805FD"/>
    <w:rsid w:val="00784422"/>
    <w:rsid w:val="00792C50"/>
    <w:rsid w:val="007A530E"/>
    <w:rsid w:val="007A6D22"/>
    <w:rsid w:val="007B3B54"/>
    <w:rsid w:val="007B3FA0"/>
    <w:rsid w:val="007C0F2C"/>
    <w:rsid w:val="007C2BCC"/>
    <w:rsid w:val="007C4EF0"/>
    <w:rsid w:val="007C6FD0"/>
    <w:rsid w:val="007D099D"/>
    <w:rsid w:val="007D426A"/>
    <w:rsid w:val="007E2664"/>
    <w:rsid w:val="007E3ABF"/>
    <w:rsid w:val="007E5BFA"/>
    <w:rsid w:val="007E6689"/>
    <w:rsid w:val="007E731C"/>
    <w:rsid w:val="007F0A03"/>
    <w:rsid w:val="00810040"/>
    <w:rsid w:val="0082023A"/>
    <w:rsid w:val="00821A7A"/>
    <w:rsid w:val="008253F8"/>
    <w:rsid w:val="008325E4"/>
    <w:rsid w:val="00832762"/>
    <w:rsid w:val="00832A2B"/>
    <w:rsid w:val="00845811"/>
    <w:rsid w:val="00846994"/>
    <w:rsid w:val="00850451"/>
    <w:rsid w:val="00852042"/>
    <w:rsid w:val="008534C9"/>
    <w:rsid w:val="00853A64"/>
    <w:rsid w:val="00853D47"/>
    <w:rsid w:val="0085599D"/>
    <w:rsid w:val="0086381B"/>
    <w:rsid w:val="00874741"/>
    <w:rsid w:val="00874FD4"/>
    <w:rsid w:val="0087510C"/>
    <w:rsid w:val="00887A61"/>
    <w:rsid w:val="0089738E"/>
    <w:rsid w:val="008A41DF"/>
    <w:rsid w:val="008B5FDB"/>
    <w:rsid w:val="008C50F4"/>
    <w:rsid w:val="008C5649"/>
    <w:rsid w:val="008D25B0"/>
    <w:rsid w:val="008E44A2"/>
    <w:rsid w:val="008E5A64"/>
    <w:rsid w:val="008E697D"/>
    <w:rsid w:val="00903263"/>
    <w:rsid w:val="009036E5"/>
    <w:rsid w:val="00906A21"/>
    <w:rsid w:val="009079C3"/>
    <w:rsid w:val="00910462"/>
    <w:rsid w:val="00915AB1"/>
    <w:rsid w:val="00917532"/>
    <w:rsid w:val="009235BA"/>
    <w:rsid w:val="00924023"/>
    <w:rsid w:val="00924CE2"/>
    <w:rsid w:val="00924F17"/>
    <w:rsid w:val="00925B9F"/>
    <w:rsid w:val="00931AED"/>
    <w:rsid w:val="00932D95"/>
    <w:rsid w:val="009476A3"/>
    <w:rsid w:val="0095334F"/>
    <w:rsid w:val="00965897"/>
    <w:rsid w:val="0096765C"/>
    <w:rsid w:val="009727E4"/>
    <w:rsid w:val="00981C38"/>
    <w:rsid w:val="009934C5"/>
    <w:rsid w:val="00994C0F"/>
    <w:rsid w:val="009B22D7"/>
    <w:rsid w:val="009B2AA7"/>
    <w:rsid w:val="009B4171"/>
    <w:rsid w:val="009B42E5"/>
    <w:rsid w:val="009B72ED"/>
    <w:rsid w:val="009C6DEB"/>
    <w:rsid w:val="009D1944"/>
    <w:rsid w:val="009D6504"/>
    <w:rsid w:val="009E12D7"/>
    <w:rsid w:val="009E661A"/>
    <w:rsid w:val="009E775E"/>
    <w:rsid w:val="009F5C8A"/>
    <w:rsid w:val="00A02E68"/>
    <w:rsid w:val="00A06781"/>
    <w:rsid w:val="00A074C3"/>
    <w:rsid w:val="00A100D9"/>
    <w:rsid w:val="00A1509C"/>
    <w:rsid w:val="00A27EDB"/>
    <w:rsid w:val="00A34260"/>
    <w:rsid w:val="00A42E83"/>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B2B1A"/>
    <w:rsid w:val="00AB397F"/>
    <w:rsid w:val="00AB5705"/>
    <w:rsid w:val="00AB5832"/>
    <w:rsid w:val="00AC4FDE"/>
    <w:rsid w:val="00AC51F2"/>
    <w:rsid w:val="00AE5066"/>
    <w:rsid w:val="00AE5E24"/>
    <w:rsid w:val="00AE61B7"/>
    <w:rsid w:val="00AE6CBA"/>
    <w:rsid w:val="00AE79AD"/>
    <w:rsid w:val="00AF35E4"/>
    <w:rsid w:val="00AF5CDE"/>
    <w:rsid w:val="00B11A57"/>
    <w:rsid w:val="00B211C3"/>
    <w:rsid w:val="00B23B35"/>
    <w:rsid w:val="00B25597"/>
    <w:rsid w:val="00B267B9"/>
    <w:rsid w:val="00B33E09"/>
    <w:rsid w:val="00B36380"/>
    <w:rsid w:val="00B4661D"/>
    <w:rsid w:val="00B47BCA"/>
    <w:rsid w:val="00B50708"/>
    <w:rsid w:val="00B50C68"/>
    <w:rsid w:val="00B51293"/>
    <w:rsid w:val="00B52B1E"/>
    <w:rsid w:val="00B55481"/>
    <w:rsid w:val="00B56C32"/>
    <w:rsid w:val="00B57ACF"/>
    <w:rsid w:val="00B62436"/>
    <w:rsid w:val="00B64BB1"/>
    <w:rsid w:val="00B73166"/>
    <w:rsid w:val="00B73BE1"/>
    <w:rsid w:val="00B8426C"/>
    <w:rsid w:val="00B87CC7"/>
    <w:rsid w:val="00B91B8D"/>
    <w:rsid w:val="00B937FC"/>
    <w:rsid w:val="00B94E90"/>
    <w:rsid w:val="00B95C35"/>
    <w:rsid w:val="00BB0A82"/>
    <w:rsid w:val="00BB7C94"/>
    <w:rsid w:val="00BC0A9D"/>
    <w:rsid w:val="00BD1D2B"/>
    <w:rsid w:val="00BE32D0"/>
    <w:rsid w:val="00BE4981"/>
    <w:rsid w:val="00BF40ED"/>
    <w:rsid w:val="00BF5BC2"/>
    <w:rsid w:val="00C1133D"/>
    <w:rsid w:val="00C20646"/>
    <w:rsid w:val="00C27A08"/>
    <w:rsid w:val="00C31312"/>
    <w:rsid w:val="00C326C6"/>
    <w:rsid w:val="00C35295"/>
    <w:rsid w:val="00C3653D"/>
    <w:rsid w:val="00C36ADD"/>
    <w:rsid w:val="00C36E74"/>
    <w:rsid w:val="00C40595"/>
    <w:rsid w:val="00C409A4"/>
    <w:rsid w:val="00C41621"/>
    <w:rsid w:val="00C449FA"/>
    <w:rsid w:val="00C51482"/>
    <w:rsid w:val="00C5384F"/>
    <w:rsid w:val="00C54C12"/>
    <w:rsid w:val="00C56964"/>
    <w:rsid w:val="00C5783C"/>
    <w:rsid w:val="00C656D5"/>
    <w:rsid w:val="00C67103"/>
    <w:rsid w:val="00C71170"/>
    <w:rsid w:val="00C71BB9"/>
    <w:rsid w:val="00C8321F"/>
    <w:rsid w:val="00C83765"/>
    <w:rsid w:val="00C848C9"/>
    <w:rsid w:val="00C94C28"/>
    <w:rsid w:val="00CA05C8"/>
    <w:rsid w:val="00CB0247"/>
    <w:rsid w:val="00CB3440"/>
    <w:rsid w:val="00CC0350"/>
    <w:rsid w:val="00CC1692"/>
    <w:rsid w:val="00CC6449"/>
    <w:rsid w:val="00CD138B"/>
    <w:rsid w:val="00CD3E31"/>
    <w:rsid w:val="00CD74A3"/>
    <w:rsid w:val="00CE0527"/>
    <w:rsid w:val="00CE5772"/>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73EB0"/>
    <w:rsid w:val="00D76EF3"/>
    <w:rsid w:val="00D80273"/>
    <w:rsid w:val="00D8574C"/>
    <w:rsid w:val="00DA013A"/>
    <w:rsid w:val="00DA1722"/>
    <w:rsid w:val="00DA7DA5"/>
    <w:rsid w:val="00DB073B"/>
    <w:rsid w:val="00DB0D45"/>
    <w:rsid w:val="00DB383F"/>
    <w:rsid w:val="00DB78F0"/>
    <w:rsid w:val="00DC2E43"/>
    <w:rsid w:val="00DC39C0"/>
    <w:rsid w:val="00DD095C"/>
    <w:rsid w:val="00DD1020"/>
    <w:rsid w:val="00DD1330"/>
    <w:rsid w:val="00DE0B83"/>
    <w:rsid w:val="00DE1A81"/>
    <w:rsid w:val="00DE1C13"/>
    <w:rsid w:val="00DE4E10"/>
    <w:rsid w:val="00E02ABF"/>
    <w:rsid w:val="00E14995"/>
    <w:rsid w:val="00E14C58"/>
    <w:rsid w:val="00E179CD"/>
    <w:rsid w:val="00E17EC7"/>
    <w:rsid w:val="00E23E8D"/>
    <w:rsid w:val="00E37F98"/>
    <w:rsid w:val="00E46559"/>
    <w:rsid w:val="00E60222"/>
    <w:rsid w:val="00E66595"/>
    <w:rsid w:val="00E6670C"/>
    <w:rsid w:val="00E776E8"/>
    <w:rsid w:val="00E866EA"/>
    <w:rsid w:val="00E92C1F"/>
    <w:rsid w:val="00E95D4B"/>
    <w:rsid w:val="00EB199F"/>
    <w:rsid w:val="00EC23F7"/>
    <w:rsid w:val="00EC4A0E"/>
    <w:rsid w:val="00EC4BD8"/>
    <w:rsid w:val="00EC63EB"/>
    <w:rsid w:val="00ED03E5"/>
    <w:rsid w:val="00ED412F"/>
    <w:rsid w:val="00EE78A6"/>
    <w:rsid w:val="00EF36B2"/>
    <w:rsid w:val="00F031FB"/>
    <w:rsid w:val="00F201EC"/>
    <w:rsid w:val="00F208A9"/>
    <w:rsid w:val="00F37013"/>
    <w:rsid w:val="00F41D75"/>
    <w:rsid w:val="00F5139D"/>
    <w:rsid w:val="00F52382"/>
    <w:rsid w:val="00F63DAC"/>
    <w:rsid w:val="00F641D8"/>
    <w:rsid w:val="00F710DD"/>
    <w:rsid w:val="00F7454F"/>
    <w:rsid w:val="00F7539E"/>
    <w:rsid w:val="00F77988"/>
    <w:rsid w:val="00F77F48"/>
    <w:rsid w:val="00F83B4D"/>
    <w:rsid w:val="00F921F8"/>
    <w:rsid w:val="00FB30F1"/>
    <w:rsid w:val="00FB53E7"/>
    <w:rsid w:val="00FC0F2D"/>
    <w:rsid w:val="00FE30E3"/>
    <w:rsid w:val="00FE6828"/>
    <w:rsid w:val="00FE72CA"/>
    <w:rsid w:val="00FF0331"/>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ijs.Ozols@bank.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is.stepins@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DAEEDB-20D9-4166-AEE2-BBA7D8164E97}">
  <ds:schemaRef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3CC8229-0761-4F78-AC53-4D31F72F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1411</Words>
  <Characters>9963</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Kredītu reģistra likumā"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11352</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Kredītu reģistra likumā" sākotnējās ietekmes novērtējuma ziņojums (anotācija)</dc:title>
  <dc:subject>Instrukcijas pielikums</dc:subject>
  <dc:creator>maris.stepins@fm.gov.lv</dc:creator>
  <dc:description>M. Stepiņš
67095490, maris.stepins@fm.gov.lv</dc:description>
  <cp:lastModifiedBy>Windows User</cp:lastModifiedBy>
  <cp:revision>40</cp:revision>
  <cp:lastPrinted>2013-12-05T09:12:00Z</cp:lastPrinted>
  <dcterms:created xsi:type="dcterms:W3CDTF">2013-12-02T14:48:00Z</dcterms:created>
  <dcterms:modified xsi:type="dcterms:W3CDTF">2013-12-05T10:08:00Z</dcterms:modified>
</cp:coreProperties>
</file>