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9B" w:rsidRPr="000B76B2" w:rsidRDefault="00FC0E9B" w:rsidP="000B76B2">
      <w:pPr>
        <w:pStyle w:val="naislab"/>
        <w:spacing w:before="0" w:after="0"/>
        <w:jc w:val="center"/>
        <w:outlineLvl w:val="0"/>
        <w:rPr>
          <w:b/>
          <w:sz w:val="28"/>
          <w:szCs w:val="28"/>
        </w:rPr>
      </w:pPr>
      <w:r w:rsidRPr="000B76B2">
        <w:rPr>
          <w:b/>
          <w:sz w:val="28"/>
          <w:szCs w:val="28"/>
        </w:rPr>
        <w:t>Likumprojekt</w:t>
      </w:r>
      <w:r w:rsidR="00AA23E3">
        <w:rPr>
          <w:b/>
          <w:sz w:val="28"/>
          <w:szCs w:val="28"/>
        </w:rPr>
        <w:t>a</w:t>
      </w:r>
      <w:r w:rsidR="00197DDC">
        <w:rPr>
          <w:b/>
          <w:sz w:val="28"/>
          <w:szCs w:val="28"/>
        </w:rPr>
        <w:br/>
      </w:r>
      <w:r w:rsidRPr="000B76B2">
        <w:rPr>
          <w:b/>
          <w:sz w:val="28"/>
          <w:szCs w:val="28"/>
        </w:rPr>
        <w:t>"</w:t>
      </w:r>
      <w:r w:rsidR="009F675F" w:rsidRPr="009F675F">
        <w:rPr>
          <w:b/>
          <w:sz w:val="28"/>
          <w:szCs w:val="28"/>
        </w:rPr>
        <w:t>Grozījumi</w:t>
      </w:r>
      <w:r w:rsidR="00197DDC">
        <w:rPr>
          <w:b/>
          <w:sz w:val="28"/>
          <w:szCs w:val="28"/>
        </w:rPr>
        <w:t xml:space="preserve"> </w:t>
      </w:r>
      <w:r w:rsidR="009F675F" w:rsidRPr="009F675F">
        <w:rPr>
          <w:b/>
          <w:sz w:val="28"/>
          <w:szCs w:val="28"/>
        </w:rPr>
        <w:t>Apdrošināšanas sabiedrību un to uzraudzības likumā</w:t>
      </w:r>
      <w:r w:rsidRPr="000B76B2">
        <w:rPr>
          <w:b/>
          <w:sz w:val="28"/>
          <w:szCs w:val="28"/>
        </w:rPr>
        <w:t>"</w:t>
      </w:r>
    </w:p>
    <w:p w:rsidR="008C5649" w:rsidRPr="00F03B27" w:rsidRDefault="00852042" w:rsidP="000B76B2">
      <w:pPr>
        <w:pStyle w:val="naislab"/>
        <w:spacing w:before="0" w:after="0"/>
        <w:jc w:val="center"/>
        <w:outlineLvl w:val="0"/>
        <w:rPr>
          <w:b/>
          <w:sz w:val="28"/>
          <w:szCs w:val="28"/>
        </w:rPr>
      </w:pPr>
      <w:r w:rsidRPr="00F03B27">
        <w:rPr>
          <w:b/>
          <w:sz w:val="28"/>
          <w:szCs w:val="28"/>
        </w:rPr>
        <w:t>sākotnējā</w:t>
      </w:r>
      <w:r w:rsidR="002D3306" w:rsidRPr="00F03B27">
        <w:rPr>
          <w:b/>
          <w:sz w:val="28"/>
          <w:szCs w:val="28"/>
        </w:rPr>
        <w:t>s</w:t>
      </w:r>
      <w:r w:rsidRPr="00F03B27">
        <w:rPr>
          <w:b/>
          <w:sz w:val="28"/>
          <w:szCs w:val="28"/>
        </w:rPr>
        <w:t xml:space="preserve"> ietekmes novērtējuma ziņojums</w:t>
      </w:r>
      <w:r w:rsidR="00F03B27" w:rsidRPr="00F03B27">
        <w:rPr>
          <w:b/>
          <w:sz w:val="28"/>
          <w:szCs w:val="28"/>
        </w:rPr>
        <w:t xml:space="preserve"> </w:t>
      </w:r>
      <w:r w:rsidRPr="00F03B27">
        <w:rPr>
          <w:b/>
          <w:sz w:val="28"/>
          <w:szCs w:val="28"/>
        </w:rPr>
        <w:t>(anotācija)</w:t>
      </w:r>
    </w:p>
    <w:p w:rsidR="006461EB" w:rsidRPr="000B76B2" w:rsidRDefault="006461EB" w:rsidP="000B76B2">
      <w:pPr>
        <w:pStyle w:val="naislab"/>
        <w:spacing w:before="0" w:after="0"/>
        <w:jc w:val="center"/>
        <w:outlineLvl w:val="0"/>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5"/>
        <w:gridCol w:w="1908"/>
        <w:gridCol w:w="6415"/>
      </w:tblGrid>
      <w:tr w:rsidR="00852042" w:rsidRPr="000B76B2" w:rsidTr="00863888">
        <w:trPr>
          <w:trHeight w:val="20"/>
          <w:jc w:val="center"/>
        </w:trPr>
        <w:tc>
          <w:tcPr>
            <w:tcW w:w="5000" w:type="pct"/>
            <w:gridSpan w:val="3"/>
            <w:vAlign w:val="center"/>
          </w:tcPr>
          <w:p w:rsidR="00852042" w:rsidRPr="000B76B2" w:rsidRDefault="00852042" w:rsidP="006461EB">
            <w:pPr>
              <w:pStyle w:val="naisnod"/>
              <w:spacing w:before="0" w:after="0"/>
            </w:pPr>
            <w:r w:rsidRPr="000B76B2">
              <w:t>I</w:t>
            </w:r>
            <w:r w:rsidR="000941C5" w:rsidRPr="000B76B2">
              <w:t>.</w:t>
            </w:r>
            <w:r w:rsidRPr="000B76B2">
              <w:t xml:space="preserve"> Tiesību akta </w:t>
            </w:r>
            <w:r w:rsidR="002E3FF4" w:rsidRPr="000B76B2">
              <w:t xml:space="preserve">projekta </w:t>
            </w:r>
            <w:r w:rsidRPr="000B76B2">
              <w:t>izstrādes nepieciešamība</w:t>
            </w:r>
          </w:p>
        </w:tc>
      </w:tr>
      <w:tr w:rsidR="00262E2B" w:rsidRPr="000B76B2" w:rsidTr="00863888">
        <w:trPr>
          <w:trHeight w:val="20"/>
          <w:jc w:val="center"/>
        </w:trPr>
        <w:tc>
          <w:tcPr>
            <w:tcW w:w="171" w:type="pct"/>
          </w:tcPr>
          <w:p w:rsidR="00262E2B" w:rsidRPr="000B76B2" w:rsidRDefault="00262E2B" w:rsidP="006461EB">
            <w:pPr>
              <w:pStyle w:val="naiskr"/>
              <w:spacing w:before="0" w:after="0"/>
            </w:pPr>
            <w:r w:rsidRPr="000B76B2">
              <w:t>1.</w:t>
            </w:r>
          </w:p>
        </w:tc>
        <w:tc>
          <w:tcPr>
            <w:tcW w:w="1107" w:type="pct"/>
          </w:tcPr>
          <w:p w:rsidR="00262E2B" w:rsidRPr="000B76B2" w:rsidRDefault="002D7F54" w:rsidP="006461EB">
            <w:pPr>
              <w:pStyle w:val="naiskr"/>
              <w:spacing w:before="0" w:after="0"/>
              <w:ind w:hanging="10"/>
            </w:pPr>
            <w:r w:rsidRPr="000B76B2">
              <w:t>Pamatojums</w:t>
            </w:r>
          </w:p>
        </w:tc>
        <w:tc>
          <w:tcPr>
            <w:tcW w:w="3722" w:type="pct"/>
          </w:tcPr>
          <w:p w:rsidR="007925D3" w:rsidRPr="000B76B2" w:rsidRDefault="003D39AA" w:rsidP="000E0899">
            <w:pPr>
              <w:pStyle w:val="naiskr"/>
              <w:spacing w:before="0" w:after="0"/>
              <w:ind w:hanging="5"/>
              <w:jc w:val="both"/>
            </w:pPr>
            <w:r w:rsidRPr="000B76B2">
              <w:t>Likumprojekta "</w:t>
            </w:r>
            <w:r w:rsidR="009F675F" w:rsidRPr="009F675F">
              <w:t>Grozījumi Apdrošināšanas sabiedrību un to uzraudzības likumā</w:t>
            </w:r>
            <w:r w:rsidRPr="000B76B2">
              <w:t xml:space="preserve">" (tālāk tekstā – Likumprojekts) </w:t>
            </w:r>
            <w:r w:rsidR="000E0899">
              <w:t>pieņemšana</w:t>
            </w:r>
            <w:r w:rsidRPr="000B76B2">
              <w:t xml:space="preserve"> nepieciešama, jo izstrādāts likumprojekts "Kredītu reģistra likums"</w:t>
            </w:r>
            <w:r w:rsidR="00253D7B">
              <w:t xml:space="preserve">. Kredītu reģistra likuma pieņemšanas rezultātā </w:t>
            </w:r>
            <w:r w:rsidR="000E0899" w:rsidRPr="009F675F">
              <w:t>Apdrošināšanas sabiedrību un to uzraudzības likumā</w:t>
            </w:r>
            <w:r w:rsidR="000E0899">
              <w:t xml:space="preserve"> </w:t>
            </w:r>
            <w:r w:rsidR="00253D7B">
              <w:t>vairs nebūs nepieciešamas normas, kuru izslēgšanu paredz Likumprojekts.</w:t>
            </w:r>
          </w:p>
        </w:tc>
      </w:tr>
      <w:tr w:rsidR="00262E2B" w:rsidRPr="000B76B2" w:rsidTr="00863888">
        <w:trPr>
          <w:trHeight w:val="20"/>
          <w:jc w:val="center"/>
        </w:trPr>
        <w:tc>
          <w:tcPr>
            <w:tcW w:w="171" w:type="pct"/>
          </w:tcPr>
          <w:p w:rsidR="00262E2B" w:rsidRPr="000B76B2" w:rsidRDefault="00262E2B" w:rsidP="006461EB">
            <w:pPr>
              <w:pStyle w:val="naiskr"/>
              <w:spacing w:before="0" w:after="0"/>
            </w:pPr>
            <w:r w:rsidRPr="000B76B2">
              <w:t>2.</w:t>
            </w:r>
          </w:p>
        </w:tc>
        <w:tc>
          <w:tcPr>
            <w:tcW w:w="1107" w:type="pct"/>
          </w:tcPr>
          <w:p w:rsidR="00262E2B" w:rsidRPr="000B76B2" w:rsidRDefault="00262E2B" w:rsidP="006461EB">
            <w:pPr>
              <w:pStyle w:val="naiskr"/>
              <w:tabs>
                <w:tab w:val="left" w:pos="170"/>
              </w:tabs>
              <w:spacing w:before="0" w:after="0"/>
            </w:pPr>
            <w:r w:rsidRPr="000B76B2">
              <w:t>Pašreizējā situācija</w:t>
            </w:r>
            <w:r w:rsidR="001F5CD6" w:rsidRPr="000B76B2">
              <w:t xml:space="preserve"> un problēmas</w:t>
            </w:r>
          </w:p>
        </w:tc>
        <w:tc>
          <w:tcPr>
            <w:tcW w:w="3722" w:type="pct"/>
          </w:tcPr>
          <w:p w:rsidR="00497B77" w:rsidRPr="000B76B2" w:rsidRDefault="00FC12C8" w:rsidP="00C1127E">
            <w:pPr>
              <w:pStyle w:val="naiskr"/>
              <w:spacing w:before="0" w:after="0"/>
              <w:jc w:val="both"/>
            </w:pPr>
            <w:r w:rsidRPr="00FC12C8">
              <w:rPr>
                <w:iCs/>
              </w:rPr>
              <w:t xml:space="preserve">Pašreiz Kredītu reģistra darbību reglamentē Kredītiestāžu likums, Apdrošināšanas sabiedrību un to uzraudzības likums un Krājaizdevu sabiedrību likums, kā arī uz šo likumu pamata izdotie Latvijas Bankas noteikumi. </w:t>
            </w:r>
            <w:r w:rsidR="00A14A58">
              <w:rPr>
                <w:iCs/>
              </w:rPr>
              <w:t xml:space="preserve">Pēc </w:t>
            </w:r>
            <w:r>
              <w:rPr>
                <w:iCs/>
              </w:rPr>
              <w:t>likum</w:t>
            </w:r>
            <w:r w:rsidR="00CF0AA5">
              <w:rPr>
                <w:iCs/>
              </w:rPr>
              <w:t>projekta</w:t>
            </w:r>
            <w:r>
              <w:rPr>
                <w:iCs/>
              </w:rPr>
              <w:t xml:space="preserve"> "Kredītu reģistra likums" </w:t>
            </w:r>
            <w:r w:rsidR="00A14A58">
              <w:rPr>
                <w:iCs/>
              </w:rPr>
              <w:t xml:space="preserve">pieņemšanas </w:t>
            </w:r>
            <w:r>
              <w:rPr>
                <w:iCs/>
              </w:rPr>
              <w:t xml:space="preserve">vairs nav nepieciešamas </w:t>
            </w:r>
            <w:r w:rsidR="00821405" w:rsidRPr="00FC12C8">
              <w:rPr>
                <w:iCs/>
              </w:rPr>
              <w:t>Apdrošināšanas sabiedrību un to uzraudzības likum</w:t>
            </w:r>
            <w:r w:rsidR="00821405">
              <w:rPr>
                <w:iCs/>
              </w:rPr>
              <w:t>a</w:t>
            </w:r>
            <w:r w:rsidR="00821405" w:rsidRPr="00FC12C8">
              <w:rPr>
                <w:iCs/>
              </w:rPr>
              <w:t xml:space="preserve"> </w:t>
            </w:r>
            <w:r>
              <w:rPr>
                <w:iCs/>
              </w:rPr>
              <w:t xml:space="preserve">normas, kuru izslēgšanu </w:t>
            </w:r>
            <w:r w:rsidR="00000A9E">
              <w:rPr>
                <w:iCs/>
              </w:rPr>
              <w:t>noteic</w:t>
            </w:r>
            <w:r>
              <w:rPr>
                <w:iCs/>
              </w:rPr>
              <w:t xml:space="preserve"> Likumprojekts.</w:t>
            </w:r>
          </w:p>
        </w:tc>
      </w:tr>
      <w:tr w:rsidR="00262E2B" w:rsidRPr="000B76B2" w:rsidTr="00863888">
        <w:trPr>
          <w:trHeight w:val="20"/>
          <w:jc w:val="center"/>
        </w:trPr>
        <w:tc>
          <w:tcPr>
            <w:tcW w:w="171" w:type="pct"/>
          </w:tcPr>
          <w:p w:rsidR="00262E2B" w:rsidRPr="000B76B2" w:rsidRDefault="00262E2B" w:rsidP="006461EB">
            <w:pPr>
              <w:pStyle w:val="naiskr"/>
              <w:spacing w:before="0" w:after="0"/>
            </w:pPr>
            <w:r w:rsidRPr="000B76B2">
              <w:t>3.</w:t>
            </w:r>
          </w:p>
        </w:tc>
        <w:tc>
          <w:tcPr>
            <w:tcW w:w="1107" w:type="pct"/>
          </w:tcPr>
          <w:p w:rsidR="00262E2B" w:rsidRPr="000B76B2" w:rsidRDefault="00420870" w:rsidP="006461EB">
            <w:pPr>
              <w:pStyle w:val="naiskr"/>
              <w:spacing w:before="0" w:after="0"/>
            </w:pPr>
            <w:r w:rsidRPr="000B76B2">
              <w:t>S</w:t>
            </w:r>
            <w:r w:rsidR="000B69CF" w:rsidRPr="000B76B2">
              <w:t xml:space="preserve">aistītie </w:t>
            </w:r>
            <w:r w:rsidR="001A6AE4" w:rsidRPr="000B76B2">
              <w:t>politikas ietekmes novērtējumi</w:t>
            </w:r>
            <w:r w:rsidR="00CB0247" w:rsidRPr="000B76B2">
              <w:t xml:space="preserve"> un</w:t>
            </w:r>
            <w:r w:rsidR="001A6AE4" w:rsidRPr="000B76B2">
              <w:t xml:space="preserve"> </w:t>
            </w:r>
            <w:r w:rsidR="000B69CF" w:rsidRPr="000B76B2">
              <w:t>pētījumi</w:t>
            </w:r>
          </w:p>
        </w:tc>
        <w:tc>
          <w:tcPr>
            <w:tcW w:w="3722" w:type="pct"/>
          </w:tcPr>
          <w:p w:rsidR="00D20FF4" w:rsidRPr="000B76B2" w:rsidRDefault="00AF751E" w:rsidP="006461EB">
            <w:pPr>
              <w:pStyle w:val="FootnoteText"/>
              <w:jc w:val="both"/>
              <w:rPr>
                <w:sz w:val="24"/>
                <w:szCs w:val="24"/>
              </w:rPr>
            </w:pPr>
            <w:r>
              <w:rPr>
                <w:sz w:val="24"/>
                <w:szCs w:val="24"/>
              </w:rPr>
              <w:t>Likum</w:t>
            </w:r>
            <w:r w:rsidR="00534418" w:rsidRPr="000B76B2">
              <w:rPr>
                <w:sz w:val="24"/>
                <w:szCs w:val="24"/>
              </w:rPr>
              <w:t xml:space="preserve">projekts </w:t>
            </w:r>
            <w:r>
              <w:rPr>
                <w:sz w:val="24"/>
                <w:szCs w:val="24"/>
              </w:rPr>
              <w:t>ne</w:t>
            </w:r>
            <w:r w:rsidR="00534418" w:rsidRPr="000B76B2">
              <w:rPr>
                <w:sz w:val="24"/>
                <w:szCs w:val="24"/>
              </w:rPr>
              <w:t>paredz konceptuāla rakstura izmaiņas esošajā tiesiskajā regulējumā</w:t>
            </w:r>
            <w:r>
              <w:rPr>
                <w:sz w:val="24"/>
                <w:szCs w:val="24"/>
              </w:rPr>
              <w:t>.</w:t>
            </w:r>
          </w:p>
        </w:tc>
      </w:tr>
      <w:tr w:rsidR="00262E2B" w:rsidRPr="000B76B2" w:rsidTr="00863888">
        <w:trPr>
          <w:trHeight w:val="20"/>
          <w:jc w:val="center"/>
        </w:trPr>
        <w:tc>
          <w:tcPr>
            <w:tcW w:w="171" w:type="pct"/>
          </w:tcPr>
          <w:p w:rsidR="00262E2B" w:rsidRPr="000B76B2" w:rsidRDefault="00262E2B" w:rsidP="006461EB">
            <w:pPr>
              <w:pStyle w:val="naiskr"/>
              <w:spacing w:before="0" w:after="0"/>
            </w:pPr>
            <w:r w:rsidRPr="000B76B2">
              <w:t>4.</w:t>
            </w:r>
          </w:p>
        </w:tc>
        <w:tc>
          <w:tcPr>
            <w:tcW w:w="1107" w:type="pct"/>
          </w:tcPr>
          <w:p w:rsidR="00262E2B" w:rsidRPr="000B76B2" w:rsidRDefault="000C790C" w:rsidP="006461EB">
            <w:pPr>
              <w:pStyle w:val="naiskr"/>
              <w:spacing w:before="0" w:after="0"/>
            </w:pPr>
            <w:r w:rsidRPr="000B76B2">
              <w:t>Tiesiskā r</w:t>
            </w:r>
            <w:r w:rsidR="00400032" w:rsidRPr="000B76B2">
              <w:t xml:space="preserve">egulējuma </w:t>
            </w:r>
            <w:r w:rsidR="00262E2B" w:rsidRPr="000B76B2">
              <w:t>mērķis un būtība</w:t>
            </w:r>
          </w:p>
        </w:tc>
        <w:tc>
          <w:tcPr>
            <w:tcW w:w="3722" w:type="pct"/>
          </w:tcPr>
          <w:p w:rsidR="00262E2B" w:rsidRPr="00EA2803" w:rsidRDefault="00EA2803" w:rsidP="00EA2803">
            <w:pPr>
              <w:pStyle w:val="naiskr"/>
              <w:spacing w:before="0" w:after="0"/>
              <w:jc w:val="both"/>
              <w:rPr>
                <w:iCs/>
              </w:rPr>
            </w:pPr>
            <w:r w:rsidRPr="00EA2803">
              <w:rPr>
                <w:iCs/>
              </w:rPr>
              <w:t>Likumprojektā tiek paredzēts i</w:t>
            </w:r>
            <w:r w:rsidR="00DA6F9D" w:rsidRPr="00EA2803">
              <w:rPr>
                <w:iCs/>
              </w:rPr>
              <w:t xml:space="preserve">zslēgt no </w:t>
            </w:r>
            <w:r w:rsidR="00B80F25" w:rsidRPr="00EA2803">
              <w:rPr>
                <w:iCs/>
              </w:rPr>
              <w:t xml:space="preserve">Apdrošināšanas sabiedrību un to uzraudzības </w:t>
            </w:r>
            <w:r w:rsidR="00DA6F9D" w:rsidRPr="00EA2803">
              <w:rPr>
                <w:iCs/>
              </w:rPr>
              <w:t xml:space="preserve">likuma </w:t>
            </w:r>
            <w:r w:rsidRPr="00EA2803">
              <w:t>pantu</w:t>
            </w:r>
            <w:r w:rsidRPr="00EA2803">
              <w:rPr>
                <w:iCs/>
              </w:rPr>
              <w:t xml:space="preserve">, kas paredz apdrošinātāju pienākumus un tiesības saistībā ar ziņu sniegšanu un saņemšanu no Kredītu reģistra par </w:t>
            </w:r>
            <w:r w:rsidRPr="00EA2803">
              <w:t>aizņēmējiem un aizņēmēju galviniekiem, viņu saistībām un to izpildes gaitu</w:t>
            </w:r>
            <w:r w:rsidRPr="00EA2803">
              <w:rPr>
                <w:iCs/>
              </w:rPr>
              <w:t xml:space="preserve">. Minētās </w:t>
            </w:r>
            <w:r w:rsidR="005A5463" w:rsidRPr="00EA2803">
              <w:rPr>
                <w:iCs/>
              </w:rPr>
              <w:t xml:space="preserve"> </w:t>
            </w:r>
            <w:r w:rsidRPr="00EA2803">
              <w:rPr>
                <w:iCs/>
              </w:rPr>
              <w:t xml:space="preserve">tiesiskās </w:t>
            </w:r>
            <w:r w:rsidR="005A5463" w:rsidRPr="00EA2803">
              <w:rPr>
                <w:iCs/>
              </w:rPr>
              <w:t xml:space="preserve">attiecības turpmāk regulēs </w:t>
            </w:r>
            <w:r w:rsidR="00DA6F9D" w:rsidRPr="00EA2803">
              <w:rPr>
                <w:iCs/>
              </w:rPr>
              <w:t>Kredītu reģistra likums.</w:t>
            </w:r>
          </w:p>
          <w:p w:rsidR="00EA2803" w:rsidRPr="00EA2803" w:rsidRDefault="00EA2803" w:rsidP="00602099">
            <w:pPr>
              <w:pStyle w:val="naiskr"/>
              <w:spacing w:before="0" w:after="0"/>
              <w:jc w:val="both"/>
            </w:pPr>
            <w:r w:rsidRPr="00EA2803">
              <w:rPr>
                <w:iCs/>
              </w:rPr>
              <w:t xml:space="preserve">Tā kā </w:t>
            </w:r>
            <w:r w:rsidR="00602099">
              <w:rPr>
                <w:iCs/>
              </w:rPr>
              <w:t xml:space="preserve">ar </w:t>
            </w:r>
            <w:r w:rsidR="00602099" w:rsidRPr="00FC12C8">
              <w:rPr>
                <w:iCs/>
              </w:rPr>
              <w:t>Apdrošināšanas sabiedrību un to uzraudzības likum</w:t>
            </w:r>
            <w:r w:rsidR="00602099">
              <w:rPr>
                <w:iCs/>
              </w:rPr>
              <w:t>a</w:t>
            </w:r>
            <w:r w:rsidR="00602099" w:rsidRPr="00FC12C8">
              <w:rPr>
                <w:iCs/>
              </w:rPr>
              <w:t xml:space="preserve"> </w:t>
            </w:r>
            <w:r w:rsidRPr="00EA2803">
              <w:t>29.</w:t>
            </w:r>
            <w:r w:rsidRPr="00EA2803">
              <w:rPr>
                <w:vertAlign w:val="superscript"/>
              </w:rPr>
              <w:t>3</w:t>
            </w:r>
            <w:r w:rsidRPr="00EA2803">
              <w:t> pantu</w:t>
            </w:r>
            <w:r w:rsidR="00602099">
              <w:t>, ko plānots izslēgt,</w:t>
            </w:r>
            <w:r w:rsidRPr="00EA2803">
              <w:t xml:space="preserve"> </w:t>
            </w:r>
            <w:r w:rsidR="00602099" w:rsidRPr="00EA2803">
              <w:t>ievie</w:t>
            </w:r>
            <w:r w:rsidR="00602099">
              <w:t>sa</w:t>
            </w:r>
            <w:r w:rsidR="00602099" w:rsidRPr="00EA2803">
              <w:t xml:space="preserve"> </w:t>
            </w:r>
            <w:r w:rsidRPr="00EA2803">
              <w:t xml:space="preserve">Eiropas Parlamenta un Padomes 2008.gada 23.aprīļa direktīvas </w:t>
            </w:r>
            <w:hyperlink r:id="rId11" w:tgtFrame="_blank" w:tooltip="Atvērt direktīvu latviešu valodā" w:history="1">
              <w:r w:rsidRPr="00EA2803">
                <w:rPr>
                  <w:rStyle w:val="Hyperlink"/>
                  <w:color w:val="auto"/>
                  <w:u w:val="none"/>
                </w:rPr>
                <w:t>2008/48/EK</w:t>
              </w:r>
            </w:hyperlink>
            <w:r w:rsidRPr="00EA2803">
              <w:t xml:space="preserve"> </w:t>
            </w:r>
            <w:r w:rsidRPr="00EA2803">
              <w:rPr>
                <w:i/>
              </w:rPr>
              <w:t xml:space="preserve">par patēriņa kredītlīgumiem un ar ko atceļ direktīvu </w:t>
            </w:r>
            <w:hyperlink r:id="rId12" w:tgtFrame="_blank" w:tooltip="Atvērt direktīvu latviešu valodā" w:history="1">
              <w:r w:rsidRPr="00EA2803">
                <w:rPr>
                  <w:rStyle w:val="Hyperlink"/>
                  <w:i/>
                  <w:color w:val="auto"/>
                  <w:u w:val="none"/>
                </w:rPr>
                <w:t>87/102/EEK</w:t>
              </w:r>
            </w:hyperlink>
            <w:r w:rsidRPr="00EA2803">
              <w:t xml:space="preserve"> prasības, </w:t>
            </w:r>
            <w:r w:rsidR="00602099">
              <w:t xml:space="preserve">vienlaikus </w:t>
            </w:r>
            <w:r w:rsidRPr="00EA2803">
              <w:t xml:space="preserve">tiek izslēgta arī informatīvā atsauce uz šo direktīvu. </w:t>
            </w:r>
          </w:p>
        </w:tc>
      </w:tr>
      <w:tr w:rsidR="00262E2B" w:rsidRPr="000B76B2" w:rsidTr="00863888">
        <w:trPr>
          <w:trHeight w:val="20"/>
          <w:jc w:val="center"/>
        </w:trPr>
        <w:tc>
          <w:tcPr>
            <w:tcW w:w="171" w:type="pct"/>
          </w:tcPr>
          <w:p w:rsidR="00262E2B" w:rsidRPr="000B76B2" w:rsidRDefault="00262E2B" w:rsidP="006461EB">
            <w:pPr>
              <w:pStyle w:val="naiskr"/>
              <w:spacing w:before="0" w:after="0"/>
            </w:pPr>
            <w:r w:rsidRPr="000B76B2">
              <w:t>5.</w:t>
            </w:r>
          </w:p>
        </w:tc>
        <w:tc>
          <w:tcPr>
            <w:tcW w:w="1107" w:type="pct"/>
          </w:tcPr>
          <w:p w:rsidR="00262E2B" w:rsidRPr="000B76B2" w:rsidRDefault="001A4066" w:rsidP="006461EB">
            <w:pPr>
              <w:pStyle w:val="naiskr"/>
              <w:spacing w:before="0" w:after="0"/>
            </w:pPr>
            <w:r w:rsidRPr="000B76B2">
              <w:t>Projekta i</w:t>
            </w:r>
            <w:r w:rsidR="00262E2B" w:rsidRPr="000B76B2">
              <w:t>zstrād</w:t>
            </w:r>
            <w:r w:rsidR="00420870" w:rsidRPr="000B76B2">
              <w:t xml:space="preserve">ē </w:t>
            </w:r>
            <w:r w:rsidR="00262E2B" w:rsidRPr="000B76B2">
              <w:t>iesaistītās institūcijas</w:t>
            </w:r>
          </w:p>
        </w:tc>
        <w:tc>
          <w:tcPr>
            <w:tcW w:w="3722" w:type="pct"/>
          </w:tcPr>
          <w:p w:rsidR="00262E2B" w:rsidRPr="000B76B2" w:rsidRDefault="00DA6F9D" w:rsidP="00C1127E">
            <w:pPr>
              <w:pStyle w:val="naiskr"/>
              <w:spacing w:before="0" w:after="0"/>
              <w:jc w:val="both"/>
            </w:pPr>
            <w:r>
              <w:rPr>
                <w:iCs/>
              </w:rPr>
              <w:t xml:space="preserve">Likumprojekts izstrādāts </w:t>
            </w:r>
            <w:r w:rsidR="006F5EFE">
              <w:rPr>
                <w:iCs/>
              </w:rPr>
              <w:t>līdztekus</w:t>
            </w:r>
            <w:r>
              <w:rPr>
                <w:iCs/>
              </w:rPr>
              <w:t xml:space="preserve"> likumprojektam "Kredītu reģistra likums", kura izstrādē piedalījās </w:t>
            </w:r>
            <w:r w:rsidR="00C1127E" w:rsidRPr="00020B91">
              <w:rPr>
                <w:iCs/>
              </w:rPr>
              <w:t>ar</w:t>
            </w:r>
            <w:r w:rsidR="00A21BE3">
              <w:rPr>
                <w:iCs/>
              </w:rPr>
              <w:t>ī</w:t>
            </w:r>
            <w:bookmarkStart w:id="0" w:name="_GoBack"/>
            <w:bookmarkEnd w:id="0"/>
            <w:r w:rsidR="00C1127E" w:rsidRPr="00020B91">
              <w:rPr>
                <w:iCs/>
              </w:rPr>
              <w:t xml:space="preserve"> Latvijas Komercbanku asociācij</w:t>
            </w:r>
            <w:r w:rsidR="00C1127E">
              <w:rPr>
                <w:iCs/>
              </w:rPr>
              <w:t>a</w:t>
            </w:r>
            <w:r w:rsidR="00C1127E" w:rsidRPr="00020B91">
              <w:rPr>
                <w:iCs/>
              </w:rPr>
              <w:t>, Latvijas Līzinga Devēju Asociācij</w:t>
            </w:r>
            <w:r w:rsidR="00C1127E">
              <w:rPr>
                <w:iCs/>
              </w:rPr>
              <w:t>a</w:t>
            </w:r>
            <w:r w:rsidR="00C1127E" w:rsidRPr="00020B91">
              <w:rPr>
                <w:iCs/>
              </w:rPr>
              <w:t>, Latvijas Kooperatīvo krājaizdevu sabiedrību savienīb</w:t>
            </w:r>
            <w:r w:rsidR="00C1127E">
              <w:rPr>
                <w:iCs/>
              </w:rPr>
              <w:t>a</w:t>
            </w:r>
            <w:r w:rsidR="00C1127E" w:rsidRPr="00020B91">
              <w:rPr>
                <w:iCs/>
              </w:rPr>
              <w:t>, Latvijas Apdrošinātāju asociācij</w:t>
            </w:r>
            <w:r w:rsidR="00C1127E">
              <w:rPr>
                <w:iCs/>
              </w:rPr>
              <w:t xml:space="preserve">a, </w:t>
            </w:r>
            <w:r w:rsidR="00C1127E">
              <w:t>Datu valsts inspekcija</w:t>
            </w:r>
            <w:r w:rsidR="00C1127E" w:rsidRPr="00AC554E">
              <w:t xml:space="preserve"> un Fina</w:t>
            </w:r>
            <w:r w:rsidR="00C1127E">
              <w:t>nšu un kapitāla tirgus komisija</w:t>
            </w:r>
            <w:r w:rsidR="00E31C09">
              <w:rPr>
                <w:iCs/>
              </w:rPr>
              <w:t>.</w:t>
            </w:r>
          </w:p>
        </w:tc>
      </w:tr>
      <w:tr w:rsidR="00262E2B" w:rsidRPr="000B76B2" w:rsidTr="00863888">
        <w:trPr>
          <w:trHeight w:val="20"/>
          <w:jc w:val="center"/>
        </w:trPr>
        <w:tc>
          <w:tcPr>
            <w:tcW w:w="171" w:type="pct"/>
          </w:tcPr>
          <w:p w:rsidR="00262E2B" w:rsidRPr="000B76B2" w:rsidRDefault="00262E2B" w:rsidP="006461EB">
            <w:pPr>
              <w:pStyle w:val="naiskr"/>
              <w:spacing w:before="0" w:after="0"/>
            </w:pPr>
            <w:r w:rsidRPr="000B76B2">
              <w:t>6.</w:t>
            </w:r>
          </w:p>
        </w:tc>
        <w:tc>
          <w:tcPr>
            <w:tcW w:w="1107" w:type="pct"/>
          </w:tcPr>
          <w:p w:rsidR="00262E2B" w:rsidRPr="000B76B2" w:rsidRDefault="00BB7C94" w:rsidP="006461EB">
            <w:pPr>
              <w:pStyle w:val="naiskr"/>
              <w:spacing w:before="0" w:after="0"/>
              <w:rPr>
                <w:i/>
                <w:highlight w:val="yellow"/>
              </w:rPr>
            </w:pPr>
            <w:r w:rsidRPr="000B76B2">
              <w:t xml:space="preserve">Iemesli, kādēļ netika nodrošināta </w:t>
            </w:r>
            <w:r w:rsidR="00262E2B" w:rsidRPr="000B76B2">
              <w:t xml:space="preserve">sabiedrības </w:t>
            </w:r>
            <w:r w:rsidRPr="000B76B2">
              <w:t>līdzdalība</w:t>
            </w:r>
          </w:p>
        </w:tc>
        <w:tc>
          <w:tcPr>
            <w:tcW w:w="3722" w:type="pct"/>
          </w:tcPr>
          <w:p w:rsidR="00D20FF4" w:rsidRPr="000B76B2" w:rsidRDefault="00A159CA" w:rsidP="006461EB">
            <w:pPr>
              <w:pStyle w:val="FootnoteText"/>
              <w:jc w:val="both"/>
              <w:rPr>
                <w:sz w:val="24"/>
                <w:szCs w:val="24"/>
              </w:rPr>
            </w:pPr>
            <w:r>
              <w:rPr>
                <w:sz w:val="24"/>
                <w:szCs w:val="24"/>
              </w:rPr>
              <w:t>Nav</w:t>
            </w:r>
          </w:p>
        </w:tc>
      </w:tr>
      <w:tr w:rsidR="00262E2B" w:rsidRPr="00786629" w:rsidTr="00863888">
        <w:trPr>
          <w:trHeight w:val="20"/>
          <w:jc w:val="center"/>
        </w:trPr>
        <w:tc>
          <w:tcPr>
            <w:tcW w:w="171" w:type="pct"/>
          </w:tcPr>
          <w:p w:rsidR="00262E2B" w:rsidRPr="00786629" w:rsidRDefault="00262E2B" w:rsidP="006461EB">
            <w:pPr>
              <w:pStyle w:val="naiskr"/>
              <w:spacing w:before="0" w:after="0"/>
            </w:pPr>
            <w:r w:rsidRPr="00786629">
              <w:t>7.</w:t>
            </w:r>
          </w:p>
        </w:tc>
        <w:tc>
          <w:tcPr>
            <w:tcW w:w="1107" w:type="pct"/>
          </w:tcPr>
          <w:p w:rsidR="00262E2B" w:rsidRPr="00786629" w:rsidRDefault="00262E2B" w:rsidP="006461EB">
            <w:pPr>
              <w:pStyle w:val="naiskr"/>
              <w:spacing w:before="0" w:after="0"/>
            </w:pPr>
            <w:r w:rsidRPr="00786629">
              <w:t>Cita informācija</w:t>
            </w:r>
          </w:p>
        </w:tc>
        <w:tc>
          <w:tcPr>
            <w:tcW w:w="3722" w:type="pct"/>
          </w:tcPr>
          <w:p w:rsidR="00262E2B" w:rsidRPr="00786629" w:rsidRDefault="00262E2B" w:rsidP="006461EB">
            <w:pPr>
              <w:pStyle w:val="naiskr"/>
              <w:spacing w:before="0" w:after="0"/>
              <w:jc w:val="both"/>
            </w:pPr>
            <w:r w:rsidRPr="00786629">
              <w:t>Nav</w:t>
            </w:r>
            <w:r w:rsidR="00C3381B" w:rsidRPr="00786629">
              <w:t>.</w:t>
            </w:r>
          </w:p>
        </w:tc>
      </w:tr>
    </w:tbl>
    <w:p w:rsidR="00924023" w:rsidRPr="00786629" w:rsidRDefault="00924023" w:rsidP="00B82A4E">
      <w:pPr>
        <w:pStyle w:val="naiskr"/>
        <w:tabs>
          <w:tab w:val="left" w:pos="2628"/>
        </w:tabs>
        <w:spacing w:before="0" w:after="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4"/>
        <w:gridCol w:w="1961"/>
        <w:gridCol w:w="6363"/>
      </w:tblGrid>
      <w:tr w:rsidR="00924023" w:rsidRPr="00786629" w:rsidTr="005E753F">
        <w:trPr>
          <w:jc w:val="center"/>
        </w:trPr>
        <w:tc>
          <w:tcPr>
            <w:tcW w:w="0" w:type="auto"/>
            <w:gridSpan w:val="3"/>
          </w:tcPr>
          <w:p w:rsidR="00924023" w:rsidRPr="00786629" w:rsidRDefault="00924023" w:rsidP="000B76B2">
            <w:pPr>
              <w:pStyle w:val="naisnod"/>
              <w:spacing w:before="0" w:after="0"/>
            </w:pPr>
            <w:r w:rsidRPr="00786629">
              <w:t>IV</w:t>
            </w:r>
            <w:r w:rsidR="000941C5" w:rsidRPr="00786629">
              <w:t>.</w:t>
            </w:r>
            <w:r w:rsidRPr="00786629">
              <w:t xml:space="preserve"> Tiesību akta projekta ietekme uz</w:t>
            </w:r>
            <w:r w:rsidR="005060A1" w:rsidRPr="00786629">
              <w:t xml:space="preserve"> </w:t>
            </w:r>
            <w:r w:rsidRPr="00786629">
              <w:t>spēkā esošo tiesību normu sistēmu</w:t>
            </w:r>
          </w:p>
        </w:tc>
      </w:tr>
      <w:tr w:rsidR="00924023" w:rsidRPr="000B76B2" w:rsidTr="005E753F">
        <w:trPr>
          <w:jc w:val="center"/>
        </w:trPr>
        <w:tc>
          <w:tcPr>
            <w:tcW w:w="0" w:type="auto"/>
          </w:tcPr>
          <w:p w:rsidR="00924023" w:rsidRPr="000B76B2" w:rsidRDefault="00924023" w:rsidP="00A45504">
            <w:pPr>
              <w:pStyle w:val="naiskr"/>
              <w:tabs>
                <w:tab w:val="left" w:pos="2628"/>
              </w:tabs>
              <w:spacing w:before="0" w:after="0"/>
              <w:jc w:val="both"/>
              <w:rPr>
                <w:iCs/>
              </w:rPr>
            </w:pPr>
            <w:r w:rsidRPr="000B76B2">
              <w:rPr>
                <w:iCs/>
              </w:rPr>
              <w:t>1.</w:t>
            </w:r>
          </w:p>
        </w:tc>
        <w:tc>
          <w:tcPr>
            <w:tcW w:w="0" w:type="auto"/>
          </w:tcPr>
          <w:p w:rsidR="00924023" w:rsidRPr="000B76B2" w:rsidRDefault="00924023" w:rsidP="00894B13">
            <w:pPr>
              <w:pStyle w:val="naiskr"/>
              <w:tabs>
                <w:tab w:val="left" w:pos="2628"/>
              </w:tabs>
              <w:spacing w:before="0" w:after="0"/>
              <w:rPr>
                <w:iCs/>
              </w:rPr>
            </w:pPr>
            <w:r w:rsidRPr="000B76B2">
              <w:t>Nepieciešamie saistītie tiesību akt</w:t>
            </w:r>
            <w:r w:rsidR="00DD1020" w:rsidRPr="000B76B2">
              <w:t>u</w:t>
            </w:r>
            <w:r w:rsidRPr="000B76B2">
              <w:t xml:space="preserve"> projekti</w:t>
            </w:r>
          </w:p>
        </w:tc>
        <w:tc>
          <w:tcPr>
            <w:tcW w:w="0" w:type="auto"/>
          </w:tcPr>
          <w:p w:rsidR="00C1127E" w:rsidRPr="00B47A87" w:rsidRDefault="00D84A53" w:rsidP="00C1127E">
            <w:pPr>
              <w:pStyle w:val="naiskr"/>
              <w:tabs>
                <w:tab w:val="left" w:pos="2628"/>
              </w:tabs>
              <w:spacing w:before="0" w:after="0"/>
              <w:jc w:val="both"/>
            </w:pPr>
            <w:r w:rsidRPr="00D84A53">
              <w:rPr>
                <w:iCs/>
              </w:rPr>
              <w:t xml:space="preserve">Pieņemot Likumprojektu, vienlaikus </w:t>
            </w:r>
            <w:r w:rsidR="00C22BDA">
              <w:rPr>
                <w:iCs/>
              </w:rPr>
              <w:t xml:space="preserve">jāpieņem </w:t>
            </w:r>
            <w:r w:rsidR="00C22BDA" w:rsidRPr="00D84A53">
              <w:rPr>
                <w:iCs/>
              </w:rPr>
              <w:t>Kredītu reģistr</w:t>
            </w:r>
            <w:r w:rsidR="00C22BDA">
              <w:rPr>
                <w:iCs/>
              </w:rPr>
              <w:t>a likums, kā arī</w:t>
            </w:r>
            <w:r w:rsidR="00C22BDA" w:rsidRPr="00D84A53">
              <w:rPr>
                <w:iCs/>
              </w:rPr>
              <w:t xml:space="preserve"> </w:t>
            </w:r>
            <w:r w:rsidRPr="00D84A53">
              <w:rPr>
                <w:iCs/>
              </w:rPr>
              <w:t xml:space="preserve">jāizdara grozījumi </w:t>
            </w:r>
            <w:r w:rsidR="00B80F25">
              <w:rPr>
                <w:iCs/>
              </w:rPr>
              <w:t>Krājaizdevu sabiedrību likumā</w:t>
            </w:r>
            <w:r w:rsidRPr="00D84A53">
              <w:rPr>
                <w:iCs/>
              </w:rPr>
              <w:t xml:space="preserve"> un Kr</w:t>
            </w:r>
            <w:r w:rsidR="006428DF">
              <w:rPr>
                <w:iCs/>
              </w:rPr>
              <w:t>edītiestāžu</w:t>
            </w:r>
            <w:r w:rsidRPr="00D84A53">
              <w:rPr>
                <w:iCs/>
              </w:rPr>
              <w:t xml:space="preserve"> likumā.</w:t>
            </w:r>
            <w:r w:rsidR="00C1127E">
              <w:rPr>
                <w:iCs/>
              </w:rPr>
              <w:t xml:space="preserve"> </w:t>
            </w:r>
            <w:r w:rsidR="00C1127E" w:rsidRPr="00B47A87">
              <w:t xml:space="preserve">Attiecīgie grozījumi sagatavoti un </w:t>
            </w:r>
            <w:r w:rsidR="00C1127E" w:rsidRPr="00B47A87">
              <w:lastRenderedPageBreak/>
              <w:t>virzāmi vienlaikus ar Likumprojektu</w:t>
            </w:r>
            <w:r w:rsidR="00313922">
              <w:t xml:space="preserve"> un Kredītu reģistra likumu</w:t>
            </w:r>
            <w:r w:rsidR="00C1127E" w:rsidRPr="00B47A87">
              <w:t>.</w:t>
            </w:r>
          </w:p>
          <w:p w:rsidR="001D6FF6" w:rsidRDefault="001D6FF6" w:rsidP="001D6FF6">
            <w:pPr>
              <w:pStyle w:val="naiskr"/>
              <w:tabs>
                <w:tab w:val="left" w:pos="2628"/>
              </w:tabs>
              <w:spacing w:before="0" w:after="0"/>
              <w:jc w:val="both"/>
              <w:rPr>
                <w:iCs/>
              </w:rPr>
            </w:pPr>
            <w:r w:rsidRPr="005D6BCA">
              <w:rPr>
                <w:iCs/>
              </w:rPr>
              <w:t xml:space="preserve">Pēc </w:t>
            </w:r>
            <w:r>
              <w:rPr>
                <w:iCs/>
              </w:rPr>
              <w:t xml:space="preserve">Kredītu reģistra likuma un </w:t>
            </w:r>
            <w:r w:rsidRPr="005D6BCA">
              <w:rPr>
                <w:iCs/>
              </w:rPr>
              <w:t>Likumprojekta pieņemšanas spēku zaudēs Latvijas Bankas 2010. gada 18. oktobra noteikumi Nr. 62 "Kredītu reģistra noteikumi", 2010. gada 18. oktobra noteikumi Nr. 64 "Noteikumi elektroniskai informācijas apmaiņai ar Latvijas Banku" un 2010. gada 18. oktobra noteikumi Nr. 66 "Maksas par Kredītu reģistra izmantošanu apmērs un maksāšanas kārtība"</w:t>
            </w:r>
            <w:r>
              <w:rPr>
                <w:iCs/>
              </w:rPr>
              <w:t>, jo būs zudis pašreiz spēkā esošais deleģējums to izdošanai</w:t>
            </w:r>
            <w:r w:rsidRPr="005D6BCA">
              <w:rPr>
                <w:iCs/>
              </w:rPr>
              <w:t xml:space="preserve">. Ņemot vērā </w:t>
            </w:r>
            <w:r>
              <w:rPr>
                <w:iCs/>
              </w:rPr>
              <w:t>šīs</w:t>
            </w:r>
            <w:r w:rsidRPr="005D6BCA">
              <w:rPr>
                <w:iCs/>
              </w:rPr>
              <w:t xml:space="preserve"> izmaiņas</w:t>
            </w:r>
            <w:r>
              <w:rPr>
                <w:iCs/>
              </w:rPr>
              <w:t xml:space="preserve"> un likumprojektā "Kredītu reģistra likums" noteikto</w:t>
            </w:r>
            <w:r w:rsidRPr="005D6BCA">
              <w:rPr>
                <w:iCs/>
              </w:rPr>
              <w:t xml:space="preserve">, Latvijas Banka atbilstīgi izdos jaunus Latvijas Bankas noteikumus "Kredītu reģistra noteikumi", "Maksas par Kredītu reģistra izmantošanu apmērs un maksāšanas kārtība", "Noteikumi elektroniskai informācijas apmaiņai ar Latvijas Banku". Šādu noteikumu izdošanas deleģējuma nepieciešamība </w:t>
            </w:r>
            <w:r>
              <w:rPr>
                <w:iCs/>
              </w:rPr>
              <w:t xml:space="preserve">Kredītu reģistra likumā </w:t>
            </w:r>
            <w:r w:rsidRPr="005D6BCA">
              <w:rPr>
                <w:iCs/>
              </w:rPr>
              <w:t xml:space="preserve">izriet no Latvijas Bankas veicamajām funkcijām, kā arī šādā veidā optimāli iespējams izmantot tiesību jaunrades kapacitāti, sīkākas detalizācijas (instruktīvus) normatīvos aktus </w:t>
            </w:r>
            <w:r>
              <w:rPr>
                <w:iCs/>
              </w:rPr>
              <w:t xml:space="preserve">par Kredītu reģistra darbību </w:t>
            </w:r>
            <w:r w:rsidRPr="005D6BCA">
              <w:rPr>
                <w:iCs/>
              </w:rPr>
              <w:t>izdodot kā likumam pakārtotus noteikumus, kurus iespējams dinamiski papildināt, reaģējot uz faktisko nepieciešamību.</w:t>
            </w:r>
          </w:p>
          <w:p w:rsidR="00924023" w:rsidRPr="000B76B2" w:rsidRDefault="00D84A53" w:rsidP="001D6FF6">
            <w:pPr>
              <w:pStyle w:val="naiskr"/>
              <w:tabs>
                <w:tab w:val="left" w:pos="2628"/>
              </w:tabs>
              <w:spacing w:before="0" w:after="0"/>
              <w:jc w:val="both"/>
              <w:rPr>
                <w:iCs/>
              </w:rPr>
            </w:pPr>
            <w:r w:rsidRPr="00D84A53">
              <w:rPr>
                <w:iCs/>
              </w:rPr>
              <w:t xml:space="preserve">Starp Likumprojekta pieņemšanu galīgajā lasījumā un likuma spēkā stāšanos jāparedz </w:t>
            </w:r>
            <w:r w:rsidR="001D6FF6">
              <w:rPr>
                <w:iCs/>
              </w:rPr>
              <w:t>trīs</w:t>
            </w:r>
            <w:r w:rsidR="001D6FF6" w:rsidRPr="00D84A53">
              <w:rPr>
                <w:iCs/>
              </w:rPr>
              <w:t xml:space="preserve"> </w:t>
            </w:r>
            <w:r w:rsidRPr="00D84A53">
              <w:rPr>
                <w:iCs/>
              </w:rPr>
              <w:t>mēnešu termiņš, kura laikā Latvijas Banka var veikt nepieciešamās izmaiņas tās izdotajos ārējos normatīvajos aktos.</w:t>
            </w:r>
          </w:p>
        </w:tc>
      </w:tr>
      <w:tr w:rsidR="00924023" w:rsidRPr="000B76B2" w:rsidTr="005E753F">
        <w:trPr>
          <w:jc w:val="center"/>
        </w:trPr>
        <w:tc>
          <w:tcPr>
            <w:tcW w:w="0" w:type="auto"/>
          </w:tcPr>
          <w:p w:rsidR="00924023" w:rsidRPr="000B76B2" w:rsidRDefault="00924023" w:rsidP="000B76B2">
            <w:pPr>
              <w:pStyle w:val="naiskr"/>
              <w:tabs>
                <w:tab w:val="left" w:pos="2628"/>
              </w:tabs>
              <w:spacing w:before="0" w:after="0"/>
              <w:jc w:val="both"/>
              <w:rPr>
                <w:iCs/>
              </w:rPr>
            </w:pPr>
            <w:r w:rsidRPr="000B76B2">
              <w:rPr>
                <w:iCs/>
              </w:rPr>
              <w:lastRenderedPageBreak/>
              <w:t>2.</w:t>
            </w:r>
          </w:p>
        </w:tc>
        <w:tc>
          <w:tcPr>
            <w:tcW w:w="0" w:type="auto"/>
          </w:tcPr>
          <w:p w:rsidR="00924023" w:rsidRPr="000B76B2" w:rsidRDefault="00924023" w:rsidP="00894B13">
            <w:pPr>
              <w:pStyle w:val="naiskr"/>
              <w:tabs>
                <w:tab w:val="left" w:pos="2628"/>
              </w:tabs>
              <w:spacing w:before="0" w:after="0"/>
              <w:rPr>
                <w:iCs/>
              </w:rPr>
            </w:pPr>
            <w:r w:rsidRPr="000B76B2">
              <w:t>Cita informācija</w:t>
            </w:r>
          </w:p>
        </w:tc>
        <w:tc>
          <w:tcPr>
            <w:tcW w:w="0" w:type="auto"/>
          </w:tcPr>
          <w:p w:rsidR="00924023" w:rsidRPr="000B76B2" w:rsidRDefault="00924023" w:rsidP="006B35E2">
            <w:pPr>
              <w:pStyle w:val="naiskr"/>
              <w:tabs>
                <w:tab w:val="left" w:pos="2628"/>
              </w:tabs>
              <w:spacing w:before="0" w:after="0"/>
              <w:jc w:val="both"/>
              <w:rPr>
                <w:iCs/>
              </w:rPr>
            </w:pPr>
            <w:r w:rsidRPr="000B76B2">
              <w:t>Nav</w:t>
            </w:r>
            <w:r w:rsidR="00D84A53">
              <w:t>.</w:t>
            </w:r>
          </w:p>
        </w:tc>
      </w:tr>
    </w:tbl>
    <w:p w:rsidR="00C31E36" w:rsidRPr="00786629" w:rsidRDefault="00C31E36" w:rsidP="00C222F3">
      <w:pPr>
        <w:jc w:val="both"/>
      </w:pPr>
    </w:p>
    <w:p w:rsidR="006F347C" w:rsidRDefault="006F347C" w:rsidP="00032AFA">
      <w:pPr>
        <w:pStyle w:val="naisf"/>
        <w:spacing w:before="0" w:after="0"/>
        <w:ind w:firstLine="0"/>
      </w:pPr>
    </w:p>
    <w:p w:rsidR="00214094" w:rsidRDefault="00C222F3" w:rsidP="00032AFA">
      <w:pPr>
        <w:pStyle w:val="naisf"/>
        <w:spacing w:before="0" w:after="0"/>
        <w:ind w:firstLine="0"/>
      </w:pPr>
      <w:r w:rsidRPr="00786629">
        <w:t xml:space="preserve">Anotācijas </w:t>
      </w:r>
      <w:r w:rsidR="00AE643B" w:rsidRPr="00786629">
        <w:t xml:space="preserve">II, III, </w:t>
      </w:r>
      <w:r w:rsidRPr="00786629">
        <w:t>V, VI un VII sadaļa – projekts šīs jomas neskar.</w:t>
      </w:r>
    </w:p>
    <w:p w:rsidR="003D482E" w:rsidRDefault="003D482E" w:rsidP="00032AFA">
      <w:pPr>
        <w:pStyle w:val="naisf"/>
        <w:spacing w:before="0" w:after="0"/>
        <w:ind w:firstLine="0"/>
      </w:pPr>
    </w:p>
    <w:p w:rsidR="003D482E" w:rsidRDefault="003D482E" w:rsidP="00032AFA">
      <w:pPr>
        <w:pStyle w:val="naisf"/>
        <w:spacing w:before="0" w:after="0"/>
        <w:ind w:firstLine="0"/>
      </w:pPr>
    </w:p>
    <w:p w:rsidR="003D482E" w:rsidRDefault="003D482E" w:rsidP="00032AFA">
      <w:pPr>
        <w:pStyle w:val="naisf"/>
        <w:spacing w:before="0" w:after="0"/>
        <w:ind w:firstLine="0"/>
      </w:pPr>
    </w:p>
    <w:p w:rsidR="003D482E" w:rsidRDefault="003D482E" w:rsidP="00032AFA">
      <w:pPr>
        <w:pStyle w:val="naisf"/>
        <w:spacing w:before="0" w:after="0"/>
        <w:ind w:firstLine="0"/>
      </w:pPr>
    </w:p>
    <w:p w:rsidR="003D482E" w:rsidRDefault="003D482E" w:rsidP="00032AFA">
      <w:pPr>
        <w:pStyle w:val="naisf"/>
        <w:spacing w:before="0" w:after="0"/>
        <w:ind w:firstLine="0"/>
      </w:pPr>
      <w:r>
        <w:t>Finanšu ministrs</w:t>
      </w:r>
      <w:r>
        <w:tab/>
      </w:r>
      <w:r>
        <w:tab/>
      </w:r>
      <w:r>
        <w:tab/>
      </w:r>
      <w:r>
        <w:tab/>
      </w:r>
      <w:r>
        <w:tab/>
      </w:r>
      <w:r>
        <w:tab/>
      </w:r>
      <w:r>
        <w:tab/>
      </w:r>
      <w:r>
        <w:tab/>
        <w:t>A.Vilks</w:t>
      </w:r>
    </w:p>
    <w:p w:rsidR="00266658" w:rsidRDefault="00266658" w:rsidP="00032AFA">
      <w:pPr>
        <w:pStyle w:val="naisf"/>
        <w:spacing w:before="0" w:after="0"/>
        <w:ind w:firstLine="0"/>
      </w:pPr>
    </w:p>
    <w:p w:rsidR="00266658" w:rsidRDefault="00266658" w:rsidP="00032AFA">
      <w:pPr>
        <w:pStyle w:val="naisf"/>
        <w:spacing w:before="0" w:after="0"/>
        <w:ind w:firstLine="0"/>
      </w:pPr>
    </w:p>
    <w:p w:rsidR="00266658" w:rsidRDefault="00266658" w:rsidP="00266658">
      <w:pPr>
        <w:rPr>
          <w:color w:val="C00000"/>
          <w:sz w:val="28"/>
          <w:szCs w:val="28"/>
        </w:rPr>
      </w:pPr>
    </w:p>
    <w:p w:rsidR="00266658" w:rsidRDefault="00EF5C8D" w:rsidP="00266658">
      <w:pPr>
        <w:rPr>
          <w:sz w:val="20"/>
          <w:szCs w:val="20"/>
        </w:rPr>
      </w:pPr>
      <w:r>
        <w:rPr>
          <w:sz w:val="20"/>
          <w:szCs w:val="20"/>
        </w:rPr>
        <w:t>2011.09</w:t>
      </w:r>
      <w:r w:rsidR="00266658">
        <w:rPr>
          <w:sz w:val="20"/>
          <w:szCs w:val="20"/>
        </w:rPr>
        <w:t>.</w:t>
      </w:r>
      <w:r>
        <w:rPr>
          <w:sz w:val="20"/>
          <w:szCs w:val="20"/>
        </w:rPr>
        <w:t>29</w:t>
      </w:r>
      <w:r w:rsidR="00266658">
        <w:rPr>
          <w:sz w:val="20"/>
          <w:szCs w:val="20"/>
        </w:rPr>
        <w:t>. 9:17</w:t>
      </w:r>
    </w:p>
    <w:p w:rsidR="00266658" w:rsidRDefault="00EF5C8D" w:rsidP="00266658">
      <w:pPr>
        <w:rPr>
          <w:sz w:val="20"/>
          <w:szCs w:val="20"/>
        </w:rPr>
      </w:pPr>
      <w:r>
        <w:rPr>
          <w:sz w:val="20"/>
          <w:szCs w:val="20"/>
        </w:rPr>
        <w:t>513</w:t>
      </w:r>
    </w:p>
    <w:p w:rsidR="00266658" w:rsidRDefault="00266658" w:rsidP="00266658">
      <w:pPr>
        <w:rPr>
          <w:sz w:val="20"/>
          <w:szCs w:val="20"/>
        </w:rPr>
      </w:pPr>
      <w:r>
        <w:rPr>
          <w:sz w:val="20"/>
          <w:szCs w:val="20"/>
        </w:rPr>
        <w:t>Z.Medne, 67083857</w:t>
      </w:r>
    </w:p>
    <w:p w:rsidR="00266658" w:rsidRDefault="00266658" w:rsidP="00266658">
      <w:pPr>
        <w:rPr>
          <w:sz w:val="20"/>
          <w:szCs w:val="20"/>
        </w:rPr>
      </w:pPr>
      <w:r>
        <w:rPr>
          <w:sz w:val="20"/>
          <w:szCs w:val="20"/>
        </w:rPr>
        <w:t>Zane.Medne@fm.gov.lv</w:t>
      </w:r>
    </w:p>
    <w:p w:rsidR="00266658" w:rsidRPr="00786629" w:rsidRDefault="00266658" w:rsidP="00032AFA">
      <w:pPr>
        <w:pStyle w:val="naisf"/>
        <w:spacing w:before="0" w:after="0"/>
        <w:ind w:firstLine="0"/>
      </w:pPr>
    </w:p>
    <w:sectPr w:rsidR="00266658" w:rsidRPr="00786629" w:rsidSect="00566DB3">
      <w:headerReference w:type="even" r:id="rId13"/>
      <w:headerReference w:type="default" r:id="rId14"/>
      <w:footerReference w:type="default" r:id="rId15"/>
      <w:footerReference w:type="first" r:id="rId16"/>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65" w:rsidRDefault="009C5F65">
      <w:r>
        <w:separator/>
      </w:r>
    </w:p>
  </w:endnote>
  <w:endnote w:type="continuationSeparator" w:id="0">
    <w:p w:rsidR="009C5F65" w:rsidRDefault="009C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2E" w:rsidRPr="003D482E" w:rsidRDefault="003D482E">
    <w:pPr>
      <w:pStyle w:val="Footer"/>
      <w:rPr>
        <w:sz w:val="20"/>
        <w:szCs w:val="20"/>
      </w:rPr>
    </w:pPr>
    <w:r w:rsidRPr="003D482E">
      <w:rPr>
        <w:sz w:val="20"/>
        <w:szCs w:val="20"/>
      </w:rPr>
      <w:t>FManot_2</w:t>
    </w:r>
    <w:r w:rsidR="003C059D">
      <w:rPr>
        <w:sz w:val="20"/>
        <w:szCs w:val="20"/>
      </w:rPr>
      <w:t>909</w:t>
    </w:r>
    <w:r w:rsidRPr="003D482E">
      <w:rPr>
        <w:sz w:val="20"/>
        <w:szCs w:val="20"/>
      </w:rPr>
      <w:t>11_GASUL; Likumprojekta "Grozījumi Apdrošināšanas sabiedrību un to uzraudzības likumā" tiesību akta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E3" w:rsidRPr="00AA23E3" w:rsidRDefault="00AA23E3" w:rsidP="00AA23E3">
    <w:pPr>
      <w:pStyle w:val="Footer"/>
      <w:rPr>
        <w:sz w:val="20"/>
        <w:szCs w:val="20"/>
      </w:rPr>
    </w:pPr>
    <w:r w:rsidRPr="00AA23E3">
      <w:rPr>
        <w:sz w:val="20"/>
        <w:szCs w:val="20"/>
      </w:rPr>
      <w:t>FManot_</w:t>
    </w:r>
    <w:r w:rsidR="003C059D" w:rsidRPr="003C059D">
      <w:rPr>
        <w:sz w:val="20"/>
        <w:szCs w:val="20"/>
      </w:rPr>
      <w:t>290911</w:t>
    </w:r>
    <w:r w:rsidRPr="00AA23E3">
      <w:rPr>
        <w:sz w:val="20"/>
        <w:szCs w:val="20"/>
      </w:rPr>
      <w:t>_GASUL; Likumprojekta "Grozījumi Apdrošināšanas sabiedrību un to uzraudzības likumā" sākotnējās ietekmes novērtējuma ziņojums (anotācija)</w:t>
    </w:r>
  </w:p>
  <w:p w:rsidR="00AA23E3" w:rsidRPr="00AA23E3" w:rsidRDefault="00AA23E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65" w:rsidRDefault="009C5F65">
      <w:r>
        <w:separator/>
      </w:r>
    </w:p>
  </w:footnote>
  <w:footnote w:type="continuationSeparator" w:id="0">
    <w:p w:rsidR="009C5F65" w:rsidRDefault="009C5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605BBE" w:rsidP="003C449B">
    <w:pPr>
      <w:pStyle w:val="Header"/>
      <w:framePr w:wrap="around" w:vAnchor="text" w:hAnchor="margin" w:xAlign="center" w:y="1"/>
      <w:rPr>
        <w:rStyle w:val="PageNumber"/>
      </w:rPr>
    </w:pPr>
    <w:r>
      <w:rPr>
        <w:rStyle w:val="PageNumber"/>
      </w:rPr>
      <w:fldChar w:fldCharType="begin"/>
    </w:r>
    <w:r w:rsidR="00C31E36">
      <w:rPr>
        <w:rStyle w:val="PageNumber"/>
      </w:rPr>
      <w:instrText xml:space="preserve">PAGE  </w:instrText>
    </w:r>
    <w:r>
      <w:rPr>
        <w:rStyle w:val="PageNumber"/>
      </w:rPr>
      <w:fldChar w:fldCharType="separate"/>
    </w:r>
    <w:r w:rsidR="001C36DF">
      <w:rPr>
        <w:rStyle w:val="PageNumber"/>
        <w:noProof/>
      </w:rPr>
      <w:t>1</w: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Pr="00C22284" w:rsidRDefault="00605BBE" w:rsidP="003C449B">
    <w:pPr>
      <w:pStyle w:val="Header"/>
      <w:framePr w:wrap="around" w:vAnchor="text" w:hAnchor="margin" w:xAlign="center" w:y="1"/>
      <w:rPr>
        <w:rStyle w:val="PageNumber"/>
        <w:sz w:val="20"/>
        <w:szCs w:val="20"/>
      </w:rPr>
    </w:pPr>
    <w:r w:rsidRPr="00C22284">
      <w:rPr>
        <w:rStyle w:val="PageNumber"/>
        <w:sz w:val="20"/>
        <w:szCs w:val="20"/>
      </w:rPr>
      <w:fldChar w:fldCharType="begin"/>
    </w:r>
    <w:r w:rsidR="00C31E36" w:rsidRPr="00C22284">
      <w:rPr>
        <w:rStyle w:val="PageNumber"/>
        <w:sz w:val="20"/>
        <w:szCs w:val="20"/>
      </w:rPr>
      <w:instrText xml:space="preserve">PAGE  </w:instrText>
    </w:r>
    <w:r w:rsidRPr="00C22284">
      <w:rPr>
        <w:rStyle w:val="PageNumber"/>
        <w:sz w:val="20"/>
        <w:szCs w:val="20"/>
      </w:rPr>
      <w:fldChar w:fldCharType="separate"/>
    </w:r>
    <w:r w:rsidR="00A21BE3">
      <w:rPr>
        <w:rStyle w:val="PageNumber"/>
        <w:noProof/>
        <w:sz w:val="20"/>
        <w:szCs w:val="20"/>
      </w:rPr>
      <w:t>2</w:t>
    </w:r>
    <w:r w:rsidRPr="00C22284">
      <w:rPr>
        <w:rStyle w:val="PageNumber"/>
        <w:sz w:val="20"/>
        <w:szCs w:val="20"/>
      </w:rPr>
      <w:fldChar w:fldCharType="end"/>
    </w:r>
  </w:p>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A9E"/>
    <w:rsid w:val="00011D24"/>
    <w:rsid w:val="00013FF4"/>
    <w:rsid w:val="00020FE1"/>
    <w:rsid w:val="0002135C"/>
    <w:rsid w:val="00022E13"/>
    <w:rsid w:val="00032388"/>
    <w:rsid w:val="00032AFA"/>
    <w:rsid w:val="00035CE2"/>
    <w:rsid w:val="0005553B"/>
    <w:rsid w:val="000604D2"/>
    <w:rsid w:val="0009005E"/>
    <w:rsid w:val="000941C5"/>
    <w:rsid w:val="000A2AEF"/>
    <w:rsid w:val="000A6451"/>
    <w:rsid w:val="000B064E"/>
    <w:rsid w:val="000B69CF"/>
    <w:rsid w:val="000B76B2"/>
    <w:rsid w:val="000C790C"/>
    <w:rsid w:val="000E0899"/>
    <w:rsid w:val="000F061D"/>
    <w:rsid w:val="000F4794"/>
    <w:rsid w:val="0011207E"/>
    <w:rsid w:val="00124F12"/>
    <w:rsid w:val="00144E3A"/>
    <w:rsid w:val="0015060C"/>
    <w:rsid w:val="0016018A"/>
    <w:rsid w:val="00161F0E"/>
    <w:rsid w:val="00170E2A"/>
    <w:rsid w:val="00177394"/>
    <w:rsid w:val="00177478"/>
    <w:rsid w:val="00182C18"/>
    <w:rsid w:val="00183CC2"/>
    <w:rsid w:val="0018651C"/>
    <w:rsid w:val="001900E4"/>
    <w:rsid w:val="00190F88"/>
    <w:rsid w:val="00197DDC"/>
    <w:rsid w:val="001A4066"/>
    <w:rsid w:val="001A6AE4"/>
    <w:rsid w:val="001B01FD"/>
    <w:rsid w:val="001B4A71"/>
    <w:rsid w:val="001C36DF"/>
    <w:rsid w:val="001D5B54"/>
    <w:rsid w:val="001D6FF6"/>
    <w:rsid w:val="001E1DBF"/>
    <w:rsid w:val="001E4639"/>
    <w:rsid w:val="001E4A7D"/>
    <w:rsid w:val="001F4209"/>
    <w:rsid w:val="001F43A8"/>
    <w:rsid w:val="001F5CD6"/>
    <w:rsid w:val="0021263D"/>
    <w:rsid w:val="00213F0C"/>
    <w:rsid w:val="00214094"/>
    <w:rsid w:val="0021592D"/>
    <w:rsid w:val="00222D76"/>
    <w:rsid w:val="00223EB1"/>
    <w:rsid w:val="00231344"/>
    <w:rsid w:val="00231998"/>
    <w:rsid w:val="00233852"/>
    <w:rsid w:val="0023436E"/>
    <w:rsid w:val="002347C0"/>
    <w:rsid w:val="00241A6C"/>
    <w:rsid w:val="00242D2B"/>
    <w:rsid w:val="00253D7B"/>
    <w:rsid w:val="00262E2B"/>
    <w:rsid w:val="00266658"/>
    <w:rsid w:val="00270429"/>
    <w:rsid w:val="002723E9"/>
    <w:rsid w:val="00277929"/>
    <w:rsid w:val="00283B82"/>
    <w:rsid w:val="002846E9"/>
    <w:rsid w:val="00284C34"/>
    <w:rsid w:val="0029066C"/>
    <w:rsid w:val="002B2F92"/>
    <w:rsid w:val="002B50DB"/>
    <w:rsid w:val="002C12AB"/>
    <w:rsid w:val="002C414E"/>
    <w:rsid w:val="002C7CAC"/>
    <w:rsid w:val="002D3306"/>
    <w:rsid w:val="002D48AA"/>
    <w:rsid w:val="002D7BAA"/>
    <w:rsid w:val="002D7F54"/>
    <w:rsid w:val="002E3FF4"/>
    <w:rsid w:val="002F78C8"/>
    <w:rsid w:val="00301CF3"/>
    <w:rsid w:val="00313922"/>
    <w:rsid w:val="0032715C"/>
    <w:rsid w:val="003373D9"/>
    <w:rsid w:val="00337CA5"/>
    <w:rsid w:val="00354AEE"/>
    <w:rsid w:val="00362478"/>
    <w:rsid w:val="00362818"/>
    <w:rsid w:val="00375B25"/>
    <w:rsid w:val="0038132C"/>
    <w:rsid w:val="0038759A"/>
    <w:rsid w:val="00396542"/>
    <w:rsid w:val="0039685B"/>
    <w:rsid w:val="003A31A6"/>
    <w:rsid w:val="003A7F0C"/>
    <w:rsid w:val="003A7F79"/>
    <w:rsid w:val="003B6404"/>
    <w:rsid w:val="003C059D"/>
    <w:rsid w:val="003C449B"/>
    <w:rsid w:val="003D21FF"/>
    <w:rsid w:val="003D39AA"/>
    <w:rsid w:val="003D482E"/>
    <w:rsid w:val="003E6413"/>
    <w:rsid w:val="003F0112"/>
    <w:rsid w:val="003F071A"/>
    <w:rsid w:val="003F160B"/>
    <w:rsid w:val="00400032"/>
    <w:rsid w:val="00400B5B"/>
    <w:rsid w:val="00405A00"/>
    <w:rsid w:val="00420870"/>
    <w:rsid w:val="00432D0C"/>
    <w:rsid w:val="0043791B"/>
    <w:rsid w:val="00441483"/>
    <w:rsid w:val="00441BCB"/>
    <w:rsid w:val="0045176A"/>
    <w:rsid w:val="00456332"/>
    <w:rsid w:val="00461826"/>
    <w:rsid w:val="00463F3D"/>
    <w:rsid w:val="004800F9"/>
    <w:rsid w:val="00486AB3"/>
    <w:rsid w:val="0049134A"/>
    <w:rsid w:val="00493FEA"/>
    <w:rsid w:val="00497B77"/>
    <w:rsid w:val="004A58CB"/>
    <w:rsid w:val="004B1795"/>
    <w:rsid w:val="004B56DD"/>
    <w:rsid w:val="004C020F"/>
    <w:rsid w:val="004C1AFD"/>
    <w:rsid w:val="004C558B"/>
    <w:rsid w:val="004C746C"/>
    <w:rsid w:val="004F1F88"/>
    <w:rsid w:val="004F5F1B"/>
    <w:rsid w:val="00502374"/>
    <w:rsid w:val="005060A1"/>
    <w:rsid w:val="00516072"/>
    <w:rsid w:val="005332EC"/>
    <w:rsid w:val="00534418"/>
    <w:rsid w:val="005353AB"/>
    <w:rsid w:val="005560BC"/>
    <w:rsid w:val="005573BE"/>
    <w:rsid w:val="00566DB3"/>
    <w:rsid w:val="00572700"/>
    <w:rsid w:val="00580468"/>
    <w:rsid w:val="00582231"/>
    <w:rsid w:val="0058603B"/>
    <w:rsid w:val="0059431B"/>
    <w:rsid w:val="005A39CC"/>
    <w:rsid w:val="005A5463"/>
    <w:rsid w:val="005B4730"/>
    <w:rsid w:val="005E05D7"/>
    <w:rsid w:val="005E41E7"/>
    <w:rsid w:val="005E450F"/>
    <w:rsid w:val="005E753F"/>
    <w:rsid w:val="00602099"/>
    <w:rsid w:val="00605BBE"/>
    <w:rsid w:val="0062298A"/>
    <w:rsid w:val="00626514"/>
    <w:rsid w:val="00626589"/>
    <w:rsid w:val="006339A0"/>
    <w:rsid w:val="006413A8"/>
    <w:rsid w:val="006428DF"/>
    <w:rsid w:val="00642E56"/>
    <w:rsid w:val="006461EB"/>
    <w:rsid w:val="00651E00"/>
    <w:rsid w:val="00665DA0"/>
    <w:rsid w:val="006724C4"/>
    <w:rsid w:val="00674572"/>
    <w:rsid w:val="006826D7"/>
    <w:rsid w:val="00687763"/>
    <w:rsid w:val="00692B0D"/>
    <w:rsid w:val="00693E0E"/>
    <w:rsid w:val="006A1AE3"/>
    <w:rsid w:val="006A6190"/>
    <w:rsid w:val="006B35E2"/>
    <w:rsid w:val="006C30E1"/>
    <w:rsid w:val="006C4607"/>
    <w:rsid w:val="006D48F1"/>
    <w:rsid w:val="006F347C"/>
    <w:rsid w:val="006F45BE"/>
    <w:rsid w:val="006F5EFE"/>
    <w:rsid w:val="007004FC"/>
    <w:rsid w:val="00706670"/>
    <w:rsid w:val="00711F59"/>
    <w:rsid w:val="00720B19"/>
    <w:rsid w:val="0072417C"/>
    <w:rsid w:val="00734450"/>
    <w:rsid w:val="007445E5"/>
    <w:rsid w:val="00745F67"/>
    <w:rsid w:val="0075039E"/>
    <w:rsid w:val="00752D9D"/>
    <w:rsid w:val="00754784"/>
    <w:rsid w:val="00757C6E"/>
    <w:rsid w:val="00762BDA"/>
    <w:rsid w:val="007805FD"/>
    <w:rsid w:val="00784422"/>
    <w:rsid w:val="00786629"/>
    <w:rsid w:val="007925D3"/>
    <w:rsid w:val="007B3B54"/>
    <w:rsid w:val="007B3FA0"/>
    <w:rsid w:val="007C0F2C"/>
    <w:rsid w:val="007C2BCC"/>
    <w:rsid w:val="007C4EF0"/>
    <w:rsid w:val="007D099D"/>
    <w:rsid w:val="007E2664"/>
    <w:rsid w:val="007E3ABF"/>
    <w:rsid w:val="007E5BFA"/>
    <w:rsid w:val="007E6689"/>
    <w:rsid w:val="007E731C"/>
    <w:rsid w:val="007F0A03"/>
    <w:rsid w:val="00800BC3"/>
    <w:rsid w:val="008050C1"/>
    <w:rsid w:val="00810040"/>
    <w:rsid w:val="0082023A"/>
    <w:rsid w:val="00821405"/>
    <w:rsid w:val="00821A7A"/>
    <w:rsid w:val="008253F8"/>
    <w:rsid w:val="008325E4"/>
    <w:rsid w:val="00832A2B"/>
    <w:rsid w:val="00845811"/>
    <w:rsid w:val="00846994"/>
    <w:rsid w:val="00850451"/>
    <w:rsid w:val="00852042"/>
    <w:rsid w:val="008534C9"/>
    <w:rsid w:val="0085599D"/>
    <w:rsid w:val="00863888"/>
    <w:rsid w:val="0087510C"/>
    <w:rsid w:val="00894B13"/>
    <w:rsid w:val="008968D2"/>
    <w:rsid w:val="0089738E"/>
    <w:rsid w:val="008B0A0A"/>
    <w:rsid w:val="008B5FDB"/>
    <w:rsid w:val="008C3283"/>
    <w:rsid w:val="008C50F4"/>
    <w:rsid w:val="008C5649"/>
    <w:rsid w:val="008E4100"/>
    <w:rsid w:val="008E44A2"/>
    <w:rsid w:val="008E697D"/>
    <w:rsid w:val="00903263"/>
    <w:rsid w:val="00906A21"/>
    <w:rsid w:val="009079C3"/>
    <w:rsid w:val="00910462"/>
    <w:rsid w:val="00911DFE"/>
    <w:rsid w:val="00914AF0"/>
    <w:rsid w:val="00915AB1"/>
    <w:rsid w:val="00917532"/>
    <w:rsid w:val="009235BA"/>
    <w:rsid w:val="00924023"/>
    <w:rsid w:val="00924CE2"/>
    <w:rsid w:val="00925B9F"/>
    <w:rsid w:val="00931AED"/>
    <w:rsid w:val="009476A3"/>
    <w:rsid w:val="0095334F"/>
    <w:rsid w:val="00965897"/>
    <w:rsid w:val="0096765C"/>
    <w:rsid w:val="009727E4"/>
    <w:rsid w:val="00991028"/>
    <w:rsid w:val="009934C5"/>
    <w:rsid w:val="00994C0F"/>
    <w:rsid w:val="009A56CC"/>
    <w:rsid w:val="009B22D7"/>
    <w:rsid w:val="009B72ED"/>
    <w:rsid w:val="009C5F65"/>
    <w:rsid w:val="009C6DEB"/>
    <w:rsid w:val="009D6504"/>
    <w:rsid w:val="009E12D7"/>
    <w:rsid w:val="009E3F16"/>
    <w:rsid w:val="009E661A"/>
    <w:rsid w:val="009F22D3"/>
    <w:rsid w:val="009F5264"/>
    <w:rsid w:val="009F675F"/>
    <w:rsid w:val="00A06781"/>
    <w:rsid w:val="00A074C3"/>
    <w:rsid w:val="00A14A58"/>
    <w:rsid w:val="00A1509C"/>
    <w:rsid w:val="00A159CA"/>
    <w:rsid w:val="00A21BE3"/>
    <w:rsid w:val="00A249B9"/>
    <w:rsid w:val="00A34260"/>
    <w:rsid w:val="00A43B1A"/>
    <w:rsid w:val="00A45504"/>
    <w:rsid w:val="00A7073A"/>
    <w:rsid w:val="00A70CFD"/>
    <w:rsid w:val="00A72A0B"/>
    <w:rsid w:val="00A81E42"/>
    <w:rsid w:val="00A864FE"/>
    <w:rsid w:val="00A86F41"/>
    <w:rsid w:val="00A87D04"/>
    <w:rsid w:val="00A950C5"/>
    <w:rsid w:val="00AA1D25"/>
    <w:rsid w:val="00AA23E3"/>
    <w:rsid w:val="00AB2B1A"/>
    <w:rsid w:val="00AB397F"/>
    <w:rsid w:val="00AB5832"/>
    <w:rsid w:val="00AC51F2"/>
    <w:rsid w:val="00AD3269"/>
    <w:rsid w:val="00AE5066"/>
    <w:rsid w:val="00AE5E24"/>
    <w:rsid w:val="00AE61B7"/>
    <w:rsid w:val="00AE643B"/>
    <w:rsid w:val="00AE6CBA"/>
    <w:rsid w:val="00AE79AD"/>
    <w:rsid w:val="00AF35E4"/>
    <w:rsid w:val="00AF5CDE"/>
    <w:rsid w:val="00AF751E"/>
    <w:rsid w:val="00B11A57"/>
    <w:rsid w:val="00B211C3"/>
    <w:rsid w:val="00B25597"/>
    <w:rsid w:val="00B267B9"/>
    <w:rsid w:val="00B33E09"/>
    <w:rsid w:val="00B4281A"/>
    <w:rsid w:val="00B50708"/>
    <w:rsid w:val="00B50C68"/>
    <w:rsid w:val="00B51293"/>
    <w:rsid w:val="00B52B1E"/>
    <w:rsid w:val="00B55481"/>
    <w:rsid w:val="00B56C32"/>
    <w:rsid w:val="00B57ACF"/>
    <w:rsid w:val="00B64BB1"/>
    <w:rsid w:val="00B73166"/>
    <w:rsid w:val="00B80F25"/>
    <w:rsid w:val="00B82A4E"/>
    <w:rsid w:val="00B8426C"/>
    <w:rsid w:val="00B91B8D"/>
    <w:rsid w:val="00B94E90"/>
    <w:rsid w:val="00BB0A82"/>
    <w:rsid w:val="00BB7C94"/>
    <w:rsid w:val="00BC0A9D"/>
    <w:rsid w:val="00BD4AE2"/>
    <w:rsid w:val="00BF40ED"/>
    <w:rsid w:val="00BF5BC2"/>
    <w:rsid w:val="00C1127E"/>
    <w:rsid w:val="00C1133D"/>
    <w:rsid w:val="00C22284"/>
    <w:rsid w:val="00C222F3"/>
    <w:rsid w:val="00C22BDA"/>
    <w:rsid w:val="00C27A08"/>
    <w:rsid w:val="00C31312"/>
    <w:rsid w:val="00C31E36"/>
    <w:rsid w:val="00C326C6"/>
    <w:rsid w:val="00C3381B"/>
    <w:rsid w:val="00C35295"/>
    <w:rsid w:val="00C36ADD"/>
    <w:rsid w:val="00C36E74"/>
    <w:rsid w:val="00C40595"/>
    <w:rsid w:val="00C41621"/>
    <w:rsid w:val="00C449FA"/>
    <w:rsid w:val="00C5384F"/>
    <w:rsid w:val="00C56964"/>
    <w:rsid w:val="00C656D5"/>
    <w:rsid w:val="00C67103"/>
    <w:rsid w:val="00C71BB9"/>
    <w:rsid w:val="00C770D7"/>
    <w:rsid w:val="00C94C28"/>
    <w:rsid w:val="00CB0247"/>
    <w:rsid w:val="00CB3440"/>
    <w:rsid w:val="00CC1692"/>
    <w:rsid w:val="00CD138B"/>
    <w:rsid w:val="00CD3E31"/>
    <w:rsid w:val="00CD6BDE"/>
    <w:rsid w:val="00CD74A3"/>
    <w:rsid w:val="00CE0527"/>
    <w:rsid w:val="00CE5B23"/>
    <w:rsid w:val="00CF0AA5"/>
    <w:rsid w:val="00CF70AD"/>
    <w:rsid w:val="00CF7729"/>
    <w:rsid w:val="00D00059"/>
    <w:rsid w:val="00D0557F"/>
    <w:rsid w:val="00D107FA"/>
    <w:rsid w:val="00D12275"/>
    <w:rsid w:val="00D12766"/>
    <w:rsid w:val="00D20FF4"/>
    <w:rsid w:val="00D24D2C"/>
    <w:rsid w:val="00D35881"/>
    <w:rsid w:val="00D81924"/>
    <w:rsid w:val="00D82899"/>
    <w:rsid w:val="00D84A53"/>
    <w:rsid w:val="00DA6F9D"/>
    <w:rsid w:val="00DA7DA5"/>
    <w:rsid w:val="00DB073B"/>
    <w:rsid w:val="00DB78F0"/>
    <w:rsid w:val="00DC0CEA"/>
    <w:rsid w:val="00DC2E43"/>
    <w:rsid w:val="00DD095C"/>
    <w:rsid w:val="00DD1020"/>
    <w:rsid w:val="00DD1330"/>
    <w:rsid w:val="00DE0B83"/>
    <w:rsid w:val="00DE1A81"/>
    <w:rsid w:val="00DE1C13"/>
    <w:rsid w:val="00DE4E10"/>
    <w:rsid w:val="00DE766C"/>
    <w:rsid w:val="00DF2125"/>
    <w:rsid w:val="00E02ABF"/>
    <w:rsid w:val="00E07B25"/>
    <w:rsid w:val="00E14995"/>
    <w:rsid w:val="00E179CD"/>
    <w:rsid w:val="00E23E8D"/>
    <w:rsid w:val="00E31C09"/>
    <w:rsid w:val="00E37F98"/>
    <w:rsid w:val="00E46559"/>
    <w:rsid w:val="00E6670C"/>
    <w:rsid w:val="00E776E8"/>
    <w:rsid w:val="00E92C1F"/>
    <w:rsid w:val="00E95D4B"/>
    <w:rsid w:val="00EA2803"/>
    <w:rsid w:val="00EB199F"/>
    <w:rsid w:val="00EC23F7"/>
    <w:rsid w:val="00EC4BD8"/>
    <w:rsid w:val="00EC63EB"/>
    <w:rsid w:val="00ED412F"/>
    <w:rsid w:val="00ED5A1E"/>
    <w:rsid w:val="00EE127A"/>
    <w:rsid w:val="00EF36B2"/>
    <w:rsid w:val="00EF5C8D"/>
    <w:rsid w:val="00F03B27"/>
    <w:rsid w:val="00F1246B"/>
    <w:rsid w:val="00F201EC"/>
    <w:rsid w:val="00F208A9"/>
    <w:rsid w:val="00F41D75"/>
    <w:rsid w:val="00F5139D"/>
    <w:rsid w:val="00F63DAC"/>
    <w:rsid w:val="00F7454F"/>
    <w:rsid w:val="00F75DBD"/>
    <w:rsid w:val="00F77988"/>
    <w:rsid w:val="00F77F48"/>
    <w:rsid w:val="00F96AF1"/>
    <w:rsid w:val="00FB30F1"/>
    <w:rsid w:val="00FB53E7"/>
    <w:rsid w:val="00FC0E9B"/>
    <w:rsid w:val="00FC12C8"/>
    <w:rsid w:val="00FD2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xUriServ/LexUriServ.do?uri=CELEX:31987L0102:LV: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ur-lex.europa.eu/LexUriServ/LexUriServ.do?uri=OJ:L:2008:133:0066:01:LV: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163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E2D8E0-E360-4D9F-9AF2-E0C58BD9AA71}">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2e5bb04e-596e-45bd-9003-43ca78b1ba16"/>
    <ds:schemaRef ds:uri="http://www.w3.org/XML/1998/namespace"/>
  </ds:schemaRefs>
</ds:datastoreItem>
</file>

<file path=customXml/itemProps2.xml><?xml version="1.0" encoding="utf-8"?>
<ds:datastoreItem xmlns:ds="http://schemas.openxmlformats.org/officeDocument/2006/customXml" ds:itemID="{A2614F26-5B39-40C4-95C4-5A04B11EC34E}">
  <ds:schemaRefs>
    <ds:schemaRef ds:uri="http://schemas.microsoft.com/sharepoint/v3/contenttype/forms"/>
  </ds:schemaRefs>
</ds:datastoreItem>
</file>

<file path=customXml/itemProps3.xml><?xml version="1.0" encoding="utf-8"?>
<ds:datastoreItem xmlns:ds="http://schemas.openxmlformats.org/officeDocument/2006/customXml" ds:itemID="{CCB70EA9-0CAD-4953-BBA0-20172C17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Apdrošināšanas sabiedrību un to uzraudzības likumā" sākotnējās ietekmes novērtējuma ziņojums (anotācija)</vt:lpstr>
      <vt:lpstr>Ministru kabineta instrukcijas projekts “Tiesību akta projekta sākotnējās ietekmes izvērtēšanas kārtība”</vt:lpstr>
    </vt:vector>
  </TitlesOfParts>
  <Company>Valsts kanceleja, Politikas koordinācijas departaments</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sabiedrību un to uzraudzības likumā" sākotnējās ietekmes novērtējuma ziņojums (anotācija)</dc:title>
  <dc:subject>Anotācija</dc:subject>
  <dc:creator>Zane Medne</dc:creator>
  <dc:description>Zane.Medne@fm.gov.lv
67083857</dc:description>
  <cp:lastModifiedBy>changeme</cp:lastModifiedBy>
  <cp:revision>5</cp:revision>
  <cp:lastPrinted>2011-08-05T11:33:00Z</cp:lastPrinted>
  <dcterms:created xsi:type="dcterms:W3CDTF">2011-09-29T08:03:00Z</dcterms:created>
  <dcterms:modified xsi:type="dcterms:W3CDTF">2011-10-17T11:27:00Z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