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F6" w:rsidRPr="00C7327A" w:rsidRDefault="00914E6A" w:rsidP="00914E6A">
      <w:pPr>
        <w:jc w:val="center"/>
        <w:rPr>
          <w:b/>
          <w:bCs/>
        </w:rPr>
      </w:pPr>
      <w:bookmarkStart w:id="0" w:name="OLE_LINK1"/>
      <w:bookmarkStart w:id="1" w:name="OLE_LINK2"/>
      <w:bookmarkStart w:id="2" w:name="OLE_LINK3"/>
      <w:bookmarkStart w:id="3" w:name="OLE_LINK4"/>
      <w:bookmarkStart w:id="4" w:name="_GoBack"/>
      <w:bookmarkEnd w:id="4"/>
      <w:r w:rsidRPr="00C7327A">
        <w:rPr>
          <w:b/>
          <w:color w:val="000000"/>
        </w:rPr>
        <w:t xml:space="preserve">Ministru kabineta </w:t>
      </w:r>
      <w:r w:rsidRPr="00C7327A">
        <w:rPr>
          <w:b/>
        </w:rPr>
        <w:t>noteikumu projekta</w:t>
      </w:r>
      <w:r w:rsidRPr="00C7327A">
        <w:rPr>
          <w:b/>
          <w:bCs/>
        </w:rPr>
        <w:t xml:space="preserve"> „Grozījumi Ministru kabineta </w:t>
      </w:r>
      <w:r w:rsidRPr="00C7327A">
        <w:rPr>
          <w:b/>
          <w:color w:val="000000"/>
          <w:shd w:val="clear" w:color="auto" w:fill="FFFFFF"/>
        </w:rPr>
        <w:t xml:space="preserve">2008.gada 5.februāra </w:t>
      </w:r>
      <w:r w:rsidRPr="00C7327A">
        <w:rPr>
          <w:b/>
          <w:bCs/>
        </w:rPr>
        <w:t>noteikumos Nr.58 „</w:t>
      </w:r>
      <w:r w:rsidRPr="00C7327A">
        <w:rPr>
          <w:b/>
          <w:bCs/>
          <w:color w:val="000000"/>
          <w:shd w:val="clear" w:color="auto" w:fill="FFFFFF"/>
        </w:rPr>
        <w:t>Noteikumi par</w:t>
      </w:r>
      <w:r w:rsidRPr="00C7327A">
        <w:rPr>
          <w:rStyle w:val="apple-converted-space"/>
          <w:b/>
          <w:bCs/>
          <w:color w:val="000000"/>
          <w:shd w:val="clear" w:color="auto" w:fill="FFFFFF"/>
        </w:rPr>
        <w:t> </w:t>
      </w:r>
      <w:proofErr w:type="spellStart"/>
      <w:r w:rsidRPr="00C7327A">
        <w:rPr>
          <w:b/>
          <w:bCs/>
          <w:i/>
          <w:iCs/>
          <w:color w:val="000000"/>
          <w:shd w:val="clear" w:color="auto" w:fill="FFFFFF"/>
        </w:rPr>
        <w:t>de</w:t>
      </w:r>
      <w:proofErr w:type="spellEnd"/>
      <w:r w:rsidRPr="00C7327A">
        <w:rPr>
          <w:b/>
          <w:bCs/>
          <w:i/>
          <w:iCs/>
          <w:color w:val="000000"/>
          <w:shd w:val="clear" w:color="auto" w:fill="FFFFFF"/>
        </w:rPr>
        <w:t xml:space="preserve"> </w:t>
      </w:r>
      <w:proofErr w:type="spellStart"/>
      <w:r w:rsidRPr="00C7327A">
        <w:rPr>
          <w:b/>
          <w:bCs/>
          <w:i/>
          <w:iCs/>
          <w:color w:val="000000"/>
          <w:shd w:val="clear" w:color="auto" w:fill="FFFFFF"/>
        </w:rPr>
        <w:t>minimis</w:t>
      </w:r>
      <w:proofErr w:type="spellEnd"/>
      <w:r w:rsidRPr="00C7327A">
        <w:rPr>
          <w:rStyle w:val="apple-converted-space"/>
          <w:b/>
          <w:bCs/>
          <w:color w:val="000000"/>
          <w:shd w:val="clear" w:color="auto" w:fill="FFFFFF"/>
        </w:rPr>
        <w:t> </w:t>
      </w:r>
      <w:r w:rsidRPr="00C7327A">
        <w:rPr>
          <w:b/>
          <w:bCs/>
          <w:color w:val="000000"/>
          <w:shd w:val="clear" w:color="auto" w:fill="FFFFFF"/>
        </w:rPr>
        <w:t xml:space="preserve">atbalsta uzskaites un piešķiršanas kārtību un </w:t>
      </w:r>
      <w:proofErr w:type="spellStart"/>
      <w:r w:rsidRPr="00C7327A">
        <w:rPr>
          <w:b/>
          <w:bCs/>
          <w:i/>
          <w:iCs/>
          <w:color w:val="000000"/>
          <w:shd w:val="clear" w:color="auto" w:fill="FFFFFF"/>
        </w:rPr>
        <w:t>de</w:t>
      </w:r>
      <w:proofErr w:type="spellEnd"/>
      <w:r w:rsidRPr="00C7327A">
        <w:rPr>
          <w:b/>
          <w:bCs/>
          <w:i/>
          <w:iCs/>
          <w:color w:val="000000"/>
          <w:shd w:val="clear" w:color="auto" w:fill="FFFFFF"/>
        </w:rPr>
        <w:t xml:space="preserve"> </w:t>
      </w:r>
      <w:proofErr w:type="spellStart"/>
      <w:r w:rsidRPr="00C7327A">
        <w:rPr>
          <w:b/>
          <w:bCs/>
          <w:i/>
          <w:iCs/>
          <w:color w:val="000000"/>
          <w:shd w:val="clear" w:color="auto" w:fill="FFFFFF"/>
        </w:rPr>
        <w:t>minimis</w:t>
      </w:r>
      <w:proofErr w:type="spellEnd"/>
      <w:r w:rsidRPr="00C7327A">
        <w:rPr>
          <w:rStyle w:val="apple-converted-space"/>
          <w:b/>
          <w:bCs/>
          <w:color w:val="000000"/>
          <w:shd w:val="clear" w:color="auto" w:fill="FFFFFF"/>
        </w:rPr>
        <w:t> </w:t>
      </w:r>
      <w:r w:rsidRPr="00C7327A">
        <w:rPr>
          <w:b/>
          <w:bCs/>
          <w:color w:val="000000"/>
          <w:shd w:val="clear" w:color="auto" w:fill="FFFFFF"/>
        </w:rPr>
        <w:t>atbalsta uzskaites veidlapu paraugiem</w:t>
      </w:r>
      <w:r w:rsidRPr="00C7327A">
        <w:rPr>
          <w:b/>
          <w:bCs/>
        </w:rPr>
        <w:t>””</w:t>
      </w:r>
      <w:bookmarkEnd w:id="0"/>
      <w:bookmarkEnd w:id="1"/>
      <w:r w:rsidRPr="00C7327A">
        <w:rPr>
          <w:b/>
          <w:bCs/>
        </w:rPr>
        <w:t xml:space="preserve"> </w:t>
      </w:r>
      <w:r w:rsidR="00BD71F6" w:rsidRPr="00C7327A">
        <w:rPr>
          <w:b/>
          <w:bCs/>
        </w:rPr>
        <w:t>sākotnējās ietekmes novērtējuma ziņojums (anotācija)</w:t>
      </w:r>
      <w:bookmarkEnd w:id="2"/>
      <w:bookmarkEnd w:id="3"/>
    </w:p>
    <w:p w:rsidR="00BD71F6" w:rsidRPr="009E4776" w:rsidRDefault="00BD71F6" w:rsidP="00BD71F6">
      <w:pPr>
        <w:ind w:left="720"/>
        <w:jc w:val="center"/>
        <w:rPr>
          <w:b/>
          <w:bCs/>
          <w:iCs/>
          <w:sz w:val="18"/>
          <w:szCs w:val="18"/>
        </w:rPr>
      </w:pPr>
    </w:p>
    <w:tbl>
      <w:tblPr>
        <w:tblW w:w="937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21"/>
        <w:gridCol w:w="3426"/>
        <w:gridCol w:w="5128"/>
      </w:tblGrid>
      <w:tr w:rsidR="00BD71F6" w:rsidRPr="00C7327A" w:rsidTr="004A1F1C">
        <w:trPr>
          <w:tblCellSpacing w:w="0" w:type="dxa"/>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BD71F6" w:rsidRPr="00C7327A" w:rsidRDefault="00BD71F6" w:rsidP="00F90F73">
            <w:pPr>
              <w:jc w:val="center"/>
              <w:rPr>
                <w:b/>
                <w:sz w:val="22"/>
                <w:szCs w:val="22"/>
              </w:rPr>
            </w:pPr>
            <w:r w:rsidRPr="00C7327A">
              <w:rPr>
                <w:b/>
                <w:bCs/>
                <w:sz w:val="22"/>
                <w:szCs w:val="22"/>
              </w:rPr>
              <w:t>I. Tiesību akta projekta izstrādes nepieciešamība</w:t>
            </w:r>
          </w:p>
        </w:tc>
      </w:tr>
      <w:tr w:rsidR="00BD71F6" w:rsidRPr="00C7327A" w:rsidTr="004A1F1C">
        <w:trPr>
          <w:trHeight w:val="615"/>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1.</w:t>
            </w:r>
          </w:p>
        </w:tc>
        <w:tc>
          <w:tcPr>
            <w:tcW w:w="3426"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Pamatojums</w:t>
            </w:r>
          </w:p>
        </w:tc>
        <w:tc>
          <w:tcPr>
            <w:tcW w:w="5128" w:type="dxa"/>
            <w:tcBorders>
              <w:top w:val="outset" w:sz="6" w:space="0" w:color="auto"/>
              <w:left w:val="outset" w:sz="6" w:space="0" w:color="auto"/>
              <w:bottom w:val="outset" w:sz="6" w:space="0" w:color="auto"/>
              <w:right w:val="outset" w:sz="6" w:space="0" w:color="auto"/>
            </w:tcBorders>
          </w:tcPr>
          <w:p w:rsidR="00BD71F6" w:rsidRPr="00C7327A" w:rsidRDefault="00791D3B" w:rsidP="0012250A">
            <w:pPr>
              <w:pStyle w:val="ListParagraph"/>
              <w:ind w:left="0"/>
              <w:jc w:val="both"/>
              <w:rPr>
                <w:sz w:val="22"/>
                <w:szCs w:val="22"/>
              </w:rPr>
            </w:pPr>
            <w:r w:rsidRPr="00C7327A">
              <w:rPr>
                <w:sz w:val="22"/>
                <w:szCs w:val="22"/>
              </w:rPr>
              <w:t>Ministru kabin</w:t>
            </w:r>
            <w:r w:rsidR="0012250A" w:rsidRPr="00C7327A">
              <w:rPr>
                <w:sz w:val="22"/>
                <w:szCs w:val="22"/>
              </w:rPr>
              <w:t>eta 2012.gada 27.jūnija rīkojums</w:t>
            </w:r>
            <w:r w:rsidRPr="00C7327A">
              <w:rPr>
                <w:sz w:val="22"/>
                <w:szCs w:val="22"/>
              </w:rPr>
              <w:t xml:space="preserve"> Nr.282 „Par ”Koncepciju par normatīvo aktu sakārtošanu sais</w:t>
            </w:r>
            <w:r w:rsidR="00CB527C" w:rsidRPr="00C7327A">
              <w:rPr>
                <w:sz w:val="22"/>
                <w:szCs w:val="22"/>
              </w:rPr>
              <w:t>tībā ar eiro ieviešanu Latvijā”</w:t>
            </w:r>
            <w:r w:rsidR="00EB6834" w:rsidRPr="00C7327A">
              <w:rPr>
                <w:sz w:val="22"/>
                <w:szCs w:val="22"/>
              </w:rPr>
              <w:t xml:space="preserve"> 7.1.apakšpunkts</w:t>
            </w:r>
            <w:r w:rsidR="00CB527C" w:rsidRPr="00C7327A">
              <w:rPr>
                <w:sz w:val="22"/>
                <w:szCs w:val="22"/>
              </w:rPr>
              <w:t>;</w:t>
            </w:r>
          </w:p>
          <w:p w:rsidR="00CB527C" w:rsidRPr="00C7327A" w:rsidRDefault="00CB527C" w:rsidP="0012250A">
            <w:pPr>
              <w:pStyle w:val="ListParagraph"/>
              <w:ind w:left="0"/>
              <w:jc w:val="both"/>
              <w:rPr>
                <w:sz w:val="22"/>
                <w:szCs w:val="22"/>
              </w:rPr>
            </w:pPr>
          </w:p>
          <w:p w:rsidR="00CB527C" w:rsidRPr="00C7327A" w:rsidRDefault="00CB527C" w:rsidP="0012250A">
            <w:pPr>
              <w:pStyle w:val="ListParagraph"/>
              <w:ind w:left="0"/>
              <w:jc w:val="both"/>
              <w:rPr>
                <w:sz w:val="22"/>
                <w:szCs w:val="22"/>
              </w:rPr>
            </w:pPr>
            <w:proofErr w:type="spellStart"/>
            <w:r w:rsidRPr="00C7327A">
              <w:rPr>
                <w:i/>
                <w:sz w:val="22"/>
                <w:szCs w:val="22"/>
              </w:rPr>
              <w:t>Euro</w:t>
            </w:r>
            <w:proofErr w:type="spellEnd"/>
            <w:r w:rsidRPr="00C7327A">
              <w:rPr>
                <w:i/>
                <w:sz w:val="22"/>
                <w:szCs w:val="22"/>
              </w:rPr>
              <w:t xml:space="preserve"> </w:t>
            </w:r>
            <w:r w:rsidRPr="00C7327A">
              <w:rPr>
                <w:sz w:val="22"/>
                <w:szCs w:val="22"/>
              </w:rPr>
              <w:t>ieviešanas kārtības likuma 30.panta pirmā daļa;</w:t>
            </w:r>
          </w:p>
          <w:p w:rsidR="00CB527C" w:rsidRPr="00C7327A" w:rsidRDefault="00CB527C" w:rsidP="0012250A">
            <w:pPr>
              <w:pStyle w:val="ListParagraph"/>
              <w:ind w:left="0"/>
              <w:jc w:val="both"/>
              <w:rPr>
                <w:sz w:val="22"/>
                <w:szCs w:val="22"/>
              </w:rPr>
            </w:pPr>
          </w:p>
          <w:p w:rsidR="00CB527C" w:rsidRPr="00C7327A" w:rsidRDefault="00CB527C" w:rsidP="0012250A">
            <w:pPr>
              <w:pStyle w:val="ListParagraph"/>
              <w:ind w:left="0"/>
              <w:jc w:val="both"/>
              <w:rPr>
                <w:sz w:val="22"/>
                <w:szCs w:val="22"/>
              </w:rPr>
            </w:pPr>
            <w:r w:rsidRPr="00C7327A">
              <w:rPr>
                <w:sz w:val="22"/>
                <w:szCs w:val="22"/>
              </w:rPr>
              <w:t xml:space="preserve">Valsts sekretāres 2012.gada 19.decembra rezolūcijas „Par Latvijas Nacionālo </w:t>
            </w:r>
            <w:proofErr w:type="spellStart"/>
            <w:r w:rsidRPr="00C7327A">
              <w:rPr>
                <w:i/>
                <w:sz w:val="22"/>
                <w:szCs w:val="22"/>
              </w:rPr>
              <w:t>euro</w:t>
            </w:r>
            <w:proofErr w:type="spellEnd"/>
            <w:r w:rsidRPr="00C7327A">
              <w:rPr>
                <w:sz w:val="22"/>
                <w:szCs w:val="22"/>
              </w:rPr>
              <w:t xml:space="preserve"> ieviešanu” 3.</w:t>
            </w:r>
            <w:r w:rsidR="006B38A0" w:rsidRPr="00C7327A">
              <w:rPr>
                <w:sz w:val="22"/>
                <w:szCs w:val="22"/>
              </w:rPr>
              <w:t xml:space="preserve"> </w:t>
            </w:r>
            <w:r w:rsidRPr="00C7327A">
              <w:rPr>
                <w:sz w:val="22"/>
                <w:szCs w:val="22"/>
              </w:rPr>
              <w:t>un 6.</w:t>
            </w:r>
            <w:r w:rsidR="006B38A0" w:rsidRPr="00C7327A">
              <w:rPr>
                <w:sz w:val="22"/>
                <w:szCs w:val="22"/>
              </w:rPr>
              <w:t xml:space="preserve"> punkts</w:t>
            </w:r>
            <w:r w:rsidRPr="00C7327A">
              <w:rPr>
                <w:sz w:val="22"/>
                <w:szCs w:val="22"/>
              </w:rPr>
              <w:t>.</w:t>
            </w:r>
          </w:p>
        </w:tc>
      </w:tr>
      <w:tr w:rsidR="00BD71F6" w:rsidRPr="00C7327A" w:rsidTr="004A1F1C">
        <w:trPr>
          <w:trHeight w:val="472"/>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2.</w:t>
            </w:r>
          </w:p>
        </w:tc>
        <w:tc>
          <w:tcPr>
            <w:tcW w:w="3426"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Pašreizējā situācija un problēmas</w:t>
            </w:r>
          </w:p>
        </w:tc>
        <w:tc>
          <w:tcPr>
            <w:tcW w:w="5128" w:type="dxa"/>
            <w:tcBorders>
              <w:top w:val="outset" w:sz="6" w:space="0" w:color="auto"/>
              <w:left w:val="outset" w:sz="6" w:space="0" w:color="auto"/>
              <w:bottom w:val="outset" w:sz="6" w:space="0" w:color="auto"/>
              <w:right w:val="outset" w:sz="6" w:space="0" w:color="auto"/>
            </w:tcBorders>
          </w:tcPr>
          <w:p w:rsidR="006B38A0" w:rsidRPr="00C7327A" w:rsidRDefault="006B38A0" w:rsidP="00EB6834">
            <w:pPr>
              <w:jc w:val="both"/>
              <w:rPr>
                <w:bCs/>
                <w:iCs/>
                <w:sz w:val="22"/>
                <w:szCs w:val="22"/>
                <w:lang w:eastAsia="en-US"/>
              </w:rPr>
            </w:pPr>
            <w:r w:rsidRPr="00C7327A">
              <w:rPr>
                <w:bCs/>
                <w:iCs/>
                <w:sz w:val="22"/>
                <w:szCs w:val="22"/>
                <w:lang w:eastAsia="en-US"/>
              </w:rPr>
              <w:t xml:space="preserve">Ņemot vērā, ka pēc iestāšanās </w:t>
            </w:r>
            <w:proofErr w:type="spellStart"/>
            <w:r w:rsidRPr="00C7327A">
              <w:rPr>
                <w:bCs/>
                <w:i/>
                <w:iCs/>
                <w:sz w:val="22"/>
                <w:szCs w:val="22"/>
                <w:lang w:eastAsia="en-US"/>
              </w:rPr>
              <w:t>euro</w:t>
            </w:r>
            <w:proofErr w:type="spellEnd"/>
            <w:r w:rsidRPr="00C7327A">
              <w:rPr>
                <w:bCs/>
                <w:iCs/>
                <w:sz w:val="22"/>
                <w:szCs w:val="22"/>
                <w:lang w:eastAsia="en-US"/>
              </w:rPr>
              <w:t xml:space="preserve"> zonā, likumīgais maksāšanas līdzeklis būs nevis lats, bet </w:t>
            </w:r>
            <w:proofErr w:type="spellStart"/>
            <w:r w:rsidRPr="00C7327A">
              <w:rPr>
                <w:bCs/>
                <w:i/>
                <w:iCs/>
                <w:sz w:val="22"/>
                <w:szCs w:val="22"/>
                <w:lang w:eastAsia="en-US"/>
              </w:rPr>
              <w:t>euro</w:t>
            </w:r>
            <w:proofErr w:type="spellEnd"/>
            <w:r w:rsidRPr="00C7327A">
              <w:rPr>
                <w:bCs/>
                <w:iCs/>
                <w:sz w:val="22"/>
                <w:szCs w:val="22"/>
                <w:lang w:eastAsia="en-US"/>
              </w:rPr>
              <w:t>,</w:t>
            </w:r>
            <w:r w:rsidRPr="00C7327A">
              <w:rPr>
                <w:bCs/>
                <w:sz w:val="22"/>
                <w:szCs w:val="22"/>
              </w:rPr>
              <w:t xml:space="preserve"> </w:t>
            </w:r>
            <w:r w:rsidRPr="00C7327A">
              <w:rPr>
                <w:bCs/>
                <w:iCs/>
                <w:sz w:val="22"/>
                <w:szCs w:val="22"/>
                <w:lang w:eastAsia="en-US"/>
              </w:rPr>
              <w:t xml:space="preserve">lai nodrošinātu </w:t>
            </w:r>
            <w:r w:rsidRPr="00C7327A">
              <w:rPr>
                <w:bCs/>
                <w:sz w:val="22"/>
                <w:szCs w:val="22"/>
              </w:rPr>
              <w:t xml:space="preserve">Ministru kabineta </w:t>
            </w:r>
            <w:r w:rsidRPr="00C7327A">
              <w:rPr>
                <w:color w:val="000000"/>
                <w:sz w:val="22"/>
                <w:szCs w:val="22"/>
                <w:shd w:val="clear" w:color="auto" w:fill="FFFFFF"/>
              </w:rPr>
              <w:t xml:space="preserve">2008.gada 5.februāra </w:t>
            </w:r>
            <w:r w:rsidRPr="00C7327A">
              <w:rPr>
                <w:bCs/>
                <w:sz w:val="22"/>
                <w:szCs w:val="22"/>
              </w:rPr>
              <w:t>noteikumu Nr.58 „</w:t>
            </w:r>
            <w:r w:rsidRPr="00C7327A">
              <w:rPr>
                <w:bCs/>
                <w:color w:val="000000"/>
                <w:sz w:val="22"/>
                <w:szCs w:val="22"/>
                <w:shd w:val="clear" w:color="auto" w:fill="FFFFFF"/>
              </w:rPr>
              <w:t>Noteikumi par</w:t>
            </w:r>
            <w:r w:rsidRPr="00C7327A">
              <w:rPr>
                <w:rStyle w:val="apple-converted-space"/>
                <w:bCs/>
                <w:color w:val="000000"/>
                <w:sz w:val="22"/>
                <w:szCs w:val="22"/>
                <w:shd w:val="clear" w:color="auto" w:fill="FFFFFF"/>
              </w:rPr>
              <w:t> </w:t>
            </w:r>
            <w:proofErr w:type="spellStart"/>
            <w:r w:rsidRPr="00C7327A">
              <w:rPr>
                <w:bCs/>
                <w:i/>
                <w:iCs/>
                <w:color w:val="000000"/>
                <w:sz w:val="22"/>
                <w:szCs w:val="22"/>
                <w:shd w:val="clear" w:color="auto" w:fill="FFFFFF"/>
              </w:rPr>
              <w:t>de</w:t>
            </w:r>
            <w:proofErr w:type="spellEnd"/>
            <w:r w:rsidRPr="00C7327A">
              <w:rPr>
                <w:bCs/>
                <w:i/>
                <w:iCs/>
                <w:color w:val="000000"/>
                <w:sz w:val="22"/>
                <w:szCs w:val="22"/>
                <w:shd w:val="clear" w:color="auto" w:fill="FFFFFF"/>
              </w:rPr>
              <w:t xml:space="preserve"> </w:t>
            </w:r>
            <w:proofErr w:type="spellStart"/>
            <w:r w:rsidRPr="00C7327A">
              <w:rPr>
                <w:bCs/>
                <w:i/>
                <w:iCs/>
                <w:color w:val="000000"/>
                <w:sz w:val="22"/>
                <w:szCs w:val="22"/>
                <w:shd w:val="clear" w:color="auto" w:fill="FFFFFF"/>
              </w:rPr>
              <w:t>minimis</w:t>
            </w:r>
            <w:proofErr w:type="spellEnd"/>
            <w:r w:rsidRPr="00C7327A">
              <w:rPr>
                <w:rStyle w:val="apple-converted-space"/>
                <w:bCs/>
                <w:color w:val="000000"/>
                <w:sz w:val="22"/>
                <w:szCs w:val="22"/>
                <w:shd w:val="clear" w:color="auto" w:fill="FFFFFF"/>
              </w:rPr>
              <w:t> </w:t>
            </w:r>
            <w:r w:rsidRPr="00C7327A">
              <w:rPr>
                <w:bCs/>
                <w:color w:val="000000"/>
                <w:sz w:val="22"/>
                <w:szCs w:val="22"/>
                <w:shd w:val="clear" w:color="auto" w:fill="FFFFFF"/>
              </w:rPr>
              <w:t xml:space="preserve">atbalsta uzskaites un piešķiršanas kārtību un </w:t>
            </w:r>
            <w:proofErr w:type="spellStart"/>
            <w:r w:rsidRPr="00C7327A">
              <w:rPr>
                <w:bCs/>
                <w:i/>
                <w:iCs/>
                <w:color w:val="000000"/>
                <w:sz w:val="22"/>
                <w:szCs w:val="22"/>
                <w:shd w:val="clear" w:color="auto" w:fill="FFFFFF"/>
              </w:rPr>
              <w:t>de</w:t>
            </w:r>
            <w:proofErr w:type="spellEnd"/>
            <w:r w:rsidRPr="00C7327A">
              <w:rPr>
                <w:bCs/>
                <w:i/>
                <w:iCs/>
                <w:color w:val="000000"/>
                <w:sz w:val="22"/>
                <w:szCs w:val="22"/>
                <w:shd w:val="clear" w:color="auto" w:fill="FFFFFF"/>
              </w:rPr>
              <w:t xml:space="preserve"> </w:t>
            </w:r>
            <w:proofErr w:type="spellStart"/>
            <w:r w:rsidRPr="00C7327A">
              <w:rPr>
                <w:bCs/>
                <w:i/>
                <w:iCs/>
                <w:color w:val="000000"/>
                <w:sz w:val="22"/>
                <w:szCs w:val="22"/>
                <w:shd w:val="clear" w:color="auto" w:fill="FFFFFF"/>
              </w:rPr>
              <w:t>minimis</w:t>
            </w:r>
            <w:proofErr w:type="spellEnd"/>
            <w:r w:rsidRPr="00C7327A">
              <w:rPr>
                <w:rStyle w:val="apple-converted-space"/>
                <w:bCs/>
                <w:color w:val="000000"/>
                <w:sz w:val="22"/>
                <w:szCs w:val="22"/>
                <w:shd w:val="clear" w:color="auto" w:fill="FFFFFF"/>
              </w:rPr>
              <w:t> </w:t>
            </w:r>
            <w:r w:rsidRPr="00C7327A">
              <w:rPr>
                <w:bCs/>
                <w:color w:val="000000"/>
                <w:sz w:val="22"/>
                <w:szCs w:val="22"/>
                <w:shd w:val="clear" w:color="auto" w:fill="FFFFFF"/>
              </w:rPr>
              <w:t>atbalsta uzskaites veidlapu paraugiem</w:t>
            </w:r>
            <w:r w:rsidRPr="00C7327A">
              <w:rPr>
                <w:bCs/>
                <w:sz w:val="22"/>
                <w:szCs w:val="22"/>
              </w:rPr>
              <w:t>” (turpmāk – MK noteikumi)</w:t>
            </w:r>
            <w:r w:rsidRPr="00C7327A">
              <w:rPr>
                <w:sz w:val="22"/>
                <w:szCs w:val="22"/>
              </w:rPr>
              <w:t xml:space="preserve"> </w:t>
            </w:r>
            <w:r w:rsidRPr="00C7327A">
              <w:rPr>
                <w:bCs/>
                <w:iCs/>
                <w:sz w:val="22"/>
                <w:szCs w:val="22"/>
                <w:lang w:eastAsia="en-US"/>
              </w:rPr>
              <w:t xml:space="preserve">pielāgošanu </w:t>
            </w:r>
            <w:proofErr w:type="spellStart"/>
            <w:r w:rsidRPr="00C7327A">
              <w:rPr>
                <w:bCs/>
                <w:i/>
                <w:iCs/>
                <w:sz w:val="22"/>
                <w:szCs w:val="22"/>
                <w:lang w:eastAsia="en-US"/>
              </w:rPr>
              <w:t>euro</w:t>
            </w:r>
            <w:proofErr w:type="spellEnd"/>
            <w:r w:rsidRPr="00C7327A">
              <w:rPr>
                <w:bCs/>
                <w:iCs/>
                <w:sz w:val="22"/>
                <w:szCs w:val="22"/>
                <w:lang w:eastAsia="en-US"/>
              </w:rPr>
              <w:t xml:space="preserve"> ieviešanai Latvijā un korektu piemērošanu pēc </w:t>
            </w:r>
            <w:proofErr w:type="spellStart"/>
            <w:r w:rsidRPr="00C7327A">
              <w:rPr>
                <w:bCs/>
                <w:i/>
                <w:iCs/>
                <w:sz w:val="22"/>
                <w:szCs w:val="22"/>
                <w:lang w:eastAsia="en-US"/>
              </w:rPr>
              <w:t>euro</w:t>
            </w:r>
            <w:proofErr w:type="spellEnd"/>
            <w:r w:rsidRPr="00C7327A">
              <w:rPr>
                <w:bCs/>
                <w:iCs/>
                <w:sz w:val="22"/>
                <w:szCs w:val="22"/>
                <w:lang w:eastAsia="en-US"/>
              </w:rPr>
              <w:t xml:space="preserve"> ieviešanas, nepieciešams precizēt MK noteikumu</w:t>
            </w:r>
            <w:r w:rsidR="000809D4" w:rsidRPr="00C7327A">
              <w:rPr>
                <w:sz w:val="22"/>
                <w:szCs w:val="22"/>
              </w:rPr>
              <w:t xml:space="preserve"> 1. un 2.pielikuma redakcija</w:t>
            </w:r>
            <w:r w:rsidRPr="00C7327A">
              <w:rPr>
                <w:sz w:val="22"/>
                <w:szCs w:val="22"/>
              </w:rPr>
              <w:t>, kas</w:t>
            </w:r>
            <w:r w:rsidR="00D75987" w:rsidRPr="00C7327A">
              <w:rPr>
                <w:sz w:val="22"/>
                <w:szCs w:val="22"/>
              </w:rPr>
              <w:t xml:space="preserve"> paredz</w:t>
            </w:r>
            <w:r w:rsidR="00EB6834" w:rsidRPr="00C7327A">
              <w:rPr>
                <w:sz w:val="22"/>
                <w:szCs w:val="22"/>
              </w:rPr>
              <w:t xml:space="preserve"> atbalsta apmēru norādīt latos.</w:t>
            </w:r>
          </w:p>
        </w:tc>
      </w:tr>
      <w:tr w:rsidR="00BD71F6" w:rsidRPr="00C7327A" w:rsidTr="004A1F1C">
        <w:trPr>
          <w:trHeight w:val="547"/>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3.</w:t>
            </w:r>
          </w:p>
        </w:tc>
        <w:tc>
          <w:tcPr>
            <w:tcW w:w="3426"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Saistītie politikas ietekmes novērtējumi un pētījumi</w:t>
            </w:r>
          </w:p>
        </w:tc>
        <w:tc>
          <w:tcPr>
            <w:tcW w:w="5128"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Nav attiecināms.</w:t>
            </w:r>
          </w:p>
        </w:tc>
      </w:tr>
      <w:tr w:rsidR="00BD71F6" w:rsidRPr="00C7327A" w:rsidTr="004A1F1C">
        <w:trPr>
          <w:trHeight w:val="384"/>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4.</w:t>
            </w:r>
          </w:p>
        </w:tc>
        <w:tc>
          <w:tcPr>
            <w:tcW w:w="3426"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Tiesiskā regulējuma mērķis un būtība</w:t>
            </w:r>
          </w:p>
        </w:tc>
        <w:tc>
          <w:tcPr>
            <w:tcW w:w="5128" w:type="dxa"/>
            <w:tcBorders>
              <w:top w:val="outset" w:sz="6" w:space="0" w:color="auto"/>
              <w:left w:val="outset" w:sz="6" w:space="0" w:color="auto"/>
              <w:bottom w:val="outset" w:sz="6" w:space="0" w:color="auto"/>
              <w:right w:val="outset" w:sz="6" w:space="0" w:color="auto"/>
            </w:tcBorders>
            <w:hideMark/>
          </w:tcPr>
          <w:p w:rsidR="00D75987" w:rsidRPr="00C7327A" w:rsidRDefault="005F179E" w:rsidP="00350266">
            <w:pPr>
              <w:jc w:val="both"/>
              <w:rPr>
                <w:sz w:val="22"/>
                <w:szCs w:val="22"/>
              </w:rPr>
            </w:pPr>
            <w:r w:rsidRPr="00C7327A">
              <w:rPr>
                <w:sz w:val="22"/>
                <w:szCs w:val="22"/>
              </w:rPr>
              <w:t xml:space="preserve">Saistībā ar </w:t>
            </w:r>
            <w:proofErr w:type="spellStart"/>
            <w:r w:rsidR="002D01EB" w:rsidRPr="00C7327A">
              <w:rPr>
                <w:i/>
                <w:sz w:val="22"/>
                <w:szCs w:val="22"/>
              </w:rPr>
              <w:t>e</w:t>
            </w:r>
            <w:r w:rsidRPr="00C7327A">
              <w:rPr>
                <w:i/>
                <w:sz w:val="22"/>
                <w:szCs w:val="22"/>
              </w:rPr>
              <w:t>uro</w:t>
            </w:r>
            <w:proofErr w:type="spellEnd"/>
            <w:r w:rsidRPr="00C7327A">
              <w:rPr>
                <w:sz w:val="22"/>
                <w:szCs w:val="22"/>
              </w:rPr>
              <w:t xml:space="preserve"> ieviešanas </w:t>
            </w:r>
            <w:r w:rsidR="003E735E" w:rsidRPr="00C7327A">
              <w:rPr>
                <w:sz w:val="22"/>
                <w:szCs w:val="22"/>
              </w:rPr>
              <w:t>kārtības likuma</w:t>
            </w:r>
            <w:r w:rsidRPr="00C7327A">
              <w:rPr>
                <w:sz w:val="22"/>
                <w:szCs w:val="22"/>
              </w:rPr>
              <w:t xml:space="preserve"> pieņemšanu</w:t>
            </w:r>
            <w:r w:rsidR="002C0951" w:rsidRPr="00C7327A">
              <w:rPr>
                <w:sz w:val="22"/>
                <w:szCs w:val="22"/>
              </w:rPr>
              <w:t xml:space="preserve">, </w:t>
            </w:r>
            <w:r w:rsidR="00350266">
              <w:rPr>
                <w:sz w:val="22"/>
                <w:szCs w:val="22"/>
              </w:rPr>
              <w:t>noteikumu projektā</w:t>
            </w:r>
            <w:r w:rsidR="002C0951" w:rsidRPr="00C7327A">
              <w:rPr>
                <w:sz w:val="22"/>
                <w:szCs w:val="22"/>
              </w:rPr>
              <w:t xml:space="preserve"> paredzētie tehniskie precizējumi tiek veikti, lai nodrošinātu, ka normatīvais akts nesatur atsauces uz latiem</w:t>
            </w:r>
            <w:r w:rsidR="0012250A" w:rsidRPr="00C7327A">
              <w:rPr>
                <w:sz w:val="22"/>
                <w:szCs w:val="22"/>
              </w:rPr>
              <w:t>.</w:t>
            </w:r>
          </w:p>
        </w:tc>
      </w:tr>
      <w:tr w:rsidR="00BD71F6" w:rsidRPr="00C7327A" w:rsidTr="004A1F1C">
        <w:trPr>
          <w:trHeight w:val="208"/>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5.</w:t>
            </w:r>
          </w:p>
        </w:tc>
        <w:tc>
          <w:tcPr>
            <w:tcW w:w="3426"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Projekta izstrādē iesaistītās institūcijas</w:t>
            </w:r>
          </w:p>
        </w:tc>
        <w:tc>
          <w:tcPr>
            <w:tcW w:w="5128" w:type="dxa"/>
            <w:tcBorders>
              <w:top w:val="outset" w:sz="6" w:space="0" w:color="auto"/>
              <w:left w:val="outset" w:sz="6" w:space="0" w:color="auto"/>
              <w:bottom w:val="outset" w:sz="6" w:space="0" w:color="auto"/>
              <w:right w:val="outset" w:sz="6" w:space="0" w:color="auto"/>
            </w:tcBorders>
            <w:hideMark/>
          </w:tcPr>
          <w:p w:rsidR="00BD71F6" w:rsidRPr="00C7327A" w:rsidRDefault="00E7440C" w:rsidP="00F90F73">
            <w:pPr>
              <w:jc w:val="both"/>
              <w:rPr>
                <w:sz w:val="22"/>
                <w:szCs w:val="22"/>
              </w:rPr>
            </w:pPr>
            <w:r w:rsidRPr="00C7327A">
              <w:rPr>
                <w:sz w:val="22"/>
                <w:szCs w:val="22"/>
              </w:rPr>
              <w:t>Finanšu ministrija</w:t>
            </w:r>
          </w:p>
        </w:tc>
      </w:tr>
      <w:tr w:rsidR="00BD71F6" w:rsidRPr="00C7327A" w:rsidTr="004A1F1C">
        <w:trPr>
          <w:trHeight w:val="504"/>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6.</w:t>
            </w:r>
          </w:p>
        </w:tc>
        <w:tc>
          <w:tcPr>
            <w:tcW w:w="3426"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Iemesli, kādēļ netika nodrošināta sabiedrības līdzdalība</w:t>
            </w:r>
          </w:p>
        </w:tc>
        <w:tc>
          <w:tcPr>
            <w:tcW w:w="5128" w:type="dxa"/>
            <w:tcBorders>
              <w:top w:val="outset" w:sz="6" w:space="0" w:color="auto"/>
              <w:left w:val="outset" w:sz="6" w:space="0" w:color="auto"/>
              <w:bottom w:val="outset" w:sz="6" w:space="0" w:color="auto"/>
              <w:right w:val="outset" w:sz="6" w:space="0" w:color="auto"/>
            </w:tcBorders>
            <w:hideMark/>
          </w:tcPr>
          <w:p w:rsidR="00BD71F6" w:rsidRPr="00C7327A" w:rsidRDefault="00E7440C" w:rsidP="00E7440C">
            <w:pPr>
              <w:rPr>
                <w:sz w:val="22"/>
                <w:szCs w:val="22"/>
              </w:rPr>
            </w:pPr>
            <w:r w:rsidRPr="00C7327A">
              <w:rPr>
                <w:sz w:val="22"/>
                <w:szCs w:val="22"/>
              </w:rPr>
              <w:t>Ņemot vērā, ka tiek veikti tehniski grozījumi sabiedrības līdzdalība nav nepieciešama.</w:t>
            </w:r>
          </w:p>
        </w:tc>
      </w:tr>
      <w:tr w:rsidR="00BD71F6" w:rsidRPr="00C7327A" w:rsidTr="004A1F1C">
        <w:trPr>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7.</w:t>
            </w:r>
          </w:p>
        </w:tc>
        <w:tc>
          <w:tcPr>
            <w:tcW w:w="3426"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 Cita informācija</w:t>
            </w:r>
          </w:p>
        </w:tc>
        <w:tc>
          <w:tcPr>
            <w:tcW w:w="5128" w:type="dxa"/>
            <w:tcBorders>
              <w:top w:val="outset" w:sz="6" w:space="0" w:color="auto"/>
              <w:left w:val="outset" w:sz="6" w:space="0" w:color="auto"/>
              <w:bottom w:val="outset" w:sz="6" w:space="0" w:color="auto"/>
              <w:right w:val="outset" w:sz="6" w:space="0" w:color="auto"/>
            </w:tcBorders>
            <w:hideMark/>
          </w:tcPr>
          <w:p w:rsidR="00BD71F6" w:rsidRPr="00C7327A" w:rsidRDefault="00BD71F6" w:rsidP="00F90F73">
            <w:pPr>
              <w:rPr>
                <w:sz w:val="22"/>
                <w:szCs w:val="22"/>
              </w:rPr>
            </w:pPr>
            <w:r w:rsidRPr="00C7327A">
              <w:rPr>
                <w:sz w:val="22"/>
                <w:szCs w:val="22"/>
              </w:rPr>
              <w:t>Nav.</w:t>
            </w:r>
          </w:p>
        </w:tc>
      </w:tr>
    </w:tbl>
    <w:p w:rsidR="00BD71F6" w:rsidRPr="00C7327A" w:rsidRDefault="00BD71F6" w:rsidP="00BD71F6">
      <w:pPr>
        <w:rPr>
          <w:bCs/>
          <w:iCs/>
          <w:sz w:val="22"/>
          <w:szCs w:val="22"/>
        </w:rPr>
      </w:pPr>
    </w:p>
    <w:p w:rsidR="00914E6A" w:rsidRPr="00C7327A" w:rsidRDefault="00914E6A" w:rsidP="00BD71F6">
      <w:pPr>
        <w:rPr>
          <w:bCs/>
          <w:iCs/>
          <w:sz w:val="22"/>
          <w:szCs w:val="22"/>
        </w:rPr>
      </w:pPr>
      <w:r w:rsidRPr="00C7327A">
        <w:rPr>
          <w:i/>
          <w:iCs/>
          <w:color w:val="000000"/>
          <w:sz w:val="22"/>
          <w:szCs w:val="22"/>
          <w:shd w:val="clear" w:color="auto" w:fill="FFFFFF"/>
        </w:rPr>
        <w:t>Anotācijas III, IV, V, VI un VII sadaļa – projekts šīs jomas neskar.</w:t>
      </w:r>
    </w:p>
    <w:p w:rsidR="00BD71F6" w:rsidRDefault="00BD71F6" w:rsidP="00BD71F6">
      <w:pPr>
        <w:rPr>
          <w:bCs/>
          <w:iCs/>
          <w:sz w:val="22"/>
          <w:szCs w:val="22"/>
        </w:rPr>
      </w:pPr>
    </w:p>
    <w:p w:rsidR="000D7F0B" w:rsidRDefault="000D7F0B" w:rsidP="00BD71F6">
      <w:pPr>
        <w:rPr>
          <w:bCs/>
          <w:iCs/>
          <w:sz w:val="22"/>
          <w:szCs w:val="22"/>
        </w:rPr>
      </w:pPr>
    </w:p>
    <w:p w:rsidR="0008351D" w:rsidRPr="00C7327A" w:rsidRDefault="000D7F0B" w:rsidP="00BD71F6">
      <w:pPr>
        <w:rPr>
          <w:bCs/>
          <w:iCs/>
          <w:sz w:val="22"/>
          <w:szCs w:val="22"/>
        </w:rPr>
      </w:pPr>
      <w:r>
        <w:rPr>
          <w:bCs/>
          <w:iCs/>
          <w:sz w:val="22"/>
          <w:szCs w:val="22"/>
        </w:rPr>
        <w:t>Ministru prezidents</w:t>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t>V.Dombrovskis</w:t>
      </w:r>
    </w:p>
    <w:p w:rsidR="00BD71F6" w:rsidRPr="00C7327A" w:rsidRDefault="00BD71F6" w:rsidP="00BD71F6">
      <w:pPr>
        <w:rPr>
          <w:bCs/>
          <w:iCs/>
          <w:sz w:val="22"/>
          <w:szCs w:val="22"/>
        </w:rPr>
      </w:pPr>
    </w:p>
    <w:p w:rsidR="00B1791F" w:rsidRPr="00424849" w:rsidRDefault="00CF3C73" w:rsidP="00D44791">
      <w:pPr>
        <w:rPr>
          <w:sz w:val="22"/>
          <w:szCs w:val="22"/>
          <w:lang w:eastAsia="en-US"/>
        </w:rPr>
      </w:pPr>
      <w:r>
        <w:rPr>
          <w:sz w:val="22"/>
          <w:szCs w:val="22"/>
        </w:rPr>
        <w:t>Finanšu ministrs</w:t>
      </w:r>
      <w:r w:rsidR="00D44791" w:rsidRPr="00424849">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A.Vilks</w:t>
      </w:r>
      <w:r w:rsidR="00D44791" w:rsidRPr="00424849">
        <w:rPr>
          <w:sz w:val="22"/>
          <w:szCs w:val="22"/>
        </w:rPr>
        <w:br/>
      </w:r>
      <w:r w:rsidR="00D44791" w:rsidRPr="00424849">
        <w:rPr>
          <w:sz w:val="22"/>
          <w:szCs w:val="22"/>
        </w:rPr>
        <w:tab/>
      </w:r>
      <w:r w:rsidR="00D44791" w:rsidRPr="00424849">
        <w:rPr>
          <w:sz w:val="22"/>
          <w:szCs w:val="22"/>
        </w:rPr>
        <w:tab/>
      </w:r>
      <w:r w:rsidR="00D44791" w:rsidRPr="00424849">
        <w:rPr>
          <w:sz w:val="22"/>
          <w:szCs w:val="22"/>
        </w:rPr>
        <w:tab/>
      </w:r>
      <w:r w:rsidR="00D44791" w:rsidRPr="00424849">
        <w:rPr>
          <w:sz w:val="22"/>
          <w:szCs w:val="22"/>
        </w:rPr>
        <w:tab/>
      </w:r>
      <w:r w:rsidR="00D44791" w:rsidRPr="00424849">
        <w:rPr>
          <w:sz w:val="22"/>
          <w:szCs w:val="22"/>
        </w:rPr>
        <w:tab/>
      </w:r>
      <w:r w:rsidR="00D44791" w:rsidRPr="00424849">
        <w:rPr>
          <w:sz w:val="22"/>
          <w:szCs w:val="22"/>
        </w:rPr>
        <w:tab/>
      </w:r>
      <w:r w:rsidR="00D44791" w:rsidRPr="00424849">
        <w:rPr>
          <w:sz w:val="22"/>
          <w:szCs w:val="22"/>
        </w:rPr>
        <w:tab/>
      </w:r>
      <w:r w:rsidR="00D44791" w:rsidRPr="00424849">
        <w:rPr>
          <w:sz w:val="22"/>
          <w:szCs w:val="22"/>
        </w:rPr>
        <w:tab/>
      </w:r>
    </w:p>
    <w:p w:rsidR="00BD71F6" w:rsidRDefault="00BD71F6" w:rsidP="0012250A">
      <w:pPr>
        <w:jc w:val="both"/>
        <w:rPr>
          <w:sz w:val="28"/>
          <w:szCs w:val="28"/>
          <w:lang w:eastAsia="en-US"/>
        </w:rPr>
      </w:pPr>
    </w:p>
    <w:p w:rsidR="00D44791" w:rsidRDefault="00D44791" w:rsidP="0012250A">
      <w:pPr>
        <w:jc w:val="both"/>
        <w:rPr>
          <w:sz w:val="28"/>
          <w:szCs w:val="28"/>
          <w:lang w:eastAsia="en-US"/>
        </w:rPr>
      </w:pPr>
    </w:p>
    <w:p w:rsidR="0012250A" w:rsidRPr="00E334B0" w:rsidRDefault="008D156A" w:rsidP="0012250A">
      <w:pPr>
        <w:rPr>
          <w:sz w:val="20"/>
          <w:szCs w:val="20"/>
        </w:rPr>
      </w:pPr>
      <w:r>
        <w:rPr>
          <w:sz w:val="20"/>
          <w:szCs w:val="20"/>
        </w:rPr>
        <w:t>25</w:t>
      </w:r>
      <w:r w:rsidR="002770D6">
        <w:rPr>
          <w:sz w:val="20"/>
          <w:szCs w:val="20"/>
        </w:rPr>
        <w:t>.07</w:t>
      </w:r>
      <w:r w:rsidR="0012250A" w:rsidRPr="00E334B0">
        <w:rPr>
          <w:sz w:val="20"/>
          <w:szCs w:val="20"/>
        </w:rPr>
        <w:t>.2013 11.32</w:t>
      </w:r>
    </w:p>
    <w:p w:rsidR="0012250A" w:rsidRPr="00E334B0" w:rsidRDefault="00CF3C73" w:rsidP="0012250A">
      <w:pPr>
        <w:rPr>
          <w:sz w:val="20"/>
          <w:szCs w:val="20"/>
        </w:rPr>
      </w:pPr>
      <w:r>
        <w:rPr>
          <w:sz w:val="20"/>
          <w:szCs w:val="20"/>
        </w:rPr>
        <w:t>250</w:t>
      </w:r>
    </w:p>
    <w:p w:rsidR="0012250A" w:rsidRPr="00E334B0" w:rsidRDefault="0012250A" w:rsidP="0012250A">
      <w:pPr>
        <w:rPr>
          <w:sz w:val="20"/>
          <w:szCs w:val="20"/>
        </w:rPr>
      </w:pPr>
      <w:r w:rsidRPr="00E334B0">
        <w:rPr>
          <w:sz w:val="20"/>
          <w:szCs w:val="20"/>
        </w:rPr>
        <w:t>J.Fedosova</w:t>
      </w:r>
    </w:p>
    <w:p w:rsidR="0012250A" w:rsidRPr="00E334B0" w:rsidRDefault="0012250A" w:rsidP="0012250A">
      <w:pPr>
        <w:rPr>
          <w:sz w:val="20"/>
          <w:szCs w:val="20"/>
        </w:rPr>
      </w:pPr>
      <w:r w:rsidRPr="00E334B0">
        <w:rPr>
          <w:sz w:val="20"/>
          <w:szCs w:val="20"/>
        </w:rPr>
        <w:t xml:space="preserve">Finanšu ministrijas </w:t>
      </w:r>
      <w:r w:rsidRPr="00E334B0">
        <w:rPr>
          <w:sz w:val="20"/>
          <w:szCs w:val="20"/>
        </w:rPr>
        <w:br/>
        <w:t>Komercdarbības atbalsta kontroles departamenta</w:t>
      </w:r>
      <w:r w:rsidRPr="00E334B0">
        <w:rPr>
          <w:sz w:val="20"/>
          <w:szCs w:val="20"/>
        </w:rPr>
        <w:br/>
        <w:t xml:space="preserve">juriskonsulte </w:t>
      </w:r>
    </w:p>
    <w:p w:rsidR="0012250A" w:rsidRPr="00E334B0" w:rsidRDefault="0012250A" w:rsidP="0012250A">
      <w:pPr>
        <w:rPr>
          <w:sz w:val="20"/>
          <w:szCs w:val="20"/>
        </w:rPr>
      </w:pPr>
      <w:r w:rsidRPr="00E334B0">
        <w:rPr>
          <w:sz w:val="20"/>
          <w:szCs w:val="20"/>
        </w:rPr>
        <w:t>67095478, jevgenija.fedosova@fm.gov.lv</w:t>
      </w:r>
    </w:p>
    <w:p w:rsidR="00562D17" w:rsidRPr="00E334B0" w:rsidRDefault="0012250A">
      <w:pPr>
        <w:rPr>
          <w:sz w:val="20"/>
          <w:szCs w:val="20"/>
        </w:rPr>
      </w:pPr>
      <w:r w:rsidRPr="00E334B0">
        <w:rPr>
          <w:sz w:val="20"/>
          <w:szCs w:val="20"/>
        </w:rPr>
        <w:t>e-pasts: jevgenija.fedosova@fm.gov.lv</w:t>
      </w:r>
    </w:p>
    <w:sectPr w:rsidR="00562D17" w:rsidRPr="00E334B0" w:rsidSect="003225E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1134" w:left="1701"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EF" w:rsidRDefault="00DF45EF">
      <w:r>
        <w:separator/>
      </w:r>
    </w:p>
  </w:endnote>
  <w:endnote w:type="continuationSeparator" w:id="0">
    <w:p w:rsidR="00DF45EF" w:rsidRDefault="00D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DB" w:rsidRDefault="00F80CE4"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ADB" w:rsidRDefault="00DF45EF"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DB" w:rsidRPr="00296F1A" w:rsidRDefault="009C7AD6" w:rsidP="00296F1A">
    <w:pPr>
      <w:pStyle w:val="naislab"/>
      <w:spacing w:before="0" w:after="0"/>
      <w:jc w:val="both"/>
      <w:rPr>
        <w:sz w:val="20"/>
        <w:szCs w:val="20"/>
      </w:rPr>
    </w:pPr>
    <w:r>
      <w:rPr>
        <w:sz w:val="20"/>
        <w:szCs w:val="20"/>
      </w:rPr>
      <w:t>FManot_MKn_1406</w:t>
    </w:r>
    <w:r w:rsidR="00296F1A">
      <w:rPr>
        <w:sz w:val="20"/>
        <w:szCs w:val="20"/>
      </w:rPr>
      <w:t xml:space="preserve">13; Anotācija noteikumu </w:t>
    </w:r>
    <w:r w:rsidR="00296F1A" w:rsidRPr="0012250A">
      <w:rPr>
        <w:sz w:val="20"/>
        <w:szCs w:val="20"/>
      </w:rPr>
      <w:t xml:space="preserve">projektam </w:t>
    </w:r>
    <w:r w:rsidR="00296F1A" w:rsidRPr="0012250A">
      <w:rPr>
        <w:bCs/>
        <w:sz w:val="20"/>
        <w:szCs w:val="20"/>
      </w:rPr>
      <w:t xml:space="preserve">„Grozījumi Ministru kabineta </w:t>
    </w:r>
    <w:r w:rsidR="00296F1A" w:rsidRPr="0012250A">
      <w:rPr>
        <w:color w:val="000000"/>
        <w:sz w:val="20"/>
        <w:szCs w:val="20"/>
        <w:shd w:val="clear" w:color="auto" w:fill="FFFFFF"/>
      </w:rPr>
      <w:t xml:space="preserve">2008.gada 5.februāra </w:t>
    </w:r>
    <w:r w:rsidR="00296F1A" w:rsidRPr="0012250A">
      <w:rPr>
        <w:bCs/>
        <w:sz w:val="20"/>
        <w:szCs w:val="20"/>
      </w:rPr>
      <w:t>noteikumos Nr.58 „</w:t>
    </w:r>
    <w:r w:rsidR="00296F1A" w:rsidRPr="0012250A">
      <w:rPr>
        <w:bCs/>
        <w:color w:val="000000"/>
        <w:sz w:val="20"/>
        <w:szCs w:val="20"/>
        <w:shd w:val="clear" w:color="auto" w:fill="FFFFFF"/>
      </w:rPr>
      <w:t>Noteikumi par</w:t>
    </w:r>
    <w:r w:rsidR="00296F1A" w:rsidRPr="0012250A">
      <w:rPr>
        <w:rStyle w:val="apple-converted-space"/>
        <w:bCs/>
        <w:color w:val="000000"/>
        <w:sz w:val="20"/>
        <w:szCs w:val="20"/>
        <w:shd w:val="clear" w:color="auto" w:fill="FFFFFF"/>
      </w:rPr>
      <w:t> </w:t>
    </w:r>
    <w:proofErr w:type="spellStart"/>
    <w:r w:rsidR="00296F1A" w:rsidRPr="0012250A">
      <w:rPr>
        <w:bCs/>
        <w:i/>
        <w:iCs/>
        <w:color w:val="000000"/>
        <w:sz w:val="20"/>
        <w:szCs w:val="20"/>
        <w:shd w:val="clear" w:color="auto" w:fill="FFFFFF"/>
      </w:rPr>
      <w:t>de</w:t>
    </w:r>
    <w:proofErr w:type="spellEnd"/>
    <w:r w:rsidR="00296F1A" w:rsidRPr="0012250A">
      <w:rPr>
        <w:bCs/>
        <w:i/>
        <w:iCs/>
        <w:color w:val="000000"/>
        <w:sz w:val="20"/>
        <w:szCs w:val="20"/>
        <w:shd w:val="clear" w:color="auto" w:fill="FFFFFF"/>
      </w:rPr>
      <w:t xml:space="preserve"> </w:t>
    </w:r>
    <w:proofErr w:type="spellStart"/>
    <w:r w:rsidR="00296F1A" w:rsidRPr="0012250A">
      <w:rPr>
        <w:bCs/>
        <w:i/>
        <w:iCs/>
        <w:color w:val="000000"/>
        <w:sz w:val="20"/>
        <w:szCs w:val="20"/>
        <w:shd w:val="clear" w:color="auto" w:fill="FFFFFF"/>
      </w:rPr>
      <w:t>minimis</w:t>
    </w:r>
    <w:proofErr w:type="spellEnd"/>
    <w:r w:rsidR="00296F1A" w:rsidRPr="0012250A">
      <w:rPr>
        <w:rStyle w:val="apple-converted-space"/>
        <w:bCs/>
        <w:color w:val="000000"/>
        <w:sz w:val="20"/>
        <w:szCs w:val="20"/>
        <w:shd w:val="clear" w:color="auto" w:fill="FFFFFF"/>
      </w:rPr>
      <w:t> </w:t>
    </w:r>
    <w:r w:rsidR="00296F1A" w:rsidRPr="0012250A">
      <w:rPr>
        <w:bCs/>
        <w:color w:val="000000"/>
        <w:sz w:val="20"/>
        <w:szCs w:val="20"/>
        <w:shd w:val="clear" w:color="auto" w:fill="FFFFFF"/>
      </w:rPr>
      <w:t xml:space="preserve">atbalsta uzskaites un piešķiršanas kārtību un </w:t>
    </w:r>
    <w:proofErr w:type="spellStart"/>
    <w:r w:rsidR="00296F1A" w:rsidRPr="0012250A">
      <w:rPr>
        <w:bCs/>
        <w:i/>
        <w:iCs/>
        <w:color w:val="000000"/>
        <w:sz w:val="20"/>
        <w:szCs w:val="20"/>
        <w:shd w:val="clear" w:color="auto" w:fill="FFFFFF"/>
      </w:rPr>
      <w:t>de</w:t>
    </w:r>
    <w:proofErr w:type="spellEnd"/>
    <w:r w:rsidR="00296F1A" w:rsidRPr="0012250A">
      <w:rPr>
        <w:bCs/>
        <w:i/>
        <w:iCs/>
        <w:color w:val="000000"/>
        <w:sz w:val="20"/>
        <w:szCs w:val="20"/>
        <w:shd w:val="clear" w:color="auto" w:fill="FFFFFF"/>
      </w:rPr>
      <w:t xml:space="preserve"> </w:t>
    </w:r>
    <w:proofErr w:type="spellStart"/>
    <w:r w:rsidR="00296F1A" w:rsidRPr="0012250A">
      <w:rPr>
        <w:bCs/>
        <w:i/>
        <w:iCs/>
        <w:color w:val="000000"/>
        <w:sz w:val="20"/>
        <w:szCs w:val="20"/>
        <w:shd w:val="clear" w:color="auto" w:fill="FFFFFF"/>
      </w:rPr>
      <w:t>minimis</w:t>
    </w:r>
    <w:proofErr w:type="spellEnd"/>
    <w:r w:rsidR="00296F1A" w:rsidRPr="0012250A">
      <w:rPr>
        <w:rStyle w:val="apple-converted-space"/>
        <w:bCs/>
        <w:color w:val="000000"/>
        <w:sz w:val="20"/>
        <w:szCs w:val="20"/>
        <w:shd w:val="clear" w:color="auto" w:fill="FFFFFF"/>
      </w:rPr>
      <w:t> </w:t>
    </w:r>
    <w:r w:rsidR="00296F1A" w:rsidRPr="0012250A">
      <w:rPr>
        <w:bCs/>
        <w:color w:val="000000"/>
        <w:sz w:val="20"/>
        <w:szCs w:val="20"/>
        <w:shd w:val="clear" w:color="auto" w:fill="FFFFFF"/>
      </w:rPr>
      <w:t>atbalsta uzskaites veidlapu paraugiem</w:t>
    </w:r>
    <w:r w:rsidR="00296F1A" w:rsidRPr="0012250A">
      <w:rPr>
        <w:bCs/>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DB" w:rsidRPr="00B1791F" w:rsidRDefault="00860148" w:rsidP="004864E2">
    <w:pPr>
      <w:pStyle w:val="naislab"/>
      <w:spacing w:before="0" w:after="0"/>
      <w:jc w:val="both"/>
      <w:rPr>
        <w:sz w:val="20"/>
        <w:szCs w:val="20"/>
      </w:rPr>
    </w:pPr>
    <w:r>
      <w:rPr>
        <w:sz w:val="20"/>
        <w:szCs w:val="20"/>
      </w:rPr>
      <w:t>FManot_MKn_25</w:t>
    </w:r>
    <w:r w:rsidR="002770D6">
      <w:rPr>
        <w:sz w:val="20"/>
        <w:szCs w:val="20"/>
      </w:rPr>
      <w:t>07</w:t>
    </w:r>
    <w:r w:rsidR="00B1791F">
      <w:rPr>
        <w:sz w:val="20"/>
        <w:szCs w:val="20"/>
      </w:rPr>
      <w:t xml:space="preserve">13; </w:t>
    </w:r>
    <w:r w:rsidR="00F80CE4">
      <w:rPr>
        <w:sz w:val="20"/>
        <w:szCs w:val="20"/>
      </w:rPr>
      <w:t xml:space="preserve">Anotācija </w:t>
    </w:r>
    <w:r w:rsidR="0012250A">
      <w:rPr>
        <w:sz w:val="20"/>
        <w:szCs w:val="20"/>
      </w:rPr>
      <w:t xml:space="preserve">noteikumu </w:t>
    </w:r>
    <w:r w:rsidR="0012250A" w:rsidRPr="0012250A">
      <w:rPr>
        <w:sz w:val="20"/>
        <w:szCs w:val="20"/>
      </w:rPr>
      <w:t xml:space="preserve">projektam </w:t>
    </w:r>
    <w:r w:rsidR="0012250A" w:rsidRPr="0012250A">
      <w:rPr>
        <w:bCs/>
        <w:sz w:val="20"/>
        <w:szCs w:val="20"/>
      </w:rPr>
      <w:t xml:space="preserve">„Grozījumi Ministru kabineta </w:t>
    </w:r>
    <w:r w:rsidR="0012250A" w:rsidRPr="0012250A">
      <w:rPr>
        <w:color w:val="000000"/>
        <w:sz w:val="20"/>
        <w:szCs w:val="20"/>
        <w:shd w:val="clear" w:color="auto" w:fill="FFFFFF"/>
      </w:rPr>
      <w:t xml:space="preserve">2008.gada 5.februāra </w:t>
    </w:r>
    <w:r w:rsidR="0012250A" w:rsidRPr="0012250A">
      <w:rPr>
        <w:bCs/>
        <w:sz w:val="20"/>
        <w:szCs w:val="20"/>
      </w:rPr>
      <w:t>noteikumos Nr.58 „</w:t>
    </w:r>
    <w:r w:rsidR="0012250A" w:rsidRPr="0012250A">
      <w:rPr>
        <w:bCs/>
        <w:color w:val="000000"/>
        <w:sz w:val="20"/>
        <w:szCs w:val="20"/>
        <w:shd w:val="clear" w:color="auto" w:fill="FFFFFF"/>
      </w:rPr>
      <w:t>Noteikumi par</w:t>
    </w:r>
    <w:r w:rsidR="0012250A" w:rsidRPr="0012250A">
      <w:rPr>
        <w:rStyle w:val="apple-converted-space"/>
        <w:bCs/>
        <w:color w:val="000000"/>
        <w:sz w:val="20"/>
        <w:szCs w:val="20"/>
        <w:shd w:val="clear" w:color="auto" w:fill="FFFFFF"/>
      </w:rPr>
      <w:t> </w:t>
    </w:r>
    <w:proofErr w:type="spellStart"/>
    <w:r w:rsidR="0012250A" w:rsidRPr="0012250A">
      <w:rPr>
        <w:bCs/>
        <w:i/>
        <w:iCs/>
        <w:color w:val="000000"/>
        <w:sz w:val="20"/>
        <w:szCs w:val="20"/>
        <w:shd w:val="clear" w:color="auto" w:fill="FFFFFF"/>
      </w:rPr>
      <w:t>de</w:t>
    </w:r>
    <w:proofErr w:type="spellEnd"/>
    <w:r w:rsidR="0012250A" w:rsidRPr="0012250A">
      <w:rPr>
        <w:bCs/>
        <w:i/>
        <w:iCs/>
        <w:color w:val="000000"/>
        <w:sz w:val="20"/>
        <w:szCs w:val="20"/>
        <w:shd w:val="clear" w:color="auto" w:fill="FFFFFF"/>
      </w:rPr>
      <w:t xml:space="preserve"> </w:t>
    </w:r>
    <w:proofErr w:type="spellStart"/>
    <w:r w:rsidR="0012250A" w:rsidRPr="0012250A">
      <w:rPr>
        <w:bCs/>
        <w:i/>
        <w:iCs/>
        <w:color w:val="000000"/>
        <w:sz w:val="20"/>
        <w:szCs w:val="20"/>
        <w:shd w:val="clear" w:color="auto" w:fill="FFFFFF"/>
      </w:rPr>
      <w:t>minimis</w:t>
    </w:r>
    <w:proofErr w:type="spellEnd"/>
    <w:r w:rsidR="0012250A" w:rsidRPr="0012250A">
      <w:rPr>
        <w:rStyle w:val="apple-converted-space"/>
        <w:bCs/>
        <w:color w:val="000000"/>
        <w:sz w:val="20"/>
        <w:szCs w:val="20"/>
        <w:shd w:val="clear" w:color="auto" w:fill="FFFFFF"/>
      </w:rPr>
      <w:t> </w:t>
    </w:r>
    <w:r w:rsidR="0012250A" w:rsidRPr="0012250A">
      <w:rPr>
        <w:bCs/>
        <w:color w:val="000000"/>
        <w:sz w:val="20"/>
        <w:szCs w:val="20"/>
        <w:shd w:val="clear" w:color="auto" w:fill="FFFFFF"/>
      </w:rPr>
      <w:t xml:space="preserve">atbalsta uzskaites un piešķiršanas kārtību un </w:t>
    </w:r>
    <w:proofErr w:type="spellStart"/>
    <w:r w:rsidR="0012250A" w:rsidRPr="0012250A">
      <w:rPr>
        <w:bCs/>
        <w:i/>
        <w:iCs/>
        <w:color w:val="000000"/>
        <w:sz w:val="20"/>
        <w:szCs w:val="20"/>
        <w:shd w:val="clear" w:color="auto" w:fill="FFFFFF"/>
      </w:rPr>
      <w:t>de</w:t>
    </w:r>
    <w:proofErr w:type="spellEnd"/>
    <w:r w:rsidR="0012250A" w:rsidRPr="0012250A">
      <w:rPr>
        <w:bCs/>
        <w:i/>
        <w:iCs/>
        <w:color w:val="000000"/>
        <w:sz w:val="20"/>
        <w:szCs w:val="20"/>
        <w:shd w:val="clear" w:color="auto" w:fill="FFFFFF"/>
      </w:rPr>
      <w:t xml:space="preserve"> </w:t>
    </w:r>
    <w:proofErr w:type="spellStart"/>
    <w:r w:rsidR="0012250A" w:rsidRPr="0012250A">
      <w:rPr>
        <w:bCs/>
        <w:i/>
        <w:iCs/>
        <w:color w:val="000000"/>
        <w:sz w:val="20"/>
        <w:szCs w:val="20"/>
        <w:shd w:val="clear" w:color="auto" w:fill="FFFFFF"/>
      </w:rPr>
      <w:t>minimis</w:t>
    </w:r>
    <w:proofErr w:type="spellEnd"/>
    <w:r w:rsidR="0012250A" w:rsidRPr="0012250A">
      <w:rPr>
        <w:rStyle w:val="apple-converted-space"/>
        <w:bCs/>
        <w:color w:val="000000"/>
        <w:sz w:val="20"/>
        <w:szCs w:val="20"/>
        <w:shd w:val="clear" w:color="auto" w:fill="FFFFFF"/>
      </w:rPr>
      <w:t> </w:t>
    </w:r>
    <w:r w:rsidR="0012250A" w:rsidRPr="0012250A">
      <w:rPr>
        <w:bCs/>
        <w:color w:val="000000"/>
        <w:sz w:val="20"/>
        <w:szCs w:val="20"/>
        <w:shd w:val="clear" w:color="auto" w:fill="FFFFFF"/>
      </w:rPr>
      <w:t>atbalsta uzskaites veidlapu paraugiem</w:t>
    </w:r>
    <w:r w:rsidR="0012250A" w:rsidRPr="0012250A">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EF" w:rsidRDefault="00DF45EF">
      <w:r>
        <w:separator/>
      </w:r>
    </w:p>
  </w:footnote>
  <w:footnote w:type="continuationSeparator" w:id="0">
    <w:p w:rsidR="00DF45EF" w:rsidRDefault="00DF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DB" w:rsidRDefault="00F80CE4"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ADB" w:rsidRDefault="00DF4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DB" w:rsidRDefault="00F80CE4"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27A">
      <w:rPr>
        <w:rStyle w:val="PageNumber"/>
        <w:noProof/>
      </w:rPr>
      <w:t>2</w:t>
    </w:r>
    <w:r>
      <w:rPr>
        <w:rStyle w:val="PageNumber"/>
      </w:rPr>
      <w:fldChar w:fldCharType="end"/>
    </w:r>
  </w:p>
  <w:p w:rsidR="00D73ADB" w:rsidRPr="004F7101" w:rsidRDefault="00DF45EF" w:rsidP="004F7101">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007" w:rsidRDefault="00DF45EF">
    <w:pPr>
      <w:pStyle w:val="Header"/>
      <w:jc w:val="center"/>
    </w:pPr>
  </w:p>
  <w:p w:rsidR="005A2007" w:rsidRDefault="00DF4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6E01"/>
    <w:multiLevelType w:val="hybridMultilevel"/>
    <w:tmpl w:val="CF9C3A9A"/>
    <w:lvl w:ilvl="0" w:tplc="DC4E50B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F6"/>
    <w:rsid w:val="00023F00"/>
    <w:rsid w:val="00035FBC"/>
    <w:rsid w:val="000427A0"/>
    <w:rsid w:val="000809D4"/>
    <w:rsid w:val="0008351D"/>
    <w:rsid w:val="000D7F0B"/>
    <w:rsid w:val="000E5D91"/>
    <w:rsid w:val="000E5E93"/>
    <w:rsid w:val="00105CB3"/>
    <w:rsid w:val="0012250A"/>
    <w:rsid w:val="00136AD0"/>
    <w:rsid w:val="001F4C1B"/>
    <w:rsid w:val="00210BE3"/>
    <w:rsid w:val="002770D6"/>
    <w:rsid w:val="00296F1A"/>
    <w:rsid w:val="002A26C4"/>
    <w:rsid w:val="002C0951"/>
    <w:rsid w:val="002D01EB"/>
    <w:rsid w:val="002D30FD"/>
    <w:rsid w:val="00350266"/>
    <w:rsid w:val="003E735E"/>
    <w:rsid w:val="00424849"/>
    <w:rsid w:val="004A1C26"/>
    <w:rsid w:val="004A1F1C"/>
    <w:rsid w:val="004D2FBD"/>
    <w:rsid w:val="004F4D20"/>
    <w:rsid w:val="004F7AF8"/>
    <w:rsid w:val="00562D17"/>
    <w:rsid w:val="005F179E"/>
    <w:rsid w:val="00612A15"/>
    <w:rsid w:val="00650467"/>
    <w:rsid w:val="00696233"/>
    <w:rsid w:val="006B38A0"/>
    <w:rsid w:val="006F1ED4"/>
    <w:rsid w:val="00791D3B"/>
    <w:rsid w:val="00793519"/>
    <w:rsid w:val="00822FC4"/>
    <w:rsid w:val="00860148"/>
    <w:rsid w:val="008A02E1"/>
    <w:rsid w:val="008D156A"/>
    <w:rsid w:val="00914E6A"/>
    <w:rsid w:val="009219B9"/>
    <w:rsid w:val="009C23EF"/>
    <w:rsid w:val="009C7AD6"/>
    <w:rsid w:val="009C7B28"/>
    <w:rsid w:val="00B1791F"/>
    <w:rsid w:val="00B70B63"/>
    <w:rsid w:val="00BA5604"/>
    <w:rsid w:val="00BA572F"/>
    <w:rsid w:val="00BD24CA"/>
    <w:rsid w:val="00BD71F6"/>
    <w:rsid w:val="00C42D89"/>
    <w:rsid w:val="00C7327A"/>
    <w:rsid w:val="00CB527C"/>
    <w:rsid w:val="00CF3C73"/>
    <w:rsid w:val="00D44791"/>
    <w:rsid w:val="00D61126"/>
    <w:rsid w:val="00D64559"/>
    <w:rsid w:val="00D65EFC"/>
    <w:rsid w:val="00D75987"/>
    <w:rsid w:val="00D80045"/>
    <w:rsid w:val="00DB3752"/>
    <w:rsid w:val="00DF45EF"/>
    <w:rsid w:val="00E334B0"/>
    <w:rsid w:val="00E7440C"/>
    <w:rsid w:val="00EB6834"/>
    <w:rsid w:val="00F05239"/>
    <w:rsid w:val="00F80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60F36-391E-4D8F-976D-0656E738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1C"/>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71F6"/>
    <w:pPr>
      <w:spacing w:before="100" w:beforeAutospacing="1" w:after="100" w:afterAutospacing="1"/>
    </w:pPr>
  </w:style>
  <w:style w:type="paragraph" w:customStyle="1" w:styleId="naislab">
    <w:name w:val="naislab"/>
    <w:basedOn w:val="Normal"/>
    <w:rsid w:val="00BD71F6"/>
    <w:pPr>
      <w:spacing w:before="75" w:after="75"/>
      <w:jc w:val="right"/>
    </w:pPr>
  </w:style>
  <w:style w:type="character" w:styleId="Hyperlink">
    <w:name w:val="Hyperlink"/>
    <w:rsid w:val="00BD71F6"/>
    <w:rPr>
      <w:color w:val="0000FF"/>
      <w:u w:val="single"/>
    </w:rPr>
  </w:style>
  <w:style w:type="paragraph" w:styleId="Header">
    <w:name w:val="header"/>
    <w:basedOn w:val="Normal"/>
    <w:link w:val="HeaderChar"/>
    <w:uiPriority w:val="99"/>
    <w:rsid w:val="00BD71F6"/>
    <w:pPr>
      <w:tabs>
        <w:tab w:val="center" w:pos="4153"/>
        <w:tab w:val="right" w:pos="8306"/>
      </w:tabs>
    </w:pPr>
  </w:style>
  <w:style w:type="character" w:customStyle="1" w:styleId="HeaderChar">
    <w:name w:val="Header Char"/>
    <w:basedOn w:val="DefaultParagraphFont"/>
    <w:link w:val="Header"/>
    <w:uiPriority w:val="99"/>
    <w:rsid w:val="00BD71F6"/>
    <w:rPr>
      <w:rFonts w:eastAsia="Times New Roman" w:cs="Times New Roman"/>
      <w:sz w:val="24"/>
      <w:szCs w:val="24"/>
      <w:lang w:eastAsia="lv-LV"/>
    </w:rPr>
  </w:style>
  <w:style w:type="paragraph" w:styleId="Footer">
    <w:name w:val="footer"/>
    <w:basedOn w:val="Normal"/>
    <w:link w:val="FooterChar"/>
    <w:rsid w:val="00BD71F6"/>
    <w:pPr>
      <w:tabs>
        <w:tab w:val="center" w:pos="4153"/>
        <w:tab w:val="right" w:pos="8306"/>
      </w:tabs>
    </w:pPr>
  </w:style>
  <w:style w:type="character" w:customStyle="1" w:styleId="FooterChar">
    <w:name w:val="Footer Char"/>
    <w:basedOn w:val="DefaultParagraphFont"/>
    <w:link w:val="Footer"/>
    <w:rsid w:val="00BD71F6"/>
    <w:rPr>
      <w:rFonts w:eastAsia="Times New Roman" w:cs="Times New Roman"/>
      <w:sz w:val="24"/>
      <w:szCs w:val="24"/>
      <w:lang w:eastAsia="lv-LV"/>
    </w:rPr>
  </w:style>
  <w:style w:type="character" w:styleId="PageNumber">
    <w:name w:val="page number"/>
    <w:basedOn w:val="DefaultParagraphFont"/>
    <w:rsid w:val="00BD71F6"/>
  </w:style>
  <w:style w:type="paragraph" w:styleId="ListParagraph">
    <w:name w:val="List Paragraph"/>
    <w:basedOn w:val="Normal"/>
    <w:uiPriority w:val="34"/>
    <w:qFormat/>
    <w:rsid w:val="00BD71F6"/>
    <w:pPr>
      <w:ind w:left="720"/>
      <w:contextualSpacing/>
    </w:pPr>
  </w:style>
  <w:style w:type="paragraph" w:customStyle="1" w:styleId="naisc">
    <w:name w:val="naisc"/>
    <w:basedOn w:val="Normal"/>
    <w:rsid w:val="00612A15"/>
    <w:pPr>
      <w:spacing w:before="100" w:beforeAutospacing="1" w:after="100" w:afterAutospacing="1"/>
    </w:pPr>
    <w:rPr>
      <w:rFonts w:eastAsia="Calibri"/>
    </w:rPr>
  </w:style>
  <w:style w:type="paragraph" w:customStyle="1" w:styleId="naisnod">
    <w:name w:val="naisnod"/>
    <w:basedOn w:val="Normal"/>
    <w:rsid w:val="00612A15"/>
    <w:pPr>
      <w:spacing w:before="100" w:beforeAutospacing="1" w:after="100" w:afterAutospacing="1"/>
    </w:pPr>
    <w:rPr>
      <w:rFonts w:eastAsia="Calibri"/>
    </w:rPr>
  </w:style>
  <w:style w:type="paragraph" w:customStyle="1" w:styleId="naiskr">
    <w:name w:val="naiskr"/>
    <w:basedOn w:val="Normal"/>
    <w:rsid w:val="00612A15"/>
    <w:pPr>
      <w:spacing w:before="100" w:beforeAutospacing="1" w:after="100" w:afterAutospacing="1"/>
    </w:pPr>
    <w:rPr>
      <w:rFonts w:eastAsia="Calibri"/>
    </w:rPr>
  </w:style>
  <w:style w:type="character" w:customStyle="1" w:styleId="apple-converted-space">
    <w:name w:val="apple-converted-space"/>
    <w:basedOn w:val="DefaultParagraphFont"/>
    <w:rsid w:val="00914E6A"/>
  </w:style>
  <w:style w:type="paragraph" w:customStyle="1" w:styleId="Nobeigums">
    <w:name w:val="Nobeigums"/>
    <w:basedOn w:val="Normal"/>
    <w:rsid w:val="00D75987"/>
    <w:rPr>
      <w:szCs w:val="20"/>
      <w:lang w:val="en-US" w:eastAsia="en-US"/>
    </w:rPr>
  </w:style>
  <w:style w:type="character" w:styleId="CommentReference">
    <w:name w:val="annotation reference"/>
    <w:basedOn w:val="DefaultParagraphFont"/>
    <w:uiPriority w:val="99"/>
    <w:semiHidden/>
    <w:unhideWhenUsed/>
    <w:rsid w:val="00EB6834"/>
    <w:rPr>
      <w:sz w:val="16"/>
      <w:szCs w:val="16"/>
    </w:rPr>
  </w:style>
  <w:style w:type="paragraph" w:styleId="CommentText">
    <w:name w:val="annotation text"/>
    <w:basedOn w:val="Normal"/>
    <w:link w:val="CommentTextChar"/>
    <w:uiPriority w:val="99"/>
    <w:semiHidden/>
    <w:unhideWhenUsed/>
    <w:rsid w:val="00EB6834"/>
    <w:rPr>
      <w:sz w:val="20"/>
      <w:szCs w:val="20"/>
    </w:rPr>
  </w:style>
  <w:style w:type="character" w:customStyle="1" w:styleId="CommentTextChar">
    <w:name w:val="Comment Text Char"/>
    <w:basedOn w:val="DefaultParagraphFont"/>
    <w:link w:val="CommentText"/>
    <w:uiPriority w:val="99"/>
    <w:semiHidden/>
    <w:rsid w:val="00EB6834"/>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EB6834"/>
    <w:rPr>
      <w:rFonts w:ascii="Tahoma" w:hAnsi="Tahoma" w:cs="Tahoma"/>
      <w:sz w:val="16"/>
      <w:szCs w:val="16"/>
    </w:rPr>
  </w:style>
  <w:style w:type="character" w:customStyle="1" w:styleId="BalloonTextChar">
    <w:name w:val="Balloon Text Char"/>
    <w:basedOn w:val="DefaultParagraphFont"/>
    <w:link w:val="BalloonText"/>
    <w:uiPriority w:val="99"/>
    <w:semiHidden/>
    <w:rsid w:val="00EB683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1345</Words>
  <Characters>767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2008.gada 5.februāra noteikumos Nr.58 „Noteikumi par de minimis atbalsta uzskaites un piešķiršanas kārtību un de minimis atbalsta uzskaites veidlapu paraugiem”” sākotnējās ietekmes novērtējuma ziņojums (anotācija)</dc:subject>
  <dc:creator>J.Fedosova</dc:creator>
  <cp:keywords/>
  <dc:description>67095478, jevgenija.fedosova@fm.gov.lv</dc:description>
  <cp:lastModifiedBy>Sprūģe Veronika</cp:lastModifiedBy>
  <cp:revision>31</cp:revision>
  <cp:lastPrinted>2013-07-26T06:09:00Z</cp:lastPrinted>
  <dcterms:created xsi:type="dcterms:W3CDTF">2013-03-15T06:53:00Z</dcterms:created>
  <dcterms:modified xsi:type="dcterms:W3CDTF">2013-07-30T10:48:00Z</dcterms:modified>
  <cp:category>Noteikumu projekta anotācija</cp:category>
</cp:coreProperties>
</file>