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Default="002E0FED" w:rsidP="002E0FED">
      <w:pPr>
        <w:jc w:val="center"/>
        <w:rPr>
          <w:b/>
        </w:rPr>
      </w:pPr>
    </w:p>
    <w:p w:rsidR="002E0FED" w:rsidRPr="005643BB" w:rsidRDefault="002E0FED" w:rsidP="002E0FED">
      <w:pPr>
        <w:jc w:val="center"/>
        <w:rPr>
          <w:b/>
        </w:rPr>
      </w:pPr>
      <w:r w:rsidRPr="005643BB">
        <w:rPr>
          <w:b/>
        </w:rPr>
        <w:t>Informatīvais ziņojums</w:t>
      </w:r>
    </w:p>
    <w:p w:rsidR="002E0FED" w:rsidRPr="005643BB" w:rsidRDefault="002E0FED" w:rsidP="002E0FED">
      <w:pPr>
        <w:jc w:val="center"/>
        <w:rPr>
          <w:b/>
        </w:rPr>
      </w:pPr>
      <w:r w:rsidRPr="005643BB">
        <w:rPr>
          <w:b/>
        </w:rPr>
        <w:t xml:space="preserve">„Par Latvijas </w:t>
      </w:r>
      <w:r>
        <w:rPr>
          <w:b/>
        </w:rPr>
        <w:t>pievienošanos</w:t>
      </w:r>
      <w:r w:rsidRPr="005643BB">
        <w:rPr>
          <w:b/>
        </w:rPr>
        <w:t xml:space="preserve"> </w:t>
      </w:r>
      <w:r w:rsidR="009B2FAF">
        <w:rPr>
          <w:b/>
        </w:rPr>
        <w:t>Eiropas S</w:t>
      </w:r>
      <w:r>
        <w:rPr>
          <w:b/>
        </w:rPr>
        <w:t xml:space="preserve">tabilitātes </w:t>
      </w:r>
      <w:r w:rsidR="00763096">
        <w:rPr>
          <w:b/>
        </w:rPr>
        <w:t>mehān</w:t>
      </w:r>
      <w:r>
        <w:rPr>
          <w:b/>
        </w:rPr>
        <w:t>ismam</w:t>
      </w:r>
      <w:r w:rsidRPr="005643BB">
        <w:rPr>
          <w:b/>
        </w:rPr>
        <w:t>”</w:t>
      </w:r>
    </w:p>
    <w:p w:rsidR="002E0FED" w:rsidRDefault="002E0FED" w:rsidP="009D58A2">
      <w:pPr>
        <w:jc w:val="center"/>
        <w:rPr>
          <w:b/>
        </w:rPr>
      </w:pPr>
    </w:p>
    <w:p w:rsidR="002E0FED" w:rsidRDefault="002E0FED">
      <w:pPr>
        <w:spacing w:after="160" w:line="259" w:lineRule="auto"/>
        <w:rPr>
          <w:b/>
        </w:rPr>
      </w:pPr>
      <w:r>
        <w:rPr>
          <w:b/>
        </w:rPr>
        <w:br w:type="page"/>
      </w:r>
    </w:p>
    <w:p w:rsidR="002E0FED" w:rsidRDefault="002E0FED">
      <w:pPr>
        <w:spacing w:after="160" w:line="259" w:lineRule="auto"/>
        <w:rPr>
          <w:b/>
        </w:rPr>
      </w:pPr>
    </w:p>
    <w:p w:rsidR="007D3B79" w:rsidRPr="005643BB" w:rsidRDefault="007D3B79" w:rsidP="00046750">
      <w:pPr>
        <w:jc w:val="both"/>
        <w:rPr>
          <w:b/>
        </w:rPr>
      </w:pPr>
    </w:p>
    <w:p w:rsidR="00684745" w:rsidRDefault="00C02213" w:rsidP="001F5373">
      <w:pPr>
        <w:ind w:firstLine="720"/>
        <w:jc w:val="both"/>
      </w:pPr>
      <w:r w:rsidRPr="00A96314">
        <w:t>2013</w:t>
      </w:r>
      <w:r w:rsidR="00A96314">
        <w:t>.gada 6.augustā</w:t>
      </w:r>
      <w:r w:rsidR="009105FE">
        <w:t xml:space="preserve"> stā</w:t>
      </w:r>
      <w:r w:rsidR="00A91CAF">
        <w:t>jā</w:t>
      </w:r>
      <w:r w:rsidR="00AA3920">
        <w:t>s</w:t>
      </w:r>
      <w:r w:rsidR="009105FE">
        <w:t xml:space="preserve"> spēkā </w:t>
      </w:r>
      <w:r w:rsidR="009105FE" w:rsidRPr="009105FE">
        <w:t xml:space="preserve">Eiropas Savienības padomes (ECOFIN) </w:t>
      </w:r>
      <w:r w:rsidR="00684745">
        <w:t xml:space="preserve">lēmums </w:t>
      </w:r>
      <w:proofErr w:type="spellStart"/>
      <w:r w:rsidR="00684745" w:rsidRPr="00684745">
        <w:t>nr</w:t>
      </w:r>
      <w:proofErr w:type="spellEnd"/>
      <w:r w:rsidR="00684745" w:rsidRPr="00684745">
        <w:t xml:space="preserve">. 2013/387/ES „Par </w:t>
      </w:r>
      <w:proofErr w:type="spellStart"/>
      <w:r w:rsidR="00626A03" w:rsidRPr="00626A03">
        <w:rPr>
          <w:i/>
        </w:rPr>
        <w:t>euro</w:t>
      </w:r>
      <w:proofErr w:type="spellEnd"/>
      <w:r w:rsidR="00684745" w:rsidRPr="00684745">
        <w:t xml:space="preserve"> ieviešanu Latvijā 2014. gada 1. janvārī”</w:t>
      </w:r>
      <w:r w:rsidR="00684745">
        <w:t xml:space="preserve"> ar kuru no 2014.gada 1.janvāra tiek atcelts izņēmuma statuss </w:t>
      </w:r>
      <w:proofErr w:type="spellStart"/>
      <w:r w:rsidR="004B4495">
        <w:rPr>
          <w:i/>
        </w:rPr>
        <w:t>euro</w:t>
      </w:r>
      <w:proofErr w:type="spellEnd"/>
      <w:r w:rsidR="00684745">
        <w:t xml:space="preserve"> ieviešanai</w:t>
      </w:r>
      <w:r w:rsidR="009105FE" w:rsidRPr="009105FE">
        <w:t>.</w:t>
      </w:r>
      <w:r w:rsidR="009105FE">
        <w:t xml:space="preserve"> 2012.gada 10.maijā stājās spēka likums</w:t>
      </w:r>
      <w:r w:rsidR="00234602">
        <w:t xml:space="preserve"> „</w:t>
      </w:r>
      <w:r w:rsidR="00234602" w:rsidRPr="00234602">
        <w:t xml:space="preserve">Par Eiropadomes lēmumu, ar ko Līguma par Eiropas Savienības darbību 136.pantu groza attiecībā uz stabilizācijas </w:t>
      </w:r>
      <w:r w:rsidR="00763096">
        <w:t>mehān</w:t>
      </w:r>
      <w:r w:rsidR="00234602" w:rsidRPr="00234602">
        <w:t xml:space="preserve">ismu valstīm, kuru naudas vienība ir </w:t>
      </w:r>
      <w:proofErr w:type="spellStart"/>
      <w:r w:rsidR="00626A03" w:rsidRPr="00626A03">
        <w:rPr>
          <w:i/>
        </w:rPr>
        <w:t>euro</w:t>
      </w:r>
      <w:proofErr w:type="spellEnd"/>
      <w:r w:rsidR="00234602">
        <w:t>”</w:t>
      </w:r>
      <w:r w:rsidR="00380E67">
        <w:t>. Ar šo likumu</w:t>
      </w:r>
      <w:r w:rsidR="009105FE">
        <w:t xml:space="preserve"> Latvija pieņēma un apstiprināja </w:t>
      </w:r>
      <w:r w:rsidR="00706753" w:rsidRPr="00706753">
        <w:t>2011.gada 25.martā pieņemt</w:t>
      </w:r>
      <w:r w:rsidR="00706753">
        <w:t>o</w:t>
      </w:r>
      <w:r w:rsidR="00706753" w:rsidRPr="00706753">
        <w:t xml:space="preserve"> Eiropadomes lēmum</w:t>
      </w:r>
      <w:r w:rsidR="00706753">
        <w:t>u</w:t>
      </w:r>
      <w:r w:rsidR="00706753" w:rsidRPr="00706753">
        <w:t xml:space="preserve">, ar ko Līguma par Eiropas Savienības darbību 136.pantu groza attiecībā uz stabilizācijas </w:t>
      </w:r>
      <w:r w:rsidR="00763096">
        <w:t>mehān</w:t>
      </w:r>
      <w:r w:rsidR="00706753" w:rsidRPr="00706753">
        <w:t xml:space="preserve">ismu valstīm, kuru naudas vienība ir </w:t>
      </w:r>
      <w:proofErr w:type="spellStart"/>
      <w:r w:rsidR="00626A03" w:rsidRPr="00626A03">
        <w:rPr>
          <w:i/>
        </w:rPr>
        <w:t>euro</w:t>
      </w:r>
      <w:proofErr w:type="spellEnd"/>
      <w:r w:rsidR="00706753">
        <w:t>. Minētie 136.panta grozījumi paredz, ka „</w:t>
      </w:r>
      <w:r w:rsidR="00706753" w:rsidRPr="00706753">
        <w:t xml:space="preserve">Dalībvalstis, kuru naudas vienība ir </w:t>
      </w:r>
      <w:proofErr w:type="spellStart"/>
      <w:r w:rsidR="00626A03" w:rsidRPr="00626A03">
        <w:rPr>
          <w:i/>
        </w:rPr>
        <w:t>euro</w:t>
      </w:r>
      <w:proofErr w:type="spellEnd"/>
      <w:r w:rsidR="00706753" w:rsidRPr="00706753">
        <w:t xml:space="preserve">, var izveidot stabilizācijas </w:t>
      </w:r>
      <w:r w:rsidR="00763096">
        <w:t>mehān</w:t>
      </w:r>
      <w:r w:rsidR="00706753" w:rsidRPr="00706753">
        <w:t xml:space="preserve">ismu, ko izmantos, ja obligāti vajadzīgs, lai nodrošinātu visas </w:t>
      </w:r>
      <w:proofErr w:type="spellStart"/>
      <w:r w:rsidR="00C63107">
        <w:t>eu</w:t>
      </w:r>
      <w:r w:rsidR="00626A03" w:rsidRPr="00626A03">
        <w:t>ro</w:t>
      </w:r>
      <w:r w:rsidR="00706753" w:rsidRPr="00706753">
        <w:t>zonas</w:t>
      </w:r>
      <w:proofErr w:type="spellEnd"/>
      <w:r w:rsidR="00706753" w:rsidRPr="00706753">
        <w:t xml:space="preserve"> stabilitāti. Jebkādas nepieciešamās finansiālās palīdzības piešķiršanai saskaņā ar šo </w:t>
      </w:r>
      <w:r w:rsidR="00763096">
        <w:t>mehān</w:t>
      </w:r>
      <w:r w:rsidR="00706753" w:rsidRPr="00706753">
        <w:t>ismu piemēros stingrus nosacījumus</w:t>
      </w:r>
      <w:r w:rsidR="00706753">
        <w:t xml:space="preserve">”. </w:t>
      </w:r>
      <w:r w:rsidR="005C13F5">
        <w:t xml:space="preserve">2013.gada 1.maijā </w:t>
      </w:r>
      <w:r w:rsidR="003E17EC">
        <w:t xml:space="preserve">attiecīgie  </w:t>
      </w:r>
      <w:r w:rsidR="003E17EC" w:rsidRPr="00706753">
        <w:t>Līguma par Eiropas Savienības darbību</w:t>
      </w:r>
      <w:r w:rsidR="003E17EC">
        <w:t xml:space="preserve"> grozījumi stājās spēka. </w:t>
      </w:r>
    </w:p>
    <w:p w:rsidR="00706753" w:rsidRDefault="00706753" w:rsidP="00355C78">
      <w:pPr>
        <w:ind w:firstLine="720"/>
        <w:jc w:val="both"/>
      </w:pPr>
      <w:r>
        <w:t>Izmantojot šajos grozījumos paredzēto iespēju, d</w:t>
      </w:r>
      <w:r w:rsidRPr="00706753">
        <w:t xml:space="preserve">alībvalstis, kuru naudas vienība ir </w:t>
      </w:r>
      <w:proofErr w:type="spellStart"/>
      <w:r w:rsidR="00626A03" w:rsidRPr="00626A03">
        <w:rPr>
          <w:i/>
        </w:rPr>
        <w:t>euro</w:t>
      </w:r>
      <w:proofErr w:type="spellEnd"/>
      <w:r>
        <w:t xml:space="preserve"> noslēdza līgumu par Eiropas Stabilitātes </w:t>
      </w:r>
      <w:r w:rsidR="00763096">
        <w:t>mehān</w:t>
      </w:r>
      <w:r>
        <w:t>isma izveidošanu</w:t>
      </w:r>
      <w:r w:rsidR="00684745">
        <w:rPr>
          <w:rStyle w:val="FootnoteReference"/>
        </w:rPr>
        <w:footnoteReference w:id="1"/>
      </w:r>
      <w:r>
        <w:t xml:space="preserve"> </w:t>
      </w:r>
      <w:r w:rsidRPr="00706753">
        <w:t>(turpmāk - Līgums)</w:t>
      </w:r>
      <w:r w:rsidR="00CA52F5">
        <w:t xml:space="preserve"> ( </w:t>
      </w:r>
      <w:proofErr w:type="spellStart"/>
      <w:r w:rsidR="00CA52F5">
        <w:t>skat</w:t>
      </w:r>
      <w:proofErr w:type="spellEnd"/>
      <w:r w:rsidR="00BB3ED8">
        <w:t>.</w:t>
      </w:r>
      <w:r w:rsidR="00CA52F5">
        <w:t xml:space="preserve"> Līgumu angļu valodā 1.pielikumā)</w:t>
      </w:r>
      <w:r w:rsidRPr="00706753">
        <w:t>.</w:t>
      </w:r>
      <w:r>
        <w:t xml:space="preserve"> Līgums stājās spēkā </w:t>
      </w:r>
      <w:r w:rsidR="00CA52F5">
        <w:t xml:space="preserve">2012.gada 27.septembrī un </w:t>
      </w:r>
      <w:r w:rsidR="00856A4D">
        <w:t xml:space="preserve">starptautiskā finanšu institūcija ar nosaukumu Eiropas Stabilitātes </w:t>
      </w:r>
      <w:r w:rsidR="00763096">
        <w:t>mehān</w:t>
      </w:r>
      <w:r w:rsidR="00856A4D">
        <w:t xml:space="preserve">isms </w:t>
      </w:r>
      <w:r w:rsidR="00D47535">
        <w:t xml:space="preserve">(turpmāk – ESM) </w:t>
      </w:r>
      <w:r w:rsidR="00856A4D">
        <w:t xml:space="preserve">uzsāka darbību </w:t>
      </w:r>
      <w:r w:rsidR="00CA52F5">
        <w:t xml:space="preserve">2012.gada 8.oktobrī. </w:t>
      </w:r>
    </w:p>
    <w:p w:rsidR="00234602" w:rsidRDefault="00706753" w:rsidP="00355C78">
      <w:pPr>
        <w:ind w:firstLine="720"/>
        <w:jc w:val="both"/>
      </w:pPr>
      <w:r>
        <w:t>Līguma preambu</w:t>
      </w:r>
      <w:r w:rsidR="00C63107">
        <w:t xml:space="preserve">las 7.punkts paredz, ka visas </w:t>
      </w:r>
      <w:proofErr w:type="spellStart"/>
      <w:r w:rsidR="00C63107">
        <w:t>eu</w:t>
      </w:r>
      <w:r>
        <w:t>rozonas</w:t>
      </w:r>
      <w:proofErr w:type="spellEnd"/>
      <w:r>
        <w:t xml:space="preserve"> dalībvalstis kļūst par </w:t>
      </w:r>
      <w:r w:rsidR="00D47535" w:rsidRPr="00706753">
        <w:t>E</w:t>
      </w:r>
      <w:r w:rsidR="00D47535">
        <w:t xml:space="preserve">SM </w:t>
      </w:r>
      <w:r>
        <w:t>dalībvalstīm</w:t>
      </w:r>
      <w:r w:rsidR="00C63107">
        <w:t xml:space="preserve">.  Iestājoties </w:t>
      </w:r>
      <w:proofErr w:type="spellStart"/>
      <w:r w:rsidR="00C63107">
        <w:t>eu</w:t>
      </w:r>
      <w:r w:rsidR="00234602">
        <w:t>rozonā</w:t>
      </w:r>
      <w:proofErr w:type="spellEnd"/>
      <w:r w:rsidR="00234602">
        <w:t xml:space="preserve"> ES dalībvalstij ir jākļūst</w:t>
      </w:r>
      <w:r w:rsidR="00380E67">
        <w:t xml:space="preserve"> par</w:t>
      </w:r>
      <w:r w:rsidR="00234602">
        <w:t xml:space="preserve"> </w:t>
      </w:r>
      <w:r w:rsidR="00D47535" w:rsidRPr="00706753">
        <w:t>E</w:t>
      </w:r>
      <w:r w:rsidR="00D47535">
        <w:t>SM</w:t>
      </w:r>
      <w:r w:rsidR="00234602" w:rsidRPr="00234602">
        <w:t xml:space="preserve"> </w:t>
      </w:r>
      <w:r w:rsidR="00234602">
        <w:t>dalībnieci ar pilnām tiesībām un pienākumiem.</w:t>
      </w:r>
    </w:p>
    <w:p w:rsidR="00234602" w:rsidRDefault="00234602" w:rsidP="00355C78">
      <w:pPr>
        <w:ind w:firstLine="720"/>
        <w:jc w:val="both"/>
      </w:pPr>
      <w:r>
        <w:t xml:space="preserve">Līguma 2.panta pirmā daļa paredz, ka ES dalībvalsts iestāšanās ESM ir atvērta no brīža, kad ir stājies spēkā </w:t>
      </w:r>
      <w:r w:rsidRPr="00234602">
        <w:t xml:space="preserve">Eiropas Savienības padomes (ECOFIN) lēmums par izņēmuma statusa atcelšanu </w:t>
      </w:r>
      <w:proofErr w:type="spellStart"/>
      <w:r w:rsidR="00626A03" w:rsidRPr="00626A03">
        <w:rPr>
          <w:i/>
        </w:rPr>
        <w:t>euro</w:t>
      </w:r>
      <w:proofErr w:type="spellEnd"/>
      <w:r w:rsidRPr="00234602">
        <w:t xml:space="preserve"> ieviešanai</w:t>
      </w:r>
      <w:r>
        <w:t xml:space="preserve">, tātad Latvijas gadījumā pievienošanās ESM var sākties no </w:t>
      </w:r>
      <w:r w:rsidR="00A96314" w:rsidRPr="00A96314">
        <w:t>2013</w:t>
      </w:r>
      <w:r w:rsidR="00A96314">
        <w:t>.gada 6.augusta</w:t>
      </w:r>
      <w:r w:rsidRPr="00E743CD">
        <w:t>.</w:t>
      </w:r>
    </w:p>
    <w:p w:rsidR="00F523C4" w:rsidRDefault="00F523C4" w:rsidP="00355C78">
      <w:pPr>
        <w:ind w:firstLine="720"/>
        <w:jc w:val="both"/>
      </w:pPr>
    </w:p>
    <w:p w:rsidR="00890890" w:rsidRDefault="00890890" w:rsidP="00355C78">
      <w:pPr>
        <w:ind w:firstLine="720"/>
        <w:jc w:val="both"/>
      </w:pPr>
    </w:p>
    <w:p w:rsidR="000A6647" w:rsidRDefault="000A6647" w:rsidP="00355C78">
      <w:pPr>
        <w:ind w:firstLine="720"/>
        <w:jc w:val="both"/>
      </w:pPr>
    </w:p>
    <w:p w:rsidR="00D47535" w:rsidRPr="00E46C72" w:rsidRDefault="00D47535" w:rsidP="00D47535">
      <w:pPr>
        <w:pStyle w:val="ListParagraph"/>
        <w:numPr>
          <w:ilvl w:val="0"/>
          <w:numId w:val="17"/>
        </w:numPr>
        <w:jc w:val="center"/>
        <w:rPr>
          <w:b/>
        </w:rPr>
      </w:pPr>
      <w:r w:rsidRPr="00E46C72">
        <w:rPr>
          <w:b/>
        </w:rPr>
        <w:t xml:space="preserve">Nepieciešamās darbības pirms Līguma ratifikācijas </w:t>
      </w:r>
    </w:p>
    <w:p w:rsidR="00F523C4" w:rsidRPr="00F523C4" w:rsidRDefault="00F523C4" w:rsidP="00F523C4">
      <w:pPr>
        <w:ind w:firstLine="720"/>
        <w:jc w:val="center"/>
        <w:rPr>
          <w:b/>
        </w:rPr>
      </w:pPr>
    </w:p>
    <w:p w:rsidR="00887AF9" w:rsidRDefault="00234602" w:rsidP="00046750">
      <w:pPr>
        <w:ind w:firstLine="720"/>
        <w:jc w:val="both"/>
      </w:pPr>
      <w:r>
        <w:t xml:space="preserve">2013.jūlijā ESM direktors </w:t>
      </w:r>
      <w:r w:rsidR="00806DCC" w:rsidRPr="00806DCC">
        <w:t xml:space="preserve">Klaus </w:t>
      </w:r>
      <w:proofErr w:type="spellStart"/>
      <w:r w:rsidR="00806DCC" w:rsidRPr="00806DCC">
        <w:t>Regling</w:t>
      </w:r>
      <w:proofErr w:type="spellEnd"/>
      <w:r w:rsidR="00806DCC" w:rsidRPr="00806DCC">
        <w:t xml:space="preserve"> </w:t>
      </w:r>
      <w:r>
        <w:t>nosūtīja Finanšu ministram</w:t>
      </w:r>
      <w:r w:rsidR="00887AF9">
        <w:t xml:space="preserve"> vēstuli (</w:t>
      </w:r>
      <w:r w:rsidR="00CA52F5">
        <w:t>2.</w:t>
      </w:r>
      <w:r w:rsidR="00887AF9">
        <w:t xml:space="preserve">pielikumā), kurā </w:t>
      </w:r>
      <w:r w:rsidR="00806DCC">
        <w:t xml:space="preserve">tika </w:t>
      </w:r>
      <w:r w:rsidR="00806DCC" w:rsidRPr="00806DCC">
        <w:t>izteikts aicinājums Latvijai uzsākt pievienošanās procedūru ESM</w:t>
      </w:r>
      <w:r w:rsidR="00806DCC">
        <w:t xml:space="preserve"> un</w:t>
      </w:r>
      <w:r w:rsidR="00806DCC" w:rsidRPr="00806DCC">
        <w:t xml:space="preserve"> </w:t>
      </w:r>
      <w:r w:rsidR="00887AF9">
        <w:t>informēja, kā sākot ar 2013.gada 1.septembri Latvija tiks aicināta piedalīties ESM pilnvarnieku padomes un direktoru padomes sanāksmēs novērotāja statusā, līdz brīdim, kad tiks pabeigtas visas iestāšanās procedūras.</w:t>
      </w:r>
    </w:p>
    <w:p w:rsidR="00806DCC" w:rsidRDefault="00806DCC" w:rsidP="00046750">
      <w:pPr>
        <w:ind w:firstLine="720"/>
        <w:jc w:val="both"/>
      </w:pPr>
      <w:r w:rsidRPr="00806DCC">
        <w:t>Līg</w:t>
      </w:r>
      <w:r w:rsidR="00C63107">
        <w:t xml:space="preserve">uma 44.pants paredz, ka jaunā </w:t>
      </w:r>
      <w:proofErr w:type="spellStart"/>
      <w:r w:rsidR="00C63107">
        <w:t>eu</w:t>
      </w:r>
      <w:r w:rsidRPr="00806DCC">
        <w:t>rozonas</w:t>
      </w:r>
      <w:proofErr w:type="spellEnd"/>
      <w:r w:rsidRPr="00806DCC">
        <w:t xml:space="preserve"> dalībvalsts iesniedz pieteikumu dalībai ESM un pilnvarnieku padome to apstiprina kopā ar iestāšanās tehniskajiem noteikumiem un ESM līguma izmaiņām, kas izriet no jaunas valsts pievienošanās ESM. Ņemot vērā minēto, </w:t>
      </w:r>
      <w:proofErr w:type="spellStart"/>
      <w:r w:rsidRPr="00806DCC">
        <w:t>protokollēmums</w:t>
      </w:r>
      <w:proofErr w:type="spellEnd"/>
      <w:r w:rsidRPr="00806DCC">
        <w:t xml:space="preserve"> paredz, ka MK pilnvaro finanšu ministru iesniegt pieteikumu dalībai Eiropas Stabilitātes </w:t>
      </w:r>
      <w:r w:rsidR="00763096">
        <w:t>mehān</w:t>
      </w:r>
      <w:r w:rsidRPr="00806DCC">
        <w:t>ismā.</w:t>
      </w:r>
    </w:p>
    <w:p w:rsidR="00FA4750" w:rsidRDefault="00887AF9" w:rsidP="00046750">
      <w:pPr>
        <w:ind w:firstLine="720"/>
        <w:jc w:val="both"/>
      </w:pPr>
      <w:r>
        <w:t>Līguma 5.</w:t>
      </w:r>
      <w:r w:rsidR="00FA4750">
        <w:t>pants</w:t>
      </w:r>
      <w:r>
        <w:t xml:space="preserve"> paredz, ka ESM dalībvalsts nozīmē savu pārstāvi pilnvarnieku padomē. </w:t>
      </w:r>
      <w:r w:rsidR="00FA4750">
        <w:t>Saskaņā ar šo pantu p</w:t>
      </w:r>
      <w:r>
        <w:t xml:space="preserve">ārstāvim jābūt dalībvalsts valdības pārstāvim, kura atbildības jomā ir finanses. Ņemot vērā minēto, </w:t>
      </w:r>
      <w:proofErr w:type="spellStart"/>
      <w:r w:rsidR="00FA4750">
        <w:t>protokollēmuma</w:t>
      </w:r>
      <w:proofErr w:type="spellEnd"/>
      <w:r w:rsidR="00FA4750">
        <w:t xml:space="preserve"> projektā ir paredzēts, ka MK pilnvaro </w:t>
      </w:r>
      <w:r w:rsidR="00FA4750" w:rsidRPr="00FA4750">
        <w:t xml:space="preserve">finanšu ministru piedalīties Eiropas Stabilitātes </w:t>
      </w:r>
      <w:r w:rsidR="00763096">
        <w:t>mehān</w:t>
      </w:r>
      <w:r w:rsidR="00FA4750" w:rsidRPr="00FA4750">
        <w:t>isma pilnvarnieku padomes sanāksmēs novērotāja statusā.</w:t>
      </w:r>
    </w:p>
    <w:p w:rsidR="00FA4750" w:rsidRDefault="00FA4750" w:rsidP="00046750">
      <w:pPr>
        <w:ind w:firstLine="720"/>
        <w:jc w:val="both"/>
      </w:pPr>
      <w:r>
        <w:t xml:space="preserve">Līguma 6.pants paredz, ka ESM dalībvalsts pārstāvis pilnvarnieku padomē nozīmē dalībvalsts pārstāvi ESM direktoru padomē. Pēc analoģijas Finanšu ministrija ir sagatavojusi </w:t>
      </w:r>
      <w:proofErr w:type="spellStart"/>
      <w:r>
        <w:t>protokollēmuma</w:t>
      </w:r>
      <w:proofErr w:type="spellEnd"/>
      <w:r>
        <w:t xml:space="preserve"> punktu, kurā MK deleģē finanšu ministram nozīmēt novērotāju ESM direktoru padomē. </w:t>
      </w:r>
    </w:p>
    <w:p w:rsidR="00001557" w:rsidRDefault="00001557" w:rsidP="00F523C4">
      <w:pPr>
        <w:ind w:firstLine="720"/>
        <w:jc w:val="center"/>
        <w:rPr>
          <w:b/>
        </w:rPr>
      </w:pPr>
    </w:p>
    <w:p w:rsidR="008019C8" w:rsidRDefault="008019C8" w:rsidP="00F523C4">
      <w:pPr>
        <w:ind w:firstLine="720"/>
        <w:jc w:val="center"/>
        <w:rPr>
          <w:b/>
        </w:rPr>
      </w:pPr>
    </w:p>
    <w:p w:rsidR="005643BB" w:rsidRPr="00890890" w:rsidRDefault="00F523C4" w:rsidP="00890890">
      <w:pPr>
        <w:pStyle w:val="ListParagraph"/>
        <w:numPr>
          <w:ilvl w:val="0"/>
          <w:numId w:val="17"/>
        </w:numPr>
        <w:jc w:val="center"/>
        <w:rPr>
          <w:b/>
        </w:rPr>
      </w:pPr>
      <w:r w:rsidRPr="00890890">
        <w:rPr>
          <w:b/>
        </w:rPr>
        <w:t xml:space="preserve">Likums </w:t>
      </w:r>
      <w:r w:rsidR="00E743CD" w:rsidRPr="00890890">
        <w:rPr>
          <w:b/>
        </w:rPr>
        <w:t xml:space="preserve">„Par Līguma par Eiropas Stabilitātes </w:t>
      </w:r>
      <w:r w:rsidR="00763096">
        <w:rPr>
          <w:b/>
        </w:rPr>
        <w:t>mehān</w:t>
      </w:r>
      <w:r w:rsidR="00E743CD" w:rsidRPr="00890890">
        <w:rPr>
          <w:b/>
        </w:rPr>
        <w:t>isma izveidošanu pieņemšanu un īstenošanu”</w:t>
      </w:r>
    </w:p>
    <w:p w:rsidR="00B73034" w:rsidRDefault="00B73034" w:rsidP="009D58A2">
      <w:pPr>
        <w:jc w:val="center"/>
        <w:rPr>
          <w:b/>
        </w:rPr>
      </w:pPr>
    </w:p>
    <w:p w:rsidR="00B73034" w:rsidRPr="00B73034" w:rsidRDefault="00B73034" w:rsidP="00B73034">
      <w:pPr>
        <w:ind w:firstLine="720"/>
      </w:pPr>
      <w:r w:rsidRPr="00B73034">
        <w:t>Lai Latvija varētu sekmīgi pievienoties ESM, ir nepieciešams izstrādāt un veikt grozīju</w:t>
      </w:r>
      <w:r w:rsidR="00A70BEE">
        <w:t>mus vairākos normatīvajos aktos.</w:t>
      </w:r>
    </w:p>
    <w:p w:rsidR="004E54B4" w:rsidRDefault="005643BB" w:rsidP="00A70BEE">
      <w:pPr>
        <w:ind w:firstLine="720"/>
        <w:jc w:val="both"/>
      </w:pPr>
      <w:r w:rsidRPr="005643BB">
        <w:t xml:space="preserve">Lai </w:t>
      </w:r>
      <w:r w:rsidR="0034314B">
        <w:t xml:space="preserve">Latvija kļūtu par </w:t>
      </w:r>
      <w:r w:rsidRPr="005643BB">
        <w:t>ESM</w:t>
      </w:r>
      <w:r w:rsidR="0034314B">
        <w:t xml:space="preserve"> dalībnieci</w:t>
      </w:r>
      <w:r w:rsidRPr="005643BB">
        <w:t xml:space="preserve">, tai ir jāratificē Līgums. </w:t>
      </w:r>
      <w:proofErr w:type="spellStart"/>
      <w:r w:rsidR="00720E5E">
        <w:t>Protokollēmumā</w:t>
      </w:r>
      <w:proofErr w:type="spellEnd"/>
      <w:r w:rsidR="00720E5E">
        <w:t xml:space="preserve"> ir paredzēts uzdot Finanšu ministrijai izstrādāt </w:t>
      </w:r>
      <w:r w:rsidR="00720E5E" w:rsidRPr="00720E5E">
        <w:t xml:space="preserve">likumprojektu </w:t>
      </w:r>
      <w:r w:rsidR="00E743CD">
        <w:t xml:space="preserve">„Par Līguma par Eiropas Stabilitātes </w:t>
      </w:r>
      <w:r w:rsidR="00763096">
        <w:t>mehān</w:t>
      </w:r>
      <w:r w:rsidR="00E743CD">
        <w:t>isma izveidošanu pieņemšanu un īstenošanu”</w:t>
      </w:r>
      <w:r w:rsidRPr="005643BB">
        <w:t>.</w:t>
      </w:r>
      <w:r w:rsidR="009D58A2">
        <w:t xml:space="preserve"> </w:t>
      </w:r>
      <w:r w:rsidR="00720E5E">
        <w:t xml:space="preserve">Ar likumu ir paredzēts pieņemt un apstiprināt Līgumu. </w:t>
      </w:r>
      <w:r w:rsidR="009D58A2">
        <w:t>Likumā ir nepieciešams atrunāt</w:t>
      </w:r>
      <w:r w:rsidR="00720E5E">
        <w:t xml:space="preserve"> arī</w:t>
      </w:r>
      <w:r w:rsidR="009D58A2">
        <w:t xml:space="preserve"> Latvijas puses pilnv</w:t>
      </w:r>
      <w:r w:rsidR="00F73527">
        <w:t>arojumu</w:t>
      </w:r>
      <w:r w:rsidR="00970F75">
        <w:t xml:space="preserve"> saņemšanas kārtību</w:t>
      </w:r>
      <w:r w:rsidR="00F73527">
        <w:t xml:space="preserve"> </w:t>
      </w:r>
      <w:r w:rsidR="00970F75">
        <w:t>Latvijas pārstāvjiem ESM pilnvarnieku padomē un ESM direktoru padomē</w:t>
      </w:r>
      <w:r w:rsidR="00356848">
        <w:t xml:space="preserve"> pieņemt konkrētu veidu lēmumus</w:t>
      </w:r>
      <w:r w:rsidR="00F73527">
        <w:t>.</w:t>
      </w:r>
      <w:r w:rsidR="009D58A2">
        <w:t xml:space="preserve"> </w:t>
      </w:r>
      <w:r w:rsidR="00A47117">
        <w:t>Izanalizējot</w:t>
      </w:r>
      <w:r w:rsidR="009A2AE6">
        <w:t xml:space="preserve"> likumprojektu, ar kuru Igaunija pievienojās ESM, var secināt, ka</w:t>
      </w:r>
      <w:r w:rsidR="00A47117">
        <w:t xml:space="preserve"> Latvijas</w:t>
      </w:r>
      <w:r w:rsidR="009A2AE6">
        <w:t xml:space="preserve"> likumprojektā</w:t>
      </w:r>
      <w:r w:rsidR="004E54B4">
        <w:t xml:space="preserve">  </w:t>
      </w:r>
      <w:r w:rsidR="00E743CD">
        <w:t xml:space="preserve">„Par Līguma par Eiropas Stabilitātes </w:t>
      </w:r>
      <w:r w:rsidR="00763096">
        <w:t>mehān</w:t>
      </w:r>
      <w:r w:rsidR="00E743CD">
        <w:t>isma izveidošanu pieņemšanu un īstenošanu”</w:t>
      </w:r>
      <w:r w:rsidR="009A2AE6">
        <w:t xml:space="preserve"> </w:t>
      </w:r>
      <w:r w:rsidR="00A47117">
        <w:t xml:space="preserve">būtu nepieciešams iekļaut </w:t>
      </w:r>
      <w:r w:rsidR="004E54B4">
        <w:t>šādas zemāk minētās sadaļas:</w:t>
      </w:r>
    </w:p>
    <w:p w:rsidR="00D47535" w:rsidRPr="004E54B4" w:rsidRDefault="00D47535" w:rsidP="00D47535">
      <w:pPr>
        <w:pStyle w:val="ListParagraph"/>
        <w:numPr>
          <w:ilvl w:val="0"/>
          <w:numId w:val="12"/>
        </w:numPr>
        <w:spacing w:line="276" w:lineRule="auto"/>
        <w:jc w:val="both"/>
        <w:rPr>
          <w:bCs/>
        </w:rPr>
      </w:pPr>
      <w:r>
        <w:rPr>
          <w:bCs/>
        </w:rPr>
        <w:t>Līguma ratifikācija;</w:t>
      </w:r>
    </w:p>
    <w:p w:rsidR="004E54B4" w:rsidRPr="004E54B4" w:rsidRDefault="00970F75" w:rsidP="00A47117">
      <w:pPr>
        <w:pStyle w:val="ListParagraph"/>
        <w:numPr>
          <w:ilvl w:val="0"/>
          <w:numId w:val="12"/>
        </w:numPr>
        <w:spacing w:before="240" w:after="100" w:afterAutospacing="1" w:line="276" w:lineRule="auto"/>
        <w:outlineLvl w:val="2"/>
        <w:rPr>
          <w:bCs/>
        </w:rPr>
      </w:pPr>
      <w:r>
        <w:rPr>
          <w:bCs/>
        </w:rPr>
        <w:t>Pilnvarojums</w:t>
      </w:r>
      <w:r w:rsidR="0088117A">
        <w:rPr>
          <w:bCs/>
        </w:rPr>
        <w:t>,</w:t>
      </w:r>
      <w:r>
        <w:rPr>
          <w:bCs/>
        </w:rPr>
        <w:t xml:space="preserve"> lemjot par  i</w:t>
      </w:r>
      <w:r w:rsidR="004E54B4" w:rsidRPr="004E54B4">
        <w:rPr>
          <w:bCs/>
        </w:rPr>
        <w:t>zmaiņ</w:t>
      </w:r>
      <w:r>
        <w:rPr>
          <w:bCs/>
        </w:rPr>
        <w:t>ām</w:t>
      </w:r>
      <w:r w:rsidR="004E54B4" w:rsidRPr="004E54B4">
        <w:rPr>
          <w:bCs/>
        </w:rPr>
        <w:t xml:space="preserve"> ESM parakstītajā kapitālā, maksimālajā aizdošanas kapacitātē un finanšu palīdzības instrumentos</w:t>
      </w:r>
      <w:r w:rsidR="00A47117">
        <w:rPr>
          <w:bCs/>
        </w:rPr>
        <w:t>;</w:t>
      </w:r>
    </w:p>
    <w:p w:rsidR="00A47117" w:rsidRDefault="00970F75" w:rsidP="00A47117">
      <w:pPr>
        <w:pStyle w:val="ListParagraph"/>
        <w:numPr>
          <w:ilvl w:val="0"/>
          <w:numId w:val="12"/>
        </w:numPr>
        <w:spacing w:before="240" w:after="100" w:afterAutospacing="1" w:line="276" w:lineRule="auto"/>
        <w:outlineLvl w:val="2"/>
        <w:rPr>
          <w:bCs/>
        </w:rPr>
      </w:pPr>
      <w:r>
        <w:rPr>
          <w:bCs/>
        </w:rPr>
        <w:t>Pilnvarojum</w:t>
      </w:r>
      <w:r w:rsidR="0088117A">
        <w:rPr>
          <w:bCs/>
        </w:rPr>
        <w:t>s</w:t>
      </w:r>
      <w:r>
        <w:rPr>
          <w:bCs/>
        </w:rPr>
        <w:t>, lemjot par</w:t>
      </w:r>
      <w:r w:rsidR="004E54B4">
        <w:rPr>
          <w:bCs/>
        </w:rPr>
        <w:t xml:space="preserve"> </w:t>
      </w:r>
      <w:r w:rsidR="00A47117">
        <w:rPr>
          <w:bCs/>
        </w:rPr>
        <w:t>finanšu</w:t>
      </w:r>
      <w:r w:rsidR="004E54B4">
        <w:rPr>
          <w:bCs/>
        </w:rPr>
        <w:t xml:space="preserve"> palīdzības sniegšanu ESM </w:t>
      </w:r>
      <w:r>
        <w:rPr>
          <w:bCs/>
        </w:rPr>
        <w:t>dalībvalstij</w:t>
      </w:r>
      <w:r w:rsidR="004E54B4">
        <w:rPr>
          <w:bCs/>
        </w:rPr>
        <w:t>;</w:t>
      </w:r>
    </w:p>
    <w:p w:rsidR="004E54B4" w:rsidRPr="00A47117" w:rsidRDefault="00970F75" w:rsidP="00A47117">
      <w:pPr>
        <w:pStyle w:val="ListParagraph"/>
        <w:numPr>
          <w:ilvl w:val="0"/>
          <w:numId w:val="12"/>
        </w:numPr>
        <w:spacing w:before="240" w:after="100" w:afterAutospacing="1" w:line="276" w:lineRule="auto"/>
        <w:outlineLvl w:val="2"/>
        <w:rPr>
          <w:bCs/>
        </w:rPr>
      </w:pPr>
      <w:r>
        <w:rPr>
          <w:bCs/>
        </w:rPr>
        <w:t>Pilnvarojum</w:t>
      </w:r>
      <w:r w:rsidR="0088117A">
        <w:rPr>
          <w:bCs/>
        </w:rPr>
        <w:t>s</w:t>
      </w:r>
      <w:r>
        <w:rPr>
          <w:bCs/>
        </w:rPr>
        <w:t>, lemjot par</w:t>
      </w:r>
      <w:r w:rsidR="00A47117">
        <w:rPr>
          <w:bCs/>
        </w:rPr>
        <w:t xml:space="preserve"> Saprašanās memorandu, kurā atrunāti finanšu palīdzības sniegšanas nosacījumi ESM biedriem;</w:t>
      </w:r>
    </w:p>
    <w:p w:rsidR="00A47117" w:rsidRDefault="0088117A" w:rsidP="00A47117">
      <w:pPr>
        <w:pStyle w:val="ListParagraph"/>
        <w:numPr>
          <w:ilvl w:val="0"/>
          <w:numId w:val="12"/>
        </w:numPr>
        <w:spacing w:line="276" w:lineRule="auto"/>
        <w:jc w:val="both"/>
        <w:rPr>
          <w:bCs/>
        </w:rPr>
      </w:pPr>
      <w:r>
        <w:rPr>
          <w:bCs/>
        </w:rPr>
        <w:t>Pilnvarojums, lemjot</w:t>
      </w:r>
      <w:r w:rsidR="00A47117" w:rsidRPr="00A47117">
        <w:rPr>
          <w:bCs/>
        </w:rPr>
        <w:t xml:space="preserve"> </w:t>
      </w:r>
      <w:r>
        <w:rPr>
          <w:bCs/>
        </w:rPr>
        <w:t>par</w:t>
      </w:r>
      <w:r w:rsidR="00A47117">
        <w:rPr>
          <w:bCs/>
        </w:rPr>
        <w:t xml:space="preserve"> Saprašanās memoranda grozījumiem</w:t>
      </w:r>
      <w:bookmarkStart w:id="0" w:name="para7"/>
      <w:bookmarkEnd w:id="0"/>
      <w:r w:rsidR="00A47117">
        <w:rPr>
          <w:bCs/>
        </w:rPr>
        <w:t>;</w:t>
      </w:r>
    </w:p>
    <w:p w:rsidR="004E54B4" w:rsidRPr="004E54B4" w:rsidRDefault="0088117A" w:rsidP="00A47117">
      <w:pPr>
        <w:pStyle w:val="ListParagraph"/>
        <w:numPr>
          <w:ilvl w:val="0"/>
          <w:numId w:val="12"/>
        </w:numPr>
        <w:spacing w:line="276" w:lineRule="auto"/>
        <w:jc w:val="both"/>
        <w:rPr>
          <w:bCs/>
        </w:rPr>
      </w:pPr>
      <w:r>
        <w:rPr>
          <w:bCs/>
        </w:rPr>
        <w:t>Pilnvarojums, lemjot</w:t>
      </w:r>
      <w:r w:rsidRPr="00A47117">
        <w:rPr>
          <w:bCs/>
        </w:rPr>
        <w:t xml:space="preserve"> </w:t>
      </w:r>
      <w:r>
        <w:rPr>
          <w:bCs/>
        </w:rPr>
        <w:t>par ā</w:t>
      </w:r>
      <w:r w:rsidR="00A47117">
        <w:rPr>
          <w:bCs/>
        </w:rPr>
        <w:t>rkārtas ESM rezerves fonda izlietošana</w:t>
      </w:r>
      <w:r w:rsidR="00380E67">
        <w:rPr>
          <w:bCs/>
        </w:rPr>
        <w:t>.</w:t>
      </w:r>
    </w:p>
    <w:p w:rsidR="004E54B4" w:rsidRDefault="004E54B4" w:rsidP="009A2AE6">
      <w:pPr>
        <w:jc w:val="both"/>
      </w:pPr>
    </w:p>
    <w:p w:rsidR="000A6647" w:rsidRDefault="000A6647" w:rsidP="009A2AE6">
      <w:pPr>
        <w:jc w:val="both"/>
      </w:pPr>
    </w:p>
    <w:p w:rsidR="000A6647" w:rsidRDefault="000A6647" w:rsidP="009A2AE6">
      <w:pPr>
        <w:jc w:val="both"/>
      </w:pPr>
    </w:p>
    <w:p w:rsidR="00F523C4" w:rsidRPr="00890890" w:rsidRDefault="004F46AF" w:rsidP="00890890">
      <w:pPr>
        <w:pStyle w:val="ListParagraph"/>
        <w:numPr>
          <w:ilvl w:val="0"/>
          <w:numId w:val="17"/>
        </w:numPr>
        <w:jc w:val="center"/>
        <w:rPr>
          <w:b/>
        </w:rPr>
      </w:pPr>
      <w:r w:rsidRPr="00890890">
        <w:rPr>
          <w:b/>
        </w:rPr>
        <w:t>S</w:t>
      </w:r>
      <w:r w:rsidR="00F523C4" w:rsidRPr="00890890">
        <w:rPr>
          <w:b/>
        </w:rPr>
        <w:t>tandartizēt</w:t>
      </w:r>
      <w:r w:rsidRPr="00890890">
        <w:rPr>
          <w:b/>
        </w:rPr>
        <w:t>ā</w:t>
      </w:r>
      <w:r w:rsidR="00856A4D" w:rsidRPr="00890890">
        <w:rPr>
          <w:b/>
        </w:rPr>
        <w:t>s</w:t>
      </w:r>
      <w:r w:rsidR="00F523C4" w:rsidRPr="00890890">
        <w:rPr>
          <w:b/>
        </w:rPr>
        <w:t xml:space="preserve"> kopējas rīcības klauzula</w:t>
      </w:r>
      <w:r w:rsidR="00856A4D" w:rsidRPr="00890890">
        <w:rPr>
          <w:b/>
        </w:rPr>
        <w:t>s</w:t>
      </w:r>
    </w:p>
    <w:p w:rsidR="00F523C4" w:rsidRDefault="00F523C4" w:rsidP="009A2AE6">
      <w:pPr>
        <w:jc w:val="both"/>
      </w:pPr>
    </w:p>
    <w:p w:rsidR="00856A4D" w:rsidRDefault="004137CC" w:rsidP="00356848">
      <w:pPr>
        <w:pStyle w:val="ListParagraph"/>
        <w:ind w:left="0" w:firstLine="720"/>
        <w:jc w:val="both"/>
      </w:pPr>
      <w:r>
        <w:t>Lī</w:t>
      </w:r>
      <w:r w:rsidR="006F5F67">
        <w:t>gum</w:t>
      </w:r>
      <w:r w:rsidR="003A1FDB">
        <w:t>a 12.panta 3.</w:t>
      </w:r>
      <w:r w:rsidR="00380E67">
        <w:t xml:space="preserve">punktā </w:t>
      </w:r>
      <w:r w:rsidR="006F5F67">
        <w:t xml:space="preserve">ir noteikts, ka </w:t>
      </w:r>
      <w:proofErr w:type="spellStart"/>
      <w:r w:rsidR="006F5F67">
        <w:t>e</w:t>
      </w:r>
      <w:r w:rsidR="00C63107">
        <w:t>u</w:t>
      </w:r>
      <w:r w:rsidR="001D54A1">
        <w:t>ro</w:t>
      </w:r>
      <w:r>
        <w:t>zonas</w:t>
      </w:r>
      <w:proofErr w:type="spellEnd"/>
      <w:r>
        <w:t xml:space="preserve"> finanšu stabili</w:t>
      </w:r>
      <w:r w:rsidR="00C63107">
        <w:t xml:space="preserve">tātes nodrošināšanai, turpmāk </w:t>
      </w:r>
      <w:proofErr w:type="spellStart"/>
      <w:r w:rsidR="00C63107">
        <w:t>eu</w:t>
      </w:r>
      <w:r w:rsidR="001D54A1">
        <w:t>ro</w:t>
      </w:r>
      <w:r>
        <w:t>zonas</w:t>
      </w:r>
      <w:proofErr w:type="spellEnd"/>
      <w:r>
        <w:t xml:space="preserve"> valstu vērtspapīros, kuru dzēšanas termiņš pārsniedz vienu gadu ir jāiekļauj standartizētas kopējas rīcības klauzulas (turpmāk - CAC). </w:t>
      </w:r>
      <w:r w:rsidRPr="004137CC">
        <w:t xml:space="preserve">CAC </w:t>
      </w:r>
      <w:r w:rsidR="003A1FDB">
        <w:t xml:space="preserve">esamība </w:t>
      </w:r>
      <w:r w:rsidRPr="004137CC">
        <w:t>veicin</w:t>
      </w:r>
      <w:r w:rsidR="003A1FDB">
        <w:t>a</w:t>
      </w:r>
      <w:r w:rsidRPr="004137CC">
        <w:t xml:space="preserve"> sarunu procesu starp emitentu un vērtspapīru investoriem par izmaiņām vērtspapīru </w:t>
      </w:r>
      <w:r w:rsidRPr="00A96314">
        <w:t>nosacījumos</w:t>
      </w:r>
      <w:r w:rsidR="003A1FDB">
        <w:t xml:space="preserve"> </w:t>
      </w:r>
      <w:r w:rsidR="003A1FDB" w:rsidRPr="004137CC">
        <w:t>(piemēram</w:t>
      </w:r>
      <w:r w:rsidR="003A1FDB">
        <w:t xml:space="preserve"> sarunas var būt par izmaiņām </w:t>
      </w:r>
      <w:r w:rsidR="003A1FDB" w:rsidRPr="004137CC">
        <w:t>vērtspapīru nominālvērtīb</w:t>
      </w:r>
      <w:r w:rsidR="003A1FDB">
        <w:t>ā</w:t>
      </w:r>
      <w:r w:rsidR="003A1FDB" w:rsidRPr="004137CC">
        <w:t>, procentu likm</w:t>
      </w:r>
      <w:r w:rsidR="003A1FDB">
        <w:t>ē</w:t>
      </w:r>
      <w:r w:rsidR="003A1FDB" w:rsidRPr="004137CC">
        <w:t>, maksājumu datum</w:t>
      </w:r>
      <w:r w:rsidR="003A1FDB">
        <w:t>os</w:t>
      </w:r>
      <w:r w:rsidR="003A1FDB" w:rsidRPr="004137CC">
        <w:t xml:space="preserve"> </w:t>
      </w:r>
      <w:proofErr w:type="spellStart"/>
      <w:r w:rsidR="003A1FDB" w:rsidRPr="004137CC">
        <w:t>utt</w:t>
      </w:r>
      <w:proofErr w:type="spellEnd"/>
      <w:r w:rsidR="003A1FDB">
        <w:t>.</w:t>
      </w:r>
      <w:r w:rsidR="003A1FDB" w:rsidRPr="004137CC">
        <w:t>)</w:t>
      </w:r>
      <w:r w:rsidR="003A1FDB">
        <w:t>. Š</w:t>
      </w:r>
      <w:r w:rsidR="00856A4D">
        <w:t>ādu</w:t>
      </w:r>
      <w:r w:rsidR="003A1FDB">
        <w:t xml:space="preserve"> </w:t>
      </w:r>
      <w:r w:rsidR="00856A4D">
        <w:t xml:space="preserve">nosacījumu </w:t>
      </w:r>
      <w:r w:rsidR="00856A4D" w:rsidRPr="00856A4D">
        <w:t xml:space="preserve">iedarbināšana </w:t>
      </w:r>
      <w:r w:rsidR="003A1FDB">
        <w:t xml:space="preserve">tomēr </w:t>
      </w:r>
      <w:r w:rsidR="00856A4D" w:rsidRPr="00856A4D">
        <w:t>ir uzskatāma par ārkārtas situāciju, kad emitents ir nonācis nopietnās finanšu grūtībās un ir jāveic parāda restrukturizēšana</w:t>
      </w:r>
      <w:r w:rsidR="00856A4D">
        <w:t>.</w:t>
      </w:r>
      <w:r w:rsidR="00856A4D" w:rsidRPr="00856A4D">
        <w:t xml:space="preserve"> </w:t>
      </w:r>
      <w:r w:rsidR="00856A4D">
        <w:t>CAC</w:t>
      </w:r>
      <w:r w:rsidR="00856A4D" w:rsidRPr="00856A4D">
        <w:t xml:space="preserve"> nosacījumu piemērošana valsts vērtspapīriem savlaicīgi atrunā procedūru kā risināt ar valsts maksātnespēju saistītos </w:t>
      </w:r>
      <w:proofErr w:type="spellStart"/>
      <w:r w:rsidR="00856A4D" w:rsidRPr="00856A4D">
        <w:t>problēmjautājumus</w:t>
      </w:r>
      <w:proofErr w:type="spellEnd"/>
      <w:r w:rsidR="00856A4D">
        <w:t xml:space="preserve">, kā arī </w:t>
      </w:r>
      <w:r w:rsidRPr="004137CC">
        <w:t>skaidri no</w:t>
      </w:r>
      <w:r w:rsidR="00856A4D">
        <w:t>saka</w:t>
      </w:r>
      <w:r w:rsidRPr="004137CC">
        <w:t xml:space="preserve"> visu pušu tiesības un pienākumu</w:t>
      </w:r>
      <w:r w:rsidR="00856A4D">
        <w:t>s</w:t>
      </w:r>
      <w:r w:rsidRPr="004137CC">
        <w:t>, šād</w:t>
      </w:r>
      <w:r w:rsidR="00856A4D">
        <w:t>ās</w:t>
      </w:r>
      <w:r w:rsidRPr="004137CC">
        <w:t xml:space="preserve"> situācij</w:t>
      </w:r>
      <w:r w:rsidR="00856A4D">
        <w:t>ās</w:t>
      </w:r>
      <w:r w:rsidRPr="004137CC">
        <w:t>.</w:t>
      </w:r>
      <w:r>
        <w:t xml:space="preserve"> </w:t>
      </w:r>
    </w:p>
    <w:p w:rsidR="005C13F5" w:rsidRDefault="005C13F5" w:rsidP="005C13F5">
      <w:pPr>
        <w:ind w:firstLine="720"/>
        <w:jc w:val="both"/>
      </w:pPr>
      <w:r>
        <w:t xml:space="preserve">Tādējādi </w:t>
      </w:r>
      <w:r w:rsidRPr="004137CC">
        <w:t>Lat</w:t>
      </w:r>
      <w:r w:rsidR="00C63107">
        <w:t xml:space="preserve">vijas Republikai, kļūstot par </w:t>
      </w:r>
      <w:proofErr w:type="spellStart"/>
      <w:r w:rsidR="00C63107">
        <w:t>eu</w:t>
      </w:r>
      <w:r w:rsidR="001D54A1">
        <w:t>ro</w:t>
      </w:r>
      <w:r w:rsidRPr="004137CC">
        <w:t>zonas</w:t>
      </w:r>
      <w:proofErr w:type="spellEnd"/>
      <w:r w:rsidRPr="004137CC">
        <w:t xml:space="preserve"> dalībvalsti un attiecīgi parakstot </w:t>
      </w:r>
      <w:r w:rsidR="00380E67">
        <w:t>Līgumu</w:t>
      </w:r>
      <w:r w:rsidRPr="004137CC">
        <w:t>, ir saistošs pienākums piemērot Ekonomikas un finanšu komitejas (</w:t>
      </w:r>
      <w:r>
        <w:t xml:space="preserve">turpmāk - </w:t>
      </w:r>
      <w:r w:rsidRPr="004137CC">
        <w:t>E</w:t>
      </w:r>
      <w:r>
        <w:t>FC) apakškomitejas</w:t>
      </w:r>
      <w:r w:rsidRPr="004137CC">
        <w:t xml:space="preserve"> par ES  v</w:t>
      </w:r>
      <w:r>
        <w:t>alstu vērtspapīru tirgiem (turpmāk - ESDM)</w:t>
      </w:r>
      <w:r w:rsidRPr="004137CC">
        <w:t xml:space="preserve"> izstrādātos CAC nosacījumu visiem Latvijas Republikas</w:t>
      </w:r>
      <w:r>
        <w:t xml:space="preserve"> vārdā</w:t>
      </w:r>
      <w:r w:rsidRPr="004137CC">
        <w:t xml:space="preserve"> emitētajiem vērtspapīriem</w:t>
      </w:r>
      <w:r>
        <w:t xml:space="preserve"> (parādzīmēm un obligācijām)</w:t>
      </w:r>
      <w:r w:rsidRPr="004137CC">
        <w:t>, kuru dzēšanas termiņš pārsniedz vienu gadu.</w:t>
      </w:r>
      <w:r>
        <w:t xml:space="preserve"> </w:t>
      </w:r>
    </w:p>
    <w:p w:rsidR="005C13F5" w:rsidRDefault="005C13F5" w:rsidP="005C13F5">
      <w:pPr>
        <w:ind w:firstLine="720"/>
        <w:jc w:val="both"/>
        <w:rPr>
          <w:szCs w:val="26"/>
        </w:rPr>
      </w:pPr>
      <w:r w:rsidRPr="008A5419">
        <w:rPr>
          <w:szCs w:val="26"/>
        </w:rPr>
        <w:t xml:space="preserve">Lai nodrošinātu nosacījumu attiecībā uz </w:t>
      </w:r>
      <w:r>
        <w:t>CAC</w:t>
      </w:r>
      <w:r w:rsidRPr="008A5419">
        <w:rPr>
          <w:szCs w:val="26"/>
        </w:rPr>
        <w:t xml:space="preserve"> izpildi</w:t>
      </w:r>
      <w:r>
        <w:rPr>
          <w:szCs w:val="26"/>
        </w:rPr>
        <w:t>, nodrošinot to piemērošanas tiesisko pamatu valsts vērtspapīriem</w:t>
      </w:r>
      <w:r w:rsidRPr="008A5419">
        <w:rPr>
          <w:szCs w:val="26"/>
        </w:rPr>
        <w:t>, nepieciešams sagatavot grozījumus Ministru kabineta 2013.gada 5.marta noteikumos Nr.120  „Valsts vērtspapīru izlaišanas noteikumi””</w:t>
      </w:r>
      <w:r>
        <w:rPr>
          <w:szCs w:val="26"/>
        </w:rPr>
        <w:t xml:space="preserve"> (turpmāk – MK noteikumi), kas nosaka valsts vērtspapīru izlaišanas un apgrozības kārtību Latvijas Republikā.</w:t>
      </w:r>
    </w:p>
    <w:p w:rsidR="00DB34F2" w:rsidRPr="007725B0" w:rsidRDefault="005C13F5" w:rsidP="00356848">
      <w:pPr>
        <w:ind w:firstLine="720"/>
        <w:jc w:val="both"/>
      </w:pPr>
      <w:r>
        <w:rPr>
          <w:szCs w:val="26"/>
        </w:rPr>
        <w:t>Grozījumi MK noteikumos jāizstrādā un jānodrošina to spēkā stāšanās ar</w:t>
      </w:r>
      <w:r w:rsidR="00380E67">
        <w:rPr>
          <w:szCs w:val="26"/>
        </w:rPr>
        <w:t xml:space="preserve"> brīdi, kad sāk piemērot Līgumu</w:t>
      </w:r>
      <w:r>
        <w:rPr>
          <w:szCs w:val="26"/>
        </w:rPr>
        <w:t xml:space="preserve">, bet ne vēlāk kā pirms jaunu  attiecīgo parādzīmju vai obligāciju emisiju veikšanas Latvijas Republikā, ja </w:t>
      </w:r>
      <w:r w:rsidR="00380E67">
        <w:rPr>
          <w:szCs w:val="26"/>
        </w:rPr>
        <w:t>Līguma piemērošana jau ir sākusies</w:t>
      </w:r>
      <w:r>
        <w:rPr>
          <w:szCs w:val="26"/>
        </w:rPr>
        <w:t xml:space="preserve">. Ņemot vērā, ka likumprojektu plānots iesniegt Ministru kabinetā līdz </w:t>
      </w:r>
      <w:proofErr w:type="spellStart"/>
      <w:r>
        <w:rPr>
          <w:szCs w:val="26"/>
        </w:rPr>
        <w:t>š.g</w:t>
      </w:r>
      <w:proofErr w:type="spellEnd"/>
      <w:r>
        <w:rPr>
          <w:szCs w:val="26"/>
        </w:rPr>
        <w:t xml:space="preserve">. 1.oktobrim, tad </w:t>
      </w:r>
      <w:r w:rsidRPr="008A5419">
        <w:rPr>
          <w:szCs w:val="26"/>
        </w:rPr>
        <w:t xml:space="preserve"> grozījumi M</w:t>
      </w:r>
      <w:r>
        <w:rPr>
          <w:szCs w:val="26"/>
        </w:rPr>
        <w:t xml:space="preserve">K </w:t>
      </w:r>
      <w:r w:rsidRPr="008A5419">
        <w:rPr>
          <w:szCs w:val="26"/>
        </w:rPr>
        <w:t>noteikumos ir jā</w:t>
      </w:r>
      <w:r>
        <w:rPr>
          <w:szCs w:val="26"/>
        </w:rPr>
        <w:t xml:space="preserve">iesniedz </w:t>
      </w:r>
      <w:r>
        <w:rPr>
          <w:szCs w:val="26"/>
        </w:rPr>
        <w:lastRenderedPageBreak/>
        <w:t xml:space="preserve">pieņemšanai Ministru kabinetā </w:t>
      </w:r>
      <w:r w:rsidRPr="008A5419">
        <w:rPr>
          <w:szCs w:val="26"/>
        </w:rPr>
        <w:t xml:space="preserve"> </w:t>
      </w:r>
      <w:r>
        <w:rPr>
          <w:szCs w:val="26"/>
        </w:rPr>
        <w:t xml:space="preserve">laika posmā, </w:t>
      </w:r>
      <w:r w:rsidRPr="008A5419">
        <w:rPr>
          <w:szCs w:val="26"/>
        </w:rPr>
        <w:t>kad likumprojekts par iestāšanos ESM tiks</w:t>
      </w:r>
      <w:r>
        <w:rPr>
          <w:szCs w:val="26"/>
        </w:rPr>
        <w:t xml:space="preserve"> iesniegts</w:t>
      </w:r>
      <w:r w:rsidRPr="008A5419">
        <w:rPr>
          <w:szCs w:val="26"/>
        </w:rPr>
        <w:t xml:space="preserve"> izskatī</w:t>
      </w:r>
      <w:r>
        <w:rPr>
          <w:szCs w:val="26"/>
        </w:rPr>
        <w:t>šanai</w:t>
      </w:r>
      <w:r w:rsidRPr="008A5419">
        <w:rPr>
          <w:szCs w:val="26"/>
        </w:rPr>
        <w:t xml:space="preserve"> </w:t>
      </w:r>
      <w:proofErr w:type="spellStart"/>
      <w:r w:rsidRPr="008A5419">
        <w:rPr>
          <w:szCs w:val="26"/>
        </w:rPr>
        <w:t>Saeimā</w:t>
      </w:r>
      <w:r>
        <w:rPr>
          <w:szCs w:val="26"/>
        </w:rPr>
        <w:t>(</w:t>
      </w:r>
      <w:r w:rsidRPr="008A5419">
        <w:rPr>
          <w:szCs w:val="26"/>
        </w:rPr>
        <w:t>pirms</w:t>
      </w:r>
      <w:proofErr w:type="spellEnd"/>
      <w:r w:rsidRPr="008A5419">
        <w:rPr>
          <w:szCs w:val="26"/>
        </w:rPr>
        <w:t xml:space="preserve"> otrā lasījuma tiks uzsākta šo MK noteikumu grozījumu virzīb</w:t>
      </w:r>
      <w:r>
        <w:rPr>
          <w:szCs w:val="26"/>
        </w:rPr>
        <w:t xml:space="preserve">a, lai tie stātos spēkā </w:t>
      </w:r>
      <w:r w:rsidR="00380E67">
        <w:rPr>
          <w:szCs w:val="26"/>
        </w:rPr>
        <w:t xml:space="preserve">sākot </w:t>
      </w:r>
      <w:r>
        <w:rPr>
          <w:szCs w:val="26"/>
        </w:rPr>
        <w:t xml:space="preserve">ar </w:t>
      </w:r>
      <w:r w:rsidR="00380E67">
        <w:rPr>
          <w:szCs w:val="26"/>
        </w:rPr>
        <w:t>Līguma piemērošanas brīdi</w:t>
      </w:r>
      <w:r>
        <w:rPr>
          <w:szCs w:val="26"/>
        </w:rPr>
        <w:t>)</w:t>
      </w:r>
      <w:r w:rsidR="00DB34F2" w:rsidRPr="008A5419">
        <w:rPr>
          <w:rFonts w:ascii="Calibri" w:hAnsi="Calibri"/>
          <w:color w:val="1F497D"/>
          <w:sz w:val="20"/>
          <w:szCs w:val="20"/>
        </w:rPr>
        <w:t xml:space="preserve"> </w:t>
      </w:r>
    </w:p>
    <w:p w:rsidR="004137CC" w:rsidRDefault="004137CC" w:rsidP="00123B7C">
      <w:pPr>
        <w:ind w:firstLine="720"/>
        <w:jc w:val="both"/>
      </w:pPr>
    </w:p>
    <w:p w:rsidR="000A6647" w:rsidRPr="00123B7C" w:rsidRDefault="000A6647" w:rsidP="00123B7C">
      <w:pPr>
        <w:ind w:firstLine="720"/>
        <w:jc w:val="both"/>
      </w:pPr>
    </w:p>
    <w:p w:rsidR="008F5882" w:rsidRPr="005643BB" w:rsidRDefault="008F5882" w:rsidP="00046750">
      <w:pPr>
        <w:jc w:val="both"/>
        <w:rPr>
          <w:color w:val="000000"/>
        </w:rPr>
      </w:pPr>
    </w:p>
    <w:p w:rsidR="00A02DB8" w:rsidRPr="00890890" w:rsidRDefault="004F46AF" w:rsidP="00890890">
      <w:pPr>
        <w:pStyle w:val="ListParagraph"/>
        <w:numPr>
          <w:ilvl w:val="0"/>
          <w:numId w:val="17"/>
        </w:numPr>
        <w:jc w:val="center"/>
        <w:rPr>
          <w:b/>
        </w:rPr>
      </w:pPr>
      <w:r w:rsidRPr="00890890">
        <w:rPr>
          <w:b/>
        </w:rPr>
        <w:t>Informācija par d</w:t>
      </w:r>
      <w:r w:rsidR="008F5882" w:rsidRPr="00890890">
        <w:rPr>
          <w:b/>
        </w:rPr>
        <w:t>alībvalsts f</w:t>
      </w:r>
      <w:r w:rsidR="00A02DB8" w:rsidRPr="00890890">
        <w:rPr>
          <w:b/>
        </w:rPr>
        <w:t>inansiālā</w:t>
      </w:r>
      <w:r w:rsidRPr="00890890">
        <w:rPr>
          <w:b/>
        </w:rPr>
        <w:t>m</w:t>
      </w:r>
      <w:r w:rsidR="00A02DB8" w:rsidRPr="00890890">
        <w:rPr>
          <w:b/>
        </w:rPr>
        <w:t xml:space="preserve"> saistīb</w:t>
      </w:r>
      <w:r w:rsidRPr="00890890">
        <w:rPr>
          <w:b/>
        </w:rPr>
        <w:t>ām</w:t>
      </w:r>
    </w:p>
    <w:p w:rsidR="00A02DB8" w:rsidRPr="005643BB" w:rsidRDefault="00A02DB8" w:rsidP="00046750">
      <w:pPr>
        <w:jc w:val="both"/>
      </w:pPr>
    </w:p>
    <w:p w:rsidR="0096764E" w:rsidRPr="005643BB" w:rsidRDefault="00A02DB8" w:rsidP="00046750">
      <w:pPr>
        <w:ind w:firstLine="720"/>
        <w:jc w:val="both"/>
      </w:pPr>
      <w:r w:rsidRPr="005643BB">
        <w:t>Dalība ESM tā dalībvalstīm rada finansiālās saistības, kas izpaužas kā</w:t>
      </w:r>
      <w:r w:rsidR="004F46AF">
        <w:t xml:space="preserve"> (1)</w:t>
      </w:r>
      <w:r w:rsidR="006E675D" w:rsidRPr="005643BB">
        <w:t xml:space="preserve"> </w:t>
      </w:r>
      <w:r w:rsidR="00C456B1">
        <w:t>ieguldījums</w:t>
      </w:r>
      <w:r w:rsidR="00393C03" w:rsidRPr="005643BB">
        <w:t xml:space="preserve"> ESM </w:t>
      </w:r>
      <w:r w:rsidR="004F46AF">
        <w:t>apmaksājamā kapitālā</w:t>
      </w:r>
      <w:r w:rsidR="00393C03" w:rsidRPr="005643BB">
        <w:t xml:space="preserve"> (</w:t>
      </w:r>
      <w:proofErr w:type="spellStart"/>
      <w:r w:rsidR="00393C03" w:rsidRPr="005643BB">
        <w:t>paid-in</w:t>
      </w:r>
      <w:proofErr w:type="spellEnd"/>
      <w:r w:rsidR="00393C03" w:rsidRPr="005643BB">
        <w:t xml:space="preserve"> </w:t>
      </w:r>
      <w:proofErr w:type="spellStart"/>
      <w:r w:rsidR="00393C03" w:rsidRPr="005643BB">
        <w:t>capital</w:t>
      </w:r>
      <w:proofErr w:type="spellEnd"/>
      <w:r w:rsidR="00393C03" w:rsidRPr="005643BB">
        <w:t>)</w:t>
      </w:r>
      <w:r w:rsidR="006E675D" w:rsidRPr="005643BB">
        <w:t xml:space="preserve"> un</w:t>
      </w:r>
      <w:r w:rsidR="004F46AF">
        <w:t xml:space="preserve"> (2)</w:t>
      </w:r>
      <w:r w:rsidR="006E675D" w:rsidRPr="005643BB">
        <w:t xml:space="preserve"> vajadzības gadījumā</w:t>
      </w:r>
      <w:r w:rsidR="00393C03" w:rsidRPr="005643BB">
        <w:t xml:space="preserve"> </w:t>
      </w:r>
      <w:r w:rsidR="004F46AF">
        <w:t xml:space="preserve"> - </w:t>
      </w:r>
      <w:r w:rsidR="00447F30" w:rsidRPr="005643BB">
        <w:t>kapitāl</w:t>
      </w:r>
      <w:r w:rsidR="004F46AF">
        <w:t>a</w:t>
      </w:r>
      <w:r w:rsidR="00393C03" w:rsidRPr="005643BB">
        <w:t xml:space="preserve"> pēc pieprasījuma (</w:t>
      </w:r>
      <w:proofErr w:type="spellStart"/>
      <w:r w:rsidR="00393C03" w:rsidRPr="005643BB">
        <w:t>callable</w:t>
      </w:r>
      <w:proofErr w:type="spellEnd"/>
      <w:r w:rsidR="00393C03" w:rsidRPr="005643BB">
        <w:t xml:space="preserve"> </w:t>
      </w:r>
      <w:proofErr w:type="spellStart"/>
      <w:r w:rsidR="00393C03" w:rsidRPr="005643BB">
        <w:t>capital</w:t>
      </w:r>
      <w:proofErr w:type="spellEnd"/>
      <w:r w:rsidR="00393C03" w:rsidRPr="005643BB">
        <w:t>)</w:t>
      </w:r>
      <w:r w:rsidR="00447F30" w:rsidRPr="005643BB">
        <w:t xml:space="preserve"> nodrošināšan</w:t>
      </w:r>
      <w:r w:rsidR="004F46AF">
        <w:t>ā</w:t>
      </w:r>
      <w:r w:rsidR="00393C03" w:rsidRPr="005643BB">
        <w:t>.</w:t>
      </w:r>
      <w:r w:rsidR="00447F30" w:rsidRPr="005643BB">
        <w:t xml:space="preserve"> </w:t>
      </w:r>
      <w:r w:rsidR="00CB1AE9">
        <w:t>Ieguldījums kapitālā</w:t>
      </w:r>
      <w:r w:rsidR="009F13E0" w:rsidRPr="005643BB">
        <w:t xml:space="preserve"> ir atkarīgs no katras dalībvalsts ESM kapitāla atslēgas lieluma</w:t>
      </w:r>
      <w:r w:rsidR="005E6207" w:rsidRPr="005643BB">
        <w:t>. Līguma 11.panta 1.punkts nosaka, ka ESM kapitāla</w:t>
      </w:r>
      <w:r w:rsidR="00CB1AE9">
        <w:t xml:space="preserve"> </w:t>
      </w:r>
      <w:r w:rsidR="005E6207" w:rsidRPr="005643BB">
        <w:t>atslēga tiek aprēķināta proporcionāli to nacionālās centrālās bankas ECB kapitāla parakstīšanas atslēgai, tomēr, l</w:t>
      </w:r>
      <w:r w:rsidR="00447F30" w:rsidRPr="005643BB">
        <w:t xml:space="preserve">ai pievienošanās ESM neradītu pārlieku lielu finansiālo slogu jaunajām </w:t>
      </w:r>
      <w:proofErr w:type="spellStart"/>
      <w:r w:rsidR="00C75D53">
        <w:t>eu</w:t>
      </w:r>
      <w:r w:rsidR="00EA31CC" w:rsidRPr="005643BB">
        <w:t>rozonas</w:t>
      </w:r>
      <w:proofErr w:type="spellEnd"/>
      <w:r w:rsidR="00EA31CC" w:rsidRPr="005643BB">
        <w:t xml:space="preserve"> dalībvalstīm</w:t>
      </w:r>
      <w:r w:rsidR="00CB1AE9">
        <w:t xml:space="preserve"> ar vājāku ekonomiku</w:t>
      </w:r>
      <w:r w:rsidR="00EA31CC" w:rsidRPr="005643BB">
        <w:t xml:space="preserve">, </w:t>
      </w:r>
      <w:r w:rsidR="009F13E0" w:rsidRPr="005643BB">
        <w:t>Līgums</w:t>
      </w:r>
      <w:r w:rsidR="00EA31CC" w:rsidRPr="005643BB">
        <w:t xml:space="preserve"> paredz elastīgu risinājumu attiecībā uz šo dalībvalstu </w:t>
      </w:r>
      <w:r w:rsidR="009A1897">
        <w:t>apmaksājamā kapitāla</w:t>
      </w:r>
      <w:r w:rsidR="00EA31CC" w:rsidRPr="005643BB">
        <w:t>/</w:t>
      </w:r>
      <w:r w:rsidR="009A1897">
        <w:t>kapitāla pēc pieprasījuma</w:t>
      </w:r>
      <w:r w:rsidR="00EA31CC" w:rsidRPr="005643BB">
        <w:t xml:space="preserve"> apmēru. </w:t>
      </w:r>
      <w:r w:rsidR="00447F30" w:rsidRPr="005643BB">
        <w:t>Līguma 42. panta 2. punkts</w:t>
      </w:r>
      <w:r w:rsidR="00EA31CC" w:rsidRPr="005643BB">
        <w:t xml:space="preserve"> nosaka</w:t>
      </w:r>
      <w:r w:rsidR="00C63107">
        <w:t xml:space="preserve">, ka tām jaunajām </w:t>
      </w:r>
      <w:proofErr w:type="spellStart"/>
      <w:r w:rsidR="00C63107">
        <w:t>eu</w:t>
      </w:r>
      <w:r w:rsidR="00447F30" w:rsidRPr="005643BB">
        <w:t>rozonas</w:t>
      </w:r>
      <w:proofErr w:type="spellEnd"/>
      <w:r w:rsidR="00447F30" w:rsidRPr="005643BB">
        <w:t xml:space="preserve"> dalībvalstīm, kurās iekšzemes kopprodukts (IKP) uz vienu </w:t>
      </w:r>
      <w:r w:rsidR="001D54A1">
        <w:t xml:space="preserve">iedzīvotāju faktiskajās cenās </w:t>
      </w:r>
      <w:proofErr w:type="spellStart"/>
      <w:r w:rsidR="001D54A1" w:rsidRPr="001D54A1">
        <w:rPr>
          <w:i/>
        </w:rPr>
        <w:t>eu</w:t>
      </w:r>
      <w:r w:rsidR="00447F30" w:rsidRPr="001D54A1">
        <w:rPr>
          <w:i/>
        </w:rPr>
        <w:t>ro</w:t>
      </w:r>
      <w:proofErr w:type="spellEnd"/>
      <w:r w:rsidR="00447F30" w:rsidRPr="005643BB">
        <w:t xml:space="preserve"> izteiksmē gadu pirms tās iestāšanās </w:t>
      </w:r>
      <w:r w:rsidR="009F13E0" w:rsidRPr="005643BB">
        <w:t>ESM (Latvijai – IKP 2013. gadā)</w:t>
      </w:r>
      <w:r w:rsidR="00447F30" w:rsidRPr="005643BB">
        <w:t xml:space="preserve"> ir ma</w:t>
      </w:r>
      <w:r w:rsidR="009F13E0" w:rsidRPr="005643BB">
        <w:t>zāks nekā 75% no attiecīgā Eiropas savienības (turpmāk - ES)</w:t>
      </w:r>
      <w:r w:rsidR="00447F30" w:rsidRPr="005643BB">
        <w:t xml:space="preserve"> vidējā rādītāja, tiek piemēroti atviegloti nosacījumi attiecība uz kapitāla atslēgu</w:t>
      </w:r>
      <w:r w:rsidR="00AE1847" w:rsidRPr="005643BB">
        <w:t>.</w:t>
      </w:r>
      <w:r w:rsidR="00EA31CC" w:rsidRPr="005643BB">
        <w:t xml:space="preserve"> Tā kā Latvija kvalificējās šim </w:t>
      </w:r>
      <w:r w:rsidR="009F13E0" w:rsidRPr="005643BB">
        <w:t>kritērijam</w:t>
      </w:r>
      <w:r w:rsidR="00EA31CC" w:rsidRPr="005643BB">
        <w:t xml:space="preserve">, tad Latvijas </w:t>
      </w:r>
      <w:r w:rsidR="009A1897">
        <w:t>apmaksājamais kapitāls</w:t>
      </w:r>
      <w:r w:rsidR="009A1897" w:rsidRPr="005643BB">
        <w:t>/</w:t>
      </w:r>
      <w:r w:rsidR="009A1897">
        <w:t>kapitālas pēc pieprasījuma</w:t>
      </w:r>
      <w:r w:rsidR="009A1897" w:rsidRPr="005643BB">
        <w:t xml:space="preserve"> </w:t>
      </w:r>
      <w:r w:rsidR="00EA31CC" w:rsidRPr="005643BB">
        <w:t xml:space="preserve">tiks samazināts uz pārejas periodu, kas ilgst 12 gadus. </w:t>
      </w:r>
      <w:r w:rsidR="00AE1847" w:rsidRPr="005643BB">
        <w:t xml:space="preserve">  </w:t>
      </w:r>
    </w:p>
    <w:p w:rsidR="0096764E" w:rsidRPr="005643BB" w:rsidRDefault="0096764E" w:rsidP="00046750">
      <w:pPr>
        <w:ind w:firstLine="360"/>
        <w:jc w:val="both"/>
      </w:pPr>
      <w:r w:rsidRPr="005643BB">
        <w:t>Dalībvalsts koriģēto ESM kapitāla atslēgu veido:</w:t>
      </w:r>
    </w:p>
    <w:p w:rsidR="0096764E" w:rsidRPr="005643BB" w:rsidRDefault="0096764E" w:rsidP="00046750">
      <w:pPr>
        <w:pStyle w:val="ListParagraph"/>
        <w:numPr>
          <w:ilvl w:val="0"/>
          <w:numId w:val="5"/>
        </w:numPr>
        <w:jc w:val="both"/>
      </w:pPr>
      <w:r w:rsidRPr="005643BB">
        <w:t>25% no dalībvalsts nacionālās centrālās bankas ECB kapitāla parakstīšanas atslēgas;</w:t>
      </w:r>
    </w:p>
    <w:p w:rsidR="0096764E" w:rsidRPr="005643BB" w:rsidRDefault="0096764E" w:rsidP="00046750">
      <w:pPr>
        <w:pStyle w:val="ListParagraph"/>
        <w:numPr>
          <w:ilvl w:val="0"/>
          <w:numId w:val="5"/>
        </w:numPr>
        <w:jc w:val="both"/>
      </w:pPr>
      <w:r w:rsidRPr="005643BB">
        <w:t>75% no dalībvalsts nacionālā kopienākuma (NKI) tirgus cenās</w:t>
      </w:r>
      <w:r w:rsidR="001D54A1">
        <w:t xml:space="preserve"> </w:t>
      </w:r>
      <w:proofErr w:type="spellStart"/>
      <w:r w:rsidR="001D54A1" w:rsidRPr="001D54A1">
        <w:rPr>
          <w:i/>
        </w:rPr>
        <w:t>eu</w:t>
      </w:r>
      <w:r w:rsidR="00DB34F2" w:rsidRPr="001D54A1">
        <w:rPr>
          <w:i/>
        </w:rPr>
        <w:t>ro</w:t>
      </w:r>
      <w:proofErr w:type="spellEnd"/>
      <w:r w:rsidR="00DB34F2">
        <w:t xml:space="preserve"> izteiksmē attiecībā pret </w:t>
      </w:r>
      <w:proofErr w:type="spellStart"/>
      <w:r w:rsidR="00DB34F2">
        <w:t>e</w:t>
      </w:r>
      <w:r w:rsidR="00C63107">
        <w:t>u</w:t>
      </w:r>
      <w:r w:rsidRPr="005643BB">
        <w:t>rozonu</w:t>
      </w:r>
      <w:proofErr w:type="spellEnd"/>
      <w:r w:rsidRPr="005643BB">
        <w:t xml:space="preserve"> gadu pirms tās iestāšanās ESM.</w:t>
      </w:r>
    </w:p>
    <w:p w:rsidR="00223960" w:rsidRDefault="00AE1847" w:rsidP="00046750">
      <w:pPr>
        <w:ind w:firstLine="360"/>
        <w:jc w:val="both"/>
      </w:pPr>
      <w:r w:rsidRPr="005643BB">
        <w:t>Balstoties uz</w:t>
      </w:r>
      <w:r w:rsidR="005E6207" w:rsidRPr="005643BB">
        <w:t xml:space="preserve"> pašlaik pieejamajiem</w:t>
      </w:r>
      <w:r w:rsidRPr="005643BB">
        <w:t xml:space="preserve"> E</w:t>
      </w:r>
      <w:r w:rsidR="005E6207" w:rsidRPr="005643BB">
        <w:t>iropas Centrālās bankas (turpmāk – E</w:t>
      </w:r>
      <w:r w:rsidRPr="005643BB">
        <w:t>CB</w:t>
      </w:r>
      <w:r w:rsidR="005E6207" w:rsidRPr="005643BB">
        <w:t>)</w:t>
      </w:r>
      <w:r w:rsidRPr="005643BB">
        <w:t xml:space="preserve"> datiem par Latvijas Bankas kapitāla parakstīšanas atslēgas apmēru</w:t>
      </w:r>
      <w:r w:rsidR="009A1897">
        <w:t xml:space="preserve"> </w:t>
      </w:r>
      <w:r w:rsidR="009A1897" w:rsidRPr="005643BB">
        <w:t>ECB</w:t>
      </w:r>
      <w:r w:rsidRPr="005643BB">
        <w:t xml:space="preserve"> un </w:t>
      </w:r>
      <w:r w:rsidR="002220C8" w:rsidRPr="002220C8">
        <w:t>Eirop</w:t>
      </w:r>
      <w:r w:rsidR="002220C8">
        <w:t xml:space="preserve">as Savienības Statistikas biroja </w:t>
      </w:r>
      <w:proofErr w:type="spellStart"/>
      <w:r w:rsidR="00626A03" w:rsidRPr="00626A03">
        <w:rPr>
          <w:i/>
        </w:rPr>
        <w:t>Euro</w:t>
      </w:r>
      <w:r w:rsidR="009A1897" w:rsidRPr="00387BED">
        <w:t>stat</w:t>
      </w:r>
      <w:proofErr w:type="spellEnd"/>
      <w:r w:rsidR="00C63107">
        <w:t xml:space="preserve"> prognozēm par Latvijas un </w:t>
      </w:r>
      <w:proofErr w:type="spellStart"/>
      <w:r w:rsidR="00C63107">
        <w:t>eu</w:t>
      </w:r>
      <w:r w:rsidRPr="00387BED">
        <w:t>rozonas</w:t>
      </w:r>
      <w:proofErr w:type="spellEnd"/>
      <w:r w:rsidRPr="00387BED">
        <w:t xml:space="preserve"> nacionālā kopienākuma apmēru 2013.gadā, Latvijas koriģētā ESM kapitāla atslēga būtu 0.</w:t>
      </w:r>
      <w:r w:rsidR="003409C6" w:rsidRPr="00387BED">
        <w:t>25</w:t>
      </w:r>
      <w:r w:rsidR="003409C6">
        <w:t>13</w:t>
      </w:r>
      <w:r w:rsidRPr="00387BED">
        <w:t>%, bet pēc korekcijas perioda - 0.</w:t>
      </w:r>
      <w:r w:rsidR="003409C6">
        <w:t>3927</w:t>
      </w:r>
      <w:r w:rsidRPr="00387BED">
        <w:t>%. Naudas izteiksmē tas nozīmē, ka pirmajos 5 gados pēc ies</w:t>
      </w:r>
      <w:r w:rsidR="00C63107">
        <w:t xml:space="preserve">tāšanas </w:t>
      </w:r>
      <w:proofErr w:type="spellStart"/>
      <w:r w:rsidR="00C63107">
        <w:t>eu</w:t>
      </w:r>
      <w:r w:rsidR="00C30815">
        <w:t>rozonā</w:t>
      </w:r>
      <w:proofErr w:type="spellEnd"/>
      <w:r w:rsidR="00C30815">
        <w:t xml:space="preserve"> (atbilstoši ESM</w:t>
      </w:r>
      <w:r w:rsidRPr="00387BED">
        <w:t xml:space="preserve"> Līguma 41.pantam) Latvijai ESM</w:t>
      </w:r>
      <w:r w:rsidRPr="005643BB">
        <w:t xml:space="preserve"> būtu </w:t>
      </w:r>
      <w:r w:rsidR="00C456B1" w:rsidRPr="005643BB">
        <w:t>jā</w:t>
      </w:r>
      <w:r w:rsidR="00C456B1">
        <w:t>iegulda</w:t>
      </w:r>
      <w:r w:rsidR="00C456B1" w:rsidRPr="005643BB">
        <w:t xml:space="preserve"> </w:t>
      </w:r>
      <w:r w:rsidRPr="005643BB">
        <w:t>aptuveni 40</w:t>
      </w:r>
      <w:r w:rsidR="00387BED">
        <w:t>,</w:t>
      </w:r>
      <w:r w:rsidR="00664C06">
        <w:t>4</w:t>
      </w:r>
      <w:r w:rsidR="00F66432">
        <w:t xml:space="preserve"> </w:t>
      </w:r>
      <w:proofErr w:type="spellStart"/>
      <w:r w:rsidR="00F66432">
        <w:t>milj</w:t>
      </w:r>
      <w:proofErr w:type="spellEnd"/>
      <w:r w:rsidR="00F66432">
        <w:t xml:space="preserve">. </w:t>
      </w:r>
      <w:proofErr w:type="spellStart"/>
      <w:r w:rsidR="00626A03" w:rsidRPr="00626A03">
        <w:rPr>
          <w:i/>
        </w:rPr>
        <w:t>euro</w:t>
      </w:r>
      <w:proofErr w:type="spellEnd"/>
      <w:r w:rsidRPr="005643BB">
        <w:t xml:space="preserve"> katru gadu, bet pēc 12 gadu parejas perioda atlikusī summa</w:t>
      </w:r>
      <w:r w:rsidR="006E675D" w:rsidRPr="005643BB">
        <w:t xml:space="preserve">, kas būtu </w:t>
      </w:r>
      <w:r w:rsidR="00C456B1">
        <w:t>jāiegulda</w:t>
      </w:r>
      <w:r w:rsidR="00C456B1" w:rsidRPr="005643BB">
        <w:t xml:space="preserve"> </w:t>
      </w:r>
      <w:r w:rsidR="006E675D" w:rsidRPr="005643BB">
        <w:t>veidotu</w:t>
      </w:r>
      <w:r w:rsidR="00F66432">
        <w:t xml:space="preserve"> aptuveni </w:t>
      </w:r>
      <w:r w:rsidR="003409C6">
        <w:t>11</w:t>
      </w:r>
      <w:r w:rsidR="00513F84">
        <w:t>3</w:t>
      </w:r>
      <w:r w:rsidR="003409C6">
        <w:t xml:space="preserve"> </w:t>
      </w:r>
      <w:proofErr w:type="spellStart"/>
      <w:r w:rsidR="00F66432">
        <w:t>milj</w:t>
      </w:r>
      <w:proofErr w:type="spellEnd"/>
      <w:r w:rsidR="00F66432">
        <w:t xml:space="preserve"> </w:t>
      </w:r>
      <w:proofErr w:type="spellStart"/>
      <w:r w:rsidR="00626A03" w:rsidRPr="00626A03">
        <w:rPr>
          <w:i/>
        </w:rPr>
        <w:t>euro</w:t>
      </w:r>
      <w:proofErr w:type="spellEnd"/>
      <w:r w:rsidRPr="005643BB">
        <w:t xml:space="preserve">. </w:t>
      </w:r>
    </w:p>
    <w:p w:rsidR="00F73527" w:rsidRDefault="00F73527" w:rsidP="00046750">
      <w:pPr>
        <w:ind w:firstLine="360"/>
        <w:jc w:val="both"/>
      </w:pPr>
    </w:p>
    <w:p w:rsidR="00890890" w:rsidRDefault="00890890" w:rsidP="00046750">
      <w:pPr>
        <w:ind w:firstLine="360"/>
        <w:jc w:val="both"/>
      </w:pPr>
    </w:p>
    <w:tbl>
      <w:tblPr>
        <w:tblW w:w="9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041"/>
        <w:gridCol w:w="2587"/>
        <w:gridCol w:w="1562"/>
      </w:tblGrid>
      <w:tr w:rsidR="00246C69" w:rsidRPr="005643BB" w:rsidTr="00A96314">
        <w:trPr>
          <w:trHeight w:val="468"/>
          <w:jc w:val="center"/>
        </w:trPr>
        <w:tc>
          <w:tcPr>
            <w:tcW w:w="3085" w:type="dxa"/>
          </w:tcPr>
          <w:p w:rsidR="00246C69" w:rsidRPr="005643BB" w:rsidRDefault="00246C69" w:rsidP="009105FE">
            <w:pPr>
              <w:jc w:val="both"/>
              <w:rPr>
                <w:rFonts w:eastAsia="Calibri"/>
              </w:rPr>
            </w:pPr>
            <w:r w:rsidRPr="005643BB">
              <w:rPr>
                <w:rFonts w:eastAsia="Calibri"/>
              </w:rPr>
              <w:t xml:space="preserve">EUR, </w:t>
            </w:r>
            <w:proofErr w:type="spellStart"/>
            <w:r w:rsidRPr="005643BB">
              <w:rPr>
                <w:rFonts w:eastAsia="Calibri"/>
              </w:rPr>
              <w:t>milj</w:t>
            </w:r>
            <w:proofErr w:type="spellEnd"/>
          </w:p>
        </w:tc>
        <w:tc>
          <w:tcPr>
            <w:tcW w:w="2041" w:type="dxa"/>
          </w:tcPr>
          <w:p w:rsidR="00246C69" w:rsidRPr="005643BB" w:rsidRDefault="00246C69" w:rsidP="00A96314">
            <w:pPr>
              <w:jc w:val="center"/>
              <w:rPr>
                <w:rFonts w:eastAsia="Calibri"/>
              </w:rPr>
            </w:pPr>
            <w:r w:rsidRPr="005643BB">
              <w:rPr>
                <w:rFonts w:eastAsia="Calibri"/>
              </w:rPr>
              <w:t>Pārejas perioda laikā (n…n+5)</w:t>
            </w:r>
          </w:p>
        </w:tc>
        <w:tc>
          <w:tcPr>
            <w:tcW w:w="2587" w:type="dxa"/>
          </w:tcPr>
          <w:p w:rsidR="00246C69" w:rsidRPr="005643BB" w:rsidRDefault="00246C69" w:rsidP="00A96314">
            <w:pPr>
              <w:jc w:val="center"/>
              <w:rPr>
                <w:rFonts w:eastAsia="Calibri"/>
              </w:rPr>
            </w:pPr>
            <w:r w:rsidRPr="005643BB">
              <w:rPr>
                <w:rFonts w:eastAsia="Calibri"/>
              </w:rPr>
              <w:t>Atlikusī summa pēc pārejas perioda (n+12)</w:t>
            </w:r>
          </w:p>
        </w:tc>
        <w:tc>
          <w:tcPr>
            <w:tcW w:w="1562" w:type="dxa"/>
          </w:tcPr>
          <w:p w:rsidR="00246C69" w:rsidRPr="005643BB" w:rsidRDefault="00A96314" w:rsidP="00A96314">
            <w:pPr>
              <w:jc w:val="center"/>
              <w:rPr>
                <w:rFonts w:eastAsia="Calibri"/>
              </w:rPr>
            </w:pPr>
            <w:r>
              <w:rPr>
                <w:rFonts w:eastAsia="Calibri"/>
              </w:rPr>
              <w:t>K</w:t>
            </w:r>
            <w:r w:rsidR="00246C69">
              <w:rPr>
                <w:rFonts w:eastAsia="Calibri"/>
              </w:rPr>
              <w:t>opā</w:t>
            </w:r>
          </w:p>
        </w:tc>
      </w:tr>
      <w:tr w:rsidR="005B44DF" w:rsidRPr="005643BB" w:rsidTr="00A96314">
        <w:trPr>
          <w:trHeight w:val="468"/>
          <w:jc w:val="center"/>
        </w:trPr>
        <w:tc>
          <w:tcPr>
            <w:tcW w:w="3085" w:type="dxa"/>
          </w:tcPr>
          <w:p w:rsidR="005B44DF" w:rsidRPr="005643BB" w:rsidRDefault="005B44DF" w:rsidP="005B44DF">
            <w:pPr>
              <w:jc w:val="both"/>
              <w:rPr>
                <w:rFonts w:eastAsia="Calibri"/>
              </w:rPr>
            </w:pPr>
            <w:r>
              <w:rPr>
                <w:rFonts w:eastAsia="Calibri"/>
              </w:rPr>
              <w:t>Apmaksājamais kapitāls</w:t>
            </w:r>
          </w:p>
          <w:p w:rsidR="005B44DF" w:rsidRPr="005643BB" w:rsidRDefault="005B44DF" w:rsidP="005B44DF">
            <w:pPr>
              <w:jc w:val="both"/>
              <w:rPr>
                <w:rFonts w:eastAsia="Calibri"/>
              </w:rPr>
            </w:pPr>
            <w:r w:rsidRPr="005643BB">
              <w:rPr>
                <w:rFonts w:eastAsia="Calibri"/>
                <w:i/>
              </w:rPr>
              <w:t>(</w:t>
            </w:r>
            <w:proofErr w:type="spellStart"/>
            <w:r w:rsidRPr="005643BB">
              <w:rPr>
                <w:rFonts w:eastAsia="Calibri"/>
                <w:i/>
              </w:rPr>
              <w:t>paid-in</w:t>
            </w:r>
            <w:proofErr w:type="spellEnd"/>
            <w:r w:rsidRPr="005643BB">
              <w:rPr>
                <w:rFonts w:eastAsia="Calibri"/>
                <w:i/>
              </w:rPr>
              <w:t xml:space="preserve"> </w:t>
            </w:r>
            <w:proofErr w:type="spellStart"/>
            <w:r w:rsidRPr="005643BB">
              <w:rPr>
                <w:rFonts w:eastAsia="Calibri"/>
                <w:i/>
              </w:rPr>
              <w:t>capital</w:t>
            </w:r>
            <w:proofErr w:type="spellEnd"/>
            <w:r w:rsidRPr="005643BB">
              <w:rPr>
                <w:rFonts w:eastAsia="Calibri"/>
              </w:rPr>
              <w:t>)</w:t>
            </w:r>
          </w:p>
        </w:tc>
        <w:tc>
          <w:tcPr>
            <w:tcW w:w="2041" w:type="dxa"/>
            <w:shd w:val="clear" w:color="auto" w:fill="D9D9D9"/>
          </w:tcPr>
          <w:p w:rsidR="005B44DF" w:rsidRPr="00387BED" w:rsidRDefault="005B44DF" w:rsidP="005B44DF">
            <w:pPr>
              <w:jc w:val="right"/>
              <w:rPr>
                <w:rFonts w:eastAsia="Calibri"/>
              </w:rPr>
            </w:pPr>
            <w:r w:rsidRPr="00526203">
              <w:t>202</w:t>
            </w:r>
          </w:p>
        </w:tc>
        <w:tc>
          <w:tcPr>
            <w:tcW w:w="2587" w:type="dxa"/>
            <w:shd w:val="clear" w:color="auto" w:fill="D9D9D9"/>
          </w:tcPr>
          <w:p w:rsidR="005B44DF" w:rsidRPr="00387BED" w:rsidRDefault="00513F84" w:rsidP="005B44DF">
            <w:pPr>
              <w:jc w:val="right"/>
              <w:rPr>
                <w:rFonts w:eastAsia="Calibri"/>
              </w:rPr>
            </w:pPr>
            <w:r>
              <w:t>113</w:t>
            </w:r>
          </w:p>
        </w:tc>
        <w:tc>
          <w:tcPr>
            <w:tcW w:w="1562" w:type="dxa"/>
            <w:shd w:val="clear" w:color="auto" w:fill="D9D9D9"/>
          </w:tcPr>
          <w:p w:rsidR="005B44DF" w:rsidRPr="00387BED" w:rsidRDefault="005B44DF" w:rsidP="005B44DF">
            <w:pPr>
              <w:jc w:val="right"/>
              <w:rPr>
                <w:rFonts w:eastAsia="Calibri"/>
              </w:rPr>
            </w:pPr>
            <w:r w:rsidRPr="00526203">
              <w:t>315</w:t>
            </w:r>
          </w:p>
        </w:tc>
      </w:tr>
      <w:tr w:rsidR="005B44DF" w:rsidRPr="005643BB" w:rsidTr="00A96314">
        <w:trPr>
          <w:trHeight w:val="468"/>
          <w:jc w:val="center"/>
        </w:trPr>
        <w:tc>
          <w:tcPr>
            <w:tcW w:w="3085" w:type="dxa"/>
          </w:tcPr>
          <w:p w:rsidR="005B44DF" w:rsidRPr="005643BB" w:rsidRDefault="005B44DF" w:rsidP="005B44DF">
            <w:pPr>
              <w:jc w:val="both"/>
              <w:rPr>
                <w:rFonts w:eastAsia="Calibri"/>
              </w:rPr>
            </w:pPr>
            <w:r>
              <w:rPr>
                <w:rFonts w:eastAsia="Calibri"/>
              </w:rPr>
              <w:t>Kapitāls pēc pieprasījuma</w:t>
            </w:r>
          </w:p>
          <w:p w:rsidR="005B44DF" w:rsidRPr="005643BB" w:rsidRDefault="005B44DF" w:rsidP="005B44DF">
            <w:pPr>
              <w:jc w:val="both"/>
              <w:rPr>
                <w:rFonts w:eastAsia="Calibri"/>
              </w:rPr>
            </w:pPr>
            <w:r w:rsidRPr="005643BB">
              <w:rPr>
                <w:rFonts w:eastAsia="Calibri"/>
                <w:i/>
              </w:rPr>
              <w:t>(</w:t>
            </w:r>
            <w:proofErr w:type="spellStart"/>
            <w:r w:rsidRPr="005643BB">
              <w:rPr>
                <w:rFonts w:eastAsia="Calibri"/>
                <w:i/>
              </w:rPr>
              <w:t>callable</w:t>
            </w:r>
            <w:proofErr w:type="spellEnd"/>
            <w:r w:rsidRPr="005643BB">
              <w:rPr>
                <w:rFonts w:eastAsia="Calibri"/>
                <w:i/>
              </w:rPr>
              <w:t xml:space="preserve"> </w:t>
            </w:r>
            <w:proofErr w:type="spellStart"/>
            <w:r w:rsidRPr="005643BB">
              <w:rPr>
                <w:rFonts w:eastAsia="Calibri"/>
                <w:i/>
              </w:rPr>
              <w:t>capital</w:t>
            </w:r>
            <w:proofErr w:type="spellEnd"/>
            <w:r w:rsidRPr="005643BB">
              <w:rPr>
                <w:rFonts w:eastAsia="Calibri"/>
                <w:i/>
              </w:rPr>
              <w:t>)</w:t>
            </w:r>
          </w:p>
        </w:tc>
        <w:tc>
          <w:tcPr>
            <w:tcW w:w="2041" w:type="dxa"/>
            <w:shd w:val="clear" w:color="auto" w:fill="D9D9D9"/>
          </w:tcPr>
          <w:p w:rsidR="005B44DF" w:rsidRPr="00387BED" w:rsidRDefault="005B44DF" w:rsidP="004374AF">
            <w:pPr>
              <w:jc w:val="right"/>
              <w:rPr>
                <w:rFonts w:eastAsia="Calibri"/>
              </w:rPr>
            </w:pPr>
            <w:r w:rsidRPr="00526203">
              <w:t>1 56</w:t>
            </w:r>
            <w:r w:rsidR="004374AF">
              <w:t>5</w:t>
            </w:r>
          </w:p>
        </w:tc>
        <w:tc>
          <w:tcPr>
            <w:tcW w:w="2587" w:type="dxa"/>
            <w:shd w:val="clear" w:color="auto" w:fill="D9D9D9"/>
          </w:tcPr>
          <w:p w:rsidR="005B44DF" w:rsidRPr="00387BED" w:rsidRDefault="005B44DF" w:rsidP="00513F84">
            <w:pPr>
              <w:jc w:val="right"/>
              <w:rPr>
                <w:rFonts w:eastAsia="Calibri"/>
              </w:rPr>
            </w:pPr>
            <w:r w:rsidRPr="00526203">
              <w:t>8</w:t>
            </w:r>
            <w:r w:rsidR="00513F84">
              <w:t>79</w:t>
            </w:r>
          </w:p>
        </w:tc>
        <w:tc>
          <w:tcPr>
            <w:tcW w:w="1562" w:type="dxa"/>
            <w:shd w:val="clear" w:color="auto" w:fill="D9D9D9"/>
          </w:tcPr>
          <w:p w:rsidR="005B44DF" w:rsidRPr="00387BED" w:rsidRDefault="005B44DF" w:rsidP="005B44DF">
            <w:pPr>
              <w:jc w:val="right"/>
              <w:rPr>
                <w:rFonts w:eastAsia="Calibri"/>
              </w:rPr>
            </w:pPr>
            <w:r w:rsidRPr="00526203">
              <w:t>2 444</w:t>
            </w:r>
          </w:p>
        </w:tc>
      </w:tr>
      <w:tr w:rsidR="005B44DF" w:rsidRPr="005643BB" w:rsidTr="00A96314">
        <w:trPr>
          <w:trHeight w:val="468"/>
          <w:jc w:val="center"/>
        </w:trPr>
        <w:tc>
          <w:tcPr>
            <w:tcW w:w="3085" w:type="dxa"/>
          </w:tcPr>
          <w:p w:rsidR="005B44DF" w:rsidRDefault="005B44DF" w:rsidP="005B44DF">
            <w:pPr>
              <w:jc w:val="both"/>
              <w:rPr>
                <w:rFonts w:eastAsia="Calibri"/>
              </w:rPr>
            </w:pPr>
            <w:r>
              <w:rPr>
                <w:rFonts w:eastAsia="Calibri"/>
              </w:rPr>
              <w:t>kopā</w:t>
            </w:r>
          </w:p>
        </w:tc>
        <w:tc>
          <w:tcPr>
            <w:tcW w:w="2041" w:type="dxa"/>
            <w:shd w:val="clear" w:color="auto" w:fill="D9D9D9"/>
          </w:tcPr>
          <w:p w:rsidR="005B44DF" w:rsidRPr="00387BED" w:rsidRDefault="005B44DF" w:rsidP="004374AF">
            <w:pPr>
              <w:jc w:val="right"/>
              <w:rPr>
                <w:rFonts w:eastAsia="Calibri"/>
              </w:rPr>
            </w:pPr>
            <w:r w:rsidRPr="00526203">
              <w:t>1 76</w:t>
            </w:r>
            <w:r w:rsidR="004374AF">
              <w:t>7</w:t>
            </w:r>
          </w:p>
        </w:tc>
        <w:tc>
          <w:tcPr>
            <w:tcW w:w="2587" w:type="dxa"/>
            <w:shd w:val="clear" w:color="auto" w:fill="D9D9D9"/>
          </w:tcPr>
          <w:p w:rsidR="005B44DF" w:rsidRPr="00387BED" w:rsidRDefault="005B44DF" w:rsidP="00513F84">
            <w:pPr>
              <w:jc w:val="right"/>
              <w:rPr>
                <w:rFonts w:eastAsia="Calibri"/>
              </w:rPr>
            </w:pPr>
            <w:r w:rsidRPr="00526203">
              <w:t>99</w:t>
            </w:r>
            <w:r w:rsidR="00513F84">
              <w:t>2</w:t>
            </w:r>
          </w:p>
        </w:tc>
        <w:tc>
          <w:tcPr>
            <w:tcW w:w="1562" w:type="dxa"/>
            <w:shd w:val="clear" w:color="auto" w:fill="D9D9D9"/>
          </w:tcPr>
          <w:p w:rsidR="005B44DF" w:rsidRPr="00387BED" w:rsidRDefault="005B44DF" w:rsidP="00513F84">
            <w:pPr>
              <w:jc w:val="right"/>
              <w:rPr>
                <w:rFonts w:eastAsia="Calibri"/>
              </w:rPr>
            </w:pPr>
            <w:r w:rsidRPr="00526203">
              <w:t>2 7</w:t>
            </w:r>
            <w:r w:rsidR="00513F84">
              <w:t>59</w:t>
            </w:r>
          </w:p>
        </w:tc>
      </w:tr>
    </w:tbl>
    <w:p w:rsidR="00223960" w:rsidRDefault="00223960" w:rsidP="00046750">
      <w:pPr>
        <w:jc w:val="both"/>
      </w:pPr>
    </w:p>
    <w:p w:rsidR="00890890" w:rsidRPr="005643BB" w:rsidRDefault="00890890" w:rsidP="00046750">
      <w:pPr>
        <w:jc w:val="both"/>
      </w:pPr>
    </w:p>
    <w:p w:rsidR="00C0474A" w:rsidRDefault="00AA1944" w:rsidP="00001557">
      <w:pPr>
        <w:ind w:firstLine="720"/>
        <w:jc w:val="both"/>
      </w:pPr>
      <w:r>
        <w:t xml:space="preserve">Jānorāda, ka šie ir sākotnējie aprēķini un </w:t>
      </w:r>
      <w:r w:rsidR="00E743CD">
        <w:t>tie var tikt</w:t>
      </w:r>
      <w:r>
        <w:t xml:space="preserve"> precizēti</w:t>
      </w:r>
      <w:r w:rsidR="00E743CD">
        <w:t>.</w:t>
      </w:r>
      <w:r w:rsidR="00001557">
        <w:t xml:space="preserve"> </w:t>
      </w:r>
      <w:r>
        <w:t xml:space="preserve"> </w:t>
      </w:r>
    </w:p>
    <w:p w:rsidR="007D59CC" w:rsidRDefault="00E743CD" w:rsidP="000F562F">
      <w:pPr>
        <w:ind w:firstLine="720"/>
        <w:jc w:val="both"/>
      </w:pPr>
      <w:r>
        <w:t>P</w:t>
      </w:r>
      <w:r w:rsidR="000F562F">
        <w:t>recīz</w:t>
      </w:r>
      <w:r w:rsidR="007D59CC">
        <w:t>s</w:t>
      </w:r>
      <w:r w:rsidR="00C0474A">
        <w:t xml:space="preserve"> kapitāla atslēgas apmēr</w:t>
      </w:r>
      <w:r w:rsidR="00EF3366">
        <w:t>ā</w:t>
      </w:r>
      <w:r w:rsidR="007D59CC">
        <w:t xml:space="preserve"> tiks noteikts tad, kad saskaņā ar Līguma 44.pantu ESM pilnvarnieku padome pieņems lēmumu par Latvijas dalības tehniskajiem nosacījumiem un lēmumu par precizējumiem Līgumā, kas izriet no Latvijas pievienošanās ESM.</w:t>
      </w:r>
    </w:p>
    <w:p w:rsidR="0049036F" w:rsidRDefault="0049036F" w:rsidP="000F562F">
      <w:pPr>
        <w:ind w:firstLine="720"/>
        <w:jc w:val="both"/>
      </w:pPr>
      <w:r>
        <w:t xml:space="preserve">Latvijas kapitāla atslēgas lielums, kapitāla daļu skaits, kas nonāk Latvijas īpašumā un parakstītā kapitāla lielums tiks noteikts likumā </w:t>
      </w:r>
      <w:r w:rsidR="00E743CD">
        <w:t>„Par L</w:t>
      </w:r>
      <w:r w:rsidR="00763096">
        <w:t>īguma par Eiropas Stabilitātes m</w:t>
      </w:r>
      <w:r w:rsidR="00E743CD">
        <w:t>ehānisma izveidošanu pieņemšanu un īstenošanu”</w:t>
      </w:r>
      <w:r>
        <w:t xml:space="preserve"> vai tā pielikumos.</w:t>
      </w:r>
      <w:r w:rsidR="00EF3366">
        <w:t xml:space="preserve"> Igaunijas gadījumā likumā tika noteikts tas kapitāla atslēgas lielums un kapitālā daļu skaits, kas ir noteikts Līguma pielikumā (samazinātais </w:t>
      </w:r>
      <w:r w:rsidR="00EF3366">
        <w:lastRenderedPageBreak/>
        <w:t>atslēgas apjoms, kas att</w:t>
      </w:r>
      <w:r w:rsidR="008019C8">
        <w:t>iecas uz pirmo 12 gadu periodu)</w:t>
      </w:r>
      <w:r w:rsidR="00EF3366">
        <w:t>, bet tālā</w:t>
      </w:r>
      <w:r w:rsidR="00356848">
        <w:t>k</w:t>
      </w:r>
      <w:r w:rsidR="00EF3366">
        <w:t xml:space="preserve"> Igaunijas likumā ir pants, saskaņā ar kuru Igaunija piekrīt atslēgās palielinājumam saskaņā ar Līgumā noteikto procedūru, bet konkrēts lielums netiek norādīts, jo tas nav zināms. Finanšu ministrija, sagatavojot</w:t>
      </w:r>
      <w:r w:rsidR="00EF3366" w:rsidRPr="00EF3366">
        <w:t xml:space="preserve"> </w:t>
      </w:r>
      <w:r w:rsidR="00EF3366">
        <w:t xml:space="preserve">likumu </w:t>
      </w:r>
      <w:r w:rsidR="00E743CD">
        <w:t xml:space="preserve">„Par Līguma par Eiropas Stabilitātes </w:t>
      </w:r>
      <w:r w:rsidR="00763096">
        <w:t>m</w:t>
      </w:r>
      <w:r w:rsidR="00E743CD">
        <w:t>ehānisma izveidošanu pieņemšanu un īstenošanu”</w:t>
      </w:r>
      <w:r w:rsidR="00EF3366">
        <w:t xml:space="preserve">  plāno rīkoties līdzīgi. Jāatzīmē, ka gan sākotnējā 12 gadu periodā, gan vēlāk kapitāla atslēgas lielums un Latvijas saistību apmērs pret ESM var </w:t>
      </w:r>
      <w:r w:rsidR="00AA3920">
        <w:t>tikt precizēts</w:t>
      </w:r>
      <w:r w:rsidR="00EF3366">
        <w:t xml:space="preserve"> un ir jāparedz attiecīgs mehānisms, k</w:t>
      </w:r>
      <w:r w:rsidR="00AA3920">
        <w:t>ā</w:t>
      </w:r>
      <w:r w:rsidR="00EF3366">
        <w:t xml:space="preserve"> Latvija var pildīt Līguma nosacījumus</w:t>
      </w:r>
      <w:r w:rsidR="00AA3920">
        <w:t>, nenonākot pretrunā ar valsts budžetu.</w:t>
      </w:r>
      <w:r w:rsidR="00EF3366">
        <w:t xml:space="preserve"> </w:t>
      </w:r>
    </w:p>
    <w:p w:rsidR="002A6D71" w:rsidRDefault="002A6D71" w:rsidP="007D59CC">
      <w:pPr>
        <w:rPr>
          <w:b/>
        </w:rPr>
      </w:pPr>
    </w:p>
    <w:p w:rsidR="00890890" w:rsidRDefault="00890890" w:rsidP="007D59CC">
      <w:pPr>
        <w:rPr>
          <w:b/>
        </w:rPr>
      </w:pPr>
    </w:p>
    <w:p w:rsidR="000A6647" w:rsidRDefault="000A6647" w:rsidP="007D59CC">
      <w:pPr>
        <w:rPr>
          <w:b/>
        </w:rPr>
      </w:pPr>
    </w:p>
    <w:p w:rsidR="00536D24" w:rsidRPr="00890890" w:rsidRDefault="007D59CC" w:rsidP="00890890">
      <w:pPr>
        <w:pStyle w:val="ListParagraph"/>
        <w:numPr>
          <w:ilvl w:val="0"/>
          <w:numId w:val="17"/>
        </w:numPr>
        <w:jc w:val="center"/>
        <w:rPr>
          <w:b/>
        </w:rPr>
      </w:pPr>
      <w:r w:rsidRPr="00890890">
        <w:rPr>
          <w:b/>
        </w:rPr>
        <w:t>Finansiālo saistību plānošana budžetā</w:t>
      </w:r>
    </w:p>
    <w:p w:rsidR="005643BB" w:rsidRPr="005643BB" w:rsidRDefault="005643BB" w:rsidP="00046750">
      <w:pPr>
        <w:ind w:firstLine="720"/>
        <w:jc w:val="both"/>
        <w:rPr>
          <w:color w:val="000000"/>
        </w:rPr>
      </w:pPr>
    </w:p>
    <w:p w:rsidR="00E460D1" w:rsidRDefault="00AB4568" w:rsidP="00AB4568">
      <w:pPr>
        <w:ind w:firstLine="720"/>
        <w:jc w:val="both"/>
      </w:pPr>
      <w:r w:rsidRPr="005643BB">
        <w:t xml:space="preserve">Atbilstoši analoģiskiem gadījumiem, kad Latvija ir kļuvusi par kādas starptautiskas </w:t>
      </w:r>
      <w:r w:rsidR="0049036F">
        <w:t xml:space="preserve">finanšu </w:t>
      </w:r>
      <w:r w:rsidRPr="005643BB">
        <w:t xml:space="preserve">institūcijas biedru, </w:t>
      </w:r>
      <w:r w:rsidR="001C1A54" w:rsidRPr="001C1A54">
        <w:t>likumā „</w:t>
      </w:r>
      <w:r w:rsidR="00BD0C28">
        <w:t>Par Līguma par Eiropas Stabilitātes mehānisma izveidošanu pieņemšanu un īstenošanu</w:t>
      </w:r>
      <w:r w:rsidR="001C1A54" w:rsidRPr="001C1A54">
        <w:t>”</w:t>
      </w:r>
      <w:r w:rsidR="001C1A54">
        <w:t xml:space="preserve"> </w:t>
      </w:r>
      <w:r w:rsidR="00BD0C28">
        <w:t xml:space="preserve"> </w:t>
      </w:r>
      <w:r w:rsidR="001C1A54">
        <w:t xml:space="preserve">noteiktais parakstītā kapitāla lielums likumprojektā </w:t>
      </w:r>
      <w:r w:rsidR="001C1A54" w:rsidRPr="001C1A54">
        <w:t>„Par valsts budžetu 2014.gadam”</w:t>
      </w:r>
      <w:r w:rsidR="001C1A54">
        <w:t xml:space="preserve"> ir jāparāda kā </w:t>
      </w:r>
      <w:r w:rsidR="001C1A54" w:rsidRPr="001C1A54">
        <w:t>Latvijas Republikas saistības pret Eiropas Stabilitātes mehānismu parakstīt</w:t>
      </w:r>
      <w:r w:rsidR="001C1A54">
        <w:t>ā</w:t>
      </w:r>
      <w:r w:rsidR="001C1A54" w:rsidRPr="001C1A54">
        <w:t xml:space="preserve"> kapitāla</w:t>
      </w:r>
      <w:r w:rsidR="001C1A54">
        <w:t xml:space="preserve"> apjomā</w:t>
      </w:r>
      <w:r w:rsidR="001C1A54" w:rsidRPr="001C1A54">
        <w:t>.</w:t>
      </w:r>
      <w:r w:rsidR="00E460D1">
        <w:t xml:space="preserve"> Pašlaik ar augstu varbūtību var prognozēt, ka likumprojektā </w:t>
      </w:r>
      <w:r w:rsidR="00E460D1" w:rsidRPr="001C1A54">
        <w:t>„Par valsts budžetu 2014.gadam”</w:t>
      </w:r>
      <w:r w:rsidR="00E460D1">
        <w:t xml:space="preserve"> sagatavošanas laikā vēl nebūs zināms precīzs parakstāmā kapitāla lielums. Tāpat pastāv iespēja, ka 2014.gada budžets var tikt pieņemts ātrāk kā likums </w:t>
      </w:r>
      <w:r w:rsidR="00E743CD">
        <w:t>„Par Līguma par Eiropas Stabi</w:t>
      </w:r>
      <w:r w:rsidR="00763096">
        <w:t>litātes m</w:t>
      </w:r>
      <w:r w:rsidR="00E743CD">
        <w:t>ehānisma izveidošanu pieņemšanu un īstenošanu”</w:t>
      </w:r>
      <w:r w:rsidR="00E460D1">
        <w:t xml:space="preserve">. Tai pat laikā </w:t>
      </w:r>
      <w:r w:rsidR="00E460D1" w:rsidRPr="00E460D1">
        <w:t>Ministru kabineta 2012.gada 31.jūlija noteikum</w:t>
      </w:r>
      <w:r w:rsidR="00E460D1">
        <w:t>u</w:t>
      </w:r>
      <w:r w:rsidR="00E460D1" w:rsidRPr="00E460D1">
        <w:t xml:space="preserve"> Nr.523 „Noteikumi par budžeta pieprasījumu izstrādāšanas un iesniegšanas pamatprincipiem” </w:t>
      </w:r>
      <w:r w:rsidR="00E460D1">
        <w:t>34.punkts paredz, ka p</w:t>
      </w:r>
      <w:r w:rsidR="00E460D1" w:rsidRPr="00B6630B">
        <w:t>lānojot valsts budžeta ilgtermiņa saistības n+1, n+2</w:t>
      </w:r>
      <w:r w:rsidR="00F47A0E">
        <w:t>,</w:t>
      </w:r>
      <w:r w:rsidR="00E460D1" w:rsidRPr="00B6630B">
        <w:t>n+3</w:t>
      </w:r>
      <w:r w:rsidR="00F47A0E">
        <w:t xml:space="preserve"> un turpmākajiem</w:t>
      </w:r>
      <w:r w:rsidR="00E460D1" w:rsidRPr="00B6630B">
        <w:t xml:space="preserve"> gadiem, </w:t>
      </w:r>
      <w:r w:rsidR="00E460D1" w:rsidRPr="00E460D1">
        <w:t>ministrija var uzņemties jaunas valsts budžeta ilgtermiņa saistības maksājumiem starptautiskajās institūcijās un programmās tikai ar Ministru kabineta lēmumu.</w:t>
      </w:r>
      <w:r w:rsidR="00E460D1">
        <w:t xml:space="preserve"> </w:t>
      </w:r>
    </w:p>
    <w:p w:rsidR="000754BA" w:rsidRDefault="00E460D1" w:rsidP="00AB4568">
      <w:pPr>
        <w:ind w:firstLine="720"/>
        <w:jc w:val="both"/>
      </w:pPr>
      <w:r>
        <w:t>Ņemot vērā augstāk minēto</w:t>
      </w:r>
      <w:r w:rsidR="00246C69">
        <w:t>,</w:t>
      </w:r>
      <w:r>
        <w:t xml:space="preserve"> Finanšu ministrija</w:t>
      </w:r>
      <w:r w:rsidR="00246C69">
        <w:t xml:space="preserve"> </w:t>
      </w:r>
      <w:r>
        <w:t xml:space="preserve"> </w:t>
      </w:r>
      <w:r w:rsidR="00246C69">
        <w:t xml:space="preserve">MK </w:t>
      </w:r>
      <w:proofErr w:type="spellStart"/>
      <w:r>
        <w:t>protokollēmumā</w:t>
      </w:r>
      <w:proofErr w:type="spellEnd"/>
      <w:r>
        <w:t xml:space="preserve"> paredz</w:t>
      </w:r>
      <w:r w:rsidR="00246C69">
        <w:t xml:space="preserve"> iekļaut normu, kas uzdod Finanšu ministrijai </w:t>
      </w:r>
      <w:r w:rsidR="00246C69" w:rsidRPr="00246C69">
        <w:t xml:space="preserve">likumprojektā „Par valsts budžetu 2014.gadam” iekļaut normu, kura paredz </w:t>
      </w:r>
      <w:r w:rsidR="003E17EC" w:rsidRPr="003E17EC">
        <w:t>Latvijas Republikas saistības pret Eiropas Stabilitātes mehānismu 20</w:t>
      </w:r>
      <w:r w:rsidR="00664C06">
        <w:t>2</w:t>
      </w:r>
      <w:r w:rsidR="003E17EC" w:rsidRPr="003E17EC">
        <w:t xml:space="preserve"> miljonu </w:t>
      </w:r>
      <w:proofErr w:type="spellStart"/>
      <w:r w:rsidR="00626A03" w:rsidRPr="00626A03">
        <w:rPr>
          <w:i/>
        </w:rPr>
        <w:t>euro</w:t>
      </w:r>
      <w:proofErr w:type="spellEnd"/>
      <w:r w:rsidR="003E17EC" w:rsidRPr="003E17EC">
        <w:t xml:space="preserve"> apmērā apmaksājamam kapitālam</w:t>
      </w:r>
      <w:r w:rsidR="00687922">
        <w:t xml:space="preserve">, </w:t>
      </w:r>
      <w:proofErr w:type="spellStart"/>
      <w:r w:rsidR="00687922">
        <w:t>t.sk</w:t>
      </w:r>
      <w:proofErr w:type="spellEnd"/>
      <w:r w:rsidR="00687922">
        <w:t xml:space="preserve"> 2014.g</w:t>
      </w:r>
      <w:r w:rsidR="00664C06">
        <w:t>adā, 2015.gadā un 2016.gadā 40,4</w:t>
      </w:r>
      <w:r w:rsidR="00687922">
        <w:t xml:space="preserve"> </w:t>
      </w:r>
      <w:proofErr w:type="spellStart"/>
      <w:r w:rsidR="00687922">
        <w:t>milj</w:t>
      </w:r>
      <w:proofErr w:type="spellEnd"/>
      <w:r w:rsidR="00687922">
        <w:t xml:space="preserve">. </w:t>
      </w:r>
      <w:proofErr w:type="spellStart"/>
      <w:r w:rsidR="00626A03" w:rsidRPr="00626A03">
        <w:rPr>
          <w:i/>
        </w:rPr>
        <w:t>euro</w:t>
      </w:r>
      <w:proofErr w:type="spellEnd"/>
      <w:r w:rsidR="00687922">
        <w:t xml:space="preserve"> katru gadu u</w:t>
      </w:r>
      <w:r w:rsidR="004374AF">
        <w:t>n atlikušo summu 80,8</w:t>
      </w:r>
      <w:r w:rsidR="00687922">
        <w:t xml:space="preserve"> </w:t>
      </w:r>
      <w:proofErr w:type="spellStart"/>
      <w:r w:rsidR="00687922">
        <w:t>milj</w:t>
      </w:r>
      <w:proofErr w:type="spellEnd"/>
      <w:r w:rsidR="00687922">
        <w:t xml:space="preserve">. </w:t>
      </w:r>
      <w:proofErr w:type="spellStart"/>
      <w:r w:rsidR="00626A03" w:rsidRPr="00626A03">
        <w:rPr>
          <w:i/>
        </w:rPr>
        <w:t>euro</w:t>
      </w:r>
      <w:proofErr w:type="spellEnd"/>
      <w:r w:rsidR="003E17EC" w:rsidRPr="003E17EC">
        <w:t xml:space="preserve"> un iespējamās saistības 1,5</w:t>
      </w:r>
      <w:r w:rsidR="004374AF">
        <w:t>65</w:t>
      </w:r>
      <w:bookmarkStart w:id="1" w:name="_GoBack"/>
      <w:bookmarkEnd w:id="1"/>
      <w:r w:rsidR="003E17EC" w:rsidRPr="003E17EC">
        <w:t xml:space="preserve"> miljardi </w:t>
      </w:r>
      <w:proofErr w:type="spellStart"/>
      <w:r w:rsidR="00626A03" w:rsidRPr="00626A03">
        <w:rPr>
          <w:i/>
        </w:rPr>
        <w:t>euro</w:t>
      </w:r>
      <w:proofErr w:type="spellEnd"/>
      <w:r w:rsidR="003E17EC" w:rsidRPr="003E17EC">
        <w:t xml:space="preserve"> apmērā kapitālam pēc pieprasījuma.</w:t>
      </w:r>
      <w:r>
        <w:t xml:space="preserve"> </w:t>
      </w:r>
      <w:r w:rsidR="00246C69">
        <w:t xml:space="preserve">Ņemot vērā, ka šī summa var tikt precizēta, </w:t>
      </w:r>
      <w:proofErr w:type="spellStart"/>
      <w:r w:rsidR="00246C69">
        <w:t>protokollēmums</w:t>
      </w:r>
      <w:proofErr w:type="spellEnd"/>
      <w:r w:rsidR="00246C69">
        <w:t xml:space="preserve"> paredz</w:t>
      </w:r>
      <w:r w:rsidR="000754BA">
        <w:t>, ka</w:t>
      </w:r>
      <w:r w:rsidR="008019C8">
        <w:t xml:space="preserve"> </w:t>
      </w:r>
      <w:r w:rsidR="00025D12">
        <w:t>Finanšu ministrija</w:t>
      </w:r>
      <w:r w:rsidR="000D6F1C">
        <w:t xml:space="preserve"> iesniedz</w:t>
      </w:r>
      <w:r w:rsidR="000D6F1C" w:rsidRPr="000D6F1C">
        <w:t xml:space="preserve"> likumprojekta "Par valsts budžetu 2014.gadam" otrajam lasījumam Saeimā priekšlikumu precizēt minētos parakstāmā kapitāla apjomus, ja Latvija ir saņēmusi saskaņā ar Līguma 44.pantu sagatavotos Līguma precizējumus un iestāšanās nosacījumus.</w:t>
      </w:r>
      <w:r w:rsidR="000D6F1C">
        <w:t xml:space="preserve"> </w:t>
      </w:r>
      <w:proofErr w:type="spellStart"/>
      <w:r w:rsidR="000754BA">
        <w:t>Protokollēmums</w:t>
      </w:r>
      <w:proofErr w:type="spellEnd"/>
      <w:r w:rsidR="000754BA">
        <w:t xml:space="preserve"> arī paredz, ka </w:t>
      </w:r>
      <w:r w:rsidR="000754BA" w:rsidRPr="000754BA">
        <w:t>likumprojekt</w:t>
      </w:r>
      <w:r w:rsidR="000754BA">
        <w:t>ā</w:t>
      </w:r>
      <w:r w:rsidR="000754BA" w:rsidRPr="000754BA">
        <w:t xml:space="preserve"> „Par valsts budžetu 2014.gadam”</w:t>
      </w:r>
      <w:r w:rsidR="000754BA">
        <w:t xml:space="preserve"> attiecīgais pants par saistībām pret ESM stājas spēkā tikai pēc Līguma ratifikācijas, tādejādi atrisinot gadījumu, kad budžeta likums tiek pieņemts pirms Līguma ratifikācijas.</w:t>
      </w:r>
    </w:p>
    <w:p w:rsidR="003E17EC" w:rsidRDefault="003E17EC" w:rsidP="00AB4568">
      <w:pPr>
        <w:ind w:firstLine="720"/>
        <w:jc w:val="both"/>
      </w:pPr>
      <w:r>
        <w:t xml:space="preserve">Jāatzīmē, ka, </w:t>
      </w:r>
      <w:r w:rsidRPr="000754BA">
        <w:t>likumprojekt</w:t>
      </w:r>
      <w:r>
        <w:t>ā</w:t>
      </w:r>
      <w:r w:rsidRPr="000754BA">
        <w:t xml:space="preserve"> „Par valsts budžetu 2014.gadam”</w:t>
      </w:r>
      <w:r>
        <w:t xml:space="preserve"> uzņemtās saistības un uzņemtās iespējamās saistības attiecas uz saistību apjomu pirmajiem 12 gadiem</w:t>
      </w:r>
      <w:r w:rsidR="00CF6312">
        <w:t xml:space="preserve">. Tas tāpēc, ka </w:t>
      </w:r>
      <w:r w:rsidR="00CF6312" w:rsidRPr="001C1A54">
        <w:t xml:space="preserve">likumā </w:t>
      </w:r>
      <w:r w:rsidR="00E743CD">
        <w:t>„Par Līguma par Eiropas S</w:t>
      </w:r>
      <w:r w:rsidR="00763096">
        <w:t>tabilitātes m</w:t>
      </w:r>
      <w:r w:rsidR="00E743CD">
        <w:t>ehānisma izveidošanu pieņemšanu un īstenošanu”</w:t>
      </w:r>
      <w:r w:rsidR="00CF6312">
        <w:t xml:space="preserve"> kapitāla atslēgas lielums un parakstāmā kapitāla lielums skaitliskā izteiksmē būs noteikts tikai pirmajiem 12 gadiem, bet tālākam apjomam būs norādīta aprēķināšanas procedūra, saskaņā ar kuru saistību apmērs tiks palielināts. Līdz ar to pēc 12 gadu pārejas perioda beigām attiecīgā valsts budžeta likumā bū</w:t>
      </w:r>
      <w:r w:rsidR="00657B03">
        <w:t>s</w:t>
      </w:r>
      <w:r w:rsidR="00CF6312">
        <w:t xml:space="preserve"> jāiekļauj norma par saistību palielināšanu.    </w:t>
      </w:r>
      <w:r>
        <w:t xml:space="preserve">  </w:t>
      </w:r>
    </w:p>
    <w:p w:rsidR="001C1A54" w:rsidRDefault="00AD15D2" w:rsidP="00AB4568">
      <w:pPr>
        <w:ind w:firstLine="720"/>
        <w:jc w:val="both"/>
      </w:pPr>
      <w:r>
        <w:t xml:space="preserve">Jāatzīmē, ka budžeta likumprojektā </w:t>
      </w:r>
      <w:r w:rsidR="00CF6312">
        <w:t xml:space="preserve">tiek parādītas gan tiešās </w:t>
      </w:r>
      <w:r>
        <w:t>Latvijas saistības pret ESM pret kurām tiek plānoti maksājumi, un netiešās saistības</w:t>
      </w:r>
      <w:r w:rsidR="00CF6312">
        <w:t xml:space="preserve"> </w:t>
      </w:r>
      <w:r>
        <w:t>(</w:t>
      </w:r>
      <w:proofErr w:type="spellStart"/>
      <w:r>
        <w:t>contingent</w:t>
      </w:r>
      <w:proofErr w:type="spellEnd"/>
      <w:r>
        <w:t xml:space="preserve"> </w:t>
      </w:r>
      <w:proofErr w:type="spellStart"/>
      <w:r>
        <w:t>liabilities</w:t>
      </w:r>
      <w:proofErr w:type="spellEnd"/>
      <w:r>
        <w:t>)</w:t>
      </w:r>
      <w:r w:rsidR="00CF6312">
        <w:t xml:space="preserve">, kas attiecas uz kapitālu pēc pieprasījuma un </w:t>
      </w:r>
      <w:r>
        <w:t xml:space="preserve"> pret kurām netiek plānoti maksājumi, jo to iestāšanās var</w:t>
      </w:r>
      <w:r w:rsidR="00356848">
        <w:t>būtība ir neliela. Likumprojektu</w:t>
      </w:r>
      <w:r>
        <w:t xml:space="preserve"> par valsts budžetu pielikum</w:t>
      </w:r>
      <w:r w:rsidR="00BA2C6C">
        <w:t>os</w:t>
      </w:r>
      <w:r>
        <w:t xml:space="preserve"> </w:t>
      </w:r>
      <w:r w:rsidRPr="00AD15D2">
        <w:t>„Valsts budžeta ilgtermiņa saistību maksimālais pieļaujamais apjoms”</w:t>
      </w:r>
      <w:r w:rsidR="00BA2C6C">
        <w:t xml:space="preserve">, savukārt, tiek parādītas tikai tās saistības pret kurām tiek plānoti maksājumi. Līdz ar to šajā pielikumā, izstrādājot likumprojektu </w:t>
      </w:r>
      <w:r w:rsidR="00BA2C6C" w:rsidRPr="00BA2C6C">
        <w:t>„Par valsts budžetu 2014.gadam”</w:t>
      </w:r>
      <w:r w:rsidR="00BA2C6C">
        <w:t xml:space="preserve">, tiek plānots </w:t>
      </w:r>
      <w:r w:rsidR="00AB2966">
        <w:t xml:space="preserve">finansējums saistībām </w:t>
      </w:r>
      <w:r w:rsidR="00BA2C6C">
        <w:t>apmaksājamam kapitālam. Ņemot vērā jau minētā</w:t>
      </w:r>
      <w:r w:rsidR="00AB2966">
        <w:t>s</w:t>
      </w:r>
      <w:r w:rsidR="00BA2C6C">
        <w:t xml:space="preserve"> </w:t>
      </w:r>
      <w:r w:rsidR="00BA2C6C" w:rsidRPr="00E460D1">
        <w:t>Ministru kabineta 2012.gada 31.jūlija noteikum</w:t>
      </w:r>
      <w:r w:rsidR="00BA2C6C">
        <w:t>u</w:t>
      </w:r>
      <w:r w:rsidR="00BA2C6C" w:rsidRPr="00E460D1">
        <w:t xml:space="preserve"> Nr.523 „Noteikumi par budžeta pieprasījumu izstrādāšanas un </w:t>
      </w:r>
      <w:r w:rsidR="00BA2C6C" w:rsidRPr="00E460D1">
        <w:lastRenderedPageBreak/>
        <w:t>iesniegšanas pamatprincipiem”</w:t>
      </w:r>
      <w:r w:rsidR="00BA2C6C">
        <w:t xml:space="preserve"> 34.punkta prasības, apmaksājamā kapitāla precizēšanas nepieciešamību un iespēju, ka budžeta likums tiek pieņemts pirms Līguma ratifikācijas, Finanšu ministrija ir sagatavojusi attiecīgos </w:t>
      </w:r>
      <w:proofErr w:type="spellStart"/>
      <w:r w:rsidR="00BA2C6C">
        <w:t>protokollēmuma</w:t>
      </w:r>
      <w:proofErr w:type="spellEnd"/>
      <w:r w:rsidR="00BA2C6C">
        <w:t xml:space="preserve"> punktus.  </w:t>
      </w:r>
      <w:r w:rsidRPr="00AD15D2">
        <w:t xml:space="preserve"> </w:t>
      </w:r>
      <w:r>
        <w:t xml:space="preserve"> </w:t>
      </w:r>
    </w:p>
    <w:p w:rsidR="0055418F" w:rsidRDefault="0055418F" w:rsidP="00CE3495">
      <w:pPr>
        <w:ind w:firstLine="720"/>
        <w:jc w:val="both"/>
      </w:pPr>
      <w:r w:rsidRPr="005643BB">
        <w:t>Atbilstoši ESA</w:t>
      </w:r>
      <w:r w:rsidR="00176D50">
        <w:t xml:space="preserve"> metodoloģijas</w:t>
      </w:r>
      <w:r w:rsidRPr="005643BB">
        <w:t xml:space="preserve"> principiem </w:t>
      </w:r>
      <w:r w:rsidR="00BA2C6C">
        <w:t>maksājumi</w:t>
      </w:r>
      <w:r w:rsidRPr="005643BB">
        <w:t xml:space="preserve"> </w:t>
      </w:r>
      <w:r w:rsidR="001B7594">
        <w:t>apmaksājamajam</w:t>
      </w:r>
      <w:r w:rsidRPr="009D2E16">
        <w:t xml:space="preserve"> </w:t>
      </w:r>
      <w:r w:rsidR="001B7594">
        <w:t>kapitālam</w:t>
      </w:r>
      <w:r w:rsidRPr="005643BB">
        <w:t xml:space="preserve"> ir </w:t>
      </w:r>
      <w:r w:rsidR="005220C4">
        <w:t xml:space="preserve">ieguldījums finanšu institūcijas kapitālā - </w:t>
      </w:r>
      <w:r w:rsidRPr="005643BB">
        <w:t xml:space="preserve"> darījums, kam nav ietekmes u</w:t>
      </w:r>
      <w:r w:rsidR="001B7594">
        <w:t xml:space="preserve">z budžeta deficītu. Līdz ar to </w:t>
      </w:r>
      <w:r w:rsidRPr="005643BB">
        <w:t xml:space="preserve">budžeta rādītāji saistībā ar </w:t>
      </w:r>
      <w:proofErr w:type="spellStart"/>
      <w:r w:rsidRPr="005643BB">
        <w:t>kapitāldaļu</w:t>
      </w:r>
      <w:proofErr w:type="spellEnd"/>
      <w:r w:rsidRPr="005643BB">
        <w:t xml:space="preserve"> iegādi ESM gadskārtējā valsts budžeta likumā būs plānojami līdzīgi kā citu starptautisko institūciju kapitālā</w:t>
      </w:r>
      <w:r w:rsidR="0041070B">
        <w:t xml:space="preserve"> - </w:t>
      </w:r>
      <w:r w:rsidR="0041070B" w:rsidRPr="002D4170">
        <w:t>FM pamatbudžeta apakšprogrammā 41.03.00 „Iemaksas starptautiskajās organizācijās”</w:t>
      </w:r>
      <w:r w:rsidR="00CE3495">
        <w:t xml:space="preserve"> </w:t>
      </w:r>
      <w:r w:rsidRPr="005643BB">
        <w:t>(FM resorā: resursu sadaļā - tiek attiecīgi paredzēta dotācija no vispārējiem ieņēmumiem; izdevumu sadaļā - izdevumu nav; finansēšanas sadaļā - „Akcijas un cita līdzdalība komersantu pašu kapitālā”).</w:t>
      </w:r>
      <w:r w:rsidR="002D4170">
        <w:t xml:space="preserve"> </w:t>
      </w:r>
    </w:p>
    <w:p w:rsidR="009F13BD" w:rsidRDefault="009F13BD" w:rsidP="0055418F">
      <w:pPr>
        <w:ind w:firstLine="720"/>
        <w:jc w:val="both"/>
      </w:pPr>
    </w:p>
    <w:p w:rsidR="000A6647" w:rsidRDefault="000A6647" w:rsidP="0055418F">
      <w:pPr>
        <w:ind w:firstLine="720"/>
        <w:jc w:val="both"/>
      </w:pPr>
    </w:p>
    <w:p w:rsidR="00890890" w:rsidRDefault="00890890" w:rsidP="0055418F">
      <w:pPr>
        <w:ind w:firstLine="720"/>
        <w:jc w:val="both"/>
      </w:pPr>
    </w:p>
    <w:p w:rsidR="009F13BD" w:rsidRPr="00890890" w:rsidRDefault="009F13BD" w:rsidP="00890890">
      <w:pPr>
        <w:pStyle w:val="ListParagraph"/>
        <w:numPr>
          <w:ilvl w:val="0"/>
          <w:numId w:val="17"/>
        </w:numPr>
        <w:jc w:val="center"/>
        <w:rPr>
          <w:b/>
        </w:rPr>
      </w:pPr>
      <w:r w:rsidRPr="00890890">
        <w:rPr>
          <w:b/>
        </w:rPr>
        <w:t xml:space="preserve">Grozījumi </w:t>
      </w:r>
      <w:r w:rsidR="008302D8" w:rsidRPr="00890890">
        <w:rPr>
          <w:b/>
        </w:rPr>
        <w:t>L</w:t>
      </w:r>
      <w:r w:rsidRPr="00890890">
        <w:rPr>
          <w:b/>
        </w:rPr>
        <w:t xml:space="preserve">ikumā </w:t>
      </w:r>
      <w:r w:rsidR="008302D8" w:rsidRPr="00890890">
        <w:rPr>
          <w:b/>
        </w:rPr>
        <w:t>p</w:t>
      </w:r>
      <w:r w:rsidRPr="00890890">
        <w:rPr>
          <w:b/>
        </w:rPr>
        <w:t>ar budžetu un finanšu vadību un iemaksu kapitālā pēc pieprasījuma riska vadība</w:t>
      </w:r>
    </w:p>
    <w:p w:rsidR="00DE5006" w:rsidRDefault="00DE5006" w:rsidP="00176D50">
      <w:pPr>
        <w:ind w:firstLine="720"/>
        <w:jc w:val="both"/>
      </w:pPr>
      <w:r>
        <w:t xml:space="preserve"> </w:t>
      </w:r>
    </w:p>
    <w:p w:rsidR="0055418F" w:rsidRDefault="00DE5006" w:rsidP="00176D50">
      <w:pPr>
        <w:ind w:firstLine="720"/>
        <w:jc w:val="both"/>
      </w:pPr>
      <w:r>
        <w:t>Atsevišķi skatāms ir jautājums par iespējamību, ka apmaksājamā kapitāla faktiskā apmaksa pa gadiem var atšķirties no tās, ka</w:t>
      </w:r>
      <w:r w:rsidR="0016714C">
        <w:t>s</w:t>
      </w:r>
      <w:r>
        <w:t xml:space="preserve"> plānota attiecīgā gada valsts budžetā. Tāda iespējamība izriet no Līguma </w:t>
      </w:r>
      <w:r w:rsidR="0016714C">
        <w:t xml:space="preserve">41.panta, kas paredz, ka ESM dalībvalsts paātrina apmaksājamā kapitāla apmaksu, lai nodrošinātu, ka apmaksātais kapitāls veido vismaz 15% no kopējā  </w:t>
      </w:r>
      <w:r w:rsidR="00355C78">
        <w:t>izsniegtā aizdevumu apmēra</w:t>
      </w:r>
      <w:r w:rsidR="0016714C">
        <w:t xml:space="preserve">. Lai izvairītos no budžeta grozījumu nepieciešamības šajā gadījumā, Finanšu ministrija ierosina veikt grozījumus </w:t>
      </w:r>
      <w:r w:rsidR="00546C31">
        <w:t>L</w:t>
      </w:r>
      <w:r w:rsidR="0016714C">
        <w:t xml:space="preserve">ikumā </w:t>
      </w:r>
      <w:r w:rsidR="00546C31">
        <w:t>p</w:t>
      </w:r>
      <w:r w:rsidR="006708B0">
        <w:t xml:space="preserve">ar budžetu un finanšu vadību </w:t>
      </w:r>
      <w:r w:rsidR="004F4CD8" w:rsidRPr="004F4CD8">
        <w:t xml:space="preserve">9.panta četrpadsmitajā daļā, kas paredz finanšu ministram tiesības palielināt gadskārtējā valsts budžeta likumā noteikto apropriāciju </w:t>
      </w:r>
      <w:r w:rsidR="00C456B1">
        <w:t>ieguldījumiem</w:t>
      </w:r>
      <w:r w:rsidR="00C456B1" w:rsidRPr="004F4CD8">
        <w:t xml:space="preserve"> </w:t>
      </w:r>
      <w:r w:rsidR="004F4CD8" w:rsidRPr="004F4CD8">
        <w:t>Eiropas Stabilitātes mehānismā</w:t>
      </w:r>
      <w:r w:rsidR="003A5EC0">
        <w:t xml:space="preserve"> un virzīt to kopā ar likumprojektu </w:t>
      </w:r>
      <w:r w:rsidR="003A5EC0" w:rsidRPr="003A5EC0">
        <w:t>„Par L</w:t>
      </w:r>
      <w:r w:rsidR="00763096">
        <w:t>īguma par Eiropas Stabilitātes m</w:t>
      </w:r>
      <w:r w:rsidR="003A5EC0" w:rsidRPr="003A5EC0">
        <w:t>ehānisma izveidošanu pieņemšanu un īstenošanu”</w:t>
      </w:r>
      <w:r w:rsidR="003A5EC0">
        <w:t>.</w:t>
      </w:r>
      <w:r w:rsidR="0016714C">
        <w:t xml:space="preserve"> </w:t>
      </w:r>
      <w:r w:rsidR="004F4CD8">
        <w:t xml:space="preserve">Jāatzīmē, ka </w:t>
      </w:r>
      <w:r w:rsidR="004F4CD8" w:rsidRPr="004F4CD8">
        <w:t>gadskārtējā valsts budžeta likumā noteikt</w:t>
      </w:r>
      <w:r w:rsidR="004F4CD8">
        <w:t>ās</w:t>
      </w:r>
      <w:r w:rsidR="004F4CD8" w:rsidRPr="004F4CD8">
        <w:t xml:space="preserve"> apropriācij</w:t>
      </w:r>
      <w:r w:rsidR="004F4CD8">
        <w:t>as palielināšana</w:t>
      </w:r>
      <w:r w:rsidR="004F4CD8" w:rsidRPr="004F4CD8">
        <w:t xml:space="preserve"> </w:t>
      </w:r>
      <w:r w:rsidR="00C456B1">
        <w:t>ieguldījumiem</w:t>
      </w:r>
      <w:r w:rsidR="00C456B1" w:rsidRPr="004F4CD8">
        <w:t xml:space="preserve"> </w:t>
      </w:r>
      <w:r w:rsidR="004F4CD8" w:rsidRPr="004F4CD8">
        <w:t>Eiropas Stabilitātes mehānism</w:t>
      </w:r>
      <w:r w:rsidR="004F4CD8">
        <w:t xml:space="preserve">a apmaksājamā kapitālā nav uzskatāms par fiskālo risku, kas ietekmē deficītu un tāpēc neskar fiskālās disciplīnas jomu.   </w:t>
      </w:r>
      <w:r w:rsidR="0016714C">
        <w:t xml:space="preserve">  </w:t>
      </w:r>
      <w:r>
        <w:t xml:space="preserve">  </w:t>
      </w:r>
      <w:r w:rsidR="00AB4568" w:rsidRPr="005643BB">
        <w:t xml:space="preserve"> </w:t>
      </w:r>
    </w:p>
    <w:p w:rsidR="003A5EC0" w:rsidRDefault="004F4CD8" w:rsidP="005B4E97">
      <w:pPr>
        <w:autoSpaceDE w:val="0"/>
        <w:autoSpaceDN w:val="0"/>
        <w:adjustRightInd w:val="0"/>
        <w:ind w:firstLine="720"/>
        <w:jc w:val="both"/>
      </w:pPr>
      <w:r>
        <w:t xml:space="preserve">Atšķirīga situācija ir ar kapitālu uz pieprasījumu. </w:t>
      </w:r>
      <w:r w:rsidR="00BA2C6C">
        <w:t>Tā kā</w:t>
      </w:r>
      <w:r w:rsidR="0055418F" w:rsidRPr="005643BB">
        <w:t xml:space="preserve"> kapitāls pēc pieprasījuma ir valsts iespējamās saistības - garantija, ar kuru valsts apņemas noteiktā laikā apmaksā</w:t>
      </w:r>
      <w:r w:rsidR="0058198B">
        <w:t>t kādu pieprasāmā kapitāla daļu</w:t>
      </w:r>
      <w:r>
        <w:t>,</w:t>
      </w:r>
      <w:r w:rsidR="0055418F" w:rsidRPr="005643BB">
        <w:t xml:space="preserve"> </w:t>
      </w:r>
      <w:r>
        <w:t>t</w:t>
      </w:r>
      <w:r w:rsidR="0055418F" w:rsidRPr="005643BB">
        <w:t>as</w:t>
      </w:r>
      <w:r w:rsidR="0058198B">
        <w:t xml:space="preserve"> pats par sevi</w:t>
      </w:r>
      <w:r w:rsidR="0055418F" w:rsidRPr="005643BB">
        <w:t xml:space="preserve"> nerada ietekmi uz valsts budžeta deficītu.</w:t>
      </w:r>
      <w:r w:rsidR="0060777F">
        <w:t xml:space="preserve"> </w:t>
      </w:r>
    </w:p>
    <w:p w:rsidR="00704AF4" w:rsidRPr="00D65476" w:rsidRDefault="0060777F" w:rsidP="005B4E97">
      <w:pPr>
        <w:autoSpaceDE w:val="0"/>
        <w:autoSpaceDN w:val="0"/>
        <w:adjustRightInd w:val="0"/>
        <w:ind w:firstLine="720"/>
        <w:jc w:val="both"/>
      </w:pPr>
      <w:r>
        <w:t>Atbilstoši ESA metodoloģijai</w:t>
      </w:r>
      <w:r w:rsidR="004F4CD8">
        <w:t xml:space="preserve"> i</w:t>
      </w:r>
      <w:r w:rsidR="0055418F" w:rsidRPr="005643BB">
        <w:t xml:space="preserve">etekme uz valsts budžeta deficītu </w:t>
      </w:r>
      <w:r w:rsidR="004F4CD8">
        <w:t>rodas</w:t>
      </w:r>
      <w:r w:rsidR="0055418F" w:rsidRPr="005643BB">
        <w:t xml:space="preserve"> tajos gadījumos, ja tiek saņemts pieprasījums segt ESM zaudējumus vai ESM </w:t>
      </w:r>
      <w:proofErr w:type="spellStart"/>
      <w:r w:rsidR="0055418F" w:rsidRPr="005643BB">
        <w:t>debitorvalsts</w:t>
      </w:r>
      <w:proofErr w:type="spellEnd"/>
      <w:r w:rsidR="0055418F" w:rsidRPr="005643BB">
        <w:t xml:space="preserve"> nespēj nodrošināt aizdevuma atmaksu pietiekamā apmērā.</w:t>
      </w:r>
      <w:r w:rsidR="00BA2C6C">
        <w:t xml:space="preserve"> </w:t>
      </w:r>
      <w:r w:rsidR="004F4CD8">
        <w:t xml:space="preserve">Saskaņā ar 2013.gada 31.janvāra </w:t>
      </w:r>
      <w:proofErr w:type="spellStart"/>
      <w:r w:rsidR="00626A03" w:rsidRPr="004F7B13">
        <w:t>Euro</w:t>
      </w:r>
      <w:r w:rsidR="004F4CD8">
        <w:t>stat</w:t>
      </w:r>
      <w:proofErr w:type="spellEnd"/>
      <w:r w:rsidR="004F4CD8">
        <w:t xml:space="preserve"> lēmumu </w:t>
      </w:r>
      <w:r w:rsidR="00704AF4">
        <w:t>šādi kapitāla uz pieprasījumu maksājumi ir uzskatāmi par kapitālo izdevumu transfertiem un ietekmē vispārējās valdības budžeta bilanci.</w:t>
      </w:r>
      <w:r w:rsidR="00563622">
        <w:t xml:space="preserve"> Saskaņā ar nacionālo budžeta veidošanas metodoloģiju  maksājumi ir uzskatāmi kā ieguldījums finanšu institūcijas kapitālā, vienlaicīgi atzīstot ietekmi uz vispārējās valdības bilanci ar ESA korekciju.</w:t>
      </w:r>
      <w:r w:rsidR="00704AF4">
        <w:t xml:space="preserve"> Saskaņā ar Līguma 9.pantu, šādi maksājuma pieprasījumi kapitālam pēc pieprasījumu var tikt iesniegti ESM dalībvalstij jebkurā brīdī un maksājumi ir jāveic septiņu dienu laikā. Kaut arī maksājumu kapitālam pēc pieprasījuma ir </w:t>
      </w:r>
      <w:r w:rsidR="006708B0">
        <w:t>ar zemu varbūtību</w:t>
      </w:r>
      <w:r w:rsidR="00704AF4">
        <w:t xml:space="preserve">, ir nepieciešams paredzēt procedūru, kā </w:t>
      </w:r>
      <w:r w:rsidR="006708B0">
        <w:t xml:space="preserve">šādi maksājumi tiks veikti. Finanšu ministrija piedāvā šādu pieeju: (1) valsts budžetā </w:t>
      </w:r>
      <w:r w:rsidR="0060481F">
        <w:t xml:space="preserve">finansējums </w:t>
      </w:r>
      <w:r w:rsidR="0060481F" w:rsidRPr="00884D85">
        <w:t>ieguldījum</w:t>
      </w:r>
      <w:r w:rsidR="0060481F">
        <w:t>am</w:t>
      </w:r>
      <w:r w:rsidR="0060481F" w:rsidRPr="00884D85">
        <w:t xml:space="preserve"> </w:t>
      </w:r>
      <w:r w:rsidR="0060481F">
        <w:t>kapitālā pēc pieprasījuma</w:t>
      </w:r>
      <w:r w:rsidR="006708B0">
        <w:t xml:space="preserve"> netiek </w:t>
      </w:r>
      <w:r w:rsidR="00884D85">
        <w:t>plānots</w:t>
      </w:r>
      <w:r w:rsidR="006708B0">
        <w:t xml:space="preserve">; (2) jau pieminētie grozījumi </w:t>
      </w:r>
      <w:r w:rsidR="00546C31">
        <w:t>L</w:t>
      </w:r>
      <w:r w:rsidR="006708B0">
        <w:t xml:space="preserve">ikumā </w:t>
      </w:r>
      <w:r w:rsidR="00546C31">
        <w:t>p</w:t>
      </w:r>
      <w:r w:rsidR="006708B0">
        <w:t xml:space="preserve">ar budžetu un finanšu vadību </w:t>
      </w:r>
      <w:r w:rsidR="006708B0" w:rsidRPr="004F4CD8">
        <w:t>9.panta četrpadsmitajā daļā</w:t>
      </w:r>
      <w:r w:rsidR="006708B0">
        <w:t xml:space="preserve"> dos iespēju Finanšu ministram palielināt </w:t>
      </w:r>
      <w:r w:rsidR="006708B0" w:rsidRPr="004F4CD8">
        <w:t xml:space="preserve">gadskārtējā valsts budžeta likumā noteikto apropriāciju </w:t>
      </w:r>
      <w:r w:rsidR="00C456B1">
        <w:t>ieguldījumiem</w:t>
      </w:r>
      <w:r w:rsidR="00C456B1" w:rsidRPr="004F4CD8">
        <w:t xml:space="preserve"> </w:t>
      </w:r>
      <w:r w:rsidR="006708B0" w:rsidRPr="004F4CD8">
        <w:t>Eiropas Stabilitātes mehānismā</w:t>
      </w:r>
      <w:r w:rsidR="006708B0">
        <w:t xml:space="preserve">; (3) Fiskālo risku deklarācijā paredzēt </w:t>
      </w:r>
      <w:r w:rsidR="0060481F">
        <w:t xml:space="preserve">ieguldījumu kapitālā </w:t>
      </w:r>
      <w:r w:rsidR="006708B0">
        <w:t>pēc pieprasījuma</w:t>
      </w:r>
      <w:r w:rsidR="0060481F">
        <w:t>, kas saistīts ar ESM zaudējumiem,</w:t>
      </w:r>
      <w:r w:rsidR="006708B0">
        <w:t xml:space="preserve"> kā kvantificējamo fiskālo risku. </w:t>
      </w:r>
    </w:p>
    <w:p w:rsidR="0047166F" w:rsidRPr="005643BB" w:rsidRDefault="0047166F" w:rsidP="002E0FED">
      <w:pPr>
        <w:autoSpaceDE w:val="0"/>
        <w:autoSpaceDN w:val="0"/>
        <w:adjustRightInd w:val="0"/>
        <w:jc w:val="both"/>
        <w:rPr>
          <w:highlight w:val="yellow"/>
        </w:rPr>
      </w:pPr>
    </w:p>
    <w:p w:rsidR="00685650" w:rsidRDefault="00685650" w:rsidP="00685650">
      <w:pPr>
        <w:spacing w:after="160" w:line="259" w:lineRule="auto"/>
      </w:pPr>
      <w:r>
        <w:t>Pielikumi:</w:t>
      </w:r>
    </w:p>
    <w:p w:rsidR="00001557" w:rsidRDefault="00E710F3" w:rsidP="00001557">
      <w:pPr>
        <w:pStyle w:val="ListParagraph"/>
        <w:numPr>
          <w:ilvl w:val="0"/>
          <w:numId w:val="16"/>
        </w:numPr>
        <w:spacing w:after="160" w:line="256" w:lineRule="auto"/>
        <w:jc w:val="both"/>
      </w:pPr>
      <w:r>
        <w:t>L</w:t>
      </w:r>
      <w:r w:rsidRPr="00A355CF">
        <w:t>īgum</w:t>
      </w:r>
      <w:r>
        <w:t>s</w:t>
      </w:r>
      <w:r w:rsidRPr="00A355CF">
        <w:t xml:space="preserve"> </w:t>
      </w:r>
      <w:r w:rsidR="00001557" w:rsidRPr="00A355CF">
        <w:t xml:space="preserve">par Eiropas Stabilitātes mehānisma izveidošanu </w:t>
      </w:r>
      <w:r w:rsidR="00001557" w:rsidRPr="004721EB">
        <w:rPr>
          <w:szCs w:val="20"/>
        </w:rPr>
        <w:t xml:space="preserve">(datne: </w:t>
      </w:r>
      <w:r w:rsidR="004F7B13">
        <w:t>FMPiel1_08</w:t>
      </w:r>
      <w:r w:rsidR="00001557" w:rsidRPr="004721EB">
        <w:t>082013_ESM</w:t>
      </w:r>
      <w:r w:rsidR="00001557" w:rsidRPr="004721EB">
        <w:rPr>
          <w:szCs w:val="20"/>
        </w:rPr>
        <w:t>)</w:t>
      </w:r>
      <w:r w:rsidR="00001557">
        <w:t xml:space="preserve"> uz 62 lp.;</w:t>
      </w:r>
    </w:p>
    <w:p w:rsidR="00001557" w:rsidRDefault="00001557" w:rsidP="00001557">
      <w:pPr>
        <w:pStyle w:val="ListParagraph"/>
        <w:numPr>
          <w:ilvl w:val="0"/>
          <w:numId w:val="16"/>
        </w:numPr>
        <w:spacing w:after="160" w:line="256" w:lineRule="auto"/>
        <w:jc w:val="both"/>
      </w:pPr>
      <w:r w:rsidRPr="00A355CF">
        <w:lastRenderedPageBreak/>
        <w:t xml:space="preserve">Eiropas Stabilitātes mehānisma </w:t>
      </w:r>
      <w:r>
        <w:t xml:space="preserve">direktora Klausa </w:t>
      </w:r>
      <w:proofErr w:type="spellStart"/>
      <w:r>
        <w:t>Reglinga</w:t>
      </w:r>
      <w:proofErr w:type="spellEnd"/>
      <w:r>
        <w:t xml:space="preserve"> vēstule Finanšu ministram </w:t>
      </w:r>
      <w:r w:rsidRPr="004721EB">
        <w:rPr>
          <w:szCs w:val="20"/>
        </w:rPr>
        <w:t xml:space="preserve">(datne: </w:t>
      </w:r>
      <w:r w:rsidR="004F7B13">
        <w:t>FMPiel2_08</w:t>
      </w:r>
      <w:r w:rsidRPr="004721EB">
        <w:t>082013_ESM</w:t>
      </w:r>
      <w:r w:rsidRPr="004721EB">
        <w:rPr>
          <w:szCs w:val="20"/>
        </w:rPr>
        <w:t>)</w:t>
      </w:r>
      <w:r>
        <w:t xml:space="preserve"> uz 1 lp.;</w:t>
      </w:r>
    </w:p>
    <w:p w:rsidR="00001557" w:rsidRDefault="00001557" w:rsidP="00001557">
      <w:pPr>
        <w:pStyle w:val="ListParagraph"/>
        <w:numPr>
          <w:ilvl w:val="0"/>
          <w:numId w:val="16"/>
        </w:numPr>
        <w:spacing w:after="160" w:line="256" w:lineRule="auto"/>
        <w:jc w:val="both"/>
      </w:pPr>
      <w:r>
        <w:t xml:space="preserve">Informatīvā ziņojuma „Par </w:t>
      </w:r>
      <w:r w:rsidR="009B2FAF">
        <w:t>Latvijas pievienošanos Eiropas S</w:t>
      </w:r>
      <w:r>
        <w:t>tabilitātes mehānismam” 3.pielikums „</w:t>
      </w:r>
      <w:r w:rsidR="009B2FAF">
        <w:t>Pievienošanās Eiropas S</w:t>
      </w:r>
      <w:r w:rsidRPr="00A355CF">
        <w:t>tabilitātes mehānismam būtiskāko darbību blokshēma</w:t>
      </w:r>
      <w:r>
        <w:t xml:space="preserve">” </w:t>
      </w:r>
      <w:r w:rsidRPr="004721EB">
        <w:rPr>
          <w:szCs w:val="20"/>
        </w:rPr>
        <w:t xml:space="preserve">(datne: </w:t>
      </w:r>
      <w:r w:rsidR="004F7B13">
        <w:t>FMPiel3_08</w:t>
      </w:r>
      <w:r w:rsidRPr="004721EB">
        <w:t>082013_ESM</w:t>
      </w:r>
      <w:r w:rsidRPr="004721EB">
        <w:rPr>
          <w:szCs w:val="20"/>
        </w:rPr>
        <w:t>)</w:t>
      </w:r>
      <w:r w:rsidR="00907B69">
        <w:t xml:space="preserve"> uz 1 lp.</w:t>
      </w:r>
    </w:p>
    <w:p w:rsidR="00890890" w:rsidRDefault="00890890" w:rsidP="00046750">
      <w:pPr>
        <w:spacing w:before="120" w:after="120"/>
        <w:jc w:val="both"/>
      </w:pPr>
    </w:p>
    <w:p w:rsidR="00890890" w:rsidRDefault="00890890" w:rsidP="00046750">
      <w:pPr>
        <w:spacing w:before="120" w:after="120"/>
        <w:jc w:val="both"/>
      </w:pPr>
    </w:p>
    <w:p w:rsidR="007D3B79" w:rsidRPr="00AC0479" w:rsidRDefault="007D3B79" w:rsidP="00046750">
      <w:pPr>
        <w:spacing w:before="120" w:after="120"/>
        <w:jc w:val="both"/>
      </w:pPr>
      <w:r w:rsidRPr="00AC0479">
        <w:t xml:space="preserve">Finanšu ministrs </w:t>
      </w:r>
      <w:r w:rsidRPr="00AC0479">
        <w:tab/>
      </w:r>
      <w:r w:rsidRPr="00AC0479">
        <w:tab/>
      </w:r>
      <w:r w:rsidRPr="00AC0479">
        <w:tab/>
      </w:r>
      <w:r w:rsidRPr="00AC0479">
        <w:tab/>
      </w:r>
      <w:r w:rsidRPr="00AC0479">
        <w:tab/>
      </w:r>
      <w:r w:rsidRPr="00AC0479">
        <w:tab/>
      </w:r>
      <w:r w:rsidRPr="00AC0479">
        <w:tab/>
      </w:r>
      <w:r w:rsidRPr="00AC0479">
        <w:tab/>
      </w:r>
      <w:r w:rsidR="00907B69">
        <w:tab/>
      </w:r>
      <w:r w:rsidR="00907B69">
        <w:tab/>
      </w:r>
      <w:r w:rsidRPr="00AC0479">
        <w:t>A.Vilks</w:t>
      </w:r>
    </w:p>
    <w:p w:rsidR="00890890" w:rsidRDefault="00890890" w:rsidP="00046750">
      <w:pPr>
        <w:jc w:val="both"/>
        <w:rPr>
          <w:sz w:val="18"/>
        </w:rPr>
      </w:pPr>
    </w:p>
    <w:p w:rsidR="00890890" w:rsidRDefault="00890890" w:rsidP="00046750">
      <w:pPr>
        <w:jc w:val="both"/>
        <w:rPr>
          <w:sz w:val="18"/>
        </w:rPr>
      </w:pPr>
    </w:p>
    <w:p w:rsidR="00890890" w:rsidRDefault="00890890" w:rsidP="00046750">
      <w:pPr>
        <w:jc w:val="both"/>
        <w:rPr>
          <w:sz w:val="18"/>
        </w:rPr>
      </w:pPr>
    </w:p>
    <w:p w:rsidR="00890890" w:rsidRDefault="00890890" w:rsidP="00046750">
      <w:pPr>
        <w:jc w:val="both"/>
        <w:rPr>
          <w:sz w:val="18"/>
        </w:rPr>
      </w:pPr>
    </w:p>
    <w:p w:rsidR="00890890" w:rsidRDefault="00890890" w:rsidP="00046750">
      <w:pPr>
        <w:jc w:val="both"/>
        <w:rPr>
          <w:sz w:val="18"/>
        </w:rPr>
      </w:pPr>
    </w:p>
    <w:p w:rsidR="00890890" w:rsidRDefault="00890890" w:rsidP="00046750">
      <w:pPr>
        <w:jc w:val="both"/>
        <w:rPr>
          <w:sz w:val="18"/>
        </w:rPr>
      </w:pPr>
    </w:p>
    <w:p w:rsidR="00890890" w:rsidRDefault="00890890" w:rsidP="00046750">
      <w:pPr>
        <w:jc w:val="both"/>
        <w:rPr>
          <w:sz w:val="18"/>
        </w:rPr>
      </w:pPr>
    </w:p>
    <w:p w:rsidR="00890890" w:rsidRDefault="00890890" w:rsidP="00046750">
      <w:pPr>
        <w:jc w:val="both"/>
        <w:rPr>
          <w:sz w:val="18"/>
        </w:rPr>
      </w:pPr>
    </w:p>
    <w:p w:rsidR="00890890" w:rsidRDefault="00890890" w:rsidP="00046750">
      <w:pPr>
        <w:jc w:val="both"/>
        <w:rPr>
          <w:sz w:val="18"/>
        </w:rPr>
      </w:pPr>
    </w:p>
    <w:p w:rsidR="00F243C2" w:rsidRDefault="00F243C2" w:rsidP="00046750">
      <w:pPr>
        <w:jc w:val="both"/>
        <w:rPr>
          <w:sz w:val="18"/>
        </w:rPr>
      </w:pPr>
      <w:r>
        <w:rPr>
          <w:sz w:val="18"/>
        </w:rPr>
        <w:t>08.08.2013 9:28</w:t>
      </w:r>
    </w:p>
    <w:p w:rsidR="007D3B79" w:rsidRPr="00AC0479" w:rsidRDefault="00907B69" w:rsidP="00046750">
      <w:pPr>
        <w:jc w:val="both"/>
        <w:rPr>
          <w:sz w:val="18"/>
        </w:rPr>
      </w:pPr>
      <w:r>
        <w:rPr>
          <w:sz w:val="18"/>
        </w:rPr>
        <w:t>2</w:t>
      </w:r>
      <w:r w:rsidR="004F7B13">
        <w:rPr>
          <w:sz w:val="18"/>
        </w:rPr>
        <w:t>42</w:t>
      </w:r>
      <w:r w:rsidR="000A6647">
        <w:rPr>
          <w:sz w:val="18"/>
        </w:rPr>
        <w:t>0</w:t>
      </w:r>
    </w:p>
    <w:p w:rsidR="007D3B79" w:rsidRPr="00AC0479" w:rsidRDefault="00FF0057" w:rsidP="00046750">
      <w:pPr>
        <w:jc w:val="both"/>
        <w:rPr>
          <w:sz w:val="18"/>
        </w:rPr>
      </w:pPr>
      <w:r w:rsidRPr="00AC0479">
        <w:rPr>
          <w:sz w:val="18"/>
        </w:rPr>
        <w:t>Trupovnieks</w:t>
      </w:r>
    </w:p>
    <w:p w:rsidR="007D3B79" w:rsidRPr="00AC0479" w:rsidRDefault="007D3B79" w:rsidP="00046750">
      <w:pPr>
        <w:jc w:val="both"/>
        <w:rPr>
          <w:sz w:val="18"/>
        </w:rPr>
      </w:pPr>
      <w:r w:rsidRPr="00AC0479">
        <w:rPr>
          <w:sz w:val="18"/>
        </w:rPr>
        <w:t>Tālr.670838</w:t>
      </w:r>
      <w:r w:rsidR="00FF0057" w:rsidRPr="00AC0479">
        <w:rPr>
          <w:sz w:val="18"/>
        </w:rPr>
        <w:t>09</w:t>
      </w:r>
    </w:p>
    <w:p w:rsidR="00CA52F5" w:rsidRDefault="00AB0CB6" w:rsidP="00001557">
      <w:pPr>
        <w:jc w:val="both"/>
      </w:pPr>
      <w:hyperlink r:id="rId9" w:history="1">
        <w:r w:rsidR="00001557" w:rsidRPr="002C47E3">
          <w:rPr>
            <w:rStyle w:val="Hyperlink"/>
            <w:sz w:val="18"/>
          </w:rPr>
          <w:t>Gints.Trupovnieks@fm.gov.lv</w:t>
        </w:r>
      </w:hyperlink>
      <w:r w:rsidR="00001557">
        <w:rPr>
          <w:sz w:val="18"/>
        </w:rPr>
        <w:t xml:space="preserve"> </w:t>
      </w:r>
    </w:p>
    <w:sectPr w:rsidR="00CA52F5" w:rsidSect="00A96314">
      <w:headerReference w:type="default" r:id="rId10"/>
      <w:footerReference w:type="defaul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B6" w:rsidRDefault="00AB0CB6">
      <w:r>
        <w:separator/>
      </w:r>
    </w:p>
  </w:endnote>
  <w:endnote w:type="continuationSeparator" w:id="0">
    <w:p w:rsidR="00AB0CB6" w:rsidRDefault="00AB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D85" w:rsidRPr="00DD6229" w:rsidRDefault="0075390B" w:rsidP="009105FE">
    <w:pPr>
      <w:rPr>
        <w:sz w:val="20"/>
        <w:szCs w:val="20"/>
      </w:rPr>
    </w:pPr>
    <w:fldSimple w:instr=" FILENAME   \* MERGEFORMAT ">
      <w:r w:rsidR="00513F84">
        <w:rPr>
          <w:noProof/>
          <w:sz w:val="20"/>
          <w:szCs w:val="20"/>
        </w:rPr>
        <w:t>FMinf_08082013_ESM</w:t>
      </w:r>
    </w:fldSimple>
    <w:r w:rsidR="00884D85" w:rsidRPr="008770E3">
      <w:rPr>
        <w:sz w:val="20"/>
        <w:szCs w:val="20"/>
      </w:rPr>
      <w:t xml:space="preserve">; Informatīvais ziņojums </w:t>
    </w:r>
    <w:r w:rsidR="00884D85">
      <w:rPr>
        <w:sz w:val="20"/>
        <w:szCs w:val="20"/>
      </w:rPr>
      <w:t>„Par Latvijas dalību Eiropas Stabilitātes mehānismā”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557" w:rsidRPr="00001557" w:rsidRDefault="0075390B" w:rsidP="00001557">
    <w:pPr>
      <w:rPr>
        <w:sz w:val="20"/>
        <w:szCs w:val="20"/>
      </w:rPr>
    </w:pPr>
    <w:fldSimple w:instr=" FILENAME   \* MERGEFORMAT ">
      <w:r w:rsidR="00513F84">
        <w:rPr>
          <w:noProof/>
          <w:sz w:val="20"/>
          <w:szCs w:val="20"/>
        </w:rPr>
        <w:t>FMinf_08082013_ESM</w:t>
      </w:r>
    </w:fldSimple>
    <w:r w:rsidR="00001557" w:rsidRPr="008770E3">
      <w:rPr>
        <w:sz w:val="20"/>
        <w:szCs w:val="20"/>
      </w:rPr>
      <w:t xml:space="preserve">; Informatīvais ziņojums </w:t>
    </w:r>
    <w:r w:rsidR="00001557">
      <w:rPr>
        <w:sz w:val="20"/>
        <w:szCs w:val="20"/>
      </w:rPr>
      <w:t>„Par Latvijas dalību Eiropas Stabilitātes mehānismā”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B6" w:rsidRDefault="00AB0CB6">
      <w:r>
        <w:separator/>
      </w:r>
    </w:p>
  </w:footnote>
  <w:footnote w:type="continuationSeparator" w:id="0">
    <w:p w:rsidR="00AB0CB6" w:rsidRDefault="00AB0CB6">
      <w:r>
        <w:continuationSeparator/>
      </w:r>
    </w:p>
  </w:footnote>
  <w:footnote w:id="1">
    <w:p w:rsidR="00884D85" w:rsidRDefault="00884D85">
      <w:pPr>
        <w:pStyle w:val="FootnoteText"/>
      </w:pPr>
      <w:r>
        <w:rPr>
          <w:rStyle w:val="FootnoteReference"/>
        </w:rPr>
        <w:footnoteRef/>
      </w:r>
      <w:r>
        <w:t xml:space="preserve"> </w:t>
      </w:r>
      <w:r w:rsidRPr="00684745">
        <w:t>Līgum</w:t>
      </w:r>
      <w:r>
        <w:t>s</w:t>
      </w:r>
      <w:r w:rsidRPr="00684745">
        <w:t xml:space="preserve"> Par Eiropas Stabilitātes </w:t>
      </w:r>
      <w:r w:rsidR="00763096">
        <w:t>m</w:t>
      </w:r>
      <w:r w:rsidRPr="00684745">
        <w:t>ehānisma izveidošanu  starp Beļģijas Karalisti, Vācijas Federatīvo Republiku, Igaunijas Republiku, Īriju, Grieķijas Republiku, Spānijas Karalisti, Francijas Republiku, Itālijas Republiku, Kipras Republiku, Luksemburgas Lielhercogisti, Maltu, Nīderlandes Karalisti, Austrijas Republiku, Portugāles Republiku, Slovēnijas Republiku, Slovākijas Republiku un Somijas Republiku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66870"/>
      <w:docPartObj>
        <w:docPartGallery w:val="Page Numbers (Top of Page)"/>
        <w:docPartUnique/>
      </w:docPartObj>
    </w:sdtPr>
    <w:sdtEndPr>
      <w:rPr>
        <w:noProof/>
      </w:rPr>
    </w:sdtEndPr>
    <w:sdtContent>
      <w:p w:rsidR="00A96314" w:rsidRDefault="002A7368">
        <w:pPr>
          <w:pStyle w:val="Header"/>
          <w:jc w:val="center"/>
        </w:pPr>
        <w:r>
          <w:fldChar w:fldCharType="begin"/>
        </w:r>
        <w:r w:rsidR="00A96314">
          <w:instrText xml:space="preserve"> PAGE   \* MERGEFORMAT </w:instrText>
        </w:r>
        <w:r>
          <w:fldChar w:fldCharType="separate"/>
        </w:r>
        <w:r w:rsidR="00BA3970">
          <w:rPr>
            <w:noProof/>
          </w:rPr>
          <w:t>4</w:t>
        </w:r>
        <w:r>
          <w:rPr>
            <w:noProof/>
          </w:rPr>
          <w:fldChar w:fldCharType="end"/>
        </w:r>
      </w:p>
    </w:sdtContent>
  </w:sdt>
  <w:p w:rsidR="00A96314" w:rsidRDefault="00A963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2D6"/>
    <w:multiLevelType w:val="hybridMultilevel"/>
    <w:tmpl w:val="B1C2D06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13BB1A1A"/>
    <w:multiLevelType w:val="hybridMultilevel"/>
    <w:tmpl w:val="1E2E20EE"/>
    <w:lvl w:ilvl="0" w:tplc="722A5032">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nsid w:val="14ED6D0C"/>
    <w:multiLevelType w:val="hybridMultilevel"/>
    <w:tmpl w:val="8528F5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25EF021C"/>
    <w:multiLevelType w:val="hybridMultilevel"/>
    <w:tmpl w:val="9BFA4696"/>
    <w:lvl w:ilvl="0" w:tplc="CBA8986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
    <w:nsid w:val="285E583F"/>
    <w:multiLevelType w:val="hybridMultilevel"/>
    <w:tmpl w:val="82FA47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A3F6FDE"/>
    <w:multiLevelType w:val="hybridMultilevel"/>
    <w:tmpl w:val="AE1C156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C086348"/>
    <w:multiLevelType w:val="hybridMultilevel"/>
    <w:tmpl w:val="374258B8"/>
    <w:lvl w:ilvl="0" w:tplc="1D7C700C">
      <w:start w:val="1"/>
      <w:numFmt w:val="bullet"/>
      <w:lvlText w:val="o"/>
      <w:lvlJc w:val="left"/>
      <w:pPr>
        <w:tabs>
          <w:tab w:val="num" w:pos="720"/>
        </w:tabs>
        <w:ind w:left="720" w:hanging="360"/>
      </w:pPr>
      <w:rPr>
        <w:rFonts w:ascii="Courier New" w:hAnsi="Courier New" w:hint="default"/>
      </w:rPr>
    </w:lvl>
    <w:lvl w:ilvl="1" w:tplc="E7D43D0A">
      <w:start w:val="1"/>
      <w:numFmt w:val="bullet"/>
      <w:lvlText w:val="o"/>
      <w:lvlJc w:val="left"/>
      <w:pPr>
        <w:tabs>
          <w:tab w:val="num" w:pos="1440"/>
        </w:tabs>
        <w:ind w:left="1440" w:hanging="360"/>
      </w:pPr>
      <w:rPr>
        <w:rFonts w:ascii="Courier New" w:hAnsi="Courier New" w:hint="default"/>
      </w:rPr>
    </w:lvl>
    <w:lvl w:ilvl="2" w:tplc="F28EED6C" w:tentative="1">
      <w:start w:val="1"/>
      <w:numFmt w:val="bullet"/>
      <w:lvlText w:val="o"/>
      <w:lvlJc w:val="left"/>
      <w:pPr>
        <w:tabs>
          <w:tab w:val="num" w:pos="2160"/>
        </w:tabs>
        <w:ind w:left="2160" w:hanging="360"/>
      </w:pPr>
      <w:rPr>
        <w:rFonts w:ascii="Courier New" w:hAnsi="Courier New" w:hint="default"/>
      </w:rPr>
    </w:lvl>
    <w:lvl w:ilvl="3" w:tplc="DE8E6F56" w:tentative="1">
      <w:start w:val="1"/>
      <w:numFmt w:val="bullet"/>
      <w:lvlText w:val="o"/>
      <w:lvlJc w:val="left"/>
      <w:pPr>
        <w:tabs>
          <w:tab w:val="num" w:pos="2880"/>
        </w:tabs>
        <w:ind w:left="2880" w:hanging="360"/>
      </w:pPr>
      <w:rPr>
        <w:rFonts w:ascii="Courier New" w:hAnsi="Courier New" w:hint="default"/>
      </w:rPr>
    </w:lvl>
    <w:lvl w:ilvl="4" w:tplc="96C47A92" w:tentative="1">
      <w:start w:val="1"/>
      <w:numFmt w:val="bullet"/>
      <w:lvlText w:val="o"/>
      <w:lvlJc w:val="left"/>
      <w:pPr>
        <w:tabs>
          <w:tab w:val="num" w:pos="3600"/>
        </w:tabs>
        <w:ind w:left="3600" w:hanging="360"/>
      </w:pPr>
      <w:rPr>
        <w:rFonts w:ascii="Courier New" w:hAnsi="Courier New" w:hint="default"/>
      </w:rPr>
    </w:lvl>
    <w:lvl w:ilvl="5" w:tplc="C03AF974" w:tentative="1">
      <w:start w:val="1"/>
      <w:numFmt w:val="bullet"/>
      <w:lvlText w:val="o"/>
      <w:lvlJc w:val="left"/>
      <w:pPr>
        <w:tabs>
          <w:tab w:val="num" w:pos="4320"/>
        </w:tabs>
        <w:ind w:left="4320" w:hanging="360"/>
      </w:pPr>
      <w:rPr>
        <w:rFonts w:ascii="Courier New" w:hAnsi="Courier New" w:hint="default"/>
      </w:rPr>
    </w:lvl>
    <w:lvl w:ilvl="6" w:tplc="9A8E9FBA" w:tentative="1">
      <w:start w:val="1"/>
      <w:numFmt w:val="bullet"/>
      <w:lvlText w:val="o"/>
      <w:lvlJc w:val="left"/>
      <w:pPr>
        <w:tabs>
          <w:tab w:val="num" w:pos="5040"/>
        </w:tabs>
        <w:ind w:left="5040" w:hanging="360"/>
      </w:pPr>
      <w:rPr>
        <w:rFonts w:ascii="Courier New" w:hAnsi="Courier New" w:hint="default"/>
      </w:rPr>
    </w:lvl>
    <w:lvl w:ilvl="7" w:tplc="36F818C4" w:tentative="1">
      <w:start w:val="1"/>
      <w:numFmt w:val="bullet"/>
      <w:lvlText w:val="o"/>
      <w:lvlJc w:val="left"/>
      <w:pPr>
        <w:tabs>
          <w:tab w:val="num" w:pos="5760"/>
        </w:tabs>
        <w:ind w:left="5760" w:hanging="360"/>
      </w:pPr>
      <w:rPr>
        <w:rFonts w:ascii="Courier New" w:hAnsi="Courier New" w:hint="default"/>
      </w:rPr>
    </w:lvl>
    <w:lvl w:ilvl="8" w:tplc="908E0674" w:tentative="1">
      <w:start w:val="1"/>
      <w:numFmt w:val="bullet"/>
      <w:lvlText w:val="o"/>
      <w:lvlJc w:val="left"/>
      <w:pPr>
        <w:tabs>
          <w:tab w:val="num" w:pos="6480"/>
        </w:tabs>
        <w:ind w:left="6480" w:hanging="360"/>
      </w:pPr>
      <w:rPr>
        <w:rFonts w:ascii="Courier New" w:hAnsi="Courier New" w:hint="default"/>
      </w:rPr>
    </w:lvl>
  </w:abstractNum>
  <w:abstractNum w:abstractNumId="7">
    <w:nsid w:val="355A750F"/>
    <w:multiLevelType w:val="hybridMultilevel"/>
    <w:tmpl w:val="F9306F04"/>
    <w:lvl w:ilvl="0" w:tplc="AE6AB680">
      <w:start w:val="1"/>
      <w:numFmt w:val="decimal"/>
      <w:lvlText w:val="%1)"/>
      <w:lvlJc w:val="left"/>
      <w:pPr>
        <w:ind w:left="1395" w:hanging="855"/>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nsid w:val="375858C5"/>
    <w:multiLevelType w:val="hybridMultilevel"/>
    <w:tmpl w:val="AB706788"/>
    <w:lvl w:ilvl="0" w:tplc="1D7C700C">
      <w:start w:val="1"/>
      <w:numFmt w:val="bullet"/>
      <w:lvlText w:val="o"/>
      <w:lvlJc w:val="left"/>
      <w:pPr>
        <w:tabs>
          <w:tab w:val="num" w:pos="720"/>
        </w:tabs>
        <w:ind w:left="720" w:hanging="360"/>
      </w:pPr>
      <w:rPr>
        <w:rFonts w:ascii="Courier New" w:hAnsi="Courier New" w:hint="default"/>
      </w:rPr>
    </w:lvl>
    <w:lvl w:ilvl="1" w:tplc="0426000D">
      <w:start w:val="1"/>
      <w:numFmt w:val="bullet"/>
      <w:lvlText w:val=""/>
      <w:lvlJc w:val="left"/>
      <w:pPr>
        <w:tabs>
          <w:tab w:val="num" w:pos="1440"/>
        </w:tabs>
        <w:ind w:left="1440" w:hanging="360"/>
      </w:pPr>
      <w:rPr>
        <w:rFonts w:ascii="Wingdings" w:hAnsi="Wingdings" w:hint="default"/>
      </w:rPr>
    </w:lvl>
    <w:lvl w:ilvl="2" w:tplc="F28EED6C" w:tentative="1">
      <w:start w:val="1"/>
      <w:numFmt w:val="bullet"/>
      <w:lvlText w:val="o"/>
      <w:lvlJc w:val="left"/>
      <w:pPr>
        <w:tabs>
          <w:tab w:val="num" w:pos="2160"/>
        </w:tabs>
        <w:ind w:left="2160" w:hanging="360"/>
      </w:pPr>
      <w:rPr>
        <w:rFonts w:ascii="Courier New" w:hAnsi="Courier New" w:hint="default"/>
      </w:rPr>
    </w:lvl>
    <w:lvl w:ilvl="3" w:tplc="DE8E6F56" w:tentative="1">
      <w:start w:val="1"/>
      <w:numFmt w:val="bullet"/>
      <w:lvlText w:val="o"/>
      <w:lvlJc w:val="left"/>
      <w:pPr>
        <w:tabs>
          <w:tab w:val="num" w:pos="2880"/>
        </w:tabs>
        <w:ind w:left="2880" w:hanging="360"/>
      </w:pPr>
      <w:rPr>
        <w:rFonts w:ascii="Courier New" w:hAnsi="Courier New" w:hint="default"/>
      </w:rPr>
    </w:lvl>
    <w:lvl w:ilvl="4" w:tplc="96C47A92" w:tentative="1">
      <w:start w:val="1"/>
      <w:numFmt w:val="bullet"/>
      <w:lvlText w:val="o"/>
      <w:lvlJc w:val="left"/>
      <w:pPr>
        <w:tabs>
          <w:tab w:val="num" w:pos="3600"/>
        </w:tabs>
        <w:ind w:left="3600" w:hanging="360"/>
      </w:pPr>
      <w:rPr>
        <w:rFonts w:ascii="Courier New" w:hAnsi="Courier New" w:hint="default"/>
      </w:rPr>
    </w:lvl>
    <w:lvl w:ilvl="5" w:tplc="C03AF974" w:tentative="1">
      <w:start w:val="1"/>
      <w:numFmt w:val="bullet"/>
      <w:lvlText w:val="o"/>
      <w:lvlJc w:val="left"/>
      <w:pPr>
        <w:tabs>
          <w:tab w:val="num" w:pos="4320"/>
        </w:tabs>
        <w:ind w:left="4320" w:hanging="360"/>
      </w:pPr>
      <w:rPr>
        <w:rFonts w:ascii="Courier New" w:hAnsi="Courier New" w:hint="default"/>
      </w:rPr>
    </w:lvl>
    <w:lvl w:ilvl="6" w:tplc="9A8E9FBA" w:tentative="1">
      <w:start w:val="1"/>
      <w:numFmt w:val="bullet"/>
      <w:lvlText w:val="o"/>
      <w:lvlJc w:val="left"/>
      <w:pPr>
        <w:tabs>
          <w:tab w:val="num" w:pos="5040"/>
        </w:tabs>
        <w:ind w:left="5040" w:hanging="360"/>
      </w:pPr>
      <w:rPr>
        <w:rFonts w:ascii="Courier New" w:hAnsi="Courier New" w:hint="default"/>
      </w:rPr>
    </w:lvl>
    <w:lvl w:ilvl="7" w:tplc="36F818C4" w:tentative="1">
      <w:start w:val="1"/>
      <w:numFmt w:val="bullet"/>
      <w:lvlText w:val="o"/>
      <w:lvlJc w:val="left"/>
      <w:pPr>
        <w:tabs>
          <w:tab w:val="num" w:pos="5760"/>
        </w:tabs>
        <w:ind w:left="5760" w:hanging="360"/>
      </w:pPr>
      <w:rPr>
        <w:rFonts w:ascii="Courier New" w:hAnsi="Courier New" w:hint="default"/>
      </w:rPr>
    </w:lvl>
    <w:lvl w:ilvl="8" w:tplc="908E0674" w:tentative="1">
      <w:start w:val="1"/>
      <w:numFmt w:val="bullet"/>
      <w:lvlText w:val="o"/>
      <w:lvlJc w:val="left"/>
      <w:pPr>
        <w:tabs>
          <w:tab w:val="num" w:pos="6480"/>
        </w:tabs>
        <w:ind w:left="6480" w:hanging="360"/>
      </w:pPr>
      <w:rPr>
        <w:rFonts w:ascii="Courier New" w:hAnsi="Courier New" w:hint="default"/>
      </w:rPr>
    </w:lvl>
  </w:abstractNum>
  <w:abstractNum w:abstractNumId="9">
    <w:nsid w:val="38F37F10"/>
    <w:multiLevelType w:val="hybridMultilevel"/>
    <w:tmpl w:val="C3BA433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46130D03"/>
    <w:multiLevelType w:val="hybridMultilevel"/>
    <w:tmpl w:val="43184476"/>
    <w:lvl w:ilvl="0" w:tplc="CFF0DF3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
    <w:nsid w:val="493F3619"/>
    <w:multiLevelType w:val="hybridMultilevel"/>
    <w:tmpl w:val="CBC49686"/>
    <w:lvl w:ilvl="0" w:tplc="ECDAF0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B1A39AE"/>
    <w:multiLevelType w:val="hybridMultilevel"/>
    <w:tmpl w:val="EABA6FE4"/>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nsid w:val="685971E5"/>
    <w:multiLevelType w:val="hybridMultilevel"/>
    <w:tmpl w:val="574C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A1843"/>
    <w:multiLevelType w:val="hybridMultilevel"/>
    <w:tmpl w:val="37E4A936"/>
    <w:lvl w:ilvl="0" w:tplc="327402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5A74648"/>
    <w:multiLevelType w:val="hybridMultilevel"/>
    <w:tmpl w:val="E03CE85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0"/>
  </w:num>
  <w:num w:numId="5">
    <w:abstractNumId w:val="2"/>
  </w:num>
  <w:num w:numId="6">
    <w:abstractNumId w:val="6"/>
  </w:num>
  <w:num w:numId="7">
    <w:abstractNumId w:val="5"/>
  </w:num>
  <w:num w:numId="8">
    <w:abstractNumId w:val="14"/>
  </w:num>
  <w:num w:numId="9">
    <w:abstractNumId w:val="4"/>
  </w:num>
  <w:num w:numId="10">
    <w:abstractNumId w:val="9"/>
  </w:num>
  <w:num w:numId="11">
    <w:abstractNumId w:val="0"/>
  </w:num>
  <w:num w:numId="12">
    <w:abstractNumId w:val="15"/>
  </w:num>
  <w:num w:numId="13">
    <w:abstractNumId w:val="12"/>
  </w:num>
  <w:num w:numId="14">
    <w:abstractNumId w:val="6"/>
  </w:num>
  <w:num w:numId="15">
    <w:abstractNumId w:val="8"/>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3B79"/>
    <w:rsid w:val="00001557"/>
    <w:rsid w:val="000046A8"/>
    <w:rsid w:val="00011709"/>
    <w:rsid w:val="00023010"/>
    <w:rsid w:val="00025D12"/>
    <w:rsid w:val="00046750"/>
    <w:rsid w:val="000754BA"/>
    <w:rsid w:val="000A6647"/>
    <w:rsid w:val="000C4ADE"/>
    <w:rsid w:val="000C539B"/>
    <w:rsid w:val="000C73E0"/>
    <w:rsid w:val="000D6F1C"/>
    <w:rsid w:val="000E6751"/>
    <w:rsid w:val="000F562F"/>
    <w:rsid w:val="00123B7C"/>
    <w:rsid w:val="00142BD8"/>
    <w:rsid w:val="00166077"/>
    <w:rsid w:val="0016714C"/>
    <w:rsid w:val="00176D50"/>
    <w:rsid w:val="001851CF"/>
    <w:rsid w:val="001B7594"/>
    <w:rsid w:val="001C1A54"/>
    <w:rsid w:val="001D54A1"/>
    <w:rsid w:val="001F5373"/>
    <w:rsid w:val="002220C8"/>
    <w:rsid w:val="00222B22"/>
    <w:rsid w:val="00223960"/>
    <w:rsid w:val="00234602"/>
    <w:rsid w:val="00246C69"/>
    <w:rsid w:val="00261CC9"/>
    <w:rsid w:val="00282F95"/>
    <w:rsid w:val="002837EC"/>
    <w:rsid w:val="002931C5"/>
    <w:rsid w:val="002A503D"/>
    <w:rsid w:val="002A6D71"/>
    <w:rsid w:val="002A7368"/>
    <w:rsid w:val="002D4170"/>
    <w:rsid w:val="002E0FED"/>
    <w:rsid w:val="002E3035"/>
    <w:rsid w:val="002F1701"/>
    <w:rsid w:val="00301D85"/>
    <w:rsid w:val="00337EDA"/>
    <w:rsid w:val="003409C6"/>
    <w:rsid w:val="0034314B"/>
    <w:rsid w:val="003522F0"/>
    <w:rsid w:val="00355C78"/>
    <w:rsid w:val="00356848"/>
    <w:rsid w:val="00380E67"/>
    <w:rsid w:val="00387BED"/>
    <w:rsid w:val="00393C03"/>
    <w:rsid w:val="003A1FDB"/>
    <w:rsid w:val="003A5EC0"/>
    <w:rsid w:val="003E0966"/>
    <w:rsid w:val="003E17EC"/>
    <w:rsid w:val="003F7FD3"/>
    <w:rsid w:val="00400DC9"/>
    <w:rsid w:val="0041070B"/>
    <w:rsid w:val="004137CC"/>
    <w:rsid w:val="00415B69"/>
    <w:rsid w:val="004168EC"/>
    <w:rsid w:val="004374AF"/>
    <w:rsid w:val="004378C1"/>
    <w:rsid w:val="00447F30"/>
    <w:rsid w:val="00453079"/>
    <w:rsid w:val="0047166F"/>
    <w:rsid w:val="004754D6"/>
    <w:rsid w:val="0049036F"/>
    <w:rsid w:val="004B05F0"/>
    <w:rsid w:val="004B4495"/>
    <w:rsid w:val="004D29A9"/>
    <w:rsid w:val="004E54B4"/>
    <w:rsid w:val="004F27B1"/>
    <w:rsid w:val="004F46AF"/>
    <w:rsid w:val="004F4CD8"/>
    <w:rsid w:val="004F7B13"/>
    <w:rsid w:val="00513F84"/>
    <w:rsid w:val="005140C0"/>
    <w:rsid w:val="005220C4"/>
    <w:rsid w:val="00523DB4"/>
    <w:rsid w:val="00531AD2"/>
    <w:rsid w:val="00536D24"/>
    <w:rsid w:val="00546C31"/>
    <w:rsid w:val="0055418F"/>
    <w:rsid w:val="00560348"/>
    <w:rsid w:val="005626A5"/>
    <w:rsid w:val="00563622"/>
    <w:rsid w:val="005643BB"/>
    <w:rsid w:val="0058198B"/>
    <w:rsid w:val="005B02BC"/>
    <w:rsid w:val="005B351A"/>
    <w:rsid w:val="005B44DF"/>
    <w:rsid w:val="005B4E97"/>
    <w:rsid w:val="005C13F5"/>
    <w:rsid w:val="005E6207"/>
    <w:rsid w:val="005F1720"/>
    <w:rsid w:val="0060481F"/>
    <w:rsid w:val="0060777F"/>
    <w:rsid w:val="006160EA"/>
    <w:rsid w:val="00620F3C"/>
    <w:rsid w:val="00626A03"/>
    <w:rsid w:val="00643587"/>
    <w:rsid w:val="00655B90"/>
    <w:rsid w:val="00657B03"/>
    <w:rsid w:val="00662C81"/>
    <w:rsid w:val="00664C06"/>
    <w:rsid w:val="006708B0"/>
    <w:rsid w:val="00684745"/>
    <w:rsid w:val="00685650"/>
    <w:rsid w:val="00687922"/>
    <w:rsid w:val="006B1E0C"/>
    <w:rsid w:val="006D23C5"/>
    <w:rsid w:val="006E675D"/>
    <w:rsid w:val="006F4B7D"/>
    <w:rsid w:val="006F5083"/>
    <w:rsid w:val="006F569D"/>
    <w:rsid w:val="006F5D4C"/>
    <w:rsid w:val="006F5F67"/>
    <w:rsid w:val="00704AF4"/>
    <w:rsid w:val="00705B5E"/>
    <w:rsid w:val="00706753"/>
    <w:rsid w:val="00707A8F"/>
    <w:rsid w:val="00720E5E"/>
    <w:rsid w:val="00737B72"/>
    <w:rsid w:val="007406A4"/>
    <w:rsid w:val="007441ED"/>
    <w:rsid w:val="0075390B"/>
    <w:rsid w:val="0075460E"/>
    <w:rsid w:val="00763096"/>
    <w:rsid w:val="00763462"/>
    <w:rsid w:val="007725B0"/>
    <w:rsid w:val="00781806"/>
    <w:rsid w:val="00791712"/>
    <w:rsid w:val="00795DB0"/>
    <w:rsid w:val="007D3B79"/>
    <w:rsid w:val="007D59CC"/>
    <w:rsid w:val="007E2BCF"/>
    <w:rsid w:val="008019C8"/>
    <w:rsid w:val="00806DCC"/>
    <w:rsid w:val="00814E14"/>
    <w:rsid w:val="00815F25"/>
    <w:rsid w:val="0081623E"/>
    <w:rsid w:val="008170F7"/>
    <w:rsid w:val="008302D8"/>
    <w:rsid w:val="0083161C"/>
    <w:rsid w:val="00856A4D"/>
    <w:rsid w:val="00861D7D"/>
    <w:rsid w:val="0088117A"/>
    <w:rsid w:val="00884D85"/>
    <w:rsid w:val="00887AF9"/>
    <w:rsid w:val="0089033F"/>
    <w:rsid w:val="00890890"/>
    <w:rsid w:val="008A5419"/>
    <w:rsid w:val="008D22D6"/>
    <w:rsid w:val="008D382A"/>
    <w:rsid w:val="008F5882"/>
    <w:rsid w:val="00907B69"/>
    <w:rsid w:val="009105FE"/>
    <w:rsid w:val="00911162"/>
    <w:rsid w:val="009650FC"/>
    <w:rsid w:val="0096764E"/>
    <w:rsid w:val="00970F75"/>
    <w:rsid w:val="00973CDF"/>
    <w:rsid w:val="009A168B"/>
    <w:rsid w:val="009A1897"/>
    <w:rsid w:val="009A2AE6"/>
    <w:rsid w:val="009B2FAF"/>
    <w:rsid w:val="009B7793"/>
    <w:rsid w:val="009C5378"/>
    <w:rsid w:val="009D2E16"/>
    <w:rsid w:val="009D58A2"/>
    <w:rsid w:val="009E2CEB"/>
    <w:rsid w:val="009E378A"/>
    <w:rsid w:val="009E6762"/>
    <w:rsid w:val="009F13BD"/>
    <w:rsid w:val="009F13E0"/>
    <w:rsid w:val="00A02DB8"/>
    <w:rsid w:val="00A0745B"/>
    <w:rsid w:val="00A24D14"/>
    <w:rsid w:val="00A31DF8"/>
    <w:rsid w:val="00A36D78"/>
    <w:rsid w:val="00A47117"/>
    <w:rsid w:val="00A70BEE"/>
    <w:rsid w:val="00A760DD"/>
    <w:rsid w:val="00A77D03"/>
    <w:rsid w:val="00A91CAF"/>
    <w:rsid w:val="00A96314"/>
    <w:rsid w:val="00AA1944"/>
    <w:rsid w:val="00AA3920"/>
    <w:rsid w:val="00AB0CB6"/>
    <w:rsid w:val="00AB2966"/>
    <w:rsid w:val="00AB4568"/>
    <w:rsid w:val="00AC0479"/>
    <w:rsid w:val="00AD15D2"/>
    <w:rsid w:val="00AE1847"/>
    <w:rsid w:val="00B01349"/>
    <w:rsid w:val="00B01352"/>
    <w:rsid w:val="00B11A79"/>
    <w:rsid w:val="00B71CA5"/>
    <w:rsid w:val="00B73034"/>
    <w:rsid w:val="00B77C85"/>
    <w:rsid w:val="00BA2C6C"/>
    <w:rsid w:val="00BA3970"/>
    <w:rsid w:val="00BA6449"/>
    <w:rsid w:val="00BB3ED8"/>
    <w:rsid w:val="00BD0C28"/>
    <w:rsid w:val="00C02213"/>
    <w:rsid w:val="00C030A9"/>
    <w:rsid w:val="00C0474A"/>
    <w:rsid w:val="00C30815"/>
    <w:rsid w:val="00C3511F"/>
    <w:rsid w:val="00C368E9"/>
    <w:rsid w:val="00C456B1"/>
    <w:rsid w:val="00C56B74"/>
    <w:rsid w:val="00C63107"/>
    <w:rsid w:val="00C75D53"/>
    <w:rsid w:val="00C77C08"/>
    <w:rsid w:val="00C956F5"/>
    <w:rsid w:val="00CA4BB9"/>
    <w:rsid w:val="00CA52F5"/>
    <w:rsid w:val="00CB1AE9"/>
    <w:rsid w:val="00CC5E8C"/>
    <w:rsid w:val="00CD38FB"/>
    <w:rsid w:val="00CE3495"/>
    <w:rsid w:val="00CE4270"/>
    <w:rsid w:val="00CF6312"/>
    <w:rsid w:val="00D014D7"/>
    <w:rsid w:val="00D169D1"/>
    <w:rsid w:val="00D322A5"/>
    <w:rsid w:val="00D409B0"/>
    <w:rsid w:val="00D47535"/>
    <w:rsid w:val="00D477A4"/>
    <w:rsid w:val="00D546D2"/>
    <w:rsid w:val="00D65476"/>
    <w:rsid w:val="00D7108A"/>
    <w:rsid w:val="00DB0602"/>
    <w:rsid w:val="00DB34F2"/>
    <w:rsid w:val="00DC51CD"/>
    <w:rsid w:val="00DD5005"/>
    <w:rsid w:val="00DE5006"/>
    <w:rsid w:val="00DF1896"/>
    <w:rsid w:val="00E02522"/>
    <w:rsid w:val="00E2578E"/>
    <w:rsid w:val="00E25D09"/>
    <w:rsid w:val="00E27786"/>
    <w:rsid w:val="00E460D1"/>
    <w:rsid w:val="00E70885"/>
    <w:rsid w:val="00E70A36"/>
    <w:rsid w:val="00E710F3"/>
    <w:rsid w:val="00E743CD"/>
    <w:rsid w:val="00E75088"/>
    <w:rsid w:val="00E838FC"/>
    <w:rsid w:val="00EA31CC"/>
    <w:rsid w:val="00EA7FBD"/>
    <w:rsid w:val="00EF3366"/>
    <w:rsid w:val="00F216A1"/>
    <w:rsid w:val="00F243C2"/>
    <w:rsid w:val="00F47A0E"/>
    <w:rsid w:val="00F523C4"/>
    <w:rsid w:val="00F66432"/>
    <w:rsid w:val="00F73527"/>
    <w:rsid w:val="00F81DA4"/>
    <w:rsid w:val="00F847B4"/>
    <w:rsid w:val="00F940FB"/>
    <w:rsid w:val="00FA4750"/>
    <w:rsid w:val="00FB124B"/>
    <w:rsid w:val="00FB38B0"/>
    <w:rsid w:val="00FC19CC"/>
    <w:rsid w:val="00FC7456"/>
    <w:rsid w:val="00FE5CD1"/>
    <w:rsid w:val="00FE6584"/>
    <w:rsid w:val="00FF0057"/>
    <w:rsid w:val="00FF2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7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64E"/>
    <w:pPr>
      <w:ind w:left="720"/>
      <w:contextualSpacing/>
    </w:pPr>
  </w:style>
  <w:style w:type="paragraph" w:styleId="Header">
    <w:name w:val="header"/>
    <w:basedOn w:val="Normal"/>
    <w:link w:val="HeaderChar"/>
    <w:uiPriority w:val="99"/>
    <w:unhideWhenUsed/>
    <w:rsid w:val="00536D24"/>
    <w:pPr>
      <w:tabs>
        <w:tab w:val="center" w:pos="4153"/>
        <w:tab w:val="right" w:pos="8306"/>
      </w:tabs>
    </w:pPr>
  </w:style>
  <w:style w:type="character" w:customStyle="1" w:styleId="HeaderChar">
    <w:name w:val="Header Char"/>
    <w:basedOn w:val="DefaultParagraphFont"/>
    <w:link w:val="Header"/>
    <w:uiPriority w:val="99"/>
    <w:rsid w:val="00536D2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36D24"/>
    <w:pPr>
      <w:tabs>
        <w:tab w:val="center" w:pos="4153"/>
        <w:tab w:val="right" w:pos="8306"/>
      </w:tabs>
    </w:pPr>
  </w:style>
  <w:style w:type="character" w:customStyle="1" w:styleId="FooterChar">
    <w:name w:val="Footer Char"/>
    <w:basedOn w:val="DefaultParagraphFont"/>
    <w:link w:val="Footer"/>
    <w:uiPriority w:val="99"/>
    <w:rsid w:val="00536D2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F0057"/>
    <w:rPr>
      <w:color w:val="0563C1" w:themeColor="hyperlink"/>
      <w:u w:val="single"/>
    </w:rPr>
  </w:style>
  <w:style w:type="paragraph" w:styleId="NoSpacing">
    <w:name w:val="No Spacing"/>
    <w:uiPriority w:val="99"/>
    <w:qFormat/>
    <w:rsid w:val="00D169D1"/>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684745"/>
    <w:rPr>
      <w:sz w:val="20"/>
      <w:szCs w:val="20"/>
    </w:rPr>
  </w:style>
  <w:style w:type="character" w:customStyle="1" w:styleId="FootnoteTextChar">
    <w:name w:val="Footnote Text Char"/>
    <w:basedOn w:val="DefaultParagraphFont"/>
    <w:link w:val="FootnoteText"/>
    <w:uiPriority w:val="99"/>
    <w:semiHidden/>
    <w:rsid w:val="0068474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84745"/>
    <w:rPr>
      <w:vertAlign w:val="superscript"/>
    </w:rPr>
  </w:style>
  <w:style w:type="paragraph" w:styleId="BalloonText">
    <w:name w:val="Balloon Text"/>
    <w:basedOn w:val="Normal"/>
    <w:link w:val="BalloonTextChar"/>
    <w:uiPriority w:val="99"/>
    <w:semiHidden/>
    <w:unhideWhenUsed/>
    <w:rsid w:val="00856A4D"/>
    <w:rPr>
      <w:rFonts w:ascii="Tahoma" w:hAnsi="Tahoma" w:cs="Tahoma"/>
      <w:sz w:val="16"/>
      <w:szCs w:val="16"/>
    </w:rPr>
  </w:style>
  <w:style w:type="character" w:customStyle="1" w:styleId="BalloonTextChar">
    <w:name w:val="Balloon Text Char"/>
    <w:basedOn w:val="DefaultParagraphFont"/>
    <w:link w:val="BalloonText"/>
    <w:uiPriority w:val="99"/>
    <w:semiHidden/>
    <w:rsid w:val="00856A4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D014D7"/>
    <w:rPr>
      <w:sz w:val="16"/>
      <w:szCs w:val="16"/>
    </w:rPr>
  </w:style>
  <w:style w:type="paragraph" w:styleId="CommentText">
    <w:name w:val="annotation text"/>
    <w:basedOn w:val="Normal"/>
    <w:link w:val="CommentTextChar"/>
    <w:uiPriority w:val="99"/>
    <w:semiHidden/>
    <w:unhideWhenUsed/>
    <w:rsid w:val="00D014D7"/>
    <w:rPr>
      <w:sz w:val="20"/>
      <w:szCs w:val="20"/>
    </w:rPr>
  </w:style>
  <w:style w:type="character" w:customStyle="1" w:styleId="CommentTextChar">
    <w:name w:val="Comment Text Char"/>
    <w:basedOn w:val="DefaultParagraphFont"/>
    <w:link w:val="CommentText"/>
    <w:uiPriority w:val="99"/>
    <w:semiHidden/>
    <w:rsid w:val="00D014D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014D7"/>
    <w:rPr>
      <w:b/>
      <w:bCs/>
    </w:rPr>
  </w:style>
  <w:style w:type="character" w:customStyle="1" w:styleId="CommentSubjectChar">
    <w:name w:val="Comment Subject Char"/>
    <w:basedOn w:val="CommentTextChar"/>
    <w:link w:val="CommentSubject"/>
    <w:uiPriority w:val="99"/>
    <w:semiHidden/>
    <w:rsid w:val="00D014D7"/>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7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64E"/>
    <w:pPr>
      <w:ind w:left="720"/>
      <w:contextualSpacing/>
    </w:pPr>
  </w:style>
  <w:style w:type="paragraph" w:styleId="Header">
    <w:name w:val="header"/>
    <w:basedOn w:val="Normal"/>
    <w:link w:val="HeaderChar"/>
    <w:uiPriority w:val="99"/>
    <w:unhideWhenUsed/>
    <w:rsid w:val="00536D24"/>
    <w:pPr>
      <w:tabs>
        <w:tab w:val="center" w:pos="4153"/>
        <w:tab w:val="right" w:pos="8306"/>
      </w:tabs>
    </w:pPr>
  </w:style>
  <w:style w:type="character" w:customStyle="1" w:styleId="HeaderChar">
    <w:name w:val="Header Char"/>
    <w:basedOn w:val="DefaultParagraphFont"/>
    <w:link w:val="Header"/>
    <w:uiPriority w:val="99"/>
    <w:rsid w:val="00536D2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36D24"/>
    <w:pPr>
      <w:tabs>
        <w:tab w:val="center" w:pos="4153"/>
        <w:tab w:val="right" w:pos="8306"/>
      </w:tabs>
    </w:pPr>
  </w:style>
  <w:style w:type="character" w:customStyle="1" w:styleId="FooterChar">
    <w:name w:val="Footer Char"/>
    <w:basedOn w:val="DefaultParagraphFont"/>
    <w:link w:val="Footer"/>
    <w:uiPriority w:val="99"/>
    <w:rsid w:val="00536D2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F0057"/>
    <w:rPr>
      <w:color w:val="0563C1" w:themeColor="hyperlink"/>
      <w:u w:val="single"/>
    </w:rPr>
  </w:style>
  <w:style w:type="paragraph" w:styleId="NoSpacing">
    <w:name w:val="No Spacing"/>
    <w:uiPriority w:val="99"/>
    <w:qFormat/>
    <w:rsid w:val="00D169D1"/>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684745"/>
    <w:rPr>
      <w:sz w:val="20"/>
      <w:szCs w:val="20"/>
    </w:rPr>
  </w:style>
  <w:style w:type="character" w:customStyle="1" w:styleId="FootnoteTextChar">
    <w:name w:val="Footnote Text Char"/>
    <w:basedOn w:val="DefaultParagraphFont"/>
    <w:link w:val="FootnoteText"/>
    <w:uiPriority w:val="99"/>
    <w:semiHidden/>
    <w:rsid w:val="0068474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84745"/>
    <w:rPr>
      <w:vertAlign w:val="superscript"/>
    </w:rPr>
  </w:style>
  <w:style w:type="paragraph" w:styleId="BalloonText">
    <w:name w:val="Balloon Text"/>
    <w:basedOn w:val="Normal"/>
    <w:link w:val="BalloonTextChar"/>
    <w:uiPriority w:val="99"/>
    <w:semiHidden/>
    <w:unhideWhenUsed/>
    <w:rsid w:val="00856A4D"/>
    <w:rPr>
      <w:rFonts w:ascii="Tahoma" w:hAnsi="Tahoma" w:cs="Tahoma"/>
      <w:sz w:val="16"/>
      <w:szCs w:val="16"/>
    </w:rPr>
  </w:style>
  <w:style w:type="character" w:customStyle="1" w:styleId="BalloonTextChar">
    <w:name w:val="Balloon Text Char"/>
    <w:basedOn w:val="DefaultParagraphFont"/>
    <w:link w:val="BalloonText"/>
    <w:uiPriority w:val="99"/>
    <w:semiHidden/>
    <w:rsid w:val="00856A4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D014D7"/>
    <w:rPr>
      <w:sz w:val="16"/>
      <w:szCs w:val="16"/>
    </w:rPr>
  </w:style>
  <w:style w:type="paragraph" w:styleId="CommentText">
    <w:name w:val="annotation text"/>
    <w:basedOn w:val="Normal"/>
    <w:link w:val="CommentTextChar"/>
    <w:uiPriority w:val="99"/>
    <w:semiHidden/>
    <w:unhideWhenUsed/>
    <w:rsid w:val="00D014D7"/>
    <w:rPr>
      <w:sz w:val="20"/>
      <w:szCs w:val="20"/>
    </w:rPr>
  </w:style>
  <w:style w:type="character" w:customStyle="1" w:styleId="CommentTextChar">
    <w:name w:val="Comment Text Char"/>
    <w:basedOn w:val="DefaultParagraphFont"/>
    <w:link w:val="CommentText"/>
    <w:uiPriority w:val="99"/>
    <w:semiHidden/>
    <w:rsid w:val="00D014D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014D7"/>
    <w:rPr>
      <w:b/>
      <w:bCs/>
    </w:rPr>
  </w:style>
  <w:style w:type="character" w:customStyle="1" w:styleId="CommentSubjectChar">
    <w:name w:val="Comment Subject Char"/>
    <w:basedOn w:val="CommentTextChar"/>
    <w:link w:val="CommentSubject"/>
    <w:uiPriority w:val="99"/>
    <w:semiHidden/>
    <w:rsid w:val="00D014D7"/>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3560">
      <w:bodyDiv w:val="1"/>
      <w:marLeft w:val="0"/>
      <w:marRight w:val="0"/>
      <w:marTop w:val="0"/>
      <w:marBottom w:val="0"/>
      <w:divBdr>
        <w:top w:val="none" w:sz="0" w:space="0" w:color="auto"/>
        <w:left w:val="none" w:sz="0" w:space="0" w:color="auto"/>
        <w:bottom w:val="none" w:sz="0" w:space="0" w:color="auto"/>
        <w:right w:val="none" w:sz="0" w:space="0" w:color="auto"/>
      </w:divBdr>
      <w:divsChild>
        <w:div w:id="1271008993">
          <w:marLeft w:val="1166"/>
          <w:marRight w:val="0"/>
          <w:marTop w:val="106"/>
          <w:marBottom w:val="0"/>
          <w:divBdr>
            <w:top w:val="none" w:sz="0" w:space="0" w:color="auto"/>
            <w:left w:val="none" w:sz="0" w:space="0" w:color="auto"/>
            <w:bottom w:val="none" w:sz="0" w:space="0" w:color="auto"/>
            <w:right w:val="none" w:sz="0" w:space="0" w:color="auto"/>
          </w:divBdr>
        </w:div>
        <w:div w:id="2142915482">
          <w:marLeft w:val="1166"/>
          <w:marRight w:val="0"/>
          <w:marTop w:val="106"/>
          <w:marBottom w:val="0"/>
          <w:divBdr>
            <w:top w:val="none" w:sz="0" w:space="0" w:color="auto"/>
            <w:left w:val="none" w:sz="0" w:space="0" w:color="auto"/>
            <w:bottom w:val="none" w:sz="0" w:space="0" w:color="auto"/>
            <w:right w:val="none" w:sz="0" w:space="0" w:color="auto"/>
          </w:divBdr>
        </w:div>
      </w:divsChild>
    </w:div>
    <w:div w:id="72436174">
      <w:bodyDiv w:val="1"/>
      <w:marLeft w:val="0"/>
      <w:marRight w:val="0"/>
      <w:marTop w:val="0"/>
      <w:marBottom w:val="0"/>
      <w:divBdr>
        <w:top w:val="none" w:sz="0" w:space="0" w:color="auto"/>
        <w:left w:val="none" w:sz="0" w:space="0" w:color="auto"/>
        <w:bottom w:val="none" w:sz="0" w:space="0" w:color="auto"/>
        <w:right w:val="none" w:sz="0" w:space="0" w:color="auto"/>
      </w:divBdr>
    </w:div>
    <w:div w:id="304553962">
      <w:bodyDiv w:val="1"/>
      <w:marLeft w:val="0"/>
      <w:marRight w:val="0"/>
      <w:marTop w:val="0"/>
      <w:marBottom w:val="0"/>
      <w:divBdr>
        <w:top w:val="none" w:sz="0" w:space="0" w:color="auto"/>
        <w:left w:val="none" w:sz="0" w:space="0" w:color="auto"/>
        <w:bottom w:val="none" w:sz="0" w:space="0" w:color="auto"/>
        <w:right w:val="none" w:sz="0" w:space="0" w:color="auto"/>
      </w:divBdr>
    </w:div>
    <w:div w:id="801967639">
      <w:bodyDiv w:val="1"/>
      <w:marLeft w:val="0"/>
      <w:marRight w:val="0"/>
      <w:marTop w:val="0"/>
      <w:marBottom w:val="0"/>
      <w:divBdr>
        <w:top w:val="none" w:sz="0" w:space="0" w:color="auto"/>
        <w:left w:val="none" w:sz="0" w:space="0" w:color="auto"/>
        <w:bottom w:val="none" w:sz="0" w:space="0" w:color="auto"/>
        <w:right w:val="none" w:sz="0" w:space="0" w:color="auto"/>
      </w:divBdr>
    </w:div>
    <w:div w:id="829753892">
      <w:bodyDiv w:val="1"/>
      <w:marLeft w:val="0"/>
      <w:marRight w:val="0"/>
      <w:marTop w:val="0"/>
      <w:marBottom w:val="0"/>
      <w:divBdr>
        <w:top w:val="none" w:sz="0" w:space="0" w:color="auto"/>
        <w:left w:val="none" w:sz="0" w:space="0" w:color="auto"/>
        <w:bottom w:val="none" w:sz="0" w:space="0" w:color="auto"/>
        <w:right w:val="none" w:sz="0" w:space="0" w:color="auto"/>
      </w:divBdr>
      <w:divsChild>
        <w:div w:id="1800301980">
          <w:marLeft w:val="0"/>
          <w:marRight w:val="0"/>
          <w:marTop w:val="0"/>
          <w:marBottom w:val="0"/>
          <w:divBdr>
            <w:top w:val="none" w:sz="0" w:space="0" w:color="auto"/>
            <w:left w:val="none" w:sz="0" w:space="0" w:color="auto"/>
            <w:bottom w:val="none" w:sz="0" w:space="0" w:color="auto"/>
            <w:right w:val="none" w:sz="0" w:space="0" w:color="auto"/>
          </w:divBdr>
          <w:divsChild>
            <w:div w:id="862522318">
              <w:marLeft w:val="0"/>
              <w:marRight w:val="0"/>
              <w:marTop w:val="0"/>
              <w:marBottom w:val="0"/>
              <w:divBdr>
                <w:top w:val="none" w:sz="0" w:space="0" w:color="auto"/>
                <w:left w:val="none" w:sz="0" w:space="0" w:color="auto"/>
                <w:bottom w:val="none" w:sz="0" w:space="0" w:color="auto"/>
                <w:right w:val="none" w:sz="0" w:space="0" w:color="auto"/>
              </w:divBdr>
              <w:divsChild>
                <w:div w:id="1194731928">
                  <w:marLeft w:val="0"/>
                  <w:marRight w:val="0"/>
                  <w:marTop w:val="0"/>
                  <w:marBottom w:val="0"/>
                  <w:divBdr>
                    <w:top w:val="none" w:sz="0" w:space="0" w:color="auto"/>
                    <w:left w:val="none" w:sz="0" w:space="0" w:color="auto"/>
                    <w:bottom w:val="none" w:sz="0" w:space="0" w:color="auto"/>
                    <w:right w:val="none" w:sz="0" w:space="0" w:color="auto"/>
                  </w:divBdr>
                  <w:divsChild>
                    <w:div w:id="1195116463">
                      <w:marLeft w:val="0"/>
                      <w:marRight w:val="0"/>
                      <w:marTop w:val="0"/>
                      <w:marBottom w:val="0"/>
                      <w:divBdr>
                        <w:top w:val="none" w:sz="0" w:space="0" w:color="auto"/>
                        <w:left w:val="none" w:sz="0" w:space="0" w:color="auto"/>
                        <w:bottom w:val="none" w:sz="0" w:space="0" w:color="auto"/>
                        <w:right w:val="none" w:sz="0" w:space="0" w:color="auto"/>
                      </w:divBdr>
                      <w:divsChild>
                        <w:div w:id="979766720">
                          <w:marLeft w:val="0"/>
                          <w:marRight w:val="0"/>
                          <w:marTop w:val="0"/>
                          <w:marBottom w:val="0"/>
                          <w:divBdr>
                            <w:top w:val="none" w:sz="0" w:space="0" w:color="auto"/>
                            <w:left w:val="none" w:sz="0" w:space="0" w:color="auto"/>
                            <w:bottom w:val="none" w:sz="0" w:space="0" w:color="auto"/>
                            <w:right w:val="none" w:sz="0" w:space="0" w:color="auto"/>
                          </w:divBdr>
                          <w:divsChild>
                            <w:div w:id="7853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17239">
      <w:bodyDiv w:val="1"/>
      <w:marLeft w:val="0"/>
      <w:marRight w:val="0"/>
      <w:marTop w:val="0"/>
      <w:marBottom w:val="0"/>
      <w:divBdr>
        <w:top w:val="none" w:sz="0" w:space="0" w:color="auto"/>
        <w:left w:val="none" w:sz="0" w:space="0" w:color="auto"/>
        <w:bottom w:val="none" w:sz="0" w:space="0" w:color="auto"/>
        <w:right w:val="none" w:sz="0" w:space="0" w:color="auto"/>
      </w:divBdr>
    </w:div>
    <w:div w:id="1193416410">
      <w:bodyDiv w:val="1"/>
      <w:marLeft w:val="0"/>
      <w:marRight w:val="0"/>
      <w:marTop w:val="0"/>
      <w:marBottom w:val="0"/>
      <w:divBdr>
        <w:top w:val="none" w:sz="0" w:space="0" w:color="auto"/>
        <w:left w:val="none" w:sz="0" w:space="0" w:color="auto"/>
        <w:bottom w:val="none" w:sz="0" w:space="0" w:color="auto"/>
        <w:right w:val="none" w:sz="0" w:space="0" w:color="auto"/>
      </w:divBdr>
    </w:div>
    <w:div w:id="1300649069">
      <w:bodyDiv w:val="1"/>
      <w:marLeft w:val="0"/>
      <w:marRight w:val="0"/>
      <w:marTop w:val="0"/>
      <w:marBottom w:val="0"/>
      <w:divBdr>
        <w:top w:val="none" w:sz="0" w:space="0" w:color="auto"/>
        <w:left w:val="none" w:sz="0" w:space="0" w:color="auto"/>
        <w:bottom w:val="none" w:sz="0" w:space="0" w:color="auto"/>
        <w:right w:val="none" w:sz="0" w:space="0" w:color="auto"/>
      </w:divBdr>
    </w:div>
    <w:div w:id="1767463188">
      <w:bodyDiv w:val="1"/>
      <w:marLeft w:val="0"/>
      <w:marRight w:val="0"/>
      <w:marTop w:val="0"/>
      <w:marBottom w:val="0"/>
      <w:divBdr>
        <w:top w:val="none" w:sz="0" w:space="0" w:color="auto"/>
        <w:left w:val="none" w:sz="0" w:space="0" w:color="auto"/>
        <w:bottom w:val="none" w:sz="0" w:space="0" w:color="auto"/>
        <w:right w:val="none" w:sz="0" w:space="0" w:color="auto"/>
      </w:divBdr>
    </w:div>
    <w:div w:id="1888682565">
      <w:bodyDiv w:val="1"/>
      <w:marLeft w:val="0"/>
      <w:marRight w:val="0"/>
      <w:marTop w:val="0"/>
      <w:marBottom w:val="0"/>
      <w:divBdr>
        <w:top w:val="none" w:sz="0" w:space="0" w:color="auto"/>
        <w:left w:val="none" w:sz="0" w:space="0" w:color="auto"/>
        <w:bottom w:val="none" w:sz="0" w:space="0" w:color="auto"/>
        <w:right w:val="none" w:sz="0" w:space="0" w:color="auto"/>
      </w:divBdr>
    </w:div>
    <w:div w:id="212036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ints.Trupovnieks@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DD4B3-6731-4615-BA13-CA2C681D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12035</Words>
  <Characters>6860</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Par Latvijas pievienošanos Eiropas stabilitātes mehānismam</vt:lpstr>
    </vt:vector>
  </TitlesOfParts>
  <Company>Finanšu ministrija</Company>
  <LinksUpToDate>false</LinksUpToDate>
  <CharactersWithSpaces>18858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pievienošanos Eiropas stabilitātes mehānismam</dc:title>
  <dc:subject>Informatīvais ziņojums</dc:subject>
  <dc:creator>Trupovnieks Gints</dc:creator>
  <dc:description>Tālr.67083809
Gints.Trupovnieks@fm.gov.lv</dc:description>
  <cp:lastModifiedBy>Gerda Rubīna</cp:lastModifiedBy>
  <cp:revision>27</cp:revision>
  <cp:lastPrinted>2013-08-08T14:01:00Z</cp:lastPrinted>
  <dcterms:created xsi:type="dcterms:W3CDTF">2013-08-01T12:20:00Z</dcterms:created>
  <dcterms:modified xsi:type="dcterms:W3CDTF">2013-08-09T05:27:00Z</dcterms:modified>
</cp:coreProperties>
</file>