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62" w:rsidRPr="00EA3962" w:rsidRDefault="00EA3962" w:rsidP="00EA3962">
      <w:pPr>
        <w:spacing w:line="20" w:lineRule="atLeast"/>
        <w:jc w:val="center"/>
        <w:rPr>
          <w:rFonts w:ascii="Times New Roman" w:hAnsi="Times New Roman" w:cs="Times New Roman"/>
          <w:b/>
          <w:sz w:val="32"/>
          <w:szCs w:val="32"/>
        </w:rPr>
      </w:pPr>
      <w:r w:rsidRPr="00EA3962">
        <w:rPr>
          <w:rFonts w:ascii="Times New Roman" w:hAnsi="Times New Roman" w:cs="Times New Roman"/>
          <w:b/>
          <w:sz w:val="32"/>
          <w:szCs w:val="32"/>
        </w:rPr>
        <w:t>Informatīv</w:t>
      </w:r>
      <w:r>
        <w:rPr>
          <w:rFonts w:ascii="Times New Roman" w:hAnsi="Times New Roman" w:cs="Times New Roman"/>
          <w:b/>
          <w:sz w:val="32"/>
          <w:szCs w:val="32"/>
        </w:rPr>
        <w:t>ā</w:t>
      </w:r>
      <w:r w:rsidRPr="00EA3962">
        <w:rPr>
          <w:rFonts w:ascii="Times New Roman" w:hAnsi="Times New Roman" w:cs="Times New Roman"/>
          <w:b/>
          <w:sz w:val="32"/>
          <w:szCs w:val="32"/>
        </w:rPr>
        <w:t xml:space="preserve"> ziņojum</w:t>
      </w:r>
      <w:r>
        <w:rPr>
          <w:rFonts w:ascii="Times New Roman" w:hAnsi="Times New Roman" w:cs="Times New Roman"/>
          <w:b/>
          <w:sz w:val="32"/>
          <w:szCs w:val="32"/>
        </w:rPr>
        <w:t>a</w:t>
      </w:r>
      <w:r w:rsidRPr="00EA3962">
        <w:rPr>
          <w:rFonts w:ascii="Times New Roman" w:hAnsi="Times New Roman" w:cs="Times New Roman"/>
          <w:b/>
          <w:sz w:val="32"/>
          <w:szCs w:val="32"/>
        </w:rPr>
        <w:t xml:space="preserve"> par pastāvošo uzņēmumu ienākuma nodokļa atvieglojumu izvērtējumu no to efektivitātes un nodokļu administrēšanas viedokļa pielikums</w:t>
      </w:r>
    </w:p>
    <w:p w:rsidR="000D3476" w:rsidRDefault="000D3476" w:rsidP="000D3476">
      <w:pPr>
        <w:jc w:val="right"/>
        <w:rPr>
          <w:rFonts w:ascii="Times New Roman" w:hAnsi="Times New Roman" w:cs="Times New Roman"/>
          <w:sz w:val="24"/>
          <w:szCs w:val="24"/>
        </w:rPr>
      </w:pPr>
      <w:r>
        <w:rPr>
          <w:rFonts w:ascii="Times New Roman" w:hAnsi="Times New Roman" w:cs="Times New Roman"/>
          <w:sz w:val="24"/>
          <w:szCs w:val="24"/>
        </w:rPr>
        <w:t>1.tabula</w:t>
      </w:r>
    </w:p>
    <w:p w:rsidR="005C6F28" w:rsidRPr="005C6F28" w:rsidRDefault="005C6F28" w:rsidP="005C6F28">
      <w:pPr>
        <w:jc w:val="center"/>
        <w:rPr>
          <w:rFonts w:ascii="Times New Roman" w:hAnsi="Times New Roman" w:cs="Times New Roman"/>
          <w:b/>
          <w:sz w:val="24"/>
          <w:szCs w:val="24"/>
        </w:rPr>
      </w:pPr>
      <w:r w:rsidRPr="005C6F28">
        <w:rPr>
          <w:rFonts w:ascii="Times New Roman" w:hAnsi="Times New Roman" w:cs="Times New Roman"/>
          <w:b/>
          <w:sz w:val="24"/>
          <w:szCs w:val="24"/>
        </w:rPr>
        <w:t>UIN atvieglojumu</w:t>
      </w:r>
      <w:r w:rsidR="009769B3">
        <w:rPr>
          <w:rFonts w:ascii="Times New Roman" w:hAnsi="Times New Roman" w:cs="Times New Roman"/>
          <w:b/>
          <w:sz w:val="24"/>
          <w:szCs w:val="24"/>
        </w:rPr>
        <w:t xml:space="preserve"> ietekme uz budžetu un to</w:t>
      </w:r>
      <w:r w:rsidRPr="005C6F28">
        <w:rPr>
          <w:rFonts w:ascii="Times New Roman" w:hAnsi="Times New Roman" w:cs="Times New Roman"/>
          <w:b/>
          <w:sz w:val="24"/>
          <w:szCs w:val="24"/>
        </w:rPr>
        <w:t xml:space="preserve"> </w:t>
      </w:r>
      <w:r w:rsidR="0035494C">
        <w:rPr>
          <w:rFonts w:ascii="Times New Roman" w:hAnsi="Times New Roman" w:cs="Times New Roman"/>
          <w:b/>
          <w:sz w:val="24"/>
          <w:szCs w:val="24"/>
        </w:rPr>
        <w:t>izmantojušo komersantu raksturojums</w:t>
      </w:r>
      <w:r w:rsidR="009B38D0">
        <w:rPr>
          <w:rFonts w:ascii="Times New Roman" w:hAnsi="Times New Roman" w:cs="Times New Roman"/>
          <w:b/>
          <w:sz w:val="24"/>
          <w:szCs w:val="24"/>
        </w:rPr>
        <w:t xml:space="preserve"> 2009.gadā</w:t>
      </w:r>
    </w:p>
    <w:tbl>
      <w:tblPr>
        <w:tblW w:w="14680" w:type="dxa"/>
        <w:tblInd w:w="85" w:type="dxa"/>
        <w:tblLayout w:type="fixed"/>
        <w:tblLook w:val="04A0" w:firstRow="1" w:lastRow="0" w:firstColumn="1" w:lastColumn="0" w:noHBand="0" w:noVBand="1"/>
      </w:tblPr>
      <w:tblGrid>
        <w:gridCol w:w="563"/>
        <w:gridCol w:w="1870"/>
        <w:gridCol w:w="1134"/>
        <w:gridCol w:w="709"/>
        <w:gridCol w:w="850"/>
        <w:gridCol w:w="993"/>
        <w:gridCol w:w="1309"/>
        <w:gridCol w:w="1027"/>
        <w:gridCol w:w="1027"/>
        <w:gridCol w:w="1027"/>
        <w:gridCol w:w="1027"/>
        <w:gridCol w:w="1027"/>
        <w:gridCol w:w="2117"/>
      </w:tblGrid>
      <w:tr w:rsidR="005074BA" w:rsidRPr="005074BA" w:rsidTr="005074BA">
        <w:trPr>
          <w:trHeight w:val="915"/>
          <w:tblHeader/>
        </w:trPr>
        <w:tc>
          <w:tcPr>
            <w:tcW w:w="563" w:type="dxa"/>
            <w:tcBorders>
              <w:top w:val="double" w:sz="6" w:space="0" w:color="auto"/>
              <w:left w:val="double" w:sz="6" w:space="0" w:color="auto"/>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proofErr w:type="spellStart"/>
            <w:r w:rsidRPr="009956F4">
              <w:rPr>
                <w:rFonts w:ascii="Times New Roman" w:eastAsia="Times New Roman" w:hAnsi="Times New Roman" w:cs="Times New Roman"/>
                <w:b/>
                <w:color w:val="000000"/>
                <w:sz w:val="16"/>
                <w:szCs w:val="16"/>
                <w:lang w:eastAsia="lv-LV"/>
              </w:rPr>
              <w:t>N.p.k</w:t>
            </w:r>
            <w:proofErr w:type="spellEnd"/>
            <w:r w:rsidRPr="009956F4">
              <w:rPr>
                <w:rFonts w:ascii="Times New Roman" w:eastAsia="Times New Roman" w:hAnsi="Times New Roman" w:cs="Times New Roman"/>
                <w:b/>
                <w:color w:val="000000"/>
                <w:sz w:val="16"/>
                <w:szCs w:val="16"/>
                <w:lang w:eastAsia="lv-LV"/>
              </w:rPr>
              <w:t>.</w:t>
            </w:r>
          </w:p>
        </w:tc>
        <w:tc>
          <w:tcPr>
            <w:tcW w:w="1870"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UIN stimuls</w:t>
            </w:r>
          </w:p>
        </w:tc>
        <w:tc>
          <w:tcPr>
            <w:tcW w:w="1134"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Atlaides/ atvieglojuma piemēro</w:t>
            </w:r>
            <w:r w:rsidR="009956F4">
              <w:rPr>
                <w:rFonts w:ascii="Times New Roman" w:eastAsia="Times New Roman" w:hAnsi="Times New Roman" w:cs="Times New Roman"/>
                <w:b/>
                <w:color w:val="000000"/>
                <w:sz w:val="16"/>
                <w:szCs w:val="16"/>
                <w:lang w:eastAsia="lv-LV"/>
              </w:rPr>
              <w:t xml:space="preserve">- </w:t>
            </w:r>
            <w:proofErr w:type="spellStart"/>
            <w:r w:rsidRPr="009956F4">
              <w:rPr>
                <w:rFonts w:ascii="Times New Roman" w:eastAsia="Times New Roman" w:hAnsi="Times New Roman" w:cs="Times New Roman"/>
                <w:b/>
                <w:color w:val="000000"/>
                <w:sz w:val="16"/>
                <w:szCs w:val="16"/>
                <w:lang w:eastAsia="lv-LV"/>
              </w:rPr>
              <w:t>šanas</w:t>
            </w:r>
            <w:proofErr w:type="spellEnd"/>
            <w:r w:rsidRPr="009956F4">
              <w:rPr>
                <w:rFonts w:ascii="Times New Roman" w:eastAsia="Times New Roman" w:hAnsi="Times New Roman" w:cs="Times New Roman"/>
                <w:b/>
                <w:color w:val="000000"/>
                <w:sz w:val="16"/>
                <w:szCs w:val="16"/>
                <w:lang w:eastAsia="lv-LV"/>
              </w:rPr>
              <w:t xml:space="preserve"> laiks</w:t>
            </w:r>
          </w:p>
        </w:tc>
        <w:tc>
          <w:tcPr>
            <w:tcW w:w="709"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proofErr w:type="spellStart"/>
            <w:r w:rsidRPr="009956F4">
              <w:rPr>
                <w:rFonts w:ascii="Times New Roman" w:eastAsia="Times New Roman" w:hAnsi="Times New Roman" w:cs="Times New Roman"/>
                <w:b/>
                <w:color w:val="000000"/>
                <w:sz w:val="16"/>
                <w:szCs w:val="16"/>
                <w:lang w:eastAsia="lv-LV"/>
              </w:rPr>
              <w:t>Izman</w:t>
            </w:r>
            <w:r w:rsidR="009956F4">
              <w:rPr>
                <w:rFonts w:ascii="Times New Roman" w:eastAsia="Times New Roman" w:hAnsi="Times New Roman" w:cs="Times New Roman"/>
                <w:b/>
                <w:color w:val="000000"/>
                <w:sz w:val="16"/>
                <w:szCs w:val="16"/>
                <w:lang w:eastAsia="lv-LV"/>
              </w:rPr>
              <w:t>-</w:t>
            </w:r>
            <w:r w:rsidRPr="009956F4">
              <w:rPr>
                <w:rFonts w:ascii="Times New Roman" w:eastAsia="Times New Roman" w:hAnsi="Times New Roman" w:cs="Times New Roman"/>
                <w:b/>
                <w:color w:val="000000"/>
                <w:sz w:val="16"/>
                <w:szCs w:val="16"/>
                <w:lang w:eastAsia="lv-LV"/>
              </w:rPr>
              <w:t>tojušo</w:t>
            </w:r>
            <w:proofErr w:type="spellEnd"/>
            <w:r w:rsidRPr="009956F4">
              <w:rPr>
                <w:rFonts w:ascii="Times New Roman" w:eastAsia="Times New Roman" w:hAnsi="Times New Roman" w:cs="Times New Roman"/>
                <w:b/>
                <w:color w:val="000000"/>
                <w:sz w:val="16"/>
                <w:szCs w:val="16"/>
                <w:lang w:eastAsia="lv-LV"/>
              </w:rPr>
              <w:t xml:space="preserve"> ko</w:t>
            </w:r>
            <w:r w:rsidR="009956F4">
              <w:rPr>
                <w:rFonts w:ascii="Times New Roman" w:eastAsia="Times New Roman" w:hAnsi="Times New Roman" w:cs="Times New Roman"/>
                <w:b/>
                <w:color w:val="000000"/>
                <w:sz w:val="16"/>
                <w:szCs w:val="16"/>
                <w:lang w:eastAsia="lv-LV"/>
              </w:rPr>
              <w:t xml:space="preserve">- </w:t>
            </w:r>
            <w:proofErr w:type="spellStart"/>
            <w:r w:rsidRPr="009956F4">
              <w:rPr>
                <w:rFonts w:ascii="Times New Roman" w:eastAsia="Times New Roman" w:hAnsi="Times New Roman" w:cs="Times New Roman"/>
                <w:b/>
                <w:color w:val="000000"/>
                <w:sz w:val="16"/>
                <w:szCs w:val="16"/>
                <w:lang w:eastAsia="lv-LV"/>
              </w:rPr>
              <w:t>mer</w:t>
            </w:r>
            <w:r w:rsidR="009956F4">
              <w:rPr>
                <w:rFonts w:ascii="Times New Roman" w:eastAsia="Times New Roman" w:hAnsi="Times New Roman" w:cs="Times New Roman"/>
                <w:b/>
                <w:color w:val="000000"/>
                <w:sz w:val="16"/>
                <w:szCs w:val="16"/>
                <w:lang w:eastAsia="lv-LV"/>
              </w:rPr>
              <w:t>-</w:t>
            </w:r>
            <w:r w:rsidRPr="009956F4">
              <w:rPr>
                <w:rFonts w:ascii="Times New Roman" w:eastAsia="Times New Roman" w:hAnsi="Times New Roman" w:cs="Times New Roman"/>
                <w:b/>
                <w:color w:val="000000"/>
                <w:sz w:val="16"/>
                <w:szCs w:val="16"/>
                <w:lang w:eastAsia="lv-LV"/>
              </w:rPr>
              <w:t>santu</w:t>
            </w:r>
            <w:proofErr w:type="spellEnd"/>
            <w:r w:rsidRPr="009956F4">
              <w:rPr>
                <w:rFonts w:ascii="Times New Roman" w:eastAsia="Times New Roman" w:hAnsi="Times New Roman" w:cs="Times New Roman"/>
                <w:b/>
                <w:color w:val="000000"/>
                <w:sz w:val="16"/>
                <w:szCs w:val="16"/>
                <w:lang w:eastAsia="lv-LV"/>
              </w:rPr>
              <w:t xml:space="preserve"> skaits</w:t>
            </w:r>
          </w:p>
        </w:tc>
        <w:tc>
          <w:tcPr>
            <w:tcW w:w="850"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Kopā nodarbi</w:t>
            </w:r>
            <w:r w:rsidR="009956F4">
              <w:rPr>
                <w:rFonts w:ascii="Times New Roman" w:eastAsia="Times New Roman" w:hAnsi="Times New Roman" w:cs="Times New Roman"/>
                <w:b/>
                <w:color w:val="000000"/>
                <w:sz w:val="16"/>
                <w:szCs w:val="16"/>
                <w:lang w:eastAsia="lv-LV"/>
              </w:rPr>
              <w:t>-</w:t>
            </w:r>
            <w:proofErr w:type="spellStart"/>
            <w:r w:rsidRPr="009956F4">
              <w:rPr>
                <w:rFonts w:ascii="Times New Roman" w:eastAsia="Times New Roman" w:hAnsi="Times New Roman" w:cs="Times New Roman"/>
                <w:b/>
                <w:color w:val="000000"/>
                <w:sz w:val="16"/>
                <w:szCs w:val="16"/>
                <w:lang w:eastAsia="lv-LV"/>
              </w:rPr>
              <w:t>nāto</w:t>
            </w:r>
            <w:proofErr w:type="spellEnd"/>
            <w:r w:rsidRPr="009956F4">
              <w:rPr>
                <w:rFonts w:ascii="Times New Roman" w:eastAsia="Times New Roman" w:hAnsi="Times New Roman" w:cs="Times New Roman"/>
                <w:b/>
                <w:color w:val="000000"/>
                <w:sz w:val="16"/>
                <w:szCs w:val="16"/>
                <w:lang w:eastAsia="lv-LV"/>
              </w:rPr>
              <w:t xml:space="preserve"> darbi</w:t>
            </w:r>
            <w:r w:rsidR="009956F4">
              <w:rPr>
                <w:rFonts w:ascii="Times New Roman" w:eastAsia="Times New Roman" w:hAnsi="Times New Roman" w:cs="Times New Roman"/>
                <w:b/>
                <w:color w:val="000000"/>
                <w:sz w:val="16"/>
                <w:szCs w:val="16"/>
                <w:lang w:eastAsia="lv-LV"/>
              </w:rPr>
              <w:t>-</w:t>
            </w:r>
            <w:r w:rsidRPr="009956F4">
              <w:rPr>
                <w:rFonts w:ascii="Times New Roman" w:eastAsia="Times New Roman" w:hAnsi="Times New Roman" w:cs="Times New Roman"/>
                <w:b/>
                <w:color w:val="000000"/>
                <w:sz w:val="16"/>
                <w:szCs w:val="16"/>
                <w:lang w:eastAsia="lv-LV"/>
              </w:rPr>
              <w:t xml:space="preserve">nieku skaits vidēji mēnesī </w:t>
            </w:r>
          </w:p>
        </w:tc>
        <w:tc>
          <w:tcPr>
            <w:tcW w:w="993"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Nodarbi</w:t>
            </w:r>
            <w:r w:rsidR="009956F4">
              <w:rPr>
                <w:rFonts w:ascii="Times New Roman" w:eastAsia="Times New Roman" w:hAnsi="Times New Roman" w:cs="Times New Roman"/>
                <w:b/>
                <w:color w:val="000000"/>
                <w:sz w:val="16"/>
                <w:szCs w:val="16"/>
                <w:lang w:eastAsia="lv-LV"/>
              </w:rPr>
              <w:t>-</w:t>
            </w:r>
            <w:proofErr w:type="spellStart"/>
            <w:r w:rsidRPr="009956F4">
              <w:rPr>
                <w:rFonts w:ascii="Times New Roman" w:eastAsia="Times New Roman" w:hAnsi="Times New Roman" w:cs="Times New Roman"/>
                <w:b/>
                <w:color w:val="000000"/>
                <w:sz w:val="16"/>
                <w:szCs w:val="16"/>
                <w:lang w:eastAsia="lv-LV"/>
              </w:rPr>
              <w:t>nāto</w:t>
            </w:r>
            <w:proofErr w:type="spellEnd"/>
            <w:r w:rsidRPr="009956F4">
              <w:rPr>
                <w:rFonts w:ascii="Times New Roman" w:eastAsia="Times New Roman" w:hAnsi="Times New Roman" w:cs="Times New Roman"/>
                <w:b/>
                <w:color w:val="000000"/>
                <w:sz w:val="16"/>
                <w:szCs w:val="16"/>
                <w:lang w:eastAsia="lv-LV"/>
              </w:rPr>
              <w:t xml:space="preserve"> darbinieku skaits vidēji mēnesī vidēji uzņēmumā</w:t>
            </w:r>
          </w:p>
        </w:tc>
        <w:tc>
          <w:tcPr>
            <w:tcW w:w="1309"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 xml:space="preserve">Kopējā uzņēmumu bilances vērtība </w:t>
            </w:r>
          </w:p>
        </w:tc>
        <w:tc>
          <w:tcPr>
            <w:tcW w:w="1027"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Uzņēmumu bilances vērtība vidēji uzņēmumā</w:t>
            </w:r>
          </w:p>
        </w:tc>
        <w:tc>
          <w:tcPr>
            <w:tcW w:w="1027"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Kopējā atlaižu/ atviegloju</w:t>
            </w:r>
            <w:r w:rsidR="009956F4">
              <w:rPr>
                <w:rFonts w:ascii="Times New Roman" w:eastAsia="Times New Roman" w:hAnsi="Times New Roman" w:cs="Times New Roman"/>
                <w:b/>
                <w:color w:val="000000"/>
                <w:sz w:val="16"/>
                <w:szCs w:val="16"/>
                <w:lang w:eastAsia="lv-LV"/>
              </w:rPr>
              <w:t>-</w:t>
            </w:r>
            <w:proofErr w:type="spellStart"/>
            <w:r w:rsidRPr="009956F4">
              <w:rPr>
                <w:rFonts w:ascii="Times New Roman" w:eastAsia="Times New Roman" w:hAnsi="Times New Roman" w:cs="Times New Roman"/>
                <w:b/>
                <w:color w:val="000000"/>
                <w:sz w:val="16"/>
                <w:szCs w:val="16"/>
                <w:lang w:eastAsia="lv-LV"/>
              </w:rPr>
              <w:t>mu</w:t>
            </w:r>
            <w:proofErr w:type="spellEnd"/>
            <w:r w:rsidRPr="009956F4">
              <w:rPr>
                <w:rFonts w:ascii="Times New Roman" w:eastAsia="Times New Roman" w:hAnsi="Times New Roman" w:cs="Times New Roman"/>
                <w:b/>
                <w:color w:val="000000"/>
                <w:sz w:val="16"/>
                <w:szCs w:val="16"/>
                <w:lang w:eastAsia="lv-LV"/>
              </w:rPr>
              <w:t xml:space="preserve"> ietekme uz budžeta ieņēmu</w:t>
            </w:r>
            <w:r w:rsidR="00AC7E83">
              <w:rPr>
                <w:rFonts w:ascii="Times New Roman" w:eastAsia="Times New Roman" w:hAnsi="Times New Roman" w:cs="Times New Roman"/>
                <w:b/>
                <w:color w:val="000000"/>
                <w:sz w:val="16"/>
                <w:szCs w:val="16"/>
                <w:lang w:eastAsia="lv-LV"/>
              </w:rPr>
              <w:t>-</w:t>
            </w:r>
            <w:proofErr w:type="spellStart"/>
            <w:r w:rsidRPr="009956F4">
              <w:rPr>
                <w:rFonts w:ascii="Times New Roman" w:eastAsia="Times New Roman" w:hAnsi="Times New Roman" w:cs="Times New Roman"/>
                <w:b/>
                <w:color w:val="000000"/>
                <w:sz w:val="16"/>
                <w:szCs w:val="16"/>
                <w:lang w:eastAsia="lv-LV"/>
              </w:rPr>
              <w:t>miem</w:t>
            </w:r>
            <w:proofErr w:type="spellEnd"/>
            <w:r w:rsidRPr="009956F4">
              <w:rPr>
                <w:rFonts w:ascii="Times New Roman" w:eastAsia="Times New Roman" w:hAnsi="Times New Roman" w:cs="Times New Roman"/>
                <w:b/>
                <w:color w:val="000000"/>
                <w:sz w:val="16"/>
                <w:szCs w:val="16"/>
                <w:lang w:eastAsia="lv-LV"/>
              </w:rPr>
              <w:t xml:space="preserve"> </w:t>
            </w:r>
          </w:p>
        </w:tc>
        <w:tc>
          <w:tcPr>
            <w:tcW w:w="1027"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Atlaižu/ atviegloju</w:t>
            </w:r>
            <w:r w:rsidR="009956F4">
              <w:rPr>
                <w:rFonts w:ascii="Times New Roman" w:eastAsia="Times New Roman" w:hAnsi="Times New Roman" w:cs="Times New Roman"/>
                <w:b/>
                <w:color w:val="000000"/>
                <w:sz w:val="16"/>
                <w:szCs w:val="16"/>
                <w:lang w:eastAsia="lv-LV"/>
              </w:rPr>
              <w:t>-</w:t>
            </w:r>
            <w:proofErr w:type="spellStart"/>
            <w:r w:rsidRPr="009956F4">
              <w:rPr>
                <w:rFonts w:ascii="Times New Roman" w:eastAsia="Times New Roman" w:hAnsi="Times New Roman" w:cs="Times New Roman"/>
                <w:b/>
                <w:color w:val="000000"/>
                <w:sz w:val="16"/>
                <w:szCs w:val="16"/>
                <w:lang w:eastAsia="lv-LV"/>
              </w:rPr>
              <w:t>mu</w:t>
            </w:r>
            <w:proofErr w:type="spellEnd"/>
            <w:r w:rsidRPr="009956F4">
              <w:rPr>
                <w:rFonts w:ascii="Times New Roman" w:eastAsia="Times New Roman" w:hAnsi="Times New Roman" w:cs="Times New Roman"/>
                <w:b/>
                <w:color w:val="000000"/>
                <w:sz w:val="16"/>
                <w:szCs w:val="16"/>
                <w:lang w:eastAsia="lv-LV"/>
              </w:rPr>
              <w:t xml:space="preserve"> apmērs vidēji uzņēmumā</w:t>
            </w:r>
          </w:p>
        </w:tc>
        <w:tc>
          <w:tcPr>
            <w:tcW w:w="1027"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Lielākā atlaides/ atviegloju</w:t>
            </w:r>
            <w:r w:rsidR="009956F4">
              <w:rPr>
                <w:rFonts w:ascii="Times New Roman" w:eastAsia="Times New Roman" w:hAnsi="Times New Roman" w:cs="Times New Roman"/>
                <w:b/>
                <w:color w:val="000000"/>
                <w:sz w:val="16"/>
                <w:szCs w:val="16"/>
                <w:lang w:eastAsia="lv-LV"/>
              </w:rPr>
              <w:t>-</w:t>
            </w:r>
            <w:proofErr w:type="spellStart"/>
            <w:r w:rsidRPr="009956F4">
              <w:rPr>
                <w:rFonts w:ascii="Times New Roman" w:eastAsia="Times New Roman" w:hAnsi="Times New Roman" w:cs="Times New Roman"/>
                <w:b/>
                <w:color w:val="000000"/>
                <w:sz w:val="16"/>
                <w:szCs w:val="16"/>
                <w:lang w:eastAsia="lv-LV"/>
              </w:rPr>
              <w:t>ma</w:t>
            </w:r>
            <w:proofErr w:type="spellEnd"/>
            <w:r w:rsidRPr="009956F4">
              <w:rPr>
                <w:rFonts w:ascii="Times New Roman" w:eastAsia="Times New Roman" w:hAnsi="Times New Roman" w:cs="Times New Roman"/>
                <w:b/>
                <w:color w:val="000000"/>
                <w:sz w:val="16"/>
                <w:szCs w:val="16"/>
                <w:lang w:eastAsia="lv-LV"/>
              </w:rPr>
              <w:t xml:space="preserve"> summa </w:t>
            </w:r>
          </w:p>
        </w:tc>
        <w:tc>
          <w:tcPr>
            <w:tcW w:w="1027" w:type="dxa"/>
            <w:tcBorders>
              <w:top w:val="double" w:sz="6" w:space="0" w:color="auto"/>
              <w:left w:val="nil"/>
              <w:bottom w:val="double" w:sz="6" w:space="0" w:color="auto"/>
              <w:right w:val="single" w:sz="4"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10 uzņēmumu lielāko atlaižu/ atviegloju</w:t>
            </w:r>
            <w:r w:rsidR="009956F4">
              <w:rPr>
                <w:rFonts w:ascii="Times New Roman" w:eastAsia="Times New Roman" w:hAnsi="Times New Roman" w:cs="Times New Roman"/>
                <w:b/>
                <w:color w:val="000000"/>
                <w:sz w:val="16"/>
                <w:szCs w:val="16"/>
                <w:lang w:eastAsia="lv-LV"/>
              </w:rPr>
              <w:t>-</w:t>
            </w:r>
            <w:proofErr w:type="spellStart"/>
            <w:r w:rsidRPr="009956F4">
              <w:rPr>
                <w:rFonts w:ascii="Times New Roman" w:eastAsia="Times New Roman" w:hAnsi="Times New Roman" w:cs="Times New Roman"/>
                <w:b/>
                <w:color w:val="000000"/>
                <w:sz w:val="16"/>
                <w:szCs w:val="16"/>
                <w:lang w:eastAsia="lv-LV"/>
              </w:rPr>
              <w:t>mu</w:t>
            </w:r>
            <w:proofErr w:type="spellEnd"/>
            <w:r w:rsidRPr="009956F4">
              <w:rPr>
                <w:rFonts w:ascii="Times New Roman" w:eastAsia="Times New Roman" w:hAnsi="Times New Roman" w:cs="Times New Roman"/>
                <w:b/>
                <w:color w:val="000000"/>
                <w:sz w:val="16"/>
                <w:szCs w:val="16"/>
                <w:lang w:eastAsia="lv-LV"/>
              </w:rPr>
              <w:t xml:space="preserve"> summas </w:t>
            </w:r>
          </w:p>
        </w:tc>
        <w:tc>
          <w:tcPr>
            <w:tcW w:w="2117" w:type="dxa"/>
            <w:tcBorders>
              <w:top w:val="double" w:sz="6" w:space="0" w:color="auto"/>
              <w:left w:val="nil"/>
              <w:bottom w:val="double" w:sz="6" w:space="0" w:color="auto"/>
              <w:right w:val="double" w:sz="6" w:space="0" w:color="auto"/>
            </w:tcBorders>
            <w:shd w:val="clear" w:color="auto" w:fill="auto"/>
            <w:hideMark/>
          </w:tcPr>
          <w:p w:rsidR="00C8632C" w:rsidRPr="009956F4" w:rsidRDefault="00C8632C" w:rsidP="00C8632C">
            <w:pPr>
              <w:spacing w:after="0" w:line="240" w:lineRule="auto"/>
              <w:jc w:val="center"/>
              <w:rPr>
                <w:rFonts w:ascii="Times New Roman" w:eastAsia="Times New Roman" w:hAnsi="Times New Roman" w:cs="Times New Roman"/>
                <w:b/>
                <w:color w:val="000000"/>
                <w:sz w:val="16"/>
                <w:szCs w:val="16"/>
                <w:lang w:eastAsia="lv-LV"/>
              </w:rPr>
            </w:pPr>
            <w:r w:rsidRPr="009956F4">
              <w:rPr>
                <w:rFonts w:ascii="Times New Roman" w:eastAsia="Times New Roman" w:hAnsi="Times New Roman" w:cs="Times New Roman"/>
                <w:b/>
                <w:color w:val="000000"/>
                <w:sz w:val="16"/>
                <w:szCs w:val="16"/>
                <w:lang w:eastAsia="lv-LV"/>
              </w:rPr>
              <w:t>Piezīmes</w:t>
            </w:r>
          </w:p>
        </w:tc>
      </w:tr>
      <w:tr w:rsidR="005074BA" w:rsidRPr="005074BA" w:rsidTr="005074BA">
        <w:trPr>
          <w:trHeight w:val="99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Atvieglojums ražošanas veicināšanai, iegādājoties jaunas ražošanas tehnoloģiskās iekārtas </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C8632C" w:rsidP="005074BA">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01.01.2006-31.12.2013</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577</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42 566</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74</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5074BA">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3791</w:t>
            </w:r>
            <w:r w:rsidR="005074BA">
              <w:rPr>
                <w:rFonts w:ascii="Times New Roman" w:eastAsia="Times New Roman" w:hAnsi="Times New Roman" w:cs="Times New Roman"/>
                <w:color w:val="000000"/>
                <w:sz w:val="20"/>
                <w:szCs w:val="20"/>
                <w:lang w:eastAsia="lv-LV"/>
              </w:rPr>
              <w:t>381</w:t>
            </w:r>
            <w:r w:rsidRPr="005074BA">
              <w:rPr>
                <w:rFonts w:ascii="Times New Roman" w:eastAsia="Times New Roman" w:hAnsi="Times New Roman" w:cs="Times New Roman"/>
                <w:color w:val="000000"/>
                <w:sz w:val="20"/>
                <w:szCs w:val="20"/>
                <w:lang w:eastAsia="lv-LV"/>
              </w:rPr>
              <w:t>830</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6 570 852</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282852">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13808800</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23 932</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2 302 701</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4 404 824</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 lielākie uzņēmumi darbojās- piena pārstrādes, kūdras ieguves rūpniecības, kokapstrādes, galdniecības, lauksaimniecības, ceļu būvniecības nozarēs</w:t>
            </w:r>
          </w:p>
        </w:tc>
      </w:tr>
      <w:tr w:rsidR="005074BA" w:rsidRPr="005074BA" w:rsidTr="005074BA">
        <w:trPr>
          <w:trHeight w:val="130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Atvieglojums investīciju veikšanai pamatlīdzekļos ī</w:t>
            </w:r>
            <w:r w:rsidR="0026068F">
              <w:rPr>
                <w:rFonts w:ascii="Times New Roman" w:eastAsia="Times New Roman" w:hAnsi="Times New Roman" w:cs="Times New Roman"/>
                <w:color w:val="000000"/>
                <w:sz w:val="20"/>
                <w:szCs w:val="20"/>
                <w:lang w:eastAsia="lv-LV"/>
              </w:rPr>
              <w:t>paši atbalstāmajās teritorijās</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12.12.199</w:t>
            </w:r>
            <w:r w:rsidR="005074BA">
              <w:rPr>
                <w:rFonts w:ascii="Times New Roman" w:eastAsia="Times New Roman" w:hAnsi="Times New Roman" w:cs="Times New Roman"/>
                <w:color w:val="000000"/>
                <w:sz w:val="20"/>
                <w:szCs w:val="20"/>
                <w:lang w:eastAsia="lv-LV"/>
              </w:rPr>
              <w:t>7</w:t>
            </w:r>
            <w:r w:rsidRPr="005074BA">
              <w:rPr>
                <w:rFonts w:ascii="Times New Roman" w:eastAsia="Times New Roman" w:hAnsi="Times New Roman" w:cs="Times New Roman"/>
                <w:color w:val="000000"/>
                <w:sz w:val="20"/>
                <w:szCs w:val="20"/>
                <w:lang w:eastAsia="lv-LV"/>
              </w:rPr>
              <w:t>-</w:t>
            </w:r>
            <w:r w:rsidR="00DC5ED3">
              <w:rPr>
                <w:rFonts w:ascii="Times New Roman" w:eastAsia="Times New Roman" w:hAnsi="Times New Roman" w:cs="Times New Roman"/>
                <w:color w:val="000000"/>
                <w:sz w:val="20"/>
                <w:szCs w:val="20"/>
                <w:lang w:eastAsia="lv-LV"/>
              </w:rPr>
              <w:t xml:space="preserve"> 31.12.2012</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99</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2 830</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29</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73 822 621</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745 683</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576 981</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5 828</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183 840</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365 448</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 lielākie uzņēmumi darbojās-elektroenerģijas ražošanas, ūdens ieguves un attīrīšanas, finiera lokšņu un koka paneļu ražošanas, ķīmisko vielu ražošanas, farmaceitisko preparātu ražošanas, stikla šķiedras ražošanas nozarēs</w:t>
            </w:r>
          </w:p>
        </w:tc>
      </w:tr>
      <w:tr w:rsidR="005074BA" w:rsidRPr="005074BA" w:rsidTr="005074BA">
        <w:trPr>
          <w:trHeight w:val="55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lastRenderedPageBreak/>
              <w:t>3</w:t>
            </w:r>
          </w:p>
        </w:tc>
        <w:tc>
          <w:tcPr>
            <w:tcW w:w="1870" w:type="dxa"/>
            <w:tcBorders>
              <w:top w:val="nil"/>
              <w:left w:val="nil"/>
              <w:bottom w:val="single" w:sz="4" w:space="0" w:color="auto"/>
              <w:right w:val="single" w:sz="4" w:space="0" w:color="auto"/>
            </w:tcBorders>
            <w:shd w:val="clear" w:color="auto" w:fill="auto"/>
            <w:noWrap/>
            <w:hideMark/>
          </w:tcPr>
          <w:p w:rsidR="00C8632C" w:rsidRPr="005074BA" w:rsidRDefault="00C8632C" w:rsidP="00C8632C">
            <w:pPr>
              <w:spacing w:after="0" w:line="240" w:lineRule="auto"/>
              <w:jc w:val="both"/>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Apliekamā ienākuma samazinājums par nosacītu kredītprocentu summu</w:t>
            </w:r>
          </w:p>
        </w:tc>
        <w:tc>
          <w:tcPr>
            <w:tcW w:w="1134" w:type="dxa"/>
            <w:tcBorders>
              <w:top w:val="nil"/>
              <w:left w:val="nil"/>
              <w:bottom w:val="single" w:sz="4" w:space="0" w:color="auto"/>
              <w:right w:val="single" w:sz="4" w:space="0" w:color="auto"/>
            </w:tcBorders>
            <w:shd w:val="clear" w:color="auto" w:fill="auto"/>
            <w:noWrap/>
            <w:hideMark/>
          </w:tcPr>
          <w:p w:rsidR="00C8632C" w:rsidRPr="005074BA" w:rsidRDefault="005074BA" w:rsidP="00C8632C">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01.01.2009</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596723" w:rsidP="005074BA">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596723">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Paredzamais budžeta </w:t>
            </w:r>
            <w:r w:rsidR="00500ADD">
              <w:rPr>
                <w:rFonts w:ascii="Times New Roman" w:eastAsia="Times New Roman" w:hAnsi="Times New Roman" w:cs="Times New Roman"/>
                <w:color w:val="000000"/>
                <w:sz w:val="20"/>
                <w:szCs w:val="20"/>
                <w:lang w:eastAsia="lv-LV"/>
              </w:rPr>
              <w:t xml:space="preserve">ieņēmumu </w:t>
            </w:r>
            <w:r w:rsidRPr="005074BA">
              <w:rPr>
                <w:rFonts w:ascii="Times New Roman" w:eastAsia="Times New Roman" w:hAnsi="Times New Roman" w:cs="Times New Roman"/>
                <w:color w:val="000000"/>
                <w:sz w:val="20"/>
                <w:szCs w:val="20"/>
                <w:lang w:eastAsia="lv-LV"/>
              </w:rPr>
              <w:t xml:space="preserve">samazinājums 2010.gadā </w:t>
            </w:r>
            <w:r w:rsidR="00596723">
              <w:rPr>
                <w:rFonts w:ascii="Times New Roman" w:eastAsia="Times New Roman" w:hAnsi="Times New Roman" w:cs="Times New Roman"/>
                <w:color w:val="000000"/>
                <w:sz w:val="20"/>
                <w:szCs w:val="20"/>
                <w:lang w:eastAsia="lv-LV"/>
              </w:rPr>
              <w:t>–</w:t>
            </w:r>
            <w:r w:rsidRPr="005074BA">
              <w:rPr>
                <w:rFonts w:ascii="Times New Roman" w:eastAsia="Times New Roman" w:hAnsi="Times New Roman" w:cs="Times New Roman"/>
                <w:color w:val="000000"/>
                <w:sz w:val="20"/>
                <w:szCs w:val="20"/>
                <w:lang w:eastAsia="lv-LV"/>
              </w:rPr>
              <w:t xml:space="preserve"> </w:t>
            </w:r>
            <w:r w:rsidR="00596723">
              <w:rPr>
                <w:rFonts w:ascii="Times New Roman" w:eastAsia="Times New Roman" w:hAnsi="Times New Roman" w:cs="Times New Roman"/>
                <w:color w:val="000000"/>
                <w:sz w:val="20"/>
                <w:szCs w:val="20"/>
                <w:lang w:eastAsia="lv-LV"/>
              </w:rPr>
              <w:t>14.625</w:t>
            </w:r>
            <w:r w:rsidRPr="005074BA">
              <w:rPr>
                <w:rFonts w:ascii="Times New Roman" w:eastAsia="Times New Roman" w:hAnsi="Times New Roman" w:cs="Times New Roman"/>
                <w:color w:val="000000"/>
                <w:sz w:val="20"/>
                <w:szCs w:val="20"/>
                <w:lang w:eastAsia="lv-LV"/>
              </w:rPr>
              <w:t xml:space="preserve"> </w:t>
            </w:r>
            <w:proofErr w:type="spellStart"/>
            <w:r w:rsidRPr="005074BA">
              <w:rPr>
                <w:rFonts w:ascii="Times New Roman" w:eastAsia="Times New Roman" w:hAnsi="Times New Roman" w:cs="Times New Roman"/>
                <w:color w:val="000000"/>
                <w:sz w:val="20"/>
                <w:szCs w:val="20"/>
                <w:lang w:eastAsia="lv-LV"/>
              </w:rPr>
              <w:t>milj</w:t>
            </w:r>
            <w:proofErr w:type="spellEnd"/>
            <w:r w:rsidRPr="005074BA">
              <w:rPr>
                <w:rFonts w:ascii="Times New Roman" w:eastAsia="Times New Roman" w:hAnsi="Times New Roman" w:cs="Times New Roman"/>
                <w:color w:val="000000"/>
                <w:sz w:val="20"/>
                <w:szCs w:val="20"/>
                <w:lang w:eastAsia="lv-LV"/>
              </w:rPr>
              <w:t xml:space="preserve">. latu; 2011.gadā - 16.2 </w:t>
            </w:r>
            <w:proofErr w:type="spellStart"/>
            <w:r w:rsidRPr="005074BA">
              <w:rPr>
                <w:rFonts w:ascii="Times New Roman" w:eastAsia="Times New Roman" w:hAnsi="Times New Roman" w:cs="Times New Roman"/>
                <w:color w:val="000000"/>
                <w:sz w:val="20"/>
                <w:szCs w:val="20"/>
                <w:lang w:eastAsia="lv-LV"/>
              </w:rPr>
              <w:t>milj</w:t>
            </w:r>
            <w:proofErr w:type="spellEnd"/>
            <w:r w:rsidRPr="005074BA">
              <w:rPr>
                <w:rFonts w:ascii="Times New Roman" w:eastAsia="Times New Roman" w:hAnsi="Times New Roman" w:cs="Times New Roman"/>
                <w:color w:val="000000"/>
                <w:sz w:val="20"/>
                <w:szCs w:val="20"/>
                <w:lang w:eastAsia="lv-LV"/>
              </w:rPr>
              <w:t>. latu</w:t>
            </w:r>
          </w:p>
        </w:tc>
      </w:tr>
      <w:tr w:rsidR="005074BA" w:rsidRPr="005074BA" w:rsidTr="005074BA">
        <w:trPr>
          <w:trHeight w:val="108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4</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Atlaide investīciju veikšanai brīvostās vai speciālajās ekonomiskajās zonās</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5074BA"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01.01.2002</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23</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2 343</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102</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5074BA">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214450815</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9 323 948</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3 035 290</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131 969</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1 138 316</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2 688 548</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10 lielākie uzņēmumi darbojās-kravu iekraušanas un izkraušanas, transporta palīgdarbību, kokapstrādes, kokmateriālu un būvmateriālu vairumtirdzniecības, plastmasas </w:t>
            </w:r>
            <w:proofErr w:type="spellStart"/>
            <w:r w:rsidRPr="005074BA">
              <w:rPr>
                <w:rFonts w:ascii="Times New Roman" w:eastAsia="Times New Roman" w:hAnsi="Times New Roman" w:cs="Times New Roman"/>
                <w:color w:val="000000"/>
                <w:sz w:val="20"/>
                <w:szCs w:val="20"/>
                <w:lang w:eastAsia="lv-LV"/>
              </w:rPr>
              <w:t>būvelementu</w:t>
            </w:r>
            <w:proofErr w:type="spellEnd"/>
            <w:r w:rsidRPr="005074BA">
              <w:rPr>
                <w:rFonts w:ascii="Times New Roman" w:eastAsia="Times New Roman" w:hAnsi="Times New Roman" w:cs="Times New Roman"/>
                <w:color w:val="000000"/>
                <w:sz w:val="20"/>
                <w:szCs w:val="20"/>
                <w:lang w:eastAsia="lv-LV"/>
              </w:rPr>
              <w:t xml:space="preserve"> ražošanas nozarēs</w:t>
            </w:r>
          </w:p>
        </w:tc>
      </w:tr>
      <w:tr w:rsidR="005074BA" w:rsidRPr="005074BA" w:rsidTr="005074BA">
        <w:trPr>
          <w:trHeight w:val="33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5</w:t>
            </w:r>
          </w:p>
        </w:tc>
        <w:tc>
          <w:tcPr>
            <w:tcW w:w="1870" w:type="dxa"/>
            <w:tcBorders>
              <w:top w:val="nil"/>
              <w:left w:val="nil"/>
              <w:bottom w:val="single" w:sz="4" w:space="0" w:color="auto"/>
              <w:right w:val="single" w:sz="4" w:space="0" w:color="auto"/>
            </w:tcBorders>
            <w:shd w:val="clear" w:color="auto" w:fill="auto"/>
            <w:noWrap/>
            <w:hideMark/>
          </w:tcPr>
          <w:p w:rsidR="00C8632C" w:rsidRPr="005074BA" w:rsidRDefault="00C8632C" w:rsidP="00C8632C">
            <w:pPr>
              <w:spacing w:after="0" w:line="240" w:lineRule="auto"/>
              <w:jc w:val="both"/>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Atvieglojums pamatlīdzekļu aizstāšanas gadījumā </w:t>
            </w:r>
          </w:p>
        </w:tc>
        <w:tc>
          <w:tcPr>
            <w:tcW w:w="1134" w:type="dxa"/>
            <w:tcBorders>
              <w:top w:val="nil"/>
              <w:left w:val="nil"/>
              <w:bottom w:val="single" w:sz="4" w:space="0" w:color="auto"/>
              <w:right w:val="single" w:sz="4" w:space="0" w:color="auto"/>
            </w:tcBorders>
            <w:shd w:val="clear" w:color="auto" w:fill="auto"/>
            <w:noWrap/>
            <w:hideMark/>
          </w:tcPr>
          <w:p w:rsidR="00C8632C" w:rsidRPr="005074BA" w:rsidRDefault="005074BA" w:rsidP="00C8632C">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01.01.2009</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Ietekme uz budžetu nav nosakāma</w:t>
            </w:r>
          </w:p>
        </w:tc>
      </w:tr>
      <w:tr w:rsidR="005074BA" w:rsidRPr="005074BA" w:rsidTr="005074BA">
        <w:trPr>
          <w:trHeight w:val="88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6</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Atvieglojums izpētei un attīstībai - īpaša izdevumu atzīšanas kārtība izpētes un attīstības izmaksām</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5074BA"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01.01.2009</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20 000</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FM aprēķini</w:t>
            </w:r>
          </w:p>
        </w:tc>
      </w:tr>
      <w:tr w:rsidR="005074BA" w:rsidRPr="005074BA" w:rsidTr="005074BA">
        <w:trPr>
          <w:trHeight w:val="84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lastRenderedPageBreak/>
              <w:t>7</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Iespēja segt taksācijas perioda zaudējumus  un pārnest zaudējumus uzņēmumu grupā</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C8632C" w:rsidP="005074BA">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01.04.1995</w:t>
            </w:r>
            <w:r w:rsidR="005074BA">
              <w:rPr>
                <w:rFonts w:ascii="Times New Roman" w:eastAsia="Times New Roman" w:hAnsi="Times New Roman" w:cs="Times New Roman"/>
                <w:color w:val="000000"/>
                <w:sz w:val="20"/>
                <w:szCs w:val="20"/>
                <w:lang w:eastAsia="lv-LV"/>
              </w:rPr>
              <w:t>-un 10.04.1997</w:t>
            </w:r>
            <w:r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282852" w:rsidP="0028285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47</w:t>
            </w:r>
            <w:r w:rsidR="00C8632C" w:rsidRPr="005074BA">
              <w:rPr>
                <w:rFonts w:ascii="Times New Roman" w:eastAsia="Times New Roman" w:hAnsi="Times New Roman" w:cs="Times New Roman"/>
                <w:color w:val="000000"/>
                <w:sz w:val="20"/>
                <w:szCs w:val="20"/>
                <w:lang w:eastAsia="lv-LV"/>
              </w:rPr>
              <w:t>740045</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r>
      <w:tr w:rsidR="005074BA" w:rsidRPr="005074BA" w:rsidTr="005074BA">
        <w:trPr>
          <w:trHeight w:val="64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6A6CEC"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Paātrināta pamatlīdzekļu norakstīšanas kārtība</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282852"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01.04.1995</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5074BA" w:rsidP="005074BA">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17</w:t>
            </w:r>
            <w:r w:rsidR="00C8632C" w:rsidRPr="005074BA">
              <w:rPr>
                <w:rFonts w:ascii="Times New Roman" w:eastAsia="Times New Roman" w:hAnsi="Times New Roman" w:cs="Times New Roman"/>
                <w:color w:val="000000"/>
                <w:sz w:val="20"/>
                <w:szCs w:val="20"/>
                <w:lang w:eastAsia="lv-LV"/>
              </w:rPr>
              <w:t>163976</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r>
      <w:tr w:rsidR="006A6CEC" w:rsidRPr="005074BA" w:rsidTr="005074BA">
        <w:trPr>
          <w:trHeight w:val="645"/>
        </w:trPr>
        <w:tc>
          <w:tcPr>
            <w:tcW w:w="563" w:type="dxa"/>
            <w:tcBorders>
              <w:top w:val="nil"/>
              <w:left w:val="double" w:sz="6" w:space="0" w:color="auto"/>
              <w:bottom w:val="single" w:sz="4" w:space="0" w:color="auto"/>
              <w:right w:val="single" w:sz="4" w:space="0" w:color="auto"/>
            </w:tcBorders>
            <w:shd w:val="clear" w:color="auto" w:fill="auto"/>
          </w:tcPr>
          <w:p w:rsidR="006A6CEC" w:rsidRPr="005074BA" w:rsidRDefault="006A6CEC"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w:t>
            </w:r>
          </w:p>
        </w:tc>
        <w:tc>
          <w:tcPr>
            <w:tcW w:w="1870" w:type="dxa"/>
            <w:tcBorders>
              <w:top w:val="nil"/>
              <w:left w:val="nil"/>
              <w:bottom w:val="single" w:sz="4" w:space="0" w:color="auto"/>
              <w:right w:val="single" w:sz="4" w:space="0" w:color="auto"/>
            </w:tcBorders>
            <w:shd w:val="clear" w:color="auto" w:fill="auto"/>
          </w:tcPr>
          <w:p w:rsidR="006A6CEC" w:rsidRPr="006A6CEC" w:rsidRDefault="006A6CEC"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Cs/>
                <w:color w:val="000000"/>
                <w:sz w:val="20"/>
                <w:szCs w:val="20"/>
                <w:lang w:eastAsia="lv-LV"/>
              </w:rPr>
              <w:t>A</w:t>
            </w:r>
            <w:r w:rsidRPr="006A6CEC">
              <w:rPr>
                <w:rFonts w:ascii="Times New Roman" w:eastAsia="Times New Roman" w:hAnsi="Times New Roman" w:cs="Times New Roman"/>
                <w:bCs/>
                <w:color w:val="000000"/>
                <w:sz w:val="20"/>
                <w:szCs w:val="20"/>
                <w:lang w:eastAsia="lv-LV"/>
              </w:rPr>
              <w:t>tvieglojums, realizējot atbalstāmo investīciju projektus</w:t>
            </w:r>
          </w:p>
        </w:tc>
        <w:tc>
          <w:tcPr>
            <w:tcW w:w="1134" w:type="dxa"/>
            <w:tcBorders>
              <w:top w:val="nil"/>
              <w:left w:val="nil"/>
              <w:bottom w:val="single" w:sz="4" w:space="0" w:color="auto"/>
              <w:right w:val="single" w:sz="4" w:space="0" w:color="auto"/>
            </w:tcBorders>
            <w:shd w:val="clear" w:color="auto" w:fill="auto"/>
          </w:tcPr>
          <w:p w:rsidR="006A6CEC" w:rsidRDefault="006A6CEC"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01.01.2011</w:t>
            </w:r>
          </w:p>
        </w:tc>
        <w:tc>
          <w:tcPr>
            <w:tcW w:w="709"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tcPr>
          <w:p w:rsidR="006A6CEC" w:rsidRPr="005074BA" w:rsidRDefault="006A6CEC" w:rsidP="00A5422D">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tcPr>
          <w:p w:rsidR="006A6CEC" w:rsidRPr="006A6CEC" w:rsidRDefault="006A6CEC" w:rsidP="006A6CE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Cs/>
                <w:color w:val="000000"/>
                <w:sz w:val="20"/>
                <w:szCs w:val="20"/>
                <w:lang w:eastAsia="lv-LV"/>
              </w:rPr>
              <w:t>K</w:t>
            </w:r>
            <w:r w:rsidRPr="006A6CEC">
              <w:rPr>
                <w:rFonts w:ascii="Times New Roman" w:eastAsia="Times New Roman" w:hAnsi="Times New Roman" w:cs="Times New Roman"/>
                <w:bCs/>
                <w:color w:val="000000"/>
                <w:sz w:val="20"/>
                <w:szCs w:val="20"/>
                <w:lang w:eastAsia="lv-LV"/>
              </w:rPr>
              <w:t xml:space="preserve">opējā ietekme uz budžetu (no 2013.gada) ir prognozēta -31,9 </w:t>
            </w:r>
            <w:proofErr w:type="spellStart"/>
            <w:r w:rsidRPr="006A6CEC">
              <w:rPr>
                <w:rFonts w:ascii="Times New Roman" w:eastAsia="Times New Roman" w:hAnsi="Times New Roman" w:cs="Times New Roman"/>
                <w:bCs/>
                <w:color w:val="000000"/>
                <w:sz w:val="20"/>
                <w:szCs w:val="20"/>
                <w:lang w:eastAsia="lv-LV"/>
              </w:rPr>
              <w:t>milj.latu</w:t>
            </w:r>
            <w:proofErr w:type="spellEnd"/>
            <w:r w:rsidRPr="006A6CEC">
              <w:rPr>
                <w:rFonts w:ascii="Times New Roman" w:eastAsia="Times New Roman" w:hAnsi="Times New Roman" w:cs="Times New Roman"/>
                <w:bCs/>
                <w:color w:val="000000"/>
                <w:sz w:val="20"/>
                <w:szCs w:val="20"/>
                <w:lang w:eastAsia="lv-LV"/>
              </w:rPr>
              <w:t xml:space="preserve"> apmērā</w:t>
            </w:r>
          </w:p>
        </w:tc>
      </w:tr>
      <w:tr w:rsidR="005074BA" w:rsidRPr="005074BA" w:rsidTr="005074BA">
        <w:trPr>
          <w:trHeight w:val="90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Nodokļa atvieglojums par ienākumiem, kas gūti no bankām izsniegto aizdevumu kapitalizācijas rezultātā iegūto akciju atsavināšanas</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5074BA"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01.07.2009</w:t>
            </w:r>
            <w:r w:rsidR="00C8632C" w:rsidRPr="005074BA">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1.12.2011</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Ietekme uz budžetu nav nosakāma</w:t>
            </w:r>
          </w:p>
        </w:tc>
      </w:tr>
      <w:tr w:rsidR="005074BA" w:rsidRPr="005074BA" w:rsidTr="005074BA">
        <w:trPr>
          <w:trHeight w:val="121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11</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Atvieglojums par uzkrājumiem nedrošajiem parādiem</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5074BA"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01.01.2011-31.12.2013</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Paredzamais budžeta samazinājums 2012.gadā - 11.8 </w:t>
            </w:r>
            <w:proofErr w:type="spellStart"/>
            <w:r w:rsidRPr="005074BA">
              <w:rPr>
                <w:rFonts w:ascii="Times New Roman" w:eastAsia="Times New Roman" w:hAnsi="Times New Roman" w:cs="Times New Roman"/>
                <w:color w:val="000000"/>
                <w:sz w:val="20"/>
                <w:szCs w:val="20"/>
                <w:lang w:eastAsia="lv-LV"/>
              </w:rPr>
              <w:t>milj</w:t>
            </w:r>
            <w:proofErr w:type="spellEnd"/>
            <w:r w:rsidRPr="005074BA">
              <w:rPr>
                <w:rFonts w:ascii="Times New Roman" w:eastAsia="Times New Roman" w:hAnsi="Times New Roman" w:cs="Times New Roman"/>
                <w:color w:val="000000"/>
                <w:sz w:val="20"/>
                <w:szCs w:val="20"/>
                <w:lang w:eastAsia="lv-LV"/>
              </w:rPr>
              <w:t>. latu</w:t>
            </w:r>
          </w:p>
        </w:tc>
      </w:tr>
      <w:tr w:rsidR="005074BA" w:rsidRPr="005074BA" w:rsidTr="005074BA">
        <w:trPr>
          <w:trHeight w:val="33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12</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Atvieglots nodokļu režīms par kuģu pārvadājumiem iekšzemes </w:t>
            </w:r>
            <w:r w:rsidRPr="005074BA">
              <w:rPr>
                <w:rFonts w:ascii="Times New Roman" w:eastAsia="Times New Roman" w:hAnsi="Times New Roman" w:cs="Times New Roman"/>
                <w:color w:val="000000"/>
                <w:sz w:val="20"/>
                <w:szCs w:val="20"/>
                <w:lang w:eastAsia="lv-LV"/>
              </w:rPr>
              <w:lastRenderedPageBreak/>
              <w:t>uzņēmumiem</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5074BA"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01.01.2002</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Ietekme uz budžetu nav nosakāma</w:t>
            </w:r>
          </w:p>
        </w:tc>
      </w:tr>
      <w:tr w:rsidR="005074BA" w:rsidRPr="005074BA" w:rsidTr="005074BA">
        <w:trPr>
          <w:trHeight w:val="49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lastRenderedPageBreak/>
              <w:t>13</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Nodokļa atlaide  par </w:t>
            </w:r>
            <w:r w:rsidR="00282852" w:rsidRPr="005074BA">
              <w:rPr>
                <w:rFonts w:ascii="Times New Roman" w:eastAsia="Times New Roman" w:hAnsi="Times New Roman" w:cs="Times New Roman"/>
                <w:color w:val="000000"/>
                <w:sz w:val="20"/>
                <w:szCs w:val="20"/>
                <w:lang w:eastAsia="lv-LV"/>
              </w:rPr>
              <w:t>lauksaimniecībā</w:t>
            </w:r>
            <w:r w:rsidRPr="005074BA">
              <w:rPr>
                <w:rFonts w:ascii="Times New Roman" w:eastAsia="Times New Roman" w:hAnsi="Times New Roman" w:cs="Times New Roman"/>
                <w:color w:val="000000"/>
                <w:sz w:val="20"/>
                <w:szCs w:val="20"/>
                <w:lang w:eastAsia="lv-LV"/>
              </w:rPr>
              <w:t xml:space="preserve"> izmantojamo zemi</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282852"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01.04.1995</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161</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2 075</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13</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131 659 589</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817 761</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431 708</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2 681</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28 322</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192 020</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 lielākie uzņēmumi darbojās- graudaugu un jauktās lauksaimniecības nozarēs</w:t>
            </w:r>
          </w:p>
        </w:tc>
      </w:tr>
      <w:tr w:rsidR="005074BA" w:rsidRPr="005074BA" w:rsidTr="005074BA">
        <w:trPr>
          <w:trHeight w:val="115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14</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Nodokļa atlaide par summām, kas izmaksātas subsīdiju veidā kā valsts atbalsts lauksaimniecībai vai Eiropas Savienības atbalsts lauksaimniecībai un lauku attīstībai</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27.03.199</w:t>
            </w:r>
            <w:r w:rsidR="00282852">
              <w:rPr>
                <w:rFonts w:ascii="Times New Roman" w:eastAsia="Times New Roman" w:hAnsi="Times New Roman" w:cs="Times New Roman"/>
                <w:color w:val="000000"/>
                <w:sz w:val="20"/>
                <w:szCs w:val="20"/>
                <w:lang w:eastAsia="lv-LV"/>
              </w:rPr>
              <w:t>6</w:t>
            </w:r>
            <w:r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1 207</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15 092</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13</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734 586 985</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608 606</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7 048 076</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5 839</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846 903</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1 476 929</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 lielākie uzņēmumi darbojās- nekustamā īpašuma, graudaugu un jauktās lauksaimniecības nozarēs</w:t>
            </w:r>
          </w:p>
        </w:tc>
      </w:tr>
      <w:tr w:rsidR="005074BA" w:rsidRPr="005074BA" w:rsidTr="005074BA">
        <w:trPr>
          <w:trHeight w:val="52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15</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Nodokļa atlaide gaisa transporta sabiedrībām</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C8632C" w:rsidP="00282852">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01.01.2009-</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1 225 000</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FM aprēķini </w:t>
            </w:r>
          </w:p>
        </w:tc>
      </w:tr>
      <w:tr w:rsidR="005074BA" w:rsidRPr="005074BA" w:rsidTr="005074BA">
        <w:trPr>
          <w:trHeight w:val="66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16</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Atbalsts finanšu nozarei saistībā ar publiskā apgrozībā esošiem vērtspapīriem</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282852"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14.10.1998</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209</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17 619</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84</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5074BA" w:rsidP="00C8632C">
            <w:pPr>
              <w:spacing w:after="0" w:line="240" w:lineRule="auto"/>
              <w:jc w:val="right"/>
              <w:rPr>
                <w:rFonts w:ascii="Times New Roman" w:eastAsia="Times New Roman" w:hAnsi="Times New Roman" w:cs="Times New Roman"/>
                <w:color w:val="000000"/>
                <w:sz w:val="19"/>
                <w:szCs w:val="19"/>
                <w:lang w:eastAsia="lv-LV"/>
              </w:rPr>
            </w:pPr>
            <w:r w:rsidRPr="005074BA">
              <w:rPr>
                <w:rFonts w:ascii="Times New Roman" w:eastAsia="Times New Roman" w:hAnsi="Times New Roman" w:cs="Times New Roman"/>
                <w:color w:val="000000"/>
                <w:sz w:val="19"/>
                <w:szCs w:val="19"/>
                <w:lang w:eastAsia="lv-LV"/>
              </w:rPr>
              <w:t>13650394</w:t>
            </w:r>
            <w:r w:rsidR="00C8632C" w:rsidRPr="005074BA">
              <w:rPr>
                <w:rFonts w:ascii="Times New Roman" w:eastAsia="Times New Roman" w:hAnsi="Times New Roman" w:cs="Times New Roman"/>
                <w:color w:val="000000"/>
                <w:sz w:val="19"/>
                <w:szCs w:val="19"/>
                <w:lang w:eastAsia="lv-LV"/>
              </w:rPr>
              <w:t>535</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5074BA" w:rsidP="005074BA">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65</w:t>
            </w:r>
            <w:r w:rsidR="00C8632C" w:rsidRPr="005074BA">
              <w:rPr>
                <w:rFonts w:ascii="Times New Roman" w:eastAsia="Times New Roman" w:hAnsi="Times New Roman" w:cs="Times New Roman"/>
                <w:color w:val="000000"/>
                <w:sz w:val="20"/>
                <w:szCs w:val="20"/>
                <w:lang w:eastAsia="lv-LV"/>
              </w:rPr>
              <w:t>312893</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2 677 933</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12 813</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194 489</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 lielākie uzņēmumi darbojās- monetārās un finanšu starpniecības, apdrošināšanas un fondu pārvaldīšanas nozarēs</w:t>
            </w:r>
          </w:p>
        </w:tc>
      </w:tr>
      <w:tr w:rsidR="005074BA" w:rsidRPr="005074BA" w:rsidTr="005074BA">
        <w:trPr>
          <w:trHeight w:val="990"/>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17</w:t>
            </w:r>
          </w:p>
        </w:tc>
        <w:tc>
          <w:tcPr>
            <w:tcW w:w="1870" w:type="dxa"/>
            <w:tcBorders>
              <w:top w:val="nil"/>
              <w:left w:val="nil"/>
              <w:bottom w:val="single" w:sz="4" w:space="0" w:color="auto"/>
              <w:right w:val="single" w:sz="4" w:space="0" w:color="auto"/>
            </w:tcBorders>
            <w:shd w:val="clear" w:color="auto" w:fill="auto"/>
            <w:hideMark/>
          </w:tcPr>
          <w:p w:rsidR="00C8632C" w:rsidRPr="000B0876" w:rsidRDefault="000B0876" w:rsidP="00C8632C">
            <w:pPr>
              <w:spacing w:after="0" w:line="240" w:lineRule="auto"/>
              <w:rPr>
                <w:rFonts w:ascii="Times New Roman" w:eastAsia="Times New Roman" w:hAnsi="Times New Roman" w:cs="Times New Roman"/>
                <w:color w:val="000000"/>
                <w:sz w:val="20"/>
                <w:szCs w:val="20"/>
                <w:lang w:eastAsia="lv-LV"/>
              </w:rPr>
            </w:pPr>
            <w:r w:rsidRPr="000B0876">
              <w:rPr>
                <w:rFonts w:ascii="Times New Roman" w:hAnsi="Times New Roman" w:cs="Times New Roman"/>
                <w:bCs/>
                <w:sz w:val="20"/>
                <w:szCs w:val="20"/>
              </w:rPr>
              <w:t xml:space="preserve">Banku un krājaizdevu sabiedrību izveidoto debitora parādiem paredzēto </w:t>
            </w:r>
            <w:r w:rsidRPr="000B0876">
              <w:rPr>
                <w:rFonts w:ascii="Times New Roman" w:hAnsi="Times New Roman" w:cs="Times New Roman"/>
                <w:bCs/>
                <w:sz w:val="20"/>
                <w:szCs w:val="20"/>
              </w:rPr>
              <w:lastRenderedPageBreak/>
              <w:t xml:space="preserve">uzkrājumu neiekļaušana ar nodokli apliekamajā ienākumā </w:t>
            </w:r>
            <w:r w:rsidRPr="000B0876">
              <w:rPr>
                <w:rFonts w:ascii="Times New Roman" w:hAnsi="Times New Roman" w:cs="Times New Roman"/>
                <w:sz w:val="20"/>
                <w:szCs w:val="20"/>
              </w:rPr>
              <w:t>un apdrošināšanas un pārapdrošināšanas sabiedrību tehniskajām rezervēm paredzētie līdzekļi</w:t>
            </w:r>
          </w:p>
        </w:tc>
        <w:tc>
          <w:tcPr>
            <w:tcW w:w="1134" w:type="dxa"/>
            <w:tcBorders>
              <w:top w:val="nil"/>
              <w:left w:val="nil"/>
              <w:bottom w:val="single" w:sz="4" w:space="0" w:color="auto"/>
              <w:right w:val="single" w:sz="4" w:space="0" w:color="auto"/>
            </w:tcBorders>
            <w:shd w:val="clear" w:color="auto" w:fill="auto"/>
            <w:noWrap/>
            <w:hideMark/>
          </w:tcPr>
          <w:p w:rsidR="00C8632C" w:rsidRPr="005074BA" w:rsidRDefault="00AF4B76" w:rsidP="00C8632C">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01.04.1995</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Default="000B0876" w:rsidP="00C8632C">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14217725</w:t>
            </w:r>
          </w:p>
          <w:p w:rsidR="000B0876" w:rsidRPr="005074BA" w:rsidRDefault="000B0876" w:rsidP="00C8632C">
            <w:pPr>
              <w:spacing w:after="0" w:line="240" w:lineRule="auto"/>
              <w:jc w:val="right"/>
              <w:rPr>
                <w:rFonts w:ascii="Times New Roman" w:eastAsia="Times New Roman" w:hAnsi="Times New Roman" w:cs="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E37A8A" w:rsidP="00E37A8A">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w:t>
            </w:r>
          </w:p>
        </w:tc>
      </w:tr>
      <w:tr w:rsidR="005074BA" w:rsidRPr="005074BA" w:rsidTr="005074BA">
        <w:trPr>
          <w:trHeight w:val="115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lastRenderedPageBreak/>
              <w:t>18</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Atlaides  ziedotājiem</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AF4B76"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01.07.2009</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1 306</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91 873</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70</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5074BA">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7016845274</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5 372 776</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9 373 349</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7 177</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1 205 038</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4 206 056</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10 lielākie uzņēmumi darbojās- mežkopības, gāzes sadales, bezvadu telekomunikāciju pakalpojumu, monetārās starpniecības, būvniecības, apdrošināšanas, farmaceitisko izstrādājumu vairumtirdzniecības, kravu dzelzceļa transporta nozarēs</w:t>
            </w:r>
          </w:p>
        </w:tc>
      </w:tr>
      <w:tr w:rsidR="005074BA" w:rsidRPr="005074BA" w:rsidTr="005074BA">
        <w:trPr>
          <w:trHeight w:val="115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19</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Nodokļa atlaide 100% apmērā tiek piemērota  invalīdu biedrību kapitālsabiedrības, medicīniska </w:t>
            </w:r>
            <w:r w:rsidRPr="005074BA">
              <w:rPr>
                <w:rFonts w:ascii="Times New Roman" w:eastAsia="Times New Roman" w:hAnsi="Times New Roman" w:cs="Times New Roman"/>
                <w:color w:val="000000"/>
                <w:sz w:val="20"/>
                <w:szCs w:val="20"/>
                <w:lang w:eastAsia="lv-LV"/>
              </w:rPr>
              <w:lastRenderedPageBreak/>
              <w:t>rakstura, kā arī citu labdarības fondu kapitālsabiedrībām</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AF4B76"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01.04.1995</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7</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204</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29</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1 034 361</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147 766</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15 310</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2 187</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6 919</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r>
      <w:tr w:rsidR="005074BA" w:rsidRPr="005074BA" w:rsidTr="005074BA">
        <w:trPr>
          <w:trHeight w:val="49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lastRenderedPageBreak/>
              <w:t>20</w:t>
            </w:r>
          </w:p>
        </w:tc>
        <w:tc>
          <w:tcPr>
            <w:tcW w:w="187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Nodokļa atvieglojums par izveidotām darba vietām cilvēkiem ar invaliditāti</w:t>
            </w:r>
          </w:p>
        </w:tc>
        <w:tc>
          <w:tcPr>
            <w:tcW w:w="1134" w:type="dxa"/>
            <w:tcBorders>
              <w:top w:val="nil"/>
              <w:left w:val="nil"/>
              <w:bottom w:val="single" w:sz="4" w:space="0" w:color="auto"/>
              <w:right w:val="single" w:sz="4" w:space="0" w:color="auto"/>
            </w:tcBorders>
            <w:shd w:val="clear" w:color="auto" w:fill="auto"/>
            <w:hideMark/>
          </w:tcPr>
          <w:p w:rsidR="00C8632C" w:rsidRPr="005074BA" w:rsidRDefault="00AF4B76"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01.01.2009</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Ietekme uz budžetu nav nosakāma</w:t>
            </w:r>
          </w:p>
        </w:tc>
      </w:tr>
      <w:tr w:rsidR="005074BA" w:rsidRPr="005074BA" w:rsidTr="005074BA">
        <w:trPr>
          <w:trHeight w:val="49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21</w:t>
            </w:r>
          </w:p>
        </w:tc>
        <w:tc>
          <w:tcPr>
            <w:tcW w:w="1870" w:type="dxa"/>
            <w:tcBorders>
              <w:top w:val="nil"/>
              <w:left w:val="nil"/>
              <w:bottom w:val="single" w:sz="4" w:space="0" w:color="auto"/>
              <w:right w:val="nil"/>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Nodokļa </w:t>
            </w:r>
            <w:r w:rsidR="00AF4B76" w:rsidRPr="005074BA">
              <w:rPr>
                <w:rFonts w:ascii="Times New Roman" w:eastAsia="Times New Roman" w:hAnsi="Times New Roman" w:cs="Times New Roman"/>
                <w:color w:val="000000"/>
                <w:sz w:val="20"/>
                <w:szCs w:val="20"/>
                <w:lang w:eastAsia="lv-LV"/>
              </w:rPr>
              <w:t>atvieglojums</w:t>
            </w:r>
            <w:r w:rsidRPr="005074BA">
              <w:rPr>
                <w:rFonts w:ascii="Times New Roman" w:eastAsia="Times New Roman" w:hAnsi="Times New Roman" w:cs="Times New Roman"/>
                <w:color w:val="000000"/>
                <w:sz w:val="20"/>
                <w:szCs w:val="20"/>
                <w:lang w:eastAsia="lv-LV"/>
              </w:rPr>
              <w:t xml:space="preserve"> par bez atlīdzības nodotajām skaitļošanas iekārtām </w:t>
            </w:r>
          </w:p>
        </w:tc>
        <w:tc>
          <w:tcPr>
            <w:tcW w:w="1134" w:type="dxa"/>
            <w:tcBorders>
              <w:top w:val="nil"/>
              <w:left w:val="single" w:sz="4" w:space="0" w:color="auto"/>
              <w:bottom w:val="single" w:sz="4" w:space="0" w:color="auto"/>
              <w:right w:val="single" w:sz="4" w:space="0" w:color="auto"/>
            </w:tcBorders>
            <w:shd w:val="clear" w:color="auto" w:fill="auto"/>
            <w:noWrap/>
            <w:hideMark/>
          </w:tcPr>
          <w:p w:rsidR="00C8632C" w:rsidRPr="005074BA" w:rsidRDefault="00AF4B76"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01.01.2000</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901</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r>
      <w:tr w:rsidR="005074BA" w:rsidRPr="005074BA" w:rsidTr="005074BA">
        <w:trPr>
          <w:trHeight w:val="495"/>
        </w:trPr>
        <w:tc>
          <w:tcPr>
            <w:tcW w:w="563" w:type="dxa"/>
            <w:tcBorders>
              <w:top w:val="nil"/>
              <w:left w:val="double" w:sz="6" w:space="0" w:color="auto"/>
              <w:bottom w:val="single" w:sz="4"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22</w:t>
            </w:r>
          </w:p>
        </w:tc>
        <w:tc>
          <w:tcPr>
            <w:tcW w:w="1870" w:type="dxa"/>
            <w:tcBorders>
              <w:top w:val="nil"/>
              <w:left w:val="nil"/>
              <w:bottom w:val="single" w:sz="4" w:space="0" w:color="auto"/>
              <w:right w:val="nil"/>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Nodokļa atvieglojums par mācībās esošiem zemessargiem</w:t>
            </w:r>
          </w:p>
        </w:tc>
        <w:tc>
          <w:tcPr>
            <w:tcW w:w="1134" w:type="dxa"/>
            <w:tcBorders>
              <w:top w:val="nil"/>
              <w:left w:val="single" w:sz="4" w:space="0" w:color="auto"/>
              <w:bottom w:val="single" w:sz="4" w:space="0" w:color="auto"/>
              <w:right w:val="single" w:sz="4" w:space="0" w:color="auto"/>
            </w:tcBorders>
            <w:shd w:val="clear" w:color="auto" w:fill="auto"/>
            <w:hideMark/>
          </w:tcPr>
          <w:p w:rsidR="00C8632C" w:rsidRPr="005074BA" w:rsidRDefault="00AF4B76"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01.10.2011</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single" w:sz="4"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single" w:sz="4" w:space="0" w:color="auto"/>
              <w:right w:val="double" w:sz="6"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Paredzamais budžeta samazinājums 0.09 </w:t>
            </w:r>
            <w:proofErr w:type="spellStart"/>
            <w:r w:rsidRPr="005074BA">
              <w:rPr>
                <w:rFonts w:ascii="Times New Roman" w:eastAsia="Times New Roman" w:hAnsi="Times New Roman" w:cs="Times New Roman"/>
                <w:color w:val="000000"/>
                <w:sz w:val="20"/>
                <w:szCs w:val="20"/>
                <w:lang w:eastAsia="lv-LV"/>
              </w:rPr>
              <w:t>milj</w:t>
            </w:r>
            <w:proofErr w:type="spellEnd"/>
            <w:r w:rsidRPr="005074BA">
              <w:rPr>
                <w:rFonts w:ascii="Times New Roman" w:eastAsia="Times New Roman" w:hAnsi="Times New Roman" w:cs="Times New Roman"/>
                <w:color w:val="000000"/>
                <w:sz w:val="20"/>
                <w:szCs w:val="20"/>
                <w:lang w:eastAsia="lv-LV"/>
              </w:rPr>
              <w:t>. latu gadā</w:t>
            </w:r>
          </w:p>
        </w:tc>
      </w:tr>
      <w:tr w:rsidR="005074BA" w:rsidRPr="005074BA" w:rsidTr="005074BA">
        <w:trPr>
          <w:trHeight w:val="510"/>
        </w:trPr>
        <w:tc>
          <w:tcPr>
            <w:tcW w:w="563" w:type="dxa"/>
            <w:tcBorders>
              <w:top w:val="nil"/>
              <w:left w:val="double" w:sz="6" w:space="0" w:color="auto"/>
              <w:bottom w:val="double" w:sz="6" w:space="0" w:color="auto"/>
              <w:right w:val="single" w:sz="4" w:space="0" w:color="auto"/>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23</w:t>
            </w:r>
          </w:p>
        </w:tc>
        <w:tc>
          <w:tcPr>
            <w:tcW w:w="1870" w:type="dxa"/>
            <w:tcBorders>
              <w:top w:val="nil"/>
              <w:left w:val="nil"/>
              <w:bottom w:val="double" w:sz="6" w:space="0" w:color="auto"/>
              <w:right w:val="nil"/>
            </w:tcBorders>
            <w:shd w:val="clear" w:color="auto" w:fill="auto"/>
            <w:hideMark/>
          </w:tcPr>
          <w:p w:rsidR="00C8632C" w:rsidRPr="005074BA" w:rsidRDefault="00C8632C" w:rsidP="00C8632C">
            <w:pPr>
              <w:spacing w:after="0" w:line="240" w:lineRule="auto"/>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Nodokļa </w:t>
            </w:r>
            <w:r w:rsidR="00AF4B76" w:rsidRPr="005074BA">
              <w:rPr>
                <w:rFonts w:ascii="Times New Roman" w:eastAsia="Times New Roman" w:hAnsi="Times New Roman" w:cs="Times New Roman"/>
                <w:color w:val="000000"/>
                <w:sz w:val="20"/>
                <w:szCs w:val="20"/>
                <w:lang w:eastAsia="lv-LV"/>
              </w:rPr>
              <w:t>atvieglojums</w:t>
            </w:r>
            <w:r w:rsidRPr="005074BA">
              <w:rPr>
                <w:rFonts w:ascii="Times New Roman" w:eastAsia="Times New Roman" w:hAnsi="Times New Roman" w:cs="Times New Roman"/>
                <w:color w:val="000000"/>
                <w:sz w:val="20"/>
                <w:szCs w:val="20"/>
                <w:lang w:eastAsia="lv-LV"/>
              </w:rPr>
              <w:t xml:space="preserve"> par obligāto eksemplāru ražošanas izmaksām</w:t>
            </w:r>
          </w:p>
        </w:tc>
        <w:tc>
          <w:tcPr>
            <w:tcW w:w="1134" w:type="dxa"/>
            <w:tcBorders>
              <w:top w:val="nil"/>
              <w:left w:val="single" w:sz="4" w:space="0" w:color="auto"/>
              <w:bottom w:val="double" w:sz="6" w:space="0" w:color="auto"/>
              <w:right w:val="single" w:sz="4" w:space="0" w:color="auto"/>
            </w:tcBorders>
            <w:shd w:val="clear" w:color="auto" w:fill="auto"/>
            <w:noWrap/>
            <w:hideMark/>
          </w:tcPr>
          <w:p w:rsidR="00C8632C" w:rsidRPr="005074BA" w:rsidRDefault="00AF4B76" w:rsidP="00C8632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01.01.2000</w:t>
            </w:r>
            <w:r w:rsidR="00C8632C" w:rsidRPr="005074BA">
              <w:rPr>
                <w:rFonts w:ascii="Times New Roman" w:eastAsia="Times New Roman" w:hAnsi="Times New Roman" w:cs="Times New Roman"/>
                <w:color w:val="000000"/>
                <w:sz w:val="20"/>
                <w:szCs w:val="20"/>
                <w:lang w:eastAsia="lv-LV"/>
              </w:rPr>
              <w:t>-</w:t>
            </w:r>
          </w:p>
        </w:tc>
        <w:tc>
          <w:tcPr>
            <w:tcW w:w="709"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850"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993"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309"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1 003</w:t>
            </w:r>
          </w:p>
        </w:tc>
        <w:tc>
          <w:tcPr>
            <w:tcW w:w="1027"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1027" w:type="dxa"/>
            <w:tcBorders>
              <w:top w:val="nil"/>
              <w:left w:val="nil"/>
              <w:bottom w:val="double" w:sz="6" w:space="0" w:color="auto"/>
              <w:right w:val="single" w:sz="4"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c>
          <w:tcPr>
            <w:tcW w:w="2117" w:type="dxa"/>
            <w:tcBorders>
              <w:top w:val="nil"/>
              <w:left w:val="nil"/>
              <w:bottom w:val="double" w:sz="6" w:space="0" w:color="auto"/>
              <w:right w:val="double" w:sz="6" w:space="0" w:color="auto"/>
            </w:tcBorders>
            <w:shd w:val="clear" w:color="auto" w:fill="auto"/>
            <w:hideMark/>
          </w:tcPr>
          <w:p w:rsidR="00C8632C" w:rsidRPr="005074BA" w:rsidRDefault="00C8632C" w:rsidP="00C8632C">
            <w:pPr>
              <w:spacing w:after="0" w:line="240" w:lineRule="auto"/>
              <w:jc w:val="right"/>
              <w:rPr>
                <w:rFonts w:ascii="Times New Roman" w:eastAsia="Times New Roman" w:hAnsi="Times New Roman" w:cs="Times New Roman"/>
                <w:color w:val="000000"/>
                <w:sz w:val="20"/>
                <w:szCs w:val="20"/>
                <w:lang w:eastAsia="lv-LV"/>
              </w:rPr>
            </w:pPr>
            <w:r w:rsidRPr="005074BA">
              <w:rPr>
                <w:rFonts w:ascii="Times New Roman" w:eastAsia="Times New Roman" w:hAnsi="Times New Roman" w:cs="Times New Roman"/>
                <w:color w:val="000000"/>
                <w:sz w:val="20"/>
                <w:szCs w:val="20"/>
                <w:lang w:eastAsia="lv-LV"/>
              </w:rPr>
              <w:t xml:space="preserve"> -</w:t>
            </w:r>
          </w:p>
        </w:tc>
      </w:tr>
    </w:tbl>
    <w:p w:rsidR="00EF7C35" w:rsidRDefault="00EF7C35" w:rsidP="00CE58CD">
      <w:pPr>
        <w:jc w:val="right"/>
        <w:rPr>
          <w:rFonts w:ascii="Times New Roman" w:hAnsi="Times New Roman" w:cs="Times New Roman"/>
          <w:sz w:val="24"/>
          <w:szCs w:val="24"/>
        </w:rPr>
      </w:pPr>
    </w:p>
    <w:p w:rsidR="00AF4B76" w:rsidRDefault="00AF4B76">
      <w:pPr>
        <w:rPr>
          <w:rFonts w:ascii="Times New Roman" w:hAnsi="Times New Roman" w:cs="Times New Roman"/>
          <w:sz w:val="24"/>
          <w:szCs w:val="24"/>
        </w:rPr>
      </w:pPr>
      <w:r>
        <w:rPr>
          <w:rFonts w:ascii="Times New Roman" w:hAnsi="Times New Roman" w:cs="Times New Roman"/>
          <w:sz w:val="24"/>
          <w:szCs w:val="24"/>
        </w:rPr>
        <w:br w:type="page"/>
      </w:r>
    </w:p>
    <w:p w:rsidR="00CE58CD" w:rsidRPr="00645544" w:rsidRDefault="00EF7C35" w:rsidP="00CE58CD">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8CD">
        <w:rPr>
          <w:rFonts w:ascii="Times New Roman" w:hAnsi="Times New Roman" w:cs="Times New Roman"/>
          <w:sz w:val="24"/>
          <w:szCs w:val="24"/>
        </w:rPr>
        <w:t>2</w:t>
      </w:r>
      <w:r w:rsidR="00CE58CD" w:rsidRPr="00645544">
        <w:rPr>
          <w:rFonts w:ascii="Times New Roman" w:hAnsi="Times New Roman" w:cs="Times New Roman"/>
          <w:sz w:val="24"/>
          <w:szCs w:val="24"/>
        </w:rPr>
        <w:t>.tabula</w:t>
      </w:r>
    </w:p>
    <w:p w:rsidR="00CE58CD" w:rsidRPr="00645544" w:rsidRDefault="00CE58CD" w:rsidP="00CE5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UIN likmes citās valstīs </w:t>
      </w:r>
      <w:r w:rsidRPr="00645544">
        <w:rPr>
          <w:rFonts w:ascii="Times New Roman" w:eastAsia="Times New Roman" w:hAnsi="Times New Roman" w:cs="Times New Roman"/>
          <w:b/>
          <w:bCs/>
          <w:color w:val="000000"/>
          <w:sz w:val="24"/>
          <w:szCs w:val="24"/>
          <w:lang w:eastAsia="lv-LV"/>
        </w:rPr>
        <w:t>(Avot</w:t>
      </w:r>
      <w:r>
        <w:rPr>
          <w:rFonts w:ascii="Times New Roman" w:eastAsia="Times New Roman" w:hAnsi="Times New Roman" w:cs="Times New Roman"/>
          <w:b/>
          <w:bCs/>
          <w:color w:val="000000"/>
          <w:sz w:val="24"/>
          <w:szCs w:val="24"/>
          <w:lang w:eastAsia="lv-LV"/>
        </w:rPr>
        <w:t>s: "</w:t>
      </w:r>
      <w:proofErr w:type="spellStart"/>
      <w:r>
        <w:rPr>
          <w:rFonts w:ascii="Times New Roman" w:eastAsia="Times New Roman" w:hAnsi="Times New Roman" w:cs="Times New Roman"/>
          <w:b/>
          <w:bCs/>
          <w:color w:val="000000"/>
          <w:sz w:val="24"/>
          <w:szCs w:val="24"/>
          <w:lang w:eastAsia="lv-LV"/>
        </w:rPr>
        <w:t>European</w:t>
      </w:r>
      <w:proofErr w:type="spellEnd"/>
      <w:r>
        <w:rPr>
          <w:rFonts w:ascii="Times New Roman" w:eastAsia="Times New Roman" w:hAnsi="Times New Roman" w:cs="Times New Roman"/>
          <w:b/>
          <w:bCs/>
          <w:color w:val="000000"/>
          <w:sz w:val="24"/>
          <w:szCs w:val="24"/>
          <w:lang w:eastAsia="lv-LV"/>
        </w:rPr>
        <w:t xml:space="preserve"> </w:t>
      </w:r>
      <w:proofErr w:type="spellStart"/>
      <w:r>
        <w:rPr>
          <w:rFonts w:ascii="Times New Roman" w:eastAsia="Times New Roman" w:hAnsi="Times New Roman" w:cs="Times New Roman"/>
          <w:b/>
          <w:bCs/>
          <w:color w:val="000000"/>
          <w:sz w:val="24"/>
          <w:szCs w:val="24"/>
          <w:lang w:eastAsia="lv-LV"/>
        </w:rPr>
        <w:t>Tax</w:t>
      </w:r>
      <w:proofErr w:type="spellEnd"/>
      <w:r>
        <w:rPr>
          <w:rFonts w:ascii="Times New Roman" w:eastAsia="Times New Roman" w:hAnsi="Times New Roman" w:cs="Times New Roman"/>
          <w:b/>
          <w:bCs/>
          <w:color w:val="000000"/>
          <w:sz w:val="24"/>
          <w:szCs w:val="24"/>
          <w:lang w:eastAsia="lv-LV"/>
        </w:rPr>
        <w:t xml:space="preserve"> </w:t>
      </w:r>
      <w:proofErr w:type="spellStart"/>
      <w:r>
        <w:rPr>
          <w:rFonts w:ascii="Times New Roman" w:eastAsia="Times New Roman" w:hAnsi="Times New Roman" w:cs="Times New Roman"/>
          <w:b/>
          <w:bCs/>
          <w:color w:val="000000"/>
          <w:sz w:val="24"/>
          <w:szCs w:val="24"/>
          <w:lang w:eastAsia="lv-LV"/>
        </w:rPr>
        <w:t>Handbook</w:t>
      </w:r>
      <w:proofErr w:type="spellEnd"/>
      <w:r>
        <w:rPr>
          <w:rFonts w:ascii="Times New Roman" w:eastAsia="Times New Roman" w:hAnsi="Times New Roman" w:cs="Times New Roman"/>
          <w:b/>
          <w:bCs/>
          <w:color w:val="000000"/>
          <w:sz w:val="24"/>
          <w:szCs w:val="24"/>
          <w:lang w:eastAsia="lv-LV"/>
        </w:rPr>
        <w:t xml:space="preserve"> 2009"</w:t>
      </w:r>
      <w:r w:rsidRPr="00645544">
        <w:rPr>
          <w:rFonts w:ascii="Times New Roman" w:eastAsia="Times New Roman" w:hAnsi="Times New Roman" w:cs="Times New Roman"/>
          <w:b/>
          <w:sz w:val="24"/>
          <w:szCs w:val="24"/>
        </w:rPr>
        <w:t>)</w:t>
      </w:r>
    </w:p>
    <w:p w:rsidR="00CE58CD" w:rsidRPr="00645544" w:rsidRDefault="00CE58CD" w:rsidP="00CE58CD">
      <w:pPr>
        <w:spacing w:after="0" w:line="240" w:lineRule="auto"/>
        <w:jc w:val="center"/>
        <w:rPr>
          <w:rFonts w:ascii="Times New Roman" w:eastAsia="Times New Roman" w:hAnsi="Times New Roman" w:cs="Times New Roman"/>
          <w:b/>
          <w:sz w:val="28"/>
          <w:szCs w:val="2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2039"/>
      </w:tblGrid>
      <w:tr w:rsidR="00CE58CD" w:rsidRPr="00AF4B76" w:rsidTr="00AD05CC">
        <w:trPr>
          <w:tblHeader/>
        </w:trPr>
        <w:tc>
          <w:tcPr>
            <w:tcW w:w="1995" w:type="dxa"/>
          </w:tcPr>
          <w:p w:rsidR="00CE58CD" w:rsidRPr="00AF4B76" w:rsidRDefault="00CE58CD" w:rsidP="00AD05CC">
            <w:pPr>
              <w:spacing w:after="0" w:line="240" w:lineRule="auto"/>
              <w:jc w:val="center"/>
              <w:rPr>
                <w:rFonts w:ascii="Times New Roman" w:eastAsia="Times New Roman" w:hAnsi="Times New Roman" w:cs="Times New Roman"/>
                <w:b/>
                <w:sz w:val="20"/>
                <w:szCs w:val="16"/>
              </w:rPr>
            </w:pPr>
            <w:r w:rsidRPr="00AF4B76">
              <w:rPr>
                <w:rFonts w:ascii="Times New Roman" w:eastAsia="Times New Roman" w:hAnsi="Times New Roman" w:cs="Times New Roman"/>
                <w:b/>
                <w:sz w:val="20"/>
                <w:szCs w:val="16"/>
              </w:rPr>
              <w:t>Valsts</w:t>
            </w:r>
          </w:p>
        </w:tc>
        <w:tc>
          <w:tcPr>
            <w:tcW w:w="12039" w:type="dxa"/>
            <w:tcBorders>
              <w:bottom w:val="nil"/>
            </w:tcBorders>
          </w:tcPr>
          <w:p w:rsidR="00CE58CD" w:rsidRPr="00AF4B76" w:rsidRDefault="00CE58CD" w:rsidP="00AD05CC">
            <w:pPr>
              <w:spacing w:after="0" w:line="240" w:lineRule="auto"/>
              <w:jc w:val="center"/>
              <w:rPr>
                <w:rFonts w:ascii="Times New Roman" w:eastAsia="Times New Roman" w:hAnsi="Times New Roman" w:cs="Times New Roman"/>
                <w:b/>
                <w:sz w:val="20"/>
                <w:szCs w:val="16"/>
              </w:rPr>
            </w:pPr>
            <w:r w:rsidRPr="00AF4B76">
              <w:rPr>
                <w:rFonts w:ascii="Times New Roman" w:eastAsia="Times New Roman" w:hAnsi="Times New Roman" w:cs="Times New Roman"/>
                <w:b/>
                <w:sz w:val="20"/>
                <w:szCs w:val="16"/>
              </w:rPr>
              <w:t>Uzņēmumu ienākuma nodokļa likme</w:t>
            </w:r>
          </w:p>
        </w:tc>
      </w:tr>
      <w:tr w:rsidR="00CE58CD" w:rsidRPr="00AF4B76" w:rsidTr="00AD05CC">
        <w:tc>
          <w:tcPr>
            <w:tcW w:w="1995" w:type="dxa"/>
          </w:tcPr>
          <w:p w:rsidR="00CE58CD" w:rsidRPr="00AF4B76" w:rsidRDefault="00AF4B76" w:rsidP="00AD05CC">
            <w:pPr>
              <w:spacing w:after="0" w:line="240" w:lineRule="auto"/>
              <w:rPr>
                <w:rFonts w:ascii="Times New Roman" w:eastAsia="Times New Roman" w:hAnsi="Times New Roman" w:cs="Times New Roman"/>
                <w:b/>
                <w:sz w:val="20"/>
                <w:szCs w:val="16"/>
              </w:rPr>
            </w:pPr>
            <w:r>
              <w:rPr>
                <w:rFonts w:ascii="Times New Roman" w:eastAsia="Times New Roman" w:hAnsi="Times New Roman" w:cs="Times New Roman"/>
                <w:b/>
                <w:sz w:val="20"/>
                <w:szCs w:val="16"/>
              </w:rPr>
              <w:t>Eiropas Savienības valsti</w:t>
            </w:r>
            <w:r w:rsidR="00CE58CD" w:rsidRPr="00AF4B76">
              <w:rPr>
                <w:rFonts w:ascii="Times New Roman" w:eastAsia="Times New Roman" w:hAnsi="Times New Roman" w:cs="Times New Roman"/>
                <w:b/>
                <w:sz w:val="20"/>
                <w:szCs w:val="16"/>
              </w:rPr>
              <w:t>s:</w:t>
            </w:r>
          </w:p>
        </w:tc>
        <w:tc>
          <w:tcPr>
            <w:tcW w:w="12039" w:type="dxa"/>
            <w:shd w:val="pct35" w:color="auto" w:fill="FFFFFF"/>
          </w:tcPr>
          <w:p w:rsidR="00CE58CD" w:rsidRPr="00AF4B76" w:rsidRDefault="00CE58CD" w:rsidP="00AD05CC">
            <w:pPr>
              <w:spacing w:after="0" w:line="240" w:lineRule="auto"/>
              <w:rPr>
                <w:rFonts w:ascii="Times New Roman" w:eastAsia="Times New Roman" w:hAnsi="Times New Roman" w:cs="Times New Roman"/>
                <w:sz w:val="20"/>
                <w:szCs w:val="16"/>
              </w:rPr>
            </w:pP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Austrija</w:t>
            </w:r>
          </w:p>
        </w:tc>
        <w:tc>
          <w:tcPr>
            <w:tcW w:w="12039" w:type="dxa"/>
          </w:tcPr>
          <w:p w:rsidR="00CE58CD" w:rsidRPr="00AF4B76" w:rsidRDefault="00CE58CD" w:rsidP="00AD05CC">
            <w:pPr>
              <w:spacing w:after="0" w:line="240" w:lineRule="auto"/>
              <w:ind w:left="-250" w:firstLine="250"/>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25%</w:t>
            </w:r>
          </w:p>
        </w:tc>
      </w:tr>
      <w:tr w:rsidR="00CE58CD" w:rsidRPr="00AF4B76" w:rsidTr="00AD05CC">
        <w:trPr>
          <w:cantSplit/>
          <w:trHeight w:val="1173"/>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Beļģija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33%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Sekojošas progresīvās likmes piemēro uzņēmumiem ar apliekamo ienākumu līdz EUR 322.500:</w:t>
            </w:r>
          </w:p>
          <w:tbl>
            <w:tblPr>
              <w:tblW w:w="5156" w:type="dxa"/>
              <w:tblLayout w:type="fixed"/>
              <w:tblLook w:val="0000" w:firstRow="0" w:lastRow="0" w:firstColumn="0" w:lastColumn="0" w:noHBand="0" w:noVBand="0"/>
            </w:tblPr>
            <w:tblGrid>
              <w:gridCol w:w="2508"/>
              <w:gridCol w:w="2648"/>
            </w:tblGrid>
            <w:tr w:rsidR="00CE58CD" w:rsidRPr="00AF4B76" w:rsidTr="00AD05CC">
              <w:trPr>
                <w:trHeight w:val="678"/>
              </w:trPr>
              <w:tc>
                <w:tcPr>
                  <w:tcW w:w="2508"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Apliekamais ienākums (EUR):</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Līdz 25.000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25.000-90.000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90.000-322.500</w:t>
                  </w:r>
                </w:p>
                <w:p w:rsidR="00CE58CD" w:rsidRPr="00AF4B76" w:rsidRDefault="00CE58CD" w:rsidP="00AD05CC">
                  <w:pPr>
                    <w:spacing w:after="0" w:line="240" w:lineRule="auto"/>
                    <w:rPr>
                      <w:rFonts w:ascii="Times New Roman" w:eastAsia="Times New Roman" w:hAnsi="Times New Roman" w:cs="Times New Roman"/>
                      <w:sz w:val="20"/>
                      <w:szCs w:val="16"/>
                    </w:rPr>
                  </w:pPr>
                </w:p>
              </w:tc>
              <w:tc>
                <w:tcPr>
                  <w:tcW w:w="2648"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Likme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24.25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31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34.5 </w:t>
                  </w:r>
                </w:p>
              </w:tc>
            </w:tr>
          </w:tbl>
          <w:p w:rsidR="00CE58CD" w:rsidRPr="00AF4B76" w:rsidRDefault="00CE58CD" w:rsidP="00AD05CC">
            <w:pPr>
              <w:spacing w:after="0" w:line="240" w:lineRule="auto"/>
              <w:rPr>
                <w:rFonts w:ascii="Times New Roman" w:eastAsia="Times New Roman" w:hAnsi="Times New Roman" w:cs="Times New Roman"/>
                <w:sz w:val="20"/>
                <w:szCs w:val="16"/>
              </w:rPr>
            </w:pPr>
          </w:p>
        </w:tc>
      </w:tr>
      <w:tr w:rsidR="00CE58CD" w:rsidRPr="00AF4B76" w:rsidTr="00AD05CC">
        <w:trPr>
          <w:cantSplit/>
          <w:trHeight w:val="597"/>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Bulgārija</w:t>
            </w:r>
          </w:p>
          <w:p w:rsidR="00CE58CD" w:rsidRPr="00AF4B76" w:rsidRDefault="00CE58CD" w:rsidP="00AD05CC">
            <w:pPr>
              <w:spacing w:after="0" w:line="240" w:lineRule="auto"/>
              <w:rPr>
                <w:rFonts w:ascii="Times New Roman" w:eastAsia="Times New Roman" w:hAnsi="Times New Roman" w:cs="Times New Roman"/>
                <w:sz w:val="20"/>
                <w:szCs w:val="16"/>
              </w:rPr>
            </w:pP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10%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10%-12% komersantiem azartspēļu biznesā</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3% budžeta iestādēm no bruto ienākuma (2% municipālajām iestādēm)</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Čehija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20%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5% investīciju fondu, uzkrājumu fondu un pensiju fondu tīrajai peļņai</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Dānija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25%</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Francija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33.33%</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Maziem un vidējiem uzņēmumiem 15% likme, ja tīrā peļņa ir līdz EUR 38.120, bet ja pārsniedz to, tad piemēro standarta likmi.</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Lieliem uzņēmumiem 34.43%, ja pārsniedz EUR 763.000.</w:t>
            </w:r>
          </w:p>
        </w:tc>
      </w:tr>
      <w:tr w:rsidR="00CE58CD" w:rsidRPr="00AF4B76" w:rsidTr="00AD05CC">
        <w:trPr>
          <w:cantSplit/>
          <w:trHeight w:val="267"/>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Grieķija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25%</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20% partneruzņēmumiem</w:t>
            </w:r>
          </w:p>
        </w:tc>
      </w:tr>
      <w:tr w:rsidR="00CE58CD" w:rsidRPr="00AF4B76" w:rsidTr="00AD05CC">
        <w:trPr>
          <w:trHeight w:val="77"/>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Igaunija</w:t>
            </w:r>
          </w:p>
        </w:tc>
        <w:tc>
          <w:tcPr>
            <w:tcW w:w="12039" w:type="dxa"/>
          </w:tcPr>
          <w:p w:rsidR="00CE58CD" w:rsidRPr="00AF4B76" w:rsidRDefault="00E37A8A" w:rsidP="00F24CF6">
            <w:pPr>
              <w:spacing w:after="0" w:line="240" w:lineRule="auto"/>
              <w:rPr>
                <w:rFonts w:ascii="Times New Roman" w:eastAsia="Times New Roman" w:hAnsi="Times New Roman" w:cs="Times New Roman"/>
                <w:sz w:val="20"/>
                <w:szCs w:val="16"/>
              </w:rPr>
            </w:pPr>
            <w:r>
              <w:rPr>
                <w:rFonts w:ascii="Times New Roman" w:eastAsia="Times New Roman" w:hAnsi="Times New Roman" w:cs="Times New Roman"/>
                <w:sz w:val="20"/>
                <w:szCs w:val="16"/>
              </w:rPr>
              <w:t>21</w:t>
            </w:r>
            <w:r w:rsidR="00F24CF6">
              <w:rPr>
                <w:rFonts w:ascii="Times New Roman" w:eastAsia="Times New Roman" w:hAnsi="Times New Roman" w:cs="Times New Roman"/>
                <w:sz w:val="20"/>
                <w:szCs w:val="16"/>
              </w:rPr>
              <w:t>%</w:t>
            </w:r>
            <w:r w:rsidR="00CE58CD" w:rsidRPr="00AF4B76">
              <w:rPr>
                <w:rFonts w:ascii="Times New Roman" w:eastAsia="Times New Roman" w:hAnsi="Times New Roman" w:cs="Times New Roman"/>
                <w:sz w:val="20"/>
                <w:szCs w:val="16"/>
              </w:rPr>
              <w:t xml:space="preserve"> (sadalītajai peļņai)</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Īrija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12.5%</w:t>
            </w:r>
          </w:p>
          <w:p w:rsidR="00CE58CD" w:rsidRPr="00AF4B76" w:rsidRDefault="00CE58CD" w:rsidP="00AD05CC">
            <w:pPr>
              <w:spacing w:after="0" w:line="240" w:lineRule="auto"/>
              <w:rPr>
                <w:rFonts w:ascii="Times New Roman" w:eastAsia="Times New Roman" w:hAnsi="Times New Roman" w:cs="Times New Roman"/>
                <w:sz w:val="20"/>
                <w:szCs w:val="16"/>
                <w:highlight w:val="green"/>
              </w:rPr>
            </w:pPr>
            <w:r w:rsidRPr="00AF4B76">
              <w:rPr>
                <w:rFonts w:ascii="Times New Roman" w:eastAsia="Times New Roman" w:hAnsi="Times New Roman" w:cs="Times New Roman"/>
                <w:sz w:val="20"/>
                <w:szCs w:val="16"/>
              </w:rPr>
              <w:t>(20% un 40% - dzīvības apdrošināšanas fondiem, kapitālā pieaugumam)</w:t>
            </w:r>
            <w:r w:rsidRPr="00AF4B76">
              <w:rPr>
                <w:rFonts w:ascii="Times New Roman" w:eastAsia="Times New Roman" w:hAnsi="Times New Roman" w:cs="Times New Roman"/>
                <w:sz w:val="20"/>
                <w:szCs w:val="16"/>
                <w:highlight w:val="green"/>
              </w:rPr>
              <w:t xml:space="preserve"> </w:t>
            </w:r>
          </w:p>
        </w:tc>
      </w:tr>
      <w:tr w:rsidR="00CE58CD" w:rsidRPr="00AF4B76" w:rsidTr="00AD05CC">
        <w:trPr>
          <w:cantSplit/>
          <w:trHeight w:val="189"/>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Itālija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27.5% </w:t>
            </w:r>
          </w:p>
        </w:tc>
      </w:tr>
      <w:tr w:rsidR="00CE58CD" w:rsidRPr="00AF4B76" w:rsidTr="00AD05CC">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Kipra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Korporatīvajām sabiedrībām (kas noteikts ar likumu) nodokļu likme ir 25% </w:t>
            </w:r>
          </w:p>
          <w:p w:rsidR="00CE58CD" w:rsidRPr="00AF4B76" w:rsidRDefault="00CE58CD" w:rsidP="00AD05CC">
            <w:pPr>
              <w:spacing w:after="0" w:line="240" w:lineRule="auto"/>
              <w:rPr>
                <w:rFonts w:ascii="Times New Roman" w:eastAsia="Times New Roman" w:hAnsi="Times New Roman" w:cs="Times New Roman"/>
                <w:sz w:val="20"/>
                <w:szCs w:val="16"/>
                <w:highlight w:val="red"/>
              </w:rPr>
            </w:pPr>
            <w:r w:rsidRPr="00AF4B76">
              <w:rPr>
                <w:rFonts w:ascii="Times New Roman" w:eastAsia="Times New Roman" w:hAnsi="Times New Roman" w:cs="Times New Roman"/>
                <w:sz w:val="20"/>
                <w:szCs w:val="16"/>
              </w:rPr>
              <w:t>20% - kapitālā pieaugumam</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lastRenderedPageBreak/>
              <w:t>Lielbritānija</w:t>
            </w:r>
          </w:p>
        </w:tc>
        <w:tc>
          <w:tcPr>
            <w:tcW w:w="12039" w:type="dxa"/>
          </w:tcPr>
          <w:tbl>
            <w:tblPr>
              <w:tblW w:w="0" w:type="auto"/>
              <w:tblLayout w:type="fixed"/>
              <w:tblLook w:val="01E0" w:firstRow="1" w:lastRow="1" w:firstColumn="1" w:lastColumn="1" w:noHBand="0" w:noVBand="0"/>
            </w:tblPr>
            <w:tblGrid>
              <w:gridCol w:w="2708"/>
              <w:gridCol w:w="2709"/>
            </w:tblGrid>
            <w:tr w:rsidR="00CE58CD" w:rsidRPr="00AF4B76" w:rsidTr="00AD05CC">
              <w:tc>
                <w:tcPr>
                  <w:tcW w:w="2708"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Apliekamais ienākums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Līdz 300.000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300.001-1.500.000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virs 1.500.000</w:t>
                  </w:r>
                </w:p>
              </w:tc>
              <w:tc>
                <w:tcPr>
                  <w:tcW w:w="270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Likme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21</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29.75</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28</w:t>
                  </w:r>
                </w:p>
              </w:tc>
            </w:tr>
          </w:tbl>
          <w:p w:rsidR="00CE58CD" w:rsidRPr="00AF4B76" w:rsidRDefault="00CE58CD" w:rsidP="00AD05CC">
            <w:pPr>
              <w:spacing w:after="0" w:line="240" w:lineRule="auto"/>
              <w:rPr>
                <w:rFonts w:ascii="Times New Roman" w:eastAsia="Times New Roman" w:hAnsi="Times New Roman" w:cs="Times New Roman"/>
                <w:sz w:val="20"/>
                <w:szCs w:val="16"/>
              </w:rPr>
            </w:pPr>
          </w:p>
        </w:tc>
      </w:tr>
      <w:tr w:rsidR="00CE58CD" w:rsidRPr="00AF4B76" w:rsidTr="00AD05CC">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Lietuva</w:t>
            </w:r>
          </w:p>
        </w:tc>
        <w:tc>
          <w:tcPr>
            <w:tcW w:w="12039" w:type="dxa"/>
            <w:tcBorders>
              <w:bottom w:val="nil"/>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15%</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Luksemburga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21%</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Kompānijām, kuru apliekamais ienākums nepārsniedz EUR 15.000 20% likme ienākumam līdz EUR 10.000 un 26% likme pārsniegumam no 10.000-15.000</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Malta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35%</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Nīderlande</w:t>
            </w:r>
          </w:p>
        </w:tc>
        <w:tc>
          <w:tcPr>
            <w:tcW w:w="12039" w:type="dxa"/>
          </w:tcPr>
          <w:tbl>
            <w:tblPr>
              <w:tblW w:w="0" w:type="auto"/>
              <w:tblLayout w:type="fixed"/>
              <w:tblLook w:val="01E0" w:firstRow="1" w:lastRow="1" w:firstColumn="1" w:lastColumn="1" w:noHBand="0" w:noVBand="0"/>
            </w:tblPr>
            <w:tblGrid>
              <w:gridCol w:w="2708"/>
              <w:gridCol w:w="2709"/>
            </w:tblGrid>
            <w:tr w:rsidR="00CE58CD" w:rsidRPr="00AF4B76" w:rsidTr="00AD05CC">
              <w:tc>
                <w:tcPr>
                  <w:tcW w:w="2708"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Apliekamais ienākums (EUR):</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Līdz 40.000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40.000-200.000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virs 200.000</w:t>
                  </w:r>
                </w:p>
              </w:tc>
              <w:tc>
                <w:tcPr>
                  <w:tcW w:w="270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Likme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23</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25.5</w:t>
                  </w:r>
                </w:p>
              </w:tc>
            </w:tr>
          </w:tbl>
          <w:p w:rsidR="00CE58CD" w:rsidRPr="00AF4B76" w:rsidRDefault="00CE58CD" w:rsidP="00AD05CC">
            <w:pPr>
              <w:spacing w:after="0" w:line="240" w:lineRule="auto"/>
              <w:rPr>
                <w:rFonts w:ascii="Times New Roman" w:eastAsia="Times New Roman" w:hAnsi="Times New Roman" w:cs="Times New Roman"/>
                <w:sz w:val="20"/>
                <w:szCs w:val="16"/>
              </w:rPr>
            </w:pPr>
          </w:p>
        </w:tc>
      </w:tr>
      <w:tr w:rsidR="00CE58CD" w:rsidRPr="00AF4B76" w:rsidTr="00AD05CC">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Polija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19% </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Portugāle</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25% (12.5% pirmajiem 12.500 EUR)</w:t>
            </w:r>
          </w:p>
        </w:tc>
      </w:tr>
      <w:tr w:rsidR="00CE58CD" w:rsidRPr="00AF4B76" w:rsidTr="00AD05CC">
        <w:trPr>
          <w:cantSplit/>
        </w:trPr>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Rumānija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16% </w:t>
            </w:r>
          </w:p>
        </w:tc>
      </w:tr>
      <w:tr w:rsidR="00CE58CD" w:rsidRPr="00AF4B76" w:rsidTr="00AD05CC">
        <w:trPr>
          <w:trHeight w:val="161"/>
        </w:trPr>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Slovākija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19%</w:t>
            </w:r>
          </w:p>
        </w:tc>
      </w:tr>
      <w:tr w:rsidR="00CE58CD" w:rsidRPr="00AF4B76" w:rsidTr="00AD05CC">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Slovēnija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21%</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0% (investīciju, pensiju, apdrošināšanas kompānijas un kompānijām ar riska kapitālu)</w:t>
            </w:r>
          </w:p>
        </w:tc>
      </w:tr>
      <w:tr w:rsidR="00CE58CD" w:rsidRPr="00AF4B76" w:rsidTr="00AD05CC">
        <w:trPr>
          <w:cantSplit/>
        </w:trPr>
        <w:tc>
          <w:tcPr>
            <w:tcW w:w="1995" w:type="dxa"/>
            <w:tcBorders>
              <w:top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Somija</w:t>
            </w:r>
          </w:p>
        </w:tc>
        <w:tc>
          <w:tcPr>
            <w:tcW w:w="12039" w:type="dxa"/>
            <w:tcBorders>
              <w:top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26%</w:t>
            </w:r>
          </w:p>
        </w:tc>
      </w:tr>
      <w:tr w:rsidR="00CE58CD" w:rsidRPr="00AF4B76" w:rsidTr="00AD05CC">
        <w:trPr>
          <w:cantSplit/>
        </w:trPr>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Spānija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30%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Uzņēmumiem, kuru ikgadējais apgrozījums nepārsniedz 8 </w:t>
            </w:r>
            <w:proofErr w:type="spellStart"/>
            <w:r w:rsidRPr="00AF4B76">
              <w:rPr>
                <w:rFonts w:ascii="Times New Roman" w:eastAsia="Times New Roman" w:hAnsi="Times New Roman" w:cs="Times New Roman"/>
                <w:sz w:val="20"/>
                <w:szCs w:val="16"/>
              </w:rPr>
              <w:t>milj.EUR</w:t>
            </w:r>
            <w:proofErr w:type="spellEnd"/>
            <w:r w:rsidRPr="00AF4B76">
              <w:rPr>
                <w:rFonts w:ascii="Times New Roman" w:eastAsia="Times New Roman" w:hAnsi="Times New Roman" w:cs="Times New Roman"/>
                <w:sz w:val="20"/>
                <w:szCs w:val="16"/>
              </w:rPr>
              <w:t xml:space="preserve"> ar 25% apliek peļņu līdz 120.202 EUR</w:t>
            </w:r>
          </w:p>
        </w:tc>
      </w:tr>
      <w:tr w:rsidR="00CE58CD" w:rsidRPr="00AF4B76" w:rsidTr="00AD05CC">
        <w:trPr>
          <w:trHeight w:val="305"/>
        </w:trPr>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Ungārija</w:t>
            </w:r>
          </w:p>
        </w:tc>
        <w:tc>
          <w:tcPr>
            <w:tcW w:w="12039" w:type="dxa"/>
            <w:tcBorders>
              <w:bottom w:val="nil"/>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16%</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Ar nodokli apliekamajai bāzei līdz HUF 5 </w:t>
            </w:r>
            <w:proofErr w:type="spellStart"/>
            <w:r w:rsidRPr="00AF4B76">
              <w:rPr>
                <w:rFonts w:ascii="Times New Roman" w:eastAsia="Times New Roman" w:hAnsi="Times New Roman" w:cs="Times New Roman"/>
                <w:sz w:val="20"/>
                <w:szCs w:val="16"/>
              </w:rPr>
              <w:t>milj</w:t>
            </w:r>
            <w:proofErr w:type="spellEnd"/>
            <w:r w:rsidRPr="00AF4B76">
              <w:rPr>
                <w:rFonts w:ascii="Times New Roman" w:eastAsia="Times New Roman" w:hAnsi="Times New Roman" w:cs="Times New Roman"/>
                <w:sz w:val="20"/>
                <w:szCs w:val="16"/>
              </w:rPr>
              <w:t xml:space="preserve">. piemēro 10% likmi (pie atsevišķiem nosacījumiem). </w:t>
            </w:r>
          </w:p>
        </w:tc>
      </w:tr>
      <w:tr w:rsidR="00CE58CD" w:rsidRPr="00AF4B76" w:rsidTr="00AD05CC">
        <w:trPr>
          <w:cantSplit/>
        </w:trPr>
        <w:tc>
          <w:tcPr>
            <w:tcW w:w="1995" w:type="dxa"/>
            <w:tcBorders>
              <w:top w:val="single" w:sz="4" w:space="0" w:color="auto"/>
              <w:left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Vācija</w:t>
            </w:r>
          </w:p>
        </w:tc>
        <w:tc>
          <w:tcPr>
            <w:tcW w:w="12039" w:type="dxa"/>
            <w:tcBorders>
              <w:top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15%</w:t>
            </w:r>
          </w:p>
        </w:tc>
      </w:tr>
      <w:tr w:rsidR="00CE58CD" w:rsidRPr="00AF4B76" w:rsidTr="00AD05CC">
        <w:trPr>
          <w:cantSplit/>
        </w:trPr>
        <w:tc>
          <w:tcPr>
            <w:tcW w:w="1995" w:type="dxa"/>
            <w:tcBorders>
              <w:left w:val="single" w:sz="4" w:space="0" w:color="auto"/>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Zviedrija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26.3%</w:t>
            </w:r>
          </w:p>
        </w:tc>
      </w:tr>
      <w:tr w:rsidR="00CE58CD" w:rsidRPr="00AF4B76" w:rsidTr="00AD05CC">
        <w:tc>
          <w:tcPr>
            <w:tcW w:w="1995" w:type="dxa"/>
          </w:tcPr>
          <w:p w:rsidR="00CE58CD" w:rsidRPr="00AF4B76" w:rsidRDefault="00AF4B76" w:rsidP="00AD05CC">
            <w:pPr>
              <w:spacing w:after="0" w:line="240" w:lineRule="auto"/>
              <w:rPr>
                <w:rFonts w:ascii="Times New Roman" w:eastAsia="Times New Roman" w:hAnsi="Times New Roman" w:cs="Times New Roman"/>
                <w:b/>
                <w:sz w:val="20"/>
                <w:szCs w:val="16"/>
              </w:rPr>
            </w:pPr>
            <w:r>
              <w:rPr>
                <w:rFonts w:ascii="Times New Roman" w:eastAsia="Times New Roman" w:hAnsi="Times New Roman" w:cs="Times New Roman"/>
                <w:b/>
                <w:sz w:val="20"/>
                <w:szCs w:val="16"/>
              </w:rPr>
              <w:t>Atsevišķās Austrumeiropas valsti</w:t>
            </w:r>
            <w:r w:rsidR="00CE58CD" w:rsidRPr="00AF4B76">
              <w:rPr>
                <w:rFonts w:ascii="Times New Roman" w:eastAsia="Times New Roman" w:hAnsi="Times New Roman" w:cs="Times New Roman"/>
                <w:b/>
                <w:sz w:val="20"/>
                <w:szCs w:val="16"/>
              </w:rPr>
              <w:t>s:</w:t>
            </w:r>
          </w:p>
        </w:tc>
        <w:tc>
          <w:tcPr>
            <w:tcW w:w="12039" w:type="dxa"/>
            <w:shd w:val="pct35" w:color="auto" w:fill="FFFFFF"/>
          </w:tcPr>
          <w:p w:rsidR="00CE58CD" w:rsidRPr="00AF4B76" w:rsidRDefault="00CE58CD" w:rsidP="00AD05CC">
            <w:pPr>
              <w:spacing w:after="0" w:line="240" w:lineRule="auto"/>
              <w:rPr>
                <w:rFonts w:ascii="Times New Roman" w:eastAsia="Times New Roman" w:hAnsi="Times New Roman" w:cs="Times New Roman"/>
                <w:sz w:val="20"/>
                <w:szCs w:val="16"/>
              </w:rPr>
            </w:pPr>
          </w:p>
        </w:tc>
      </w:tr>
      <w:tr w:rsidR="00CE58CD" w:rsidRPr="00AF4B76" w:rsidTr="00AD05CC">
        <w:trPr>
          <w:trHeight w:val="151"/>
        </w:trPr>
        <w:tc>
          <w:tcPr>
            <w:tcW w:w="1995" w:type="dxa"/>
          </w:tcPr>
          <w:p w:rsidR="00CE58CD" w:rsidRPr="00AF4B76" w:rsidRDefault="00CE58CD" w:rsidP="00AD05CC">
            <w:pPr>
              <w:spacing w:after="0" w:line="240" w:lineRule="auto"/>
              <w:rPr>
                <w:rFonts w:ascii="Times New Roman" w:eastAsia="Times New Roman" w:hAnsi="Times New Roman" w:cs="Times New Roman"/>
                <w:color w:val="000000"/>
                <w:sz w:val="20"/>
                <w:szCs w:val="16"/>
                <w:highlight w:val="yellow"/>
              </w:rPr>
            </w:pPr>
            <w:proofErr w:type="spellStart"/>
            <w:r w:rsidRPr="00AF4B76">
              <w:rPr>
                <w:rFonts w:ascii="Times New Roman" w:eastAsia="Times New Roman" w:hAnsi="Times New Roman" w:cs="Times New Roman"/>
                <w:sz w:val="20"/>
                <w:szCs w:val="16"/>
              </w:rPr>
              <w:t>Serbija</w:t>
            </w:r>
            <w:proofErr w:type="spellEnd"/>
            <w:r w:rsidRPr="00AF4B76">
              <w:rPr>
                <w:rFonts w:ascii="Times New Roman" w:eastAsia="Times New Roman" w:hAnsi="Times New Roman" w:cs="Times New Roman"/>
                <w:sz w:val="20"/>
                <w:szCs w:val="16"/>
              </w:rPr>
              <w:t xml:space="preserve"> </w:t>
            </w:r>
          </w:p>
          <w:p w:rsidR="00CE58CD" w:rsidRPr="00AF4B76" w:rsidRDefault="00CE58CD" w:rsidP="00AD05CC">
            <w:pPr>
              <w:spacing w:after="0" w:line="240" w:lineRule="auto"/>
              <w:rPr>
                <w:rFonts w:ascii="Times New Roman" w:eastAsia="Times New Roman" w:hAnsi="Times New Roman" w:cs="Times New Roman"/>
                <w:color w:val="000000"/>
                <w:sz w:val="20"/>
                <w:szCs w:val="16"/>
                <w:highlight w:val="yellow"/>
              </w:rPr>
            </w:pPr>
          </w:p>
        </w:tc>
        <w:tc>
          <w:tcPr>
            <w:tcW w:w="12039" w:type="dxa"/>
            <w:tcBorders>
              <w:right w:val="single" w:sz="4" w:space="0" w:color="auto"/>
            </w:tcBorders>
          </w:tcPr>
          <w:p w:rsidR="00CE58CD" w:rsidRPr="00AF4B76" w:rsidRDefault="00CE58CD" w:rsidP="00AD05CC">
            <w:pPr>
              <w:spacing w:after="0" w:line="240" w:lineRule="auto"/>
              <w:rPr>
                <w:rFonts w:ascii="Times New Roman" w:eastAsia="Times New Roman" w:hAnsi="Times New Roman" w:cs="Times New Roman"/>
                <w:color w:val="000000"/>
                <w:sz w:val="20"/>
                <w:szCs w:val="16"/>
                <w:highlight w:val="yellow"/>
              </w:rPr>
            </w:pPr>
            <w:r w:rsidRPr="00AF4B76">
              <w:rPr>
                <w:rFonts w:ascii="Times New Roman" w:eastAsia="Times New Roman" w:hAnsi="Times New Roman" w:cs="Times New Roman"/>
                <w:color w:val="000000"/>
                <w:sz w:val="20"/>
                <w:szCs w:val="16"/>
              </w:rPr>
              <w:t>10%</w:t>
            </w:r>
          </w:p>
        </w:tc>
      </w:tr>
      <w:tr w:rsidR="00CE58CD" w:rsidRPr="00AF4B76" w:rsidTr="00AD05CC">
        <w:tc>
          <w:tcPr>
            <w:tcW w:w="1995" w:type="dxa"/>
          </w:tcPr>
          <w:p w:rsidR="00CE58CD" w:rsidRPr="00AF4B76" w:rsidRDefault="00CE58CD" w:rsidP="00AD05CC">
            <w:pPr>
              <w:spacing w:after="0" w:line="240" w:lineRule="auto"/>
              <w:rPr>
                <w:rFonts w:ascii="Times New Roman" w:eastAsia="Times New Roman" w:hAnsi="Times New Roman" w:cs="Times New Roman"/>
                <w:color w:val="000000"/>
                <w:sz w:val="20"/>
                <w:szCs w:val="16"/>
                <w:highlight w:val="yellow"/>
              </w:rPr>
            </w:pPr>
            <w:r w:rsidRPr="00AF4B76">
              <w:rPr>
                <w:rFonts w:ascii="Times New Roman" w:eastAsia="Times New Roman" w:hAnsi="Times New Roman" w:cs="Times New Roman"/>
                <w:sz w:val="20"/>
                <w:szCs w:val="16"/>
              </w:rPr>
              <w:t>Melnkalne</w:t>
            </w:r>
          </w:p>
          <w:p w:rsidR="00CE58CD" w:rsidRPr="00AF4B76" w:rsidRDefault="00CE58CD" w:rsidP="00AD05CC">
            <w:pPr>
              <w:spacing w:after="0" w:line="240" w:lineRule="auto"/>
              <w:rPr>
                <w:rFonts w:ascii="Times New Roman" w:eastAsia="Times New Roman" w:hAnsi="Times New Roman" w:cs="Times New Roman"/>
                <w:sz w:val="20"/>
                <w:szCs w:val="16"/>
              </w:rPr>
            </w:pP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color w:val="000000"/>
                <w:sz w:val="20"/>
                <w:szCs w:val="16"/>
              </w:rPr>
              <w:t>9%</w:t>
            </w:r>
          </w:p>
        </w:tc>
      </w:tr>
      <w:tr w:rsidR="00CE58CD" w:rsidRPr="00AF4B76" w:rsidTr="00AD05CC">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Horvātija</w:t>
            </w:r>
          </w:p>
          <w:p w:rsidR="00CE58CD" w:rsidRPr="00AF4B76" w:rsidRDefault="00CE58CD" w:rsidP="00AD05CC">
            <w:pPr>
              <w:spacing w:after="0" w:line="240" w:lineRule="auto"/>
              <w:rPr>
                <w:rFonts w:ascii="Times New Roman" w:eastAsia="Times New Roman" w:hAnsi="Times New Roman" w:cs="Times New Roman"/>
                <w:sz w:val="20"/>
                <w:szCs w:val="16"/>
              </w:rPr>
            </w:pP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20%</w:t>
            </w:r>
          </w:p>
        </w:tc>
      </w:tr>
      <w:tr w:rsidR="00CE58CD" w:rsidRPr="00AF4B76" w:rsidTr="00AD05CC">
        <w:tc>
          <w:tcPr>
            <w:tcW w:w="1995"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lastRenderedPageBreak/>
              <w:t>Krievija</w:t>
            </w:r>
          </w:p>
        </w:tc>
        <w:tc>
          <w:tcPr>
            <w:tcW w:w="12039" w:type="dxa"/>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20% (</w:t>
            </w:r>
            <w:proofErr w:type="spellStart"/>
            <w:r w:rsidRPr="00AF4B76">
              <w:rPr>
                <w:rFonts w:ascii="Times New Roman" w:eastAsia="Times New Roman" w:hAnsi="Times New Roman" w:cs="Times New Roman"/>
                <w:sz w:val="20"/>
                <w:szCs w:val="16"/>
              </w:rPr>
              <w:t>standartlikme</w:t>
            </w:r>
            <w:proofErr w:type="spellEnd"/>
            <w:r w:rsidRPr="00AF4B76">
              <w:rPr>
                <w:rFonts w:ascii="Times New Roman" w:eastAsia="Times New Roman" w:hAnsi="Times New Roman" w:cs="Times New Roman"/>
                <w:sz w:val="20"/>
                <w:szCs w:val="16"/>
              </w:rPr>
              <w:t>), no kuras:</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2% - maksājami federālajā budžetā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18% - reģionālajā budžetā (var tikt samazināta līdz 13,5%)</w:t>
            </w:r>
          </w:p>
        </w:tc>
      </w:tr>
      <w:tr w:rsidR="00CE58CD" w:rsidRPr="00AF4B76" w:rsidTr="00AD05CC">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b/>
                <w:bCs/>
                <w:sz w:val="20"/>
                <w:szCs w:val="16"/>
              </w:rPr>
            </w:pPr>
            <w:r w:rsidRPr="00AF4B76">
              <w:rPr>
                <w:rFonts w:ascii="Times New Roman" w:eastAsia="Times New Roman" w:hAnsi="Times New Roman" w:cs="Times New Roman"/>
                <w:b/>
                <w:bCs/>
                <w:sz w:val="20"/>
                <w:szCs w:val="16"/>
              </w:rPr>
              <w:t>Pārējās valstis:</w:t>
            </w:r>
          </w:p>
        </w:tc>
        <w:tc>
          <w:tcPr>
            <w:tcW w:w="12039" w:type="dxa"/>
            <w:tcBorders>
              <w:bottom w:val="single" w:sz="4" w:space="0" w:color="auto"/>
            </w:tcBorders>
            <w:shd w:val="pct35" w:color="auto" w:fill="FFFFFF"/>
          </w:tcPr>
          <w:p w:rsidR="00CE58CD" w:rsidRPr="00AF4B76" w:rsidRDefault="00CE58CD" w:rsidP="00AD05CC">
            <w:pPr>
              <w:spacing w:after="0" w:line="240" w:lineRule="auto"/>
              <w:rPr>
                <w:rFonts w:ascii="Times New Roman" w:eastAsia="Times New Roman" w:hAnsi="Times New Roman" w:cs="Times New Roman"/>
                <w:sz w:val="20"/>
                <w:szCs w:val="16"/>
              </w:rPr>
            </w:pPr>
          </w:p>
        </w:tc>
      </w:tr>
      <w:tr w:rsidR="00CE58CD" w:rsidRPr="00AF4B76" w:rsidTr="00AD05CC">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Albānija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10% </w:t>
            </w:r>
          </w:p>
        </w:tc>
      </w:tr>
      <w:tr w:rsidR="00CE58CD" w:rsidRPr="00AF4B76" w:rsidTr="00AD05CC">
        <w:tc>
          <w:tcPr>
            <w:tcW w:w="1995" w:type="dxa"/>
            <w:tcBorders>
              <w:bottom w:val="single" w:sz="4" w:space="0" w:color="auto"/>
            </w:tcBorders>
          </w:tcPr>
          <w:p w:rsidR="00CE58CD" w:rsidRPr="00AF4B76" w:rsidRDefault="00AF4B76"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Džersija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20% (pakalpojumu kompānijām)</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10% (finanšu pakalpojumiem)</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0% (pārējām)</w:t>
            </w:r>
          </w:p>
        </w:tc>
      </w:tr>
      <w:tr w:rsidR="00CE58CD" w:rsidRPr="00AF4B76" w:rsidTr="00AD05CC">
        <w:tc>
          <w:tcPr>
            <w:tcW w:w="1995" w:type="dxa"/>
            <w:tcBorders>
              <w:bottom w:val="single" w:sz="4" w:space="0" w:color="auto"/>
            </w:tcBorders>
          </w:tcPr>
          <w:p w:rsidR="00CE58CD" w:rsidRPr="00AF4B76" w:rsidRDefault="00CE58CD" w:rsidP="00AD05CC">
            <w:pPr>
              <w:tabs>
                <w:tab w:val="left" w:pos="0"/>
              </w:tabs>
              <w:spacing w:after="0" w:line="240" w:lineRule="auto"/>
              <w:ind w:left="459" w:hanging="459"/>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Gibraltārs</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27% </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 xml:space="preserve">20% mazajiem uzņēmumiem (peļņai nepārsniedzot GBP 35.000) </w:t>
            </w:r>
          </w:p>
        </w:tc>
      </w:tr>
      <w:tr w:rsidR="00CE58CD" w:rsidRPr="00AF4B76" w:rsidTr="00AD05CC">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Islande</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15% - pamatlikme</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23.5% - līgumsabiedrībām, kuras ir reģistrētas kā nodokļa maksātāji</w:t>
            </w:r>
          </w:p>
        </w:tc>
      </w:tr>
      <w:tr w:rsidR="00CE58CD" w:rsidRPr="00AF4B76" w:rsidTr="00AD05CC">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proofErr w:type="spellStart"/>
            <w:r w:rsidRPr="00AF4B76">
              <w:rPr>
                <w:rFonts w:ascii="Times New Roman" w:eastAsia="Times New Roman" w:hAnsi="Times New Roman" w:cs="Times New Roman"/>
                <w:sz w:val="20"/>
                <w:szCs w:val="16"/>
              </w:rPr>
              <w:t>Menas</w:t>
            </w:r>
            <w:proofErr w:type="spellEnd"/>
            <w:r w:rsidRPr="00AF4B76">
              <w:rPr>
                <w:rFonts w:ascii="Times New Roman" w:eastAsia="Times New Roman" w:hAnsi="Times New Roman" w:cs="Times New Roman"/>
                <w:sz w:val="20"/>
                <w:szCs w:val="16"/>
              </w:rPr>
              <w:t xml:space="preserve"> sala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0%</w:t>
            </w:r>
          </w:p>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10% bankām un derīgo izrakteņu ieguves rūpniecībai</w:t>
            </w:r>
          </w:p>
        </w:tc>
      </w:tr>
      <w:tr w:rsidR="00CE58CD" w:rsidRPr="00AF4B76" w:rsidTr="00AD05CC">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Monako</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33.33%</w:t>
            </w:r>
          </w:p>
        </w:tc>
      </w:tr>
      <w:tr w:rsidR="00CE58CD" w:rsidRPr="00AF4B76" w:rsidTr="00AD05CC">
        <w:trPr>
          <w:cantSplit/>
        </w:trPr>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Norvēģija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28%</w:t>
            </w:r>
          </w:p>
        </w:tc>
      </w:tr>
      <w:tr w:rsidR="00CE58CD" w:rsidRPr="00AF4B76" w:rsidTr="00AD05CC">
        <w:trPr>
          <w:cantSplit/>
        </w:trPr>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Šveice</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līdz 23% (atšķirīga kantonos)</w:t>
            </w:r>
          </w:p>
        </w:tc>
      </w:tr>
      <w:tr w:rsidR="00CE58CD" w:rsidRPr="00AF4B76" w:rsidTr="00AD05CC">
        <w:trPr>
          <w:cantSplit/>
        </w:trPr>
        <w:tc>
          <w:tcPr>
            <w:tcW w:w="1995"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Ukraina</w:t>
            </w:r>
          </w:p>
        </w:tc>
        <w:tc>
          <w:tcPr>
            <w:tcW w:w="12039" w:type="dxa"/>
            <w:tcBorders>
              <w:bottom w:val="single" w:sz="4" w:space="0" w:color="auto"/>
            </w:tcBorders>
          </w:tcPr>
          <w:p w:rsidR="00CE58CD" w:rsidRPr="00AF4B76" w:rsidRDefault="00CE58CD" w:rsidP="00AD05CC">
            <w:pPr>
              <w:spacing w:after="0" w:line="240" w:lineRule="auto"/>
              <w:rPr>
                <w:rFonts w:ascii="Times New Roman" w:eastAsia="Times New Roman" w:hAnsi="Times New Roman" w:cs="Times New Roman"/>
                <w:sz w:val="20"/>
                <w:szCs w:val="16"/>
              </w:rPr>
            </w:pPr>
            <w:r w:rsidRPr="00AF4B76">
              <w:rPr>
                <w:rFonts w:ascii="Times New Roman" w:eastAsia="Times New Roman" w:hAnsi="Times New Roman" w:cs="Times New Roman"/>
                <w:sz w:val="20"/>
                <w:szCs w:val="16"/>
              </w:rPr>
              <w:t>25%</w:t>
            </w:r>
          </w:p>
        </w:tc>
      </w:tr>
    </w:tbl>
    <w:p w:rsidR="00AF4B76" w:rsidRDefault="00AF4B76" w:rsidP="00CE58CD">
      <w:pPr>
        <w:spacing w:after="0" w:line="240" w:lineRule="auto"/>
        <w:rPr>
          <w:rFonts w:ascii="Times New Roman" w:hAnsi="Times New Roman" w:cs="Times New Roman"/>
          <w:sz w:val="24"/>
          <w:szCs w:val="24"/>
        </w:rPr>
      </w:pPr>
    </w:p>
    <w:p w:rsidR="00AF4B76" w:rsidRDefault="00AF4B76">
      <w:pPr>
        <w:rPr>
          <w:rFonts w:ascii="Times New Roman" w:hAnsi="Times New Roman" w:cs="Times New Roman"/>
          <w:sz w:val="24"/>
          <w:szCs w:val="24"/>
        </w:rPr>
      </w:pPr>
      <w:r>
        <w:rPr>
          <w:rFonts w:ascii="Times New Roman" w:hAnsi="Times New Roman" w:cs="Times New Roman"/>
          <w:sz w:val="24"/>
          <w:szCs w:val="24"/>
        </w:rPr>
        <w:br w:type="page"/>
      </w:r>
    </w:p>
    <w:p w:rsidR="00CE58CD" w:rsidRPr="000D3476" w:rsidRDefault="00CE58CD" w:rsidP="00CE58CD">
      <w:pPr>
        <w:spacing w:after="0" w:line="240" w:lineRule="auto"/>
        <w:rPr>
          <w:rFonts w:ascii="Times New Roman" w:hAnsi="Times New Roman" w:cs="Times New Roman"/>
          <w:sz w:val="24"/>
          <w:szCs w:val="24"/>
        </w:rPr>
      </w:pPr>
    </w:p>
    <w:p w:rsidR="005A4416" w:rsidRPr="005A4416" w:rsidRDefault="00CE58CD" w:rsidP="005A4416">
      <w:pPr>
        <w:jc w:val="right"/>
        <w:rPr>
          <w:rFonts w:ascii="Times New Roman" w:hAnsi="Times New Roman" w:cs="Times New Roman"/>
          <w:sz w:val="24"/>
          <w:szCs w:val="24"/>
        </w:rPr>
      </w:pPr>
      <w:r>
        <w:rPr>
          <w:rFonts w:ascii="Times New Roman" w:hAnsi="Times New Roman" w:cs="Times New Roman"/>
          <w:sz w:val="24"/>
          <w:szCs w:val="24"/>
        </w:rPr>
        <w:t>3</w:t>
      </w:r>
      <w:r w:rsidR="005A4416">
        <w:rPr>
          <w:rFonts w:ascii="Times New Roman" w:hAnsi="Times New Roman" w:cs="Times New Roman"/>
          <w:sz w:val="24"/>
          <w:szCs w:val="24"/>
        </w:rPr>
        <w:t>.tabula</w:t>
      </w:r>
      <w:r w:rsidR="005A4416">
        <w:fldChar w:fldCharType="begin"/>
      </w:r>
      <w:r w:rsidR="005A4416">
        <w:instrText xml:space="preserve"> LINK </w:instrText>
      </w:r>
      <w:r w:rsidR="006C04CF">
        <w:instrText xml:space="preserve">Excel.Sheet.12 "\\\\filex\\NAD\\Egils\\pamatnostādnes\\UIN atvieglojumu sanāksme\\tab-grafiki.xlsx" Sheet3!R1C1:R67C1 </w:instrText>
      </w:r>
      <w:r w:rsidR="005A4416">
        <w:instrText xml:space="preserve">\a \f 4 \h </w:instrText>
      </w:r>
      <w:r w:rsidR="00AF4B76">
        <w:instrText xml:space="preserve"> \* MERGEFORMAT </w:instrText>
      </w:r>
      <w:r w:rsidR="005A4416">
        <w:fldChar w:fldCharType="separate"/>
      </w:r>
    </w:p>
    <w:tbl>
      <w:tblPr>
        <w:tblW w:w="14034" w:type="dxa"/>
        <w:tblInd w:w="108" w:type="dxa"/>
        <w:tblLook w:val="04A0" w:firstRow="1" w:lastRow="0" w:firstColumn="1" w:lastColumn="0" w:noHBand="0" w:noVBand="1"/>
      </w:tblPr>
      <w:tblGrid>
        <w:gridCol w:w="14034"/>
      </w:tblGrid>
      <w:tr w:rsidR="005A4416" w:rsidRPr="00AF4B76" w:rsidTr="005A4416">
        <w:trPr>
          <w:trHeight w:val="345"/>
        </w:trPr>
        <w:tc>
          <w:tcPr>
            <w:tcW w:w="1403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A4416" w:rsidRPr="00AF4B76" w:rsidRDefault="005A4416" w:rsidP="005A4416">
            <w:pPr>
              <w:spacing w:after="0" w:line="240" w:lineRule="auto"/>
              <w:jc w:val="center"/>
              <w:rPr>
                <w:rFonts w:ascii="Times New Roman" w:eastAsia="Times New Roman" w:hAnsi="Times New Roman" w:cs="Times New Roman"/>
                <w:b/>
                <w:bCs/>
                <w:color w:val="000000"/>
                <w:sz w:val="20"/>
                <w:szCs w:val="24"/>
                <w:lang w:eastAsia="lv-LV"/>
              </w:rPr>
            </w:pPr>
            <w:r w:rsidRPr="00AF4B76">
              <w:rPr>
                <w:rFonts w:ascii="Times New Roman" w:eastAsia="Times New Roman" w:hAnsi="Times New Roman" w:cs="Times New Roman"/>
                <w:b/>
                <w:bCs/>
                <w:color w:val="000000"/>
                <w:sz w:val="20"/>
                <w:szCs w:val="24"/>
                <w:lang w:eastAsia="lv-LV"/>
              </w:rPr>
              <w:t>UIN stimuli ES valstīs (Avots: "</w:t>
            </w:r>
            <w:proofErr w:type="spellStart"/>
            <w:r w:rsidRPr="00AF4B76">
              <w:rPr>
                <w:rFonts w:ascii="Times New Roman" w:eastAsia="Times New Roman" w:hAnsi="Times New Roman" w:cs="Times New Roman"/>
                <w:b/>
                <w:bCs/>
                <w:color w:val="000000"/>
                <w:sz w:val="20"/>
                <w:szCs w:val="24"/>
                <w:lang w:eastAsia="lv-LV"/>
              </w:rPr>
              <w:t>European</w:t>
            </w:r>
            <w:proofErr w:type="spellEnd"/>
            <w:r w:rsidRPr="00AF4B76">
              <w:rPr>
                <w:rFonts w:ascii="Times New Roman" w:eastAsia="Times New Roman" w:hAnsi="Times New Roman" w:cs="Times New Roman"/>
                <w:b/>
                <w:bCs/>
                <w:color w:val="000000"/>
                <w:sz w:val="20"/>
                <w:szCs w:val="24"/>
                <w:lang w:eastAsia="lv-LV"/>
              </w:rPr>
              <w:t xml:space="preserve"> </w:t>
            </w:r>
            <w:proofErr w:type="spellStart"/>
            <w:r w:rsidRPr="00AF4B76">
              <w:rPr>
                <w:rFonts w:ascii="Times New Roman" w:eastAsia="Times New Roman" w:hAnsi="Times New Roman" w:cs="Times New Roman"/>
                <w:b/>
                <w:bCs/>
                <w:color w:val="000000"/>
                <w:sz w:val="20"/>
                <w:szCs w:val="24"/>
                <w:lang w:eastAsia="lv-LV"/>
              </w:rPr>
              <w:t>Tax</w:t>
            </w:r>
            <w:proofErr w:type="spellEnd"/>
            <w:r w:rsidRPr="00AF4B76">
              <w:rPr>
                <w:rFonts w:ascii="Times New Roman" w:eastAsia="Times New Roman" w:hAnsi="Times New Roman" w:cs="Times New Roman"/>
                <w:b/>
                <w:bCs/>
                <w:color w:val="000000"/>
                <w:sz w:val="20"/>
                <w:szCs w:val="24"/>
                <w:lang w:eastAsia="lv-LV"/>
              </w:rPr>
              <w:t xml:space="preserve"> </w:t>
            </w:r>
            <w:proofErr w:type="spellStart"/>
            <w:r w:rsidRPr="00AF4B76">
              <w:rPr>
                <w:rFonts w:ascii="Times New Roman" w:eastAsia="Times New Roman" w:hAnsi="Times New Roman" w:cs="Times New Roman"/>
                <w:b/>
                <w:bCs/>
                <w:color w:val="000000"/>
                <w:sz w:val="20"/>
                <w:szCs w:val="24"/>
                <w:lang w:eastAsia="lv-LV"/>
              </w:rPr>
              <w:t>Handbook</w:t>
            </w:r>
            <w:proofErr w:type="spellEnd"/>
            <w:r w:rsidRPr="00AF4B76">
              <w:rPr>
                <w:rFonts w:ascii="Times New Roman" w:eastAsia="Times New Roman" w:hAnsi="Times New Roman" w:cs="Times New Roman"/>
                <w:b/>
                <w:bCs/>
                <w:color w:val="000000"/>
                <w:sz w:val="20"/>
                <w:szCs w:val="24"/>
                <w:lang w:eastAsia="lv-LV"/>
              </w:rPr>
              <w:t xml:space="preserve"> 2009")</w:t>
            </w:r>
          </w:p>
        </w:tc>
      </w:tr>
      <w:tr w:rsidR="005A4416" w:rsidRPr="00AF4B76" w:rsidTr="005A4416">
        <w:trPr>
          <w:trHeight w:val="240"/>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Austrija</w:t>
            </w:r>
          </w:p>
        </w:tc>
      </w:tr>
      <w:tr w:rsidR="005A4416" w:rsidRPr="00AF4B76" w:rsidTr="005A4416">
        <w:trPr>
          <w:trHeight w:val="67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FA3C27">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1. Nodokļa atvieglojums iekšzemes dividendēm, kā arī ārvalstu dividendēm, ja atvieglojums nav ticis piemērots jau iepriekš, ieturot nodokli, nodokļu konvencijas rezultātā. Samazinātās likmes procentu ienākumiem no atsevišķiem depozītiem, akcijām </w:t>
            </w:r>
            <w:proofErr w:type="spellStart"/>
            <w:r w:rsidRPr="00AF4B76">
              <w:rPr>
                <w:rFonts w:ascii="Times New Roman" w:eastAsia="Times New Roman" w:hAnsi="Times New Roman" w:cs="Times New Roman"/>
                <w:color w:val="000000"/>
                <w:sz w:val="20"/>
                <w:szCs w:val="16"/>
                <w:lang w:eastAsia="lv-LV"/>
              </w:rPr>
              <w:t>u.tml</w:t>
            </w:r>
            <w:proofErr w:type="spellEnd"/>
            <w:r w:rsidRPr="00AF4B76">
              <w:rPr>
                <w:rFonts w:ascii="Times New Roman" w:eastAsia="Times New Roman" w:hAnsi="Times New Roman" w:cs="Times New Roman"/>
                <w:color w:val="000000"/>
                <w:sz w:val="20"/>
                <w:szCs w:val="16"/>
                <w:lang w:eastAsia="lv-LV"/>
              </w:rPr>
              <w:t>.  Ja tajā pašā taksācijas gadā tiek sadalīta peļņa</w:t>
            </w:r>
            <w:r w:rsidR="00FA3C27" w:rsidRPr="00AF4B76">
              <w:rPr>
                <w:rFonts w:ascii="Times New Roman" w:eastAsia="Times New Roman" w:hAnsi="Times New Roman" w:cs="Times New Roman"/>
                <w:color w:val="000000"/>
                <w:sz w:val="20"/>
                <w:szCs w:val="16"/>
                <w:lang w:eastAsia="lv-LV"/>
              </w:rPr>
              <w:t xml:space="preserve"> </w:t>
            </w:r>
            <w:r w:rsidRPr="00AF4B76">
              <w:rPr>
                <w:rFonts w:ascii="Times New Roman" w:eastAsia="Times New Roman" w:hAnsi="Times New Roman" w:cs="Times New Roman"/>
                <w:color w:val="000000"/>
                <w:sz w:val="20"/>
                <w:szCs w:val="16"/>
                <w:lang w:eastAsia="lv-LV"/>
              </w:rPr>
              <w:t>un ir ticis ieturēts nodoklis, ar nodokli netiek aplikti procenti un kapitāla pieaugums. Ja peļņa netiek sadalīta, bet novirzīta nākošam periodam, nodokli atliek līdz peļņas sadalīšanas gadam.</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Nodokļa atvieglojums par izdevumiem, kas radušies saistībā ar pētījumiem vai eksperimentālo attīstību (</w:t>
            </w:r>
            <w:proofErr w:type="spellStart"/>
            <w:r w:rsidRPr="00AF4B76">
              <w:rPr>
                <w:rFonts w:ascii="Times New Roman" w:eastAsia="Times New Roman" w:hAnsi="Times New Roman" w:cs="Times New Roman"/>
                <w:color w:val="000000"/>
                <w:sz w:val="20"/>
                <w:szCs w:val="16"/>
                <w:lang w:eastAsia="lv-LV"/>
              </w:rPr>
              <w:t>max</w:t>
            </w:r>
            <w:proofErr w:type="spellEnd"/>
            <w:r w:rsidRPr="00AF4B76">
              <w:rPr>
                <w:rFonts w:ascii="Times New Roman" w:eastAsia="Times New Roman" w:hAnsi="Times New Roman" w:cs="Times New Roman"/>
                <w:color w:val="000000"/>
                <w:sz w:val="20"/>
                <w:szCs w:val="16"/>
                <w:lang w:eastAsia="lv-LV"/>
              </w:rPr>
              <w:t xml:space="preserve"> 25% apmērā no šiem izdevumiem). Atsevišķos gadījumos daļai no šīm izmaksām var piemērot arī 35% atvieglojuma normu vai noteikt atvieglojuma ierobežojumu 100 000 EUR gadā.</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3. Nodokļa atvieglojums par izdevumiem, kas radušies saistībā ar darbinieku izglītību un apmācību (20% apmērā). Tas attiecas uz izmaksām, kas ir tieši saistītas ar izglītību vai apmācību, ko sniedz atbilstošas iestādes. Pastāv šādu izmaksu dienas limits 2 000 EUR apmērā.</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4. Nodokļa atvieglojums par dividendēm (tās neapliek ar nodokli), kas tiek izmaksātas fiziskām personām, no nesen apgrozībā izlaistām akcijām, ja uzņēmums nodarbojas ar ražošanu (neattiecas uz valsts uzņēmumiem).</w:t>
            </w:r>
          </w:p>
        </w:tc>
      </w:tr>
      <w:tr w:rsidR="005A4416" w:rsidRPr="00AF4B76" w:rsidTr="005A4416">
        <w:trPr>
          <w:trHeight w:val="225"/>
        </w:trPr>
        <w:tc>
          <w:tcPr>
            <w:tcW w:w="14034" w:type="dxa"/>
            <w:tcBorders>
              <w:top w:val="single" w:sz="4" w:space="0" w:color="auto"/>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Beļģija</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1. Paātrināta pamatlīdzekļu norakstīšanas kārtība atsevišķiem pamatlīdzekļiem (nesen ekspluatācija nodotiem jūras kuģiem; instrumentiem un iekārtām; jauniem pamatlīdzekļiem atsevišķos ekonomikas sektoros; dibināšanas izmaksām). Maziem un vidējiem uzņēmumiem pirmajos 3 gados ir iespējams veikt pamatlīdzekļu norakstīšanu divas reizes ātrāk, nekā to paredz parastā kārtība.</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Nodokļa atvieglojums par investīcijām. Parastais atvieglojums 3%-30% no investīciju izmaksām. Speciālais atvieglojums 12.5%-22.5% no to pamatlīdzekļu norakstīšanas, kuros veiktas investīcijas.</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3. Nodokļa atvieglojums par investīcijām pētījumos un attīstībā (33.99% no investētās summas). Maziem un vidējiem uzņēmumiem atvieglojums ir atkarīgs no apliekamā ienākuma apmēra un ir robežās no 24.98%-35.54%. Turklāt, uzņēmums var samazināt apliekamo ienākumu par 13 250 EUR gadā par katru darbinieku, kas strādā zinātnisko pētījumu sektorā.</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4. Nodokļa atvieglojums par domātajiem procentiem no akciju kapitāla (nerezidentu uzņēmumiem, ja tiem ir nodibinājumi vai īpašumi Beļģijā) un nesadalītās peļņas iepriekšējā finanšu gada beigās (iespēja atskaitīt no apliekamā ienākuma, bet šie procenti nedrīkst pārsniegt 6.5% limitu).</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5. Nodokļa atvieglojums koordinācijas centriem, kuri nodrošina starptautisko vai vietējo vai ārvalstu meitas uzņēmumu palīgfunkcijas (piemēram, reklāma, apdrošināšana </w:t>
            </w:r>
            <w:proofErr w:type="spellStart"/>
            <w:r w:rsidRPr="00AF4B76">
              <w:rPr>
                <w:rFonts w:ascii="Times New Roman" w:eastAsia="Times New Roman" w:hAnsi="Times New Roman" w:cs="Times New Roman"/>
                <w:color w:val="000000"/>
                <w:sz w:val="20"/>
                <w:szCs w:val="16"/>
                <w:lang w:eastAsia="lv-LV"/>
              </w:rPr>
              <w:t>u.c</w:t>
            </w:r>
            <w:proofErr w:type="spellEnd"/>
            <w:r w:rsidRPr="00AF4B76">
              <w:rPr>
                <w:rFonts w:ascii="Times New Roman" w:eastAsia="Times New Roman" w:hAnsi="Times New Roman" w:cs="Times New Roman"/>
                <w:color w:val="000000"/>
                <w:sz w:val="20"/>
                <w:szCs w:val="16"/>
                <w:lang w:eastAsia="lv-LV"/>
              </w:rPr>
              <w:t>. jomas). Par 8% no izdevumiem un darbības izmaksām tiek samazināts šo centru (ja dibināti pirms 2003 gada) ar nodokli apliekamais ienākums.</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6. Tonnāžas nodokļa režīms (procentos no pārvadātās kravas apjoma) jūras kuģiem, kas kuģo ar Beļģijas vai citas ES dalībvalsts karogu. Izvēloties šo režīmu, to ir paredzēts piemērot turpmākos 10 gadus.</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7. Nodokļa atvieglojums par patentu ienākumiem vietējiem uzņēmumiem un ārvalstu uzņēmumu nodibinājumiem Beļģijā (līdz 80% apmēram). Pastāv arī izņēmumi, ja patents iegūts, piemēram, attīstības kontrakta ietvaros.</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Dānija</w:t>
            </w:r>
          </w:p>
        </w:tc>
      </w:tr>
      <w:tr w:rsidR="005A4416" w:rsidRPr="00AF4B76" w:rsidTr="005A4416">
        <w:trPr>
          <w:trHeight w:val="450"/>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Tonnāžas nodokļa režīms, kā alternatīva parastai kārtībai, Dānijas kuģniecības kompānijām vai Dānijas pastāvīgajiem uzņēmumiem citu ES valstu kuģniecības kompānijās. Izvēloties šo režīmu, to ir paredzēts piemērot turpmākos 10 gadus.</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Igaunija</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Nav nodokļa stimulu.</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lastRenderedPageBreak/>
              <w:t>Somija</w:t>
            </w:r>
          </w:p>
        </w:tc>
      </w:tr>
      <w:tr w:rsidR="005A4416" w:rsidRPr="00AF4B76" w:rsidTr="005A4416">
        <w:trPr>
          <w:trHeight w:val="67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1.    Paātrināta pamatlīdzekļu norakstīšanas kārtība maziem un vidējiem uzņēmumiem (darbinieku skaits nepārsniedz 250 un gada apgrozījums nepārsniedz  50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xml:space="preserve">. EUR, vai bilance nepārsniedz 43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EUR), kas veic investīcijas mazāk attīstītos reģionos laika posmā no 1998 līdz 2011 gadam. Attiecas uz pamatlīdzekļiem, kas iegādāti, lai nodibinātu vai paplašinātu ražošanu vai tūrisma uzņēmumu. Šiem pamatlīdzekļiem norakstīšanas kārtību palielina par 50%. Šāda kārtība iespējama pamatlīdzekļa iegādes un nākamajos divos gados.</w:t>
            </w:r>
          </w:p>
        </w:tc>
      </w:tr>
      <w:tr w:rsidR="005A4416" w:rsidRPr="00AF4B76" w:rsidTr="005A4416">
        <w:trPr>
          <w:trHeight w:val="450"/>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AF4B7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Tonnāžas nodokļa režīms, kā alternatīva parastai kārtībai, iekšzemes kompānijām vai Somijas uzņēmumu pārstāvniecībām citās dalībvalstīs, kas nodarbojas ar starptautiskiem kravas un pasažieru pārvadājumiem. Izvēloties šo režīmu, to ir paredzēts piemērot turpmākos 10 gadus.</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Francija</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1.      Paātrināta pamatlīdzekļu norakstīšanas kārtība 5 gadu periodā.</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Nodokļa atvieglojums jaundibinātiem uzņēmumiem dažos reģionos (dibināti līdz 31.12.2009.) Pilns nodokļa atbrīvojums tiek piemērots pirmajiem 23 mēnešiem. Tas tiek samazināts līdz 75%, 50% un 25% katrā no nākamiem 12 mēnešu periodiem. Kopumā nodokļa samazināšana attiecībā uz šo režīmu nedrīkst pārsniegt 200 000 EUR 3 gadu laikā.</w:t>
            </w:r>
          </w:p>
        </w:tc>
      </w:tr>
      <w:tr w:rsidR="005A4416" w:rsidRPr="00AF4B76" w:rsidTr="005A4416">
        <w:trPr>
          <w:trHeight w:val="90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3.      Nodokļa atvieglojums pētījumiem un attīstībai. No 2008.gada atvieglojumu apmērs sastāda 30% no izdevumu apjoma saistībā ar pētījumiem un attīstību, ja tas nepārsniedz 100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EUR. Pārsnieguma summai piemēro 5% atvieglojumu. Lielākas atvieglojumu likmes saņem uzņēmumi, kuriem nekad nav bijuši nodokļu atvieglojumi vai tie nav bijuši pēdējo 5 gadu laikā. Pastāv speciāls režīms inovatīviem jauniem mazajiem un vidējiem uzņēmumiem ar 50% privāto kapitālu. Uzņēmumam jābūt jaunākam par 8 gadiem un jāveic pētījumus un uz attīstību vērstus pasākumus, kuru izdevumi ir vismaz 15% apmērā no kopējiem izdevumiem. Šajā gadījumā pirmos 3 gadus pastāv pilns atvieglojums no ar nodokli apliekamās bāzes un 50% apmērā nākamos 2 gadus. Līdzīgs atvieglojums pastāv arī speciālajās „pētījumu un attīstības" zonās.</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4.      Vēl pastāv speciāli nodokļu atvieglojumi atsevišķās teritorijās, kā arī teritorijās, lai veicinātu dažu reģionu attīstību (Korsika, kolonijas, dažu pilsētu beznodokļu zonas).</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5.      Uz samazinātu nodokļa bāzi dažos reģionos var pretendēt vietējo starptautisko vai ārvalstu uzņēmumu galvenās mītnes, kas nodarbojas ar menedžmentu, kontrolē vai koordinē savu uzņēmumu funkcijas. Tas attiecas arī uz vairumtirdzniecības bāzēm.</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6.      Tonnāžas nodokļa režīms, kā alternatīva parastai kārtībai. Var izvēlēties vietējas kuģniecības kompānijas no 01.01.2007 līdz 31.12.2008. Izvēloties šo režīmu, to ir paredzēts piemērot turpmākos 10 gadus.</w:t>
            </w:r>
          </w:p>
        </w:tc>
      </w:tr>
      <w:tr w:rsidR="005A4416" w:rsidRPr="00AF4B76" w:rsidTr="005A4416">
        <w:trPr>
          <w:trHeight w:val="450"/>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7.      Pastāv arī citi nodokļa atvieglojumi atsevišķās zonas pie attiecīgiem nosacījumiem. Arī atvieglojums 25% apmērā no izdevumiem, kas saistīti ar darbinieku bērnu aprūpēšanu. Ziedojumi bezpeļņas organizācijām dod iespēju atskaitīt no nodokļa 60% no ziedotās summas (nepārsniedzot 0.05% iekšzemes gada apgrozījuma), </w:t>
            </w:r>
            <w:proofErr w:type="spellStart"/>
            <w:r w:rsidRPr="00AF4B76">
              <w:rPr>
                <w:rFonts w:ascii="Times New Roman" w:eastAsia="Times New Roman" w:hAnsi="Times New Roman" w:cs="Times New Roman"/>
                <w:color w:val="000000"/>
                <w:sz w:val="20"/>
                <w:szCs w:val="16"/>
                <w:lang w:eastAsia="lv-LV"/>
              </w:rPr>
              <w:t>u.c</w:t>
            </w:r>
            <w:proofErr w:type="spellEnd"/>
            <w:r w:rsidRPr="00AF4B76">
              <w:rPr>
                <w:rFonts w:ascii="Times New Roman" w:eastAsia="Times New Roman" w:hAnsi="Times New Roman" w:cs="Times New Roman"/>
                <w:color w:val="000000"/>
                <w:sz w:val="20"/>
                <w:szCs w:val="16"/>
                <w:lang w:eastAsia="lv-LV"/>
              </w:rPr>
              <w:t>.</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Vācija</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1.      Paātrināta pamatlīdzekļu norakstīšanas kārtība attiecībā uz ēku atjaunošanu. Līdz 9% atjaunošanas un tam sekojošajos 7 gados un 7% nākamajos četros gados.</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Papildus pamatlīdzekļu norakstīšanas kārtība. Kompānijām ar pamatlīdzekļu vērtību līdz 335 000 EUR papildus pamatlīdzekļu norakstīšanas kārtība līdz pat 20% no jaunu kustamo pamatlīdzekļu iegādes vai ražošanas vērtības iegādes vai ražošanas gadā un tam sekojošajos 4 gados (20% attiecas uz visu periodu kopumā).</w:t>
            </w:r>
          </w:p>
        </w:tc>
      </w:tr>
      <w:tr w:rsidR="005A4416" w:rsidRPr="00AF4B76" w:rsidTr="005A4416">
        <w:trPr>
          <w:trHeight w:val="450"/>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3.      Tonnāžas nodokļa režīms. Kompānijas, kuru vadība atrodas Vācijā, var izvēlēties maksāt tonnāžas nodokli par kuģiem, kas tiek izmantoti starptautiskajos pārvadājumos. Izvēloties šo režīmu, to ir paredzēts piemērot turpmākos 10 gadus. Ja to pārtrauc priekšlaicīgi, nākamos 10 gadus tas nebūs pieejams.</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Īrija</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1.      10% samazinātā likme ražojošiem uzņēmumiem vairākās nozarēs. Attiecas tikai uz peļņu no ražošanas, piemēram, kapitāla pieaugumam šādām kompānijām tiek piemērota cita likme.</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2.      Speciāli atvieglojumi uzņēmumiem speciālajās zonās (lidosta; finanšu centrs), piemēram, 10 gadu atbrīvojums no vietējiem nodokļiem, atbrīvojums no nodokļa par atsevišķu kapitāla pieaugumu </w:t>
            </w:r>
            <w:proofErr w:type="spellStart"/>
            <w:r w:rsidRPr="00AF4B76">
              <w:rPr>
                <w:rFonts w:ascii="Times New Roman" w:eastAsia="Times New Roman" w:hAnsi="Times New Roman" w:cs="Times New Roman"/>
                <w:color w:val="000000"/>
                <w:sz w:val="20"/>
                <w:szCs w:val="16"/>
                <w:lang w:eastAsia="lv-LV"/>
              </w:rPr>
              <w:t>u.c</w:t>
            </w:r>
            <w:proofErr w:type="spellEnd"/>
            <w:r w:rsidRPr="00AF4B76">
              <w:rPr>
                <w:rFonts w:ascii="Times New Roman" w:eastAsia="Times New Roman" w:hAnsi="Times New Roman" w:cs="Times New Roman"/>
                <w:color w:val="000000"/>
                <w:sz w:val="20"/>
                <w:szCs w:val="16"/>
                <w:lang w:eastAsia="lv-LV"/>
              </w:rPr>
              <w:t>.</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lastRenderedPageBreak/>
              <w:t>3.      Speciāli atvieglojumu projekti zonās, kurās tiek piedāvāta paātrināta pamatlīdzekļu norakstīšanas kārtības un dubultās nomas maksas atvieglojumu apvienotā piemērošana.</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4.       Tonnāžas nodokļa režīms. Daļai no peļņas kuģniecības kompānijas var piemērot tonnāžas nodokli.</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5.      Nodokļa atvieglojums pētījumiem un attīstībai. 25% nodokļa atlaide (attiecas arī uz iekārtām un mehānismiem, ja tās lieto šiem mērķiem), ja šāda veida izdevumi pārsniedz 50 000 EUR gadā.</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Itālija</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1.      Nodokļa atvieglojums par investīcijām jaunos pamatlīdzekļos no 2007 līdz 2013 gadam mazāk attīstītajos reģionos valsts dienvidos. Neattiecas uz uzņēmumiem finanšu un apdrošināšanas, zvejniecības vai atsevišķās smagās rūpniecības nozarēs. Atsevišķs atvieglojums par katru jaunu darbinieku īpaši noteiktā sfērā. Izdevumu kopsumma gadā, uz kuriem attiektos atvieglojumi, uzņēmumā nedrīkst pārsniegt 15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EUR.</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Tonnāžas nodokļa režīms. Izvēloties šo režīmu, to ir paredzēts piemērot turpmākos 10 gadus.</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Lietuva</w:t>
            </w:r>
          </w:p>
        </w:tc>
      </w:tr>
      <w:tr w:rsidR="005A4416" w:rsidRPr="00AF4B76" w:rsidTr="005A4416">
        <w:trPr>
          <w:trHeight w:val="67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1.      Nodokļa atvieglojums par investīcijām brīvajās ekonomiskajās zonās. Uzņēmums, kas reģistrēts šajā zonā (neattiecas uz kredītiestādēm un apdrošināšanas kompānijām), pirmos 6 gadus ir atbrīvots no nodokļa maksājumiem un nākamos 10 gadus tam piemēro samazināto nodokļa likmi (par 50%). Investīciju apjomam jābūt vismaz 1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EUR un vismaz 75% no ikgadējiem ienākumiem veido ienākumi no ražošanas, apstrādes vai noliktavām, kas atrodas šajās zonās.</w:t>
            </w:r>
          </w:p>
        </w:tc>
      </w:tr>
      <w:tr w:rsidR="005A4416" w:rsidRPr="00AF4B76" w:rsidTr="005A4416">
        <w:trPr>
          <w:trHeight w:val="67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Tonnāžas nodokļa režīms, kā alternatīva parastai kārtībai. Uzņēmumam jāatbilst sekojošiem nosacījumiem- tas ir vietējais uzņēmums vai EEZ uzņēmums, kas savu darbību Lietuvā veic caur patstāvīgo pārstāvniecību; ir iesaistīts starptautiskajos pārvadājumos; uzņēmuma kuģim jābūt reģistrētām Lietuvā vai citā EEZ valstī; šāda kuģa neto tonnāža nedrīkst būt mazāka par 25% no visu uzņēmumam piederošo kuģu neto tonnāžas; uzņēmums nodrošina šī kuģa stratēģisko, komerciālo un menedžmenta vadību; kuģis atbilst Lietuvas un ES drošības standartiem.</w:t>
            </w:r>
          </w:p>
        </w:tc>
      </w:tr>
      <w:tr w:rsidR="005A4416" w:rsidRPr="00AF4B76" w:rsidTr="005A4416">
        <w:trPr>
          <w:trHeight w:val="67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3.      Nodokļa atvieglojums mazajiem uzņēmumiem. Samazināta nodokļa likme 13% apmērā, ja vidējais darbinieku skaits nepārsniedz 10 un apliekamais ienākums pārskata periodā ir mazāks par 500 000 LTL. Privātā uzņēmuma un līgumsabiedrības gadījumā, ja vidējais darbinieku skaits nepārsniedz 10 un apliekamais ienākums pārskata periodā ir mazāks par 1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LTL, tad peļņai līdz 25 000 LTL nodokli nepiemēro, bet atlikumam piemēro likmi 20% apmērā.</w:t>
            </w:r>
          </w:p>
        </w:tc>
      </w:tr>
      <w:tr w:rsidR="005A4416" w:rsidRPr="00AF4B76" w:rsidTr="005A4416">
        <w:trPr>
          <w:trHeight w:val="450"/>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4.      Citi atvieglojumi. Apliekamais ienākums var tikt samazināts līdz 50% par izdevumu summu, kas investēta dažādos pamatlīdzekļos. Ienākumiem no apdrošināšanas kompāniju prēmijām. Samazinātā likme lauksaimniekiem, atvieglojumi par dažādu sociālo grupu nodarbināšanu, kā arī atvieglojums bezpeļņas organizācijām- ja to ienākums no komerciālās darbības nepārsniedz 1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LTL, pirmie ienākumi 25 000 LTL apmērā ar nodokli netiek aplikti.</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Nīderlande</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1.      Nodokļa atvieglojums par pamata investīcijām. Tas attiecas uz nelielām investīcijām noteiktos pamatlīdzekļos un dod procentuālu nodokļa atvieglojumu no veiktajām investīcijām. Investīcijām jābūt no 2 200 EUR līdz 245 000 EUR gadā. Par ikgadējo investīciju apjomu iespējams iegūt atlaides līdz 25% apmēram no ieguldītās vērtības (pieaugot investīciju apjomam, atlaides tuvojas 0%).</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2.      Nodokļa atvieglojums par investīcijām enerģijas taupīšanā. Atlaide 44% apmērā no veiktajiem ieguldījumiem virs 2 200 EUR un 0% atlaide pārsniegumam virs 111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EUR.</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3.      Nodokļa atvieglojums par investīcijām vides aizsardzībā. Investīcijām virs 2 200 EUR atvieglojums no veiktajiem ieguldījumiem ir 40%, 30% vai 15%, atkarībā no investīciju veida.</w:t>
            </w:r>
          </w:p>
        </w:tc>
      </w:tr>
      <w:tr w:rsidR="005A4416" w:rsidRPr="00AF4B76" w:rsidTr="005A4416">
        <w:trPr>
          <w:trHeight w:val="67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4.      Nodokļa atvieglojums pētījumiem un attīstībai. Atvieglojums algas nodoklim attiecas uz darba samaksu, ko darba devējs maksā pētījumu un attīstības jomā nodarbinātajiem darbiniekiem. Atvieglojums ir 42% no ar algu saistītajiem izdevumiem (60% jauniem uzņēmumiem, kas attīsta tehnoloģiskos produktus) līdz 110 000 EUR un 14% pārsnieguma summai. Pārskata gada periodā darba devējam ir noteikts atvieglojuma ierobežojums 8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EUR apmērā.</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5.      Brīva pamatlīdzekļu norakstīšanas kārtība. Attiecas uz pamatlīdzekļiem, kuri ir nozīmīgi vides aizsardzības jomā, kā arī pamatlīdzekļi, kurus izmanto ražošanai atsevišķos reģionos un pamatlīdzekļiem ar augstām tehnoloģijām, kuri tiek izmantoti pētījumiem un attīstībai.</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lastRenderedPageBreak/>
              <w:t>6.      Ar nodokli netiek apliktas uzņēmumu, kuri pieder starptautiskām kompānijām, speciālās rezerves (80% apmērā no finanšu ienākumiem). Nosacījumus izstrādā nodokļu inspektori.</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7.      Tonnāžas nodokļa režīms, kā alternatīva parastai kārtībai. Attiecas uz peļņu no kuģiem starptautiskajos jūras pārvadājumos, jūras pārvadājumos, izmantojot dabas resursus un veicot buksēšanas darbus. Kuģi jāizmanto Nīderlandes uzņēmumam, bet tam nav obligāti jābūt reģistrētam šajā valstī.</w:t>
            </w:r>
          </w:p>
        </w:tc>
      </w:tr>
      <w:tr w:rsidR="005A4416" w:rsidRPr="00AF4B76" w:rsidTr="005A4416">
        <w:trPr>
          <w:trHeight w:val="450"/>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8.      Nodokļa atvieglojums par patentu. Atlīdzība par nemateriālu, pašu izstrādātu pamatlīdzekli tiek aplikta ar samazinātu nodokļa likmi 10% apmērā, ja šis pamatlīdzeklis ir devis vismaz 30% peļņas pieaugumu, kopš tas ir ieviests.</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Norvēģija</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1.      Tonnāžas nodokļa režīms, kā alternatīva parastai kārtībai.</w:t>
            </w:r>
          </w:p>
        </w:tc>
      </w:tr>
      <w:tr w:rsidR="005A4416" w:rsidRPr="00AF4B76" w:rsidTr="005A4416">
        <w:trPr>
          <w:trHeight w:val="450"/>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 xml:space="preserve">2.      Nodokļa atvieglojums pētījumiem un attīstībai maziem un vidējiem uzņēmumiem Atvieglojums ir no 18% līdz 20% par izdevumiem līdz 5.5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xml:space="preserve">. NOK (līdz 11 </w:t>
            </w:r>
            <w:proofErr w:type="spellStart"/>
            <w:r w:rsidRPr="00AF4B76">
              <w:rPr>
                <w:rFonts w:ascii="Times New Roman" w:eastAsia="Times New Roman" w:hAnsi="Times New Roman" w:cs="Times New Roman"/>
                <w:color w:val="000000"/>
                <w:sz w:val="20"/>
                <w:szCs w:val="16"/>
                <w:lang w:eastAsia="lv-LV"/>
              </w:rPr>
              <w:t>milj</w:t>
            </w:r>
            <w:proofErr w:type="spellEnd"/>
            <w:r w:rsidRPr="00AF4B76">
              <w:rPr>
                <w:rFonts w:ascii="Times New Roman" w:eastAsia="Times New Roman" w:hAnsi="Times New Roman" w:cs="Times New Roman"/>
                <w:color w:val="000000"/>
                <w:sz w:val="20"/>
                <w:szCs w:val="16"/>
                <w:lang w:eastAsia="lv-LV"/>
              </w:rPr>
              <w:t>. NOK, ja pakalpojums iegādāts no augstākās izglītības iestādēm vai izpētes organizācijām).</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Zviedrija</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Nav nodokļa stimulu.</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Šveice</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Atsevišķos gadījumos katrs kantons kopā ar valdību var lemt par nodokļu atvieglojumiem.</w:t>
            </w:r>
          </w:p>
        </w:tc>
      </w:tr>
      <w:tr w:rsidR="005A4416" w:rsidRPr="00AF4B76" w:rsidTr="005A4416">
        <w:trPr>
          <w:trHeight w:val="225"/>
        </w:trPr>
        <w:tc>
          <w:tcPr>
            <w:tcW w:w="14034" w:type="dxa"/>
            <w:tcBorders>
              <w:top w:val="nil"/>
              <w:left w:val="double" w:sz="6" w:space="0" w:color="auto"/>
              <w:bottom w:val="single" w:sz="4" w:space="0" w:color="auto"/>
              <w:right w:val="double" w:sz="6" w:space="0" w:color="auto"/>
            </w:tcBorders>
            <w:shd w:val="clear" w:color="000000" w:fill="D9D9D9"/>
            <w:noWrap/>
            <w:vAlign w:val="center"/>
            <w:hideMark/>
          </w:tcPr>
          <w:p w:rsidR="005A4416" w:rsidRPr="00AF4B76" w:rsidRDefault="005A4416" w:rsidP="005A4416">
            <w:pPr>
              <w:spacing w:after="0" w:line="240" w:lineRule="auto"/>
              <w:jc w:val="both"/>
              <w:rPr>
                <w:rFonts w:ascii="Times New Roman" w:eastAsia="Times New Roman" w:hAnsi="Times New Roman" w:cs="Times New Roman"/>
                <w:b/>
                <w:bCs/>
                <w:color w:val="000000"/>
                <w:sz w:val="20"/>
                <w:szCs w:val="16"/>
                <w:lang w:eastAsia="lv-LV"/>
              </w:rPr>
            </w:pPr>
            <w:r w:rsidRPr="00AF4B76">
              <w:rPr>
                <w:rFonts w:ascii="Times New Roman" w:eastAsia="Times New Roman" w:hAnsi="Times New Roman" w:cs="Times New Roman"/>
                <w:b/>
                <w:bCs/>
                <w:color w:val="000000"/>
                <w:sz w:val="20"/>
                <w:szCs w:val="16"/>
                <w:lang w:eastAsia="lv-LV"/>
              </w:rPr>
              <w:t>Lielbritānija</w:t>
            </w:r>
          </w:p>
        </w:tc>
      </w:tr>
      <w:tr w:rsidR="005A4416" w:rsidRPr="00AF4B76" w:rsidTr="005A4416">
        <w:trPr>
          <w:trHeight w:val="450"/>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1.      Nodokļa atvieglojums pētījumiem un attīstībai. Izdevumus saistībā ar pētījumiem un attīstību var norakstīt uzreiz. Vidējiem un mazajiem uzņēmumiem tos ir atļauts norakstīt 175% apmērā (izdevumiem jābūt vismaz 10 000 GBP). Ja tas rada zaudējumus, tos var pārnest uz nākamajiem periodiem. Pastāv arī izdevumu norakstīšanas iespēja 130% un 140% apmērā.</w:t>
            </w:r>
          </w:p>
        </w:tc>
      </w:tr>
      <w:tr w:rsidR="005A4416" w:rsidRPr="00AF4B76" w:rsidTr="005A4416">
        <w:trPr>
          <w:trHeight w:val="225"/>
        </w:trPr>
        <w:tc>
          <w:tcPr>
            <w:tcW w:w="14034" w:type="dxa"/>
            <w:tcBorders>
              <w:top w:val="nil"/>
              <w:left w:val="double" w:sz="6" w:space="0" w:color="auto"/>
              <w:bottom w:val="nil"/>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2.      Tonnāžas nodokļa režīms atsevišķos gadījumos var tikt piemērots atšķirībā no parastās kārtības.</w:t>
            </w:r>
          </w:p>
        </w:tc>
      </w:tr>
      <w:tr w:rsidR="005A4416" w:rsidRPr="00AF4B76" w:rsidTr="005A4416">
        <w:trPr>
          <w:trHeight w:val="240"/>
        </w:trPr>
        <w:tc>
          <w:tcPr>
            <w:tcW w:w="14034" w:type="dxa"/>
            <w:tcBorders>
              <w:top w:val="nil"/>
              <w:left w:val="double" w:sz="6" w:space="0" w:color="auto"/>
              <w:bottom w:val="double" w:sz="6" w:space="0" w:color="auto"/>
              <w:right w:val="double" w:sz="6" w:space="0" w:color="auto"/>
            </w:tcBorders>
            <w:shd w:val="clear" w:color="auto" w:fill="auto"/>
            <w:noWrap/>
            <w:vAlign w:val="center"/>
            <w:hideMark/>
          </w:tcPr>
          <w:p w:rsidR="005A4416" w:rsidRPr="00AF4B76" w:rsidRDefault="005A4416" w:rsidP="005A4416">
            <w:pPr>
              <w:spacing w:after="0" w:line="240" w:lineRule="auto"/>
              <w:jc w:val="both"/>
              <w:rPr>
                <w:rFonts w:ascii="Times New Roman" w:eastAsia="Times New Roman" w:hAnsi="Times New Roman" w:cs="Times New Roman"/>
                <w:color w:val="000000"/>
                <w:sz w:val="20"/>
                <w:szCs w:val="16"/>
                <w:lang w:eastAsia="lv-LV"/>
              </w:rPr>
            </w:pPr>
            <w:r w:rsidRPr="00AF4B76">
              <w:rPr>
                <w:rFonts w:ascii="Times New Roman" w:eastAsia="Times New Roman" w:hAnsi="Times New Roman" w:cs="Times New Roman"/>
                <w:color w:val="000000"/>
                <w:sz w:val="20"/>
                <w:szCs w:val="16"/>
                <w:lang w:eastAsia="lv-LV"/>
              </w:rPr>
              <w:t>3.      Speciāls režīms kompānijām, kas veic ieguldījumos nekustamo īpašumu jomā.</w:t>
            </w:r>
          </w:p>
        </w:tc>
      </w:tr>
    </w:tbl>
    <w:p w:rsidR="000D3476" w:rsidRDefault="005A4416" w:rsidP="000D3476">
      <w:pPr>
        <w:jc w:val="both"/>
        <w:rPr>
          <w:rFonts w:ascii="Times New Roman" w:hAnsi="Times New Roman" w:cs="Times New Roman"/>
          <w:sz w:val="24"/>
          <w:szCs w:val="24"/>
        </w:rPr>
      </w:pPr>
      <w:r>
        <w:rPr>
          <w:rFonts w:ascii="Times New Roman" w:hAnsi="Times New Roman" w:cs="Times New Roman"/>
          <w:sz w:val="24"/>
          <w:szCs w:val="24"/>
        </w:rPr>
        <w:fldChar w:fldCharType="end"/>
      </w:r>
    </w:p>
    <w:p w:rsidR="00EA3962" w:rsidRPr="00EA3962" w:rsidRDefault="00EA3962" w:rsidP="00EA3962">
      <w:pPr>
        <w:tabs>
          <w:tab w:val="left" w:pos="851"/>
        </w:tabs>
        <w:spacing w:after="0" w:line="20" w:lineRule="atLeast"/>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Finanšu ministrs</w:t>
      </w:r>
      <w:r w:rsidRPr="00EA3962">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sidRPr="00EA3962">
        <w:rPr>
          <w:rFonts w:ascii="Times New Roman" w:eastAsia="Times New Roman" w:hAnsi="Times New Roman" w:cs="Times New Roman"/>
          <w:bCs/>
          <w:color w:val="000000"/>
          <w:sz w:val="24"/>
          <w:szCs w:val="24"/>
          <w:lang w:eastAsia="lv-LV"/>
        </w:rPr>
        <w:t>A.Vilks</w:t>
      </w:r>
    </w:p>
    <w:p w:rsidR="00EA3962" w:rsidRDefault="00EA3962" w:rsidP="00EA3962">
      <w:pPr>
        <w:tabs>
          <w:tab w:val="left" w:pos="851"/>
        </w:tabs>
        <w:spacing w:after="0" w:line="20" w:lineRule="atLeast"/>
        <w:jc w:val="both"/>
        <w:rPr>
          <w:rFonts w:eastAsia="Times New Roman" w:cs="Times New Roman"/>
          <w:bCs/>
          <w:color w:val="000000"/>
          <w:szCs w:val="24"/>
          <w:lang w:eastAsia="lv-LV"/>
        </w:rPr>
      </w:pPr>
    </w:p>
    <w:p w:rsidR="00EA3962" w:rsidRDefault="00EA3962" w:rsidP="00EA3962">
      <w:pPr>
        <w:tabs>
          <w:tab w:val="left" w:pos="851"/>
        </w:tabs>
        <w:spacing w:after="0" w:line="20" w:lineRule="atLeast"/>
        <w:jc w:val="both"/>
        <w:rPr>
          <w:rFonts w:eastAsia="Times New Roman" w:cs="Times New Roman"/>
          <w:bCs/>
          <w:color w:val="000000"/>
          <w:szCs w:val="24"/>
          <w:lang w:eastAsia="lv-LV"/>
        </w:rPr>
      </w:pPr>
    </w:p>
    <w:p w:rsidR="00EA3962" w:rsidRPr="00EA3962" w:rsidRDefault="00492932" w:rsidP="00EA3962">
      <w:pPr>
        <w:contextualSpacing/>
        <w:rPr>
          <w:rFonts w:ascii="Times New Roman" w:hAnsi="Times New Roman" w:cs="Times New Roman"/>
          <w:sz w:val="20"/>
          <w:szCs w:val="20"/>
        </w:rPr>
      </w:pPr>
      <w:r>
        <w:rPr>
          <w:rFonts w:ascii="Times New Roman" w:hAnsi="Times New Roman" w:cs="Times New Roman"/>
          <w:sz w:val="20"/>
          <w:szCs w:val="20"/>
        </w:rPr>
        <w:t>2011.06.16.</w:t>
      </w:r>
      <w:bookmarkStart w:id="0" w:name="_GoBack"/>
      <w:bookmarkEnd w:id="0"/>
    </w:p>
    <w:p w:rsidR="00EA3962" w:rsidRPr="00EA3962" w:rsidRDefault="00EA3962" w:rsidP="00EA3962">
      <w:pPr>
        <w:contextualSpacing/>
        <w:rPr>
          <w:rFonts w:ascii="Times New Roman" w:hAnsi="Times New Roman" w:cs="Times New Roman"/>
          <w:sz w:val="20"/>
          <w:szCs w:val="20"/>
        </w:rPr>
      </w:pPr>
      <w:r w:rsidRPr="00EA3962">
        <w:rPr>
          <w:rFonts w:ascii="Times New Roman" w:hAnsi="Times New Roman" w:cs="Times New Roman"/>
          <w:sz w:val="20"/>
          <w:szCs w:val="20"/>
        </w:rPr>
        <w:fldChar w:fldCharType="begin"/>
      </w:r>
      <w:r w:rsidRPr="00EA3962">
        <w:rPr>
          <w:rFonts w:ascii="Times New Roman" w:hAnsi="Times New Roman" w:cs="Times New Roman"/>
          <w:sz w:val="20"/>
          <w:szCs w:val="20"/>
        </w:rPr>
        <w:instrText xml:space="preserve"> NUMWORDS  \# "0"  \* MERGEFORMAT </w:instrText>
      </w:r>
      <w:r w:rsidRPr="00EA3962">
        <w:rPr>
          <w:rFonts w:ascii="Times New Roman" w:hAnsi="Times New Roman" w:cs="Times New Roman"/>
          <w:sz w:val="20"/>
          <w:szCs w:val="20"/>
        </w:rPr>
        <w:fldChar w:fldCharType="separate"/>
      </w:r>
      <w:r w:rsidR="00B55C08">
        <w:rPr>
          <w:rFonts w:ascii="Times New Roman" w:hAnsi="Times New Roman" w:cs="Times New Roman"/>
          <w:noProof/>
          <w:sz w:val="20"/>
          <w:szCs w:val="20"/>
        </w:rPr>
        <w:t>2968</w:t>
      </w:r>
      <w:r w:rsidRPr="00EA3962">
        <w:rPr>
          <w:rFonts w:ascii="Times New Roman" w:hAnsi="Times New Roman" w:cs="Times New Roman"/>
          <w:sz w:val="20"/>
          <w:szCs w:val="20"/>
        </w:rPr>
        <w:fldChar w:fldCharType="end"/>
      </w:r>
    </w:p>
    <w:p w:rsidR="00EA3962" w:rsidRPr="00EA3962" w:rsidRDefault="00EA3962" w:rsidP="00EA3962">
      <w:pPr>
        <w:contextualSpacing/>
        <w:rPr>
          <w:rFonts w:ascii="Times New Roman" w:hAnsi="Times New Roman" w:cs="Times New Roman"/>
          <w:sz w:val="20"/>
          <w:szCs w:val="20"/>
        </w:rPr>
      </w:pPr>
      <w:r w:rsidRPr="00EA3962">
        <w:rPr>
          <w:rFonts w:ascii="Times New Roman" w:hAnsi="Times New Roman" w:cs="Times New Roman"/>
          <w:sz w:val="20"/>
          <w:szCs w:val="20"/>
        </w:rPr>
        <w:t xml:space="preserve">Finanšu ministrijas Nodokļu </w:t>
      </w:r>
      <w:r w:rsidR="00134074">
        <w:rPr>
          <w:rFonts w:ascii="Times New Roman" w:hAnsi="Times New Roman" w:cs="Times New Roman"/>
          <w:sz w:val="20"/>
          <w:szCs w:val="20"/>
        </w:rPr>
        <w:t>analīzes</w:t>
      </w:r>
      <w:r w:rsidRPr="00EA3962">
        <w:rPr>
          <w:rFonts w:ascii="Times New Roman" w:hAnsi="Times New Roman" w:cs="Times New Roman"/>
          <w:sz w:val="20"/>
          <w:szCs w:val="20"/>
        </w:rPr>
        <w:t xml:space="preserve"> departamenta</w:t>
      </w:r>
    </w:p>
    <w:p w:rsidR="00EA3962" w:rsidRPr="00EA3962" w:rsidRDefault="00EA3962" w:rsidP="00EA3962">
      <w:pPr>
        <w:contextualSpacing/>
        <w:rPr>
          <w:rFonts w:ascii="Times New Roman" w:hAnsi="Times New Roman" w:cs="Times New Roman"/>
          <w:sz w:val="20"/>
          <w:szCs w:val="20"/>
        </w:rPr>
      </w:pPr>
      <w:r w:rsidRPr="00EA3962">
        <w:rPr>
          <w:rFonts w:ascii="Times New Roman" w:hAnsi="Times New Roman" w:cs="Times New Roman"/>
          <w:sz w:val="20"/>
          <w:szCs w:val="20"/>
        </w:rPr>
        <w:t>Ietekmes analīzes nodaļas vecākais referents</w:t>
      </w:r>
    </w:p>
    <w:p w:rsidR="00EA3962" w:rsidRPr="00EA3962" w:rsidRDefault="00EA3962" w:rsidP="00EA3962">
      <w:pPr>
        <w:contextualSpacing/>
        <w:rPr>
          <w:rFonts w:ascii="Times New Roman" w:hAnsi="Times New Roman" w:cs="Times New Roman"/>
          <w:sz w:val="20"/>
          <w:szCs w:val="20"/>
        </w:rPr>
      </w:pPr>
      <w:r w:rsidRPr="00EA3962">
        <w:rPr>
          <w:rFonts w:ascii="Times New Roman" w:hAnsi="Times New Roman" w:cs="Times New Roman"/>
          <w:sz w:val="20"/>
          <w:szCs w:val="20"/>
        </w:rPr>
        <w:t>E.Zarakovskis 67095562</w:t>
      </w:r>
    </w:p>
    <w:p w:rsidR="00EA3962" w:rsidRPr="00EA3962" w:rsidRDefault="00B3760B" w:rsidP="00EA3962">
      <w:pPr>
        <w:contextualSpacing/>
        <w:rPr>
          <w:rFonts w:ascii="Times New Roman" w:hAnsi="Times New Roman" w:cs="Times New Roman"/>
          <w:sz w:val="20"/>
          <w:szCs w:val="20"/>
        </w:rPr>
      </w:pPr>
      <w:hyperlink r:id="rId9" w:history="1">
        <w:r w:rsidR="00EA3962" w:rsidRPr="00EA3962">
          <w:rPr>
            <w:rStyle w:val="Hyperlink"/>
            <w:rFonts w:ascii="Times New Roman" w:hAnsi="Times New Roman" w:cs="Times New Roman"/>
            <w:sz w:val="20"/>
            <w:szCs w:val="20"/>
          </w:rPr>
          <w:t>Egils.Zarakovskis@fm.gov.lv</w:t>
        </w:r>
      </w:hyperlink>
    </w:p>
    <w:p w:rsidR="00251492" w:rsidRPr="000C5810" w:rsidRDefault="00251492" w:rsidP="00A80496">
      <w:pPr>
        <w:pStyle w:val="ListParagraph"/>
        <w:spacing w:after="0" w:line="240" w:lineRule="auto"/>
        <w:rPr>
          <w:rFonts w:ascii="Times New Roman" w:hAnsi="Times New Roman" w:cs="Times New Roman"/>
          <w:sz w:val="24"/>
          <w:szCs w:val="24"/>
        </w:rPr>
      </w:pPr>
    </w:p>
    <w:sectPr w:rsidR="00251492" w:rsidRPr="000C5810" w:rsidSect="005A4416">
      <w:footerReference w:type="default" r:id="rId10"/>
      <w:pgSz w:w="16838" w:h="11906" w:orient="landscape"/>
      <w:pgMar w:top="1418"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0B" w:rsidRDefault="00B3760B" w:rsidP="0097458D">
      <w:pPr>
        <w:spacing w:after="0" w:line="240" w:lineRule="auto"/>
      </w:pPr>
      <w:r>
        <w:separator/>
      </w:r>
    </w:p>
  </w:endnote>
  <w:endnote w:type="continuationSeparator" w:id="0">
    <w:p w:rsidR="00B3760B" w:rsidRDefault="00B3760B" w:rsidP="0097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48176"/>
      <w:docPartObj>
        <w:docPartGallery w:val="Page Numbers (Bottom of Page)"/>
        <w:docPartUnique/>
      </w:docPartObj>
    </w:sdtPr>
    <w:sdtEndPr>
      <w:rPr>
        <w:noProof/>
      </w:rPr>
    </w:sdtEndPr>
    <w:sdtContent>
      <w:p w:rsidR="00EA3962" w:rsidRPr="00EA3962" w:rsidRDefault="00EA3962" w:rsidP="00EA3962">
        <w:pPr>
          <w:pStyle w:val="Footer"/>
          <w:rPr>
            <w:rFonts w:ascii="Times New Roman" w:hAnsi="Times New Roman" w:cs="Times New Roman"/>
            <w:sz w:val="20"/>
            <w:szCs w:val="20"/>
          </w:rPr>
        </w:pPr>
        <w:r w:rsidRPr="00EA3962">
          <w:rPr>
            <w:rFonts w:ascii="Times New Roman" w:hAnsi="Times New Roman" w:cs="Times New Roman"/>
            <w:sz w:val="20"/>
            <w:szCs w:val="20"/>
          </w:rPr>
          <w:fldChar w:fldCharType="begin"/>
        </w:r>
        <w:r w:rsidRPr="00EA3962">
          <w:rPr>
            <w:rFonts w:ascii="Times New Roman" w:hAnsi="Times New Roman" w:cs="Times New Roman"/>
            <w:sz w:val="20"/>
            <w:szCs w:val="20"/>
          </w:rPr>
          <w:instrText xml:space="preserve"> FILENAME   \* MERGEFORMAT </w:instrText>
        </w:r>
        <w:r w:rsidRPr="00EA3962">
          <w:rPr>
            <w:rFonts w:ascii="Times New Roman" w:hAnsi="Times New Roman" w:cs="Times New Roman"/>
            <w:sz w:val="20"/>
            <w:szCs w:val="20"/>
          </w:rPr>
          <w:fldChar w:fldCharType="separate"/>
        </w:r>
        <w:r w:rsidR="006C04CF">
          <w:rPr>
            <w:rFonts w:ascii="Times New Roman" w:hAnsi="Times New Roman" w:cs="Times New Roman"/>
            <w:noProof/>
            <w:sz w:val="20"/>
            <w:szCs w:val="20"/>
          </w:rPr>
          <w:t>FMinf_UINpiel</w:t>
        </w:r>
        <w:r w:rsidRPr="00EA3962">
          <w:rPr>
            <w:rFonts w:ascii="Times New Roman" w:hAnsi="Times New Roman" w:cs="Times New Roman"/>
            <w:sz w:val="20"/>
            <w:szCs w:val="20"/>
          </w:rPr>
          <w:fldChar w:fldCharType="end"/>
        </w:r>
        <w:r w:rsidRPr="00EA3962">
          <w:rPr>
            <w:rFonts w:ascii="Times New Roman" w:hAnsi="Times New Roman" w:cs="Times New Roman"/>
            <w:sz w:val="20"/>
            <w:szCs w:val="20"/>
          </w:rPr>
          <w:t xml:space="preserve">; </w:t>
        </w:r>
        <w:r>
          <w:rPr>
            <w:rFonts w:ascii="Times New Roman" w:hAnsi="Times New Roman" w:cs="Times New Roman"/>
            <w:sz w:val="20"/>
            <w:szCs w:val="20"/>
          </w:rPr>
          <w:t>I</w:t>
        </w:r>
        <w:r w:rsidRPr="00EA3962">
          <w:rPr>
            <w:rFonts w:ascii="Times New Roman" w:hAnsi="Times New Roman" w:cs="Times New Roman"/>
            <w:sz w:val="20"/>
            <w:szCs w:val="20"/>
          </w:rPr>
          <w:t>nformatīv</w:t>
        </w:r>
        <w:r>
          <w:rPr>
            <w:rFonts w:ascii="Times New Roman" w:hAnsi="Times New Roman" w:cs="Times New Roman"/>
            <w:sz w:val="20"/>
            <w:szCs w:val="20"/>
          </w:rPr>
          <w:t>ā</w:t>
        </w:r>
        <w:r w:rsidRPr="00EA3962">
          <w:rPr>
            <w:rFonts w:ascii="Times New Roman" w:hAnsi="Times New Roman" w:cs="Times New Roman"/>
            <w:sz w:val="20"/>
            <w:szCs w:val="20"/>
          </w:rPr>
          <w:t xml:space="preserve"> ziņojuma </w:t>
        </w:r>
        <w:r>
          <w:rPr>
            <w:rFonts w:ascii="Times New Roman" w:hAnsi="Times New Roman" w:cs="Times New Roman"/>
            <w:sz w:val="20"/>
            <w:szCs w:val="20"/>
          </w:rPr>
          <w:t>par pastāvošo</w:t>
        </w:r>
        <w:r w:rsidRPr="00EA3962">
          <w:rPr>
            <w:rFonts w:ascii="Times New Roman" w:hAnsi="Times New Roman" w:cs="Times New Roman"/>
            <w:sz w:val="20"/>
            <w:szCs w:val="20"/>
          </w:rPr>
          <w:t xml:space="preserve"> uzņēmumu ienākuma nodokļa atvieglojumu izvērtējumu no to efektivitātes un nodokļu administrēšanas viedokļa</w:t>
        </w:r>
        <w:r>
          <w:rPr>
            <w:rFonts w:ascii="Times New Roman" w:hAnsi="Times New Roman" w:cs="Times New Roman"/>
            <w:sz w:val="20"/>
            <w:szCs w:val="20"/>
          </w:rPr>
          <w:t xml:space="preserve"> pielikums</w:t>
        </w:r>
        <w:r w:rsidRPr="00EA3962">
          <w:rPr>
            <w:rFonts w:ascii="Times New Roman" w:hAnsi="Times New Roman" w:cs="Times New Roman"/>
            <w:sz w:val="20"/>
            <w:szCs w:val="20"/>
          </w:rPr>
          <w:t>.</w:t>
        </w:r>
      </w:p>
      <w:p w:rsidR="00E12A8D" w:rsidRDefault="00E12A8D">
        <w:pPr>
          <w:pStyle w:val="Footer"/>
          <w:jc w:val="center"/>
        </w:pPr>
        <w:r>
          <w:fldChar w:fldCharType="begin"/>
        </w:r>
        <w:r>
          <w:instrText xml:space="preserve"> PAGE   \* MERGEFORMAT </w:instrText>
        </w:r>
        <w:r>
          <w:fldChar w:fldCharType="separate"/>
        </w:r>
        <w:r w:rsidR="00492932">
          <w:rPr>
            <w:noProof/>
          </w:rPr>
          <w:t>13</w:t>
        </w:r>
        <w:r>
          <w:rPr>
            <w:noProof/>
          </w:rPr>
          <w:fldChar w:fldCharType="end"/>
        </w:r>
      </w:p>
    </w:sdtContent>
  </w:sdt>
  <w:p w:rsidR="00E12A8D" w:rsidRDefault="00E12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0B" w:rsidRDefault="00B3760B" w:rsidP="0097458D">
      <w:pPr>
        <w:spacing w:after="0" w:line="240" w:lineRule="auto"/>
      </w:pPr>
      <w:r>
        <w:separator/>
      </w:r>
    </w:p>
  </w:footnote>
  <w:footnote w:type="continuationSeparator" w:id="0">
    <w:p w:rsidR="00B3760B" w:rsidRDefault="00B3760B" w:rsidP="00974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0CD9"/>
    <w:multiLevelType w:val="hybridMultilevel"/>
    <w:tmpl w:val="873A3D5E"/>
    <w:lvl w:ilvl="0" w:tplc="5DFC07F4">
      <w:start w:val="2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BEC71DD"/>
    <w:multiLevelType w:val="hybridMultilevel"/>
    <w:tmpl w:val="BDE81204"/>
    <w:lvl w:ilvl="0" w:tplc="396E8CE6">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10"/>
    <w:rsid w:val="00017D38"/>
    <w:rsid w:val="00091A5C"/>
    <w:rsid w:val="000A0CC2"/>
    <w:rsid w:val="000B0876"/>
    <w:rsid w:val="000C5810"/>
    <w:rsid w:val="000D3476"/>
    <w:rsid w:val="00134074"/>
    <w:rsid w:val="00157A41"/>
    <w:rsid w:val="001D2DFE"/>
    <w:rsid w:val="002202C7"/>
    <w:rsid w:val="00251492"/>
    <w:rsid w:val="00260146"/>
    <w:rsid w:val="0026068F"/>
    <w:rsid w:val="00282852"/>
    <w:rsid w:val="002C0B69"/>
    <w:rsid w:val="002C64FB"/>
    <w:rsid w:val="0035494C"/>
    <w:rsid w:val="003D553F"/>
    <w:rsid w:val="00413CCC"/>
    <w:rsid w:val="00422CA6"/>
    <w:rsid w:val="00492932"/>
    <w:rsid w:val="00500ADD"/>
    <w:rsid w:val="005074BA"/>
    <w:rsid w:val="005430B3"/>
    <w:rsid w:val="00596723"/>
    <w:rsid w:val="005A4416"/>
    <w:rsid w:val="005C6F28"/>
    <w:rsid w:val="00604080"/>
    <w:rsid w:val="00645544"/>
    <w:rsid w:val="00652B02"/>
    <w:rsid w:val="00652E65"/>
    <w:rsid w:val="00687E44"/>
    <w:rsid w:val="006A6CEC"/>
    <w:rsid w:val="006C04CF"/>
    <w:rsid w:val="00715705"/>
    <w:rsid w:val="00777841"/>
    <w:rsid w:val="007D0435"/>
    <w:rsid w:val="007F4110"/>
    <w:rsid w:val="008A4EA6"/>
    <w:rsid w:val="0097458D"/>
    <w:rsid w:val="009769B3"/>
    <w:rsid w:val="009956F4"/>
    <w:rsid w:val="009B38D0"/>
    <w:rsid w:val="00A02118"/>
    <w:rsid w:val="00A80496"/>
    <w:rsid w:val="00AC7E83"/>
    <w:rsid w:val="00AD05CC"/>
    <w:rsid w:val="00AD1864"/>
    <w:rsid w:val="00AF4B76"/>
    <w:rsid w:val="00B3760B"/>
    <w:rsid w:val="00B55C08"/>
    <w:rsid w:val="00C8632C"/>
    <w:rsid w:val="00CE58CD"/>
    <w:rsid w:val="00DC5ED3"/>
    <w:rsid w:val="00E04DCC"/>
    <w:rsid w:val="00E12A8D"/>
    <w:rsid w:val="00E23428"/>
    <w:rsid w:val="00E37A8A"/>
    <w:rsid w:val="00EA3962"/>
    <w:rsid w:val="00EC31FC"/>
    <w:rsid w:val="00ED7AF9"/>
    <w:rsid w:val="00EF7C35"/>
    <w:rsid w:val="00F24CF6"/>
    <w:rsid w:val="00F774F5"/>
    <w:rsid w:val="00FA3C27"/>
    <w:rsid w:val="00FA3FBE"/>
    <w:rsid w:val="00FD58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58D"/>
  </w:style>
  <w:style w:type="paragraph" w:styleId="Footer">
    <w:name w:val="footer"/>
    <w:basedOn w:val="Normal"/>
    <w:link w:val="FooterChar"/>
    <w:unhideWhenUsed/>
    <w:rsid w:val="0097458D"/>
    <w:pPr>
      <w:tabs>
        <w:tab w:val="center" w:pos="4153"/>
        <w:tab w:val="right" w:pos="8306"/>
      </w:tabs>
      <w:spacing w:after="0" w:line="240" w:lineRule="auto"/>
    </w:pPr>
  </w:style>
  <w:style w:type="character" w:customStyle="1" w:styleId="FooterChar">
    <w:name w:val="Footer Char"/>
    <w:basedOn w:val="DefaultParagraphFont"/>
    <w:link w:val="Footer"/>
    <w:rsid w:val="0097458D"/>
  </w:style>
  <w:style w:type="paragraph" w:styleId="BalloonText">
    <w:name w:val="Balloon Text"/>
    <w:basedOn w:val="Normal"/>
    <w:link w:val="BalloonTextChar"/>
    <w:uiPriority w:val="99"/>
    <w:semiHidden/>
    <w:unhideWhenUsed/>
    <w:rsid w:val="00FA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BE"/>
    <w:rPr>
      <w:rFonts w:ascii="Tahoma" w:hAnsi="Tahoma" w:cs="Tahoma"/>
      <w:sz w:val="16"/>
      <w:szCs w:val="16"/>
    </w:rPr>
  </w:style>
  <w:style w:type="paragraph" w:styleId="ListParagraph">
    <w:name w:val="List Paragraph"/>
    <w:basedOn w:val="Normal"/>
    <w:uiPriority w:val="34"/>
    <w:qFormat/>
    <w:rsid w:val="000C5810"/>
    <w:pPr>
      <w:ind w:left="720"/>
      <w:contextualSpacing/>
    </w:pPr>
  </w:style>
  <w:style w:type="character" w:styleId="Hyperlink">
    <w:name w:val="Hyperlink"/>
    <w:basedOn w:val="DefaultParagraphFont"/>
    <w:unhideWhenUsed/>
    <w:rsid w:val="00EA3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58D"/>
  </w:style>
  <w:style w:type="paragraph" w:styleId="Footer">
    <w:name w:val="footer"/>
    <w:basedOn w:val="Normal"/>
    <w:link w:val="FooterChar"/>
    <w:unhideWhenUsed/>
    <w:rsid w:val="0097458D"/>
    <w:pPr>
      <w:tabs>
        <w:tab w:val="center" w:pos="4153"/>
        <w:tab w:val="right" w:pos="8306"/>
      </w:tabs>
      <w:spacing w:after="0" w:line="240" w:lineRule="auto"/>
    </w:pPr>
  </w:style>
  <w:style w:type="character" w:customStyle="1" w:styleId="FooterChar">
    <w:name w:val="Footer Char"/>
    <w:basedOn w:val="DefaultParagraphFont"/>
    <w:link w:val="Footer"/>
    <w:rsid w:val="0097458D"/>
  </w:style>
  <w:style w:type="paragraph" w:styleId="BalloonText">
    <w:name w:val="Balloon Text"/>
    <w:basedOn w:val="Normal"/>
    <w:link w:val="BalloonTextChar"/>
    <w:uiPriority w:val="99"/>
    <w:semiHidden/>
    <w:unhideWhenUsed/>
    <w:rsid w:val="00FA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BE"/>
    <w:rPr>
      <w:rFonts w:ascii="Tahoma" w:hAnsi="Tahoma" w:cs="Tahoma"/>
      <w:sz w:val="16"/>
      <w:szCs w:val="16"/>
    </w:rPr>
  </w:style>
  <w:style w:type="paragraph" w:styleId="ListParagraph">
    <w:name w:val="List Paragraph"/>
    <w:basedOn w:val="Normal"/>
    <w:uiPriority w:val="34"/>
    <w:qFormat/>
    <w:rsid w:val="000C5810"/>
    <w:pPr>
      <w:ind w:left="720"/>
      <w:contextualSpacing/>
    </w:pPr>
  </w:style>
  <w:style w:type="character" w:styleId="Hyperlink">
    <w:name w:val="Hyperlink"/>
    <w:basedOn w:val="DefaultParagraphFont"/>
    <w:unhideWhenUsed/>
    <w:rsid w:val="00EA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3756">
      <w:bodyDiv w:val="1"/>
      <w:marLeft w:val="0"/>
      <w:marRight w:val="0"/>
      <w:marTop w:val="0"/>
      <w:marBottom w:val="0"/>
      <w:divBdr>
        <w:top w:val="none" w:sz="0" w:space="0" w:color="auto"/>
        <w:left w:val="none" w:sz="0" w:space="0" w:color="auto"/>
        <w:bottom w:val="none" w:sz="0" w:space="0" w:color="auto"/>
        <w:right w:val="none" w:sz="0" w:space="0" w:color="auto"/>
      </w:divBdr>
    </w:div>
    <w:div w:id="307323117">
      <w:bodyDiv w:val="1"/>
      <w:marLeft w:val="0"/>
      <w:marRight w:val="0"/>
      <w:marTop w:val="0"/>
      <w:marBottom w:val="0"/>
      <w:divBdr>
        <w:top w:val="none" w:sz="0" w:space="0" w:color="auto"/>
        <w:left w:val="none" w:sz="0" w:space="0" w:color="auto"/>
        <w:bottom w:val="none" w:sz="0" w:space="0" w:color="auto"/>
        <w:right w:val="none" w:sz="0" w:space="0" w:color="auto"/>
      </w:divBdr>
    </w:div>
    <w:div w:id="362095324">
      <w:bodyDiv w:val="1"/>
      <w:marLeft w:val="0"/>
      <w:marRight w:val="0"/>
      <w:marTop w:val="0"/>
      <w:marBottom w:val="0"/>
      <w:divBdr>
        <w:top w:val="none" w:sz="0" w:space="0" w:color="auto"/>
        <w:left w:val="none" w:sz="0" w:space="0" w:color="auto"/>
        <w:bottom w:val="none" w:sz="0" w:space="0" w:color="auto"/>
        <w:right w:val="none" w:sz="0" w:space="0" w:color="auto"/>
      </w:divBdr>
    </w:div>
    <w:div w:id="408891559">
      <w:bodyDiv w:val="1"/>
      <w:marLeft w:val="0"/>
      <w:marRight w:val="0"/>
      <w:marTop w:val="0"/>
      <w:marBottom w:val="0"/>
      <w:divBdr>
        <w:top w:val="none" w:sz="0" w:space="0" w:color="auto"/>
        <w:left w:val="none" w:sz="0" w:space="0" w:color="auto"/>
        <w:bottom w:val="none" w:sz="0" w:space="0" w:color="auto"/>
        <w:right w:val="none" w:sz="0" w:space="0" w:color="auto"/>
      </w:divBdr>
    </w:div>
    <w:div w:id="505635358">
      <w:bodyDiv w:val="1"/>
      <w:marLeft w:val="0"/>
      <w:marRight w:val="0"/>
      <w:marTop w:val="0"/>
      <w:marBottom w:val="0"/>
      <w:divBdr>
        <w:top w:val="none" w:sz="0" w:space="0" w:color="auto"/>
        <w:left w:val="none" w:sz="0" w:space="0" w:color="auto"/>
        <w:bottom w:val="none" w:sz="0" w:space="0" w:color="auto"/>
        <w:right w:val="none" w:sz="0" w:space="0" w:color="auto"/>
      </w:divBdr>
    </w:div>
    <w:div w:id="618217808">
      <w:bodyDiv w:val="1"/>
      <w:marLeft w:val="0"/>
      <w:marRight w:val="0"/>
      <w:marTop w:val="0"/>
      <w:marBottom w:val="0"/>
      <w:divBdr>
        <w:top w:val="none" w:sz="0" w:space="0" w:color="auto"/>
        <w:left w:val="none" w:sz="0" w:space="0" w:color="auto"/>
        <w:bottom w:val="none" w:sz="0" w:space="0" w:color="auto"/>
        <w:right w:val="none" w:sz="0" w:space="0" w:color="auto"/>
      </w:divBdr>
    </w:div>
    <w:div w:id="769395215">
      <w:bodyDiv w:val="1"/>
      <w:marLeft w:val="0"/>
      <w:marRight w:val="0"/>
      <w:marTop w:val="0"/>
      <w:marBottom w:val="0"/>
      <w:divBdr>
        <w:top w:val="none" w:sz="0" w:space="0" w:color="auto"/>
        <w:left w:val="none" w:sz="0" w:space="0" w:color="auto"/>
        <w:bottom w:val="none" w:sz="0" w:space="0" w:color="auto"/>
        <w:right w:val="none" w:sz="0" w:space="0" w:color="auto"/>
      </w:divBdr>
    </w:div>
    <w:div w:id="1281693042">
      <w:bodyDiv w:val="1"/>
      <w:marLeft w:val="0"/>
      <w:marRight w:val="0"/>
      <w:marTop w:val="0"/>
      <w:marBottom w:val="0"/>
      <w:divBdr>
        <w:top w:val="none" w:sz="0" w:space="0" w:color="auto"/>
        <w:left w:val="none" w:sz="0" w:space="0" w:color="auto"/>
        <w:bottom w:val="none" w:sz="0" w:space="0" w:color="auto"/>
        <w:right w:val="none" w:sz="0" w:space="0" w:color="auto"/>
      </w:divBdr>
    </w:div>
    <w:div w:id="1418944821">
      <w:bodyDiv w:val="1"/>
      <w:marLeft w:val="0"/>
      <w:marRight w:val="0"/>
      <w:marTop w:val="0"/>
      <w:marBottom w:val="0"/>
      <w:divBdr>
        <w:top w:val="none" w:sz="0" w:space="0" w:color="auto"/>
        <w:left w:val="none" w:sz="0" w:space="0" w:color="auto"/>
        <w:bottom w:val="none" w:sz="0" w:space="0" w:color="auto"/>
        <w:right w:val="none" w:sz="0" w:space="0" w:color="auto"/>
      </w:divBdr>
    </w:div>
    <w:div w:id="1477726493">
      <w:bodyDiv w:val="1"/>
      <w:marLeft w:val="0"/>
      <w:marRight w:val="0"/>
      <w:marTop w:val="0"/>
      <w:marBottom w:val="0"/>
      <w:divBdr>
        <w:top w:val="none" w:sz="0" w:space="0" w:color="auto"/>
        <w:left w:val="none" w:sz="0" w:space="0" w:color="auto"/>
        <w:bottom w:val="none" w:sz="0" w:space="0" w:color="auto"/>
        <w:right w:val="none" w:sz="0" w:space="0" w:color="auto"/>
      </w:divBdr>
    </w:div>
    <w:div w:id="1504516566">
      <w:bodyDiv w:val="1"/>
      <w:marLeft w:val="0"/>
      <w:marRight w:val="0"/>
      <w:marTop w:val="0"/>
      <w:marBottom w:val="0"/>
      <w:divBdr>
        <w:top w:val="none" w:sz="0" w:space="0" w:color="auto"/>
        <w:left w:val="none" w:sz="0" w:space="0" w:color="auto"/>
        <w:bottom w:val="none" w:sz="0" w:space="0" w:color="auto"/>
        <w:right w:val="none" w:sz="0" w:space="0" w:color="auto"/>
      </w:divBdr>
    </w:div>
    <w:div w:id="1545287578">
      <w:bodyDiv w:val="1"/>
      <w:marLeft w:val="0"/>
      <w:marRight w:val="0"/>
      <w:marTop w:val="0"/>
      <w:marBottom w:val="0"/>
      <w:divBdr>
        <w:top w:val="none" w:sz="0" w:space="0" w:color="auto"/>
        <w:left w:val="none" w:sz="0" w:space="0" w:color="auto"/>
        <w:bottom w:val="none" w:sz="0" w:space="0" w:color="auto"/>
        <w:right w:val="none" w:sz="0" w:space="0" w:color="auto"/>
      </w:divBdr>
    </w:div>
    <w:div w:id="1705060373">
      <w:bodyDiv w:val="1"/>
      <w:marLeft w:val="0"/>
      <w:marRight w:val="0"/>
      <w:marTop w:val="0"/>
      <w:marBottom w:val="0"/>
      <w:divBdr>
        <w:top w:val="none" w:sz="0" w:space="0" w:color="auto"/>
        <w:left w:val="none" w:sz="0" w:space="0" w:color="auto"/>
        <w:bottom w:val="none" w:sz="0" w:space="0" w:color="auto"/>
        <w:right w:val="none" w:sz="0" w:space="0" w:color="auto"/>
      </w:divBdr>
    </w:div>
    <w:div w:id="1721052206">
      <w:bodyDiv w:val="1"/>
      <w:marLeft w:val="0"/>
      <w:marRight w:val="0"/>
      <w:marTop w:val="0"/>
      <w:marBottom w:val="0"/>
      <w:divBdr>
        <w:top w:val="none" w:sz="0" w:space="0" w:color="auto"/>
        <w:left w:val="none" w:sz="0" w:space="0" w:color="auto"/>
        <w:bottom w:val="none" w:sz="0" w:space="0" w:color="auto"/>
        <w:right w:val="none" w:sz="0" w:space="0" w:color="auto"/>
      </w:divBdr>
    </w:div>
    <w:div w:id="1764456174">
      <w:bodyDiv w:val="1"/>
      <w:marLeft w:val="0"/>
      <w:marRight w:val="0"/>
      <w:marTop w:val="0"/>
      <w:marBottom w:val="0"/>
      <w:divBdr>
        <w:top w:val="none" w:sz="0" w:space="0" w:color="auto"/>
        <w:left w:val="none" w:sz="0" w:space="0" w:color="auto"/>
        <w:bottom w:val="none" w:sz="0" w:space="0" w:color="auto"/>
        <w:right w:val="none" w:sz="0" w:space="0" w:color="auto"/>
      </w:divBdr>
    </w:div>
    <w:div w:id="20685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gils.Zarakovski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E9CB-C587-4BE7-BB03-A613CE09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14321</Words>
  <Characters>8163</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Informatīvais ziņojums par pastāvošo uzņēmumu ienākuma nodokļa atvieglojumu izvērtējumu no to efektivitātes un nodokļu administrēšanas viedokļa </vt:lpstr>
    </vt:vector>
  </TitlesOfParts>
  <Company>Finanšu ministrija</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pastāvošo uzņēmumu ienākuma nodokļa atvieglojumu izvērtējumu no to efektivitātes un nodokļu administrēšanas viedokļa </dc:title>
  <dc:subject>pielikums</dc:subject>
  <dc:creator>E.Zarakovskis</dc:creator>
  <cp:keywords/>
  <dc:description>Egils.Zarakovskis@fm.gov.lv_x000d_
67095562</dc:description>
  <cp:lastModifiedBy>kc-siman</cp:lastModifiedBy>
  <cp:revision>53</cp:revision>
  <cp:lastPrinted>2011-06-03T09:12:00Z</cp:lastPrinted>
  <dcterms:created xsi:type="dcterms:W3CDTF">2010-12-16T13:57:00Z</dcterms:created>
  <dcterms:modified xsi:type="dcterms:W3CDTF">2011-06-20T05:17:00Z</dcterms:modified>
</cp:coreProperties>
</file>