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A8D" w:rsidRPr="00BD3232" w:rsidRDefault="00393A8D" w:rsidP="00393A8D">
      <w:pPr>
        <w:spacing w:after="0" w:line="240" w:lineRule="auto"/>
        <w:jc w:val="right"/>
        <w:rPr>
          <w:rFonts w:eastAsia="Calibri" w:cs="Times New Roman"/>
        </w:rPr>
      </w:pPr>
    </w:p>
    <w:p w:rsidR="00393A8D" w:rsidRPr="00BD3232" w:rsidRDefault="00393A8D" w:rsidP="00393A8D">
      <w:pPr>
        <w:spacing w:after="0" w:line="240" w:lineRule="auto"/>
        <w:rPr>
          <w:rFonts w:eastAsia="Calibri" w:cs="Times New Roman"/>
        </w:rPr>
      </w:pPr>
    </w:p>
    <w:p w:rsidR="00393A8D" w:rsidRPr="00BD3232" w:rsidRDefault="00393A8D" w:rsidP="00393A8D">
      <w:pPr>
        <w:spacing w:after="0" w:line="240" w:lineRule="auto"/>
        <w:jc w:val="center"/>
        <w:rPr>
          <w:rFonts w:eastAsia="Times New Roman" w:cs="Times New Roman"/>
          <w:b/>
          <w:sz w:val="28"/>
          <w:szCs w:val="28"/>
        </w:rPr>
      </w:pPr>
      <w:r w:rsidRPr="00BD3232">
        <w:rPr>
          <w:rFonts w:eastAsia="Times New Roman" w:cs="Times New Roman"/>
          <w:b/>
          <w:sz w:val="28"/>
          <w:szCs w:val="28"/>
        </w:rPr>
        <w:t>Informatīvais ziņojums</w:t>
      </w:r>
    </w:p>
    <w:p w:rsidR="00393A8D" w:rsidRPr="00BD3232" w:rsidRDefault="00393A8D" w:rsidP="00393A8D">
      <w:pPr>
        <w:spacing w:after="0" w:line="240" w:lineRule="auto"/>
        <w:jc w:val="center"/>
        <w:rPr>
          <w:rFonts w:eastAsia="Calibri" w:cs="Times New Roman"/>
        </w:rPr>
      </w:pPr>
      <w:r w:rsidRPr="00BD3232">
        <w:rPr>
          <w:rFonts w:eastAsia="Times New Roman" w:cs="Times New Roman"/>
          <w:b/>
          <w:sz w:val="28"/>
          <w:szCs w:val="28"/>
        </w:rPr>
        <w:t>„Par finanšu stabilitātes nodevas ietekmi, apmēru un priekšlikumiem turpmākai rīcībai”</w:t>
      </w:r>
    </w:p>
    <w:p w:rsidR="00393A8D" w:rsidRPr="00BD3232" w:rsidRDefault="00393A8D" w:rsidP="00393A8D">
      <w:pPr>
        <w:spacing w:after="0" w:line="240" w:lineRule="auto"/>
        <w:rPr>
          <w:rFonts w:eastAsia="Calibri" w:cs="Times New Roman"/>
        </w:rPr>
      </w:pPr>
    </w:p>
    <w:p w:rsidR="00393A8D" w:rsidRPr="00BD3232" w:rsidRDefault="00393A8D" w:rsidP="00E00257">
      <w:pPr>
        <w:spacing w:after="0" w:line="240" w:lineRule="auto"/>
        <w:ind w:firstLine="720"/>
        <w:jc w:val="both"/>
        <w:rPr>
          <w:rFonts w:eastAsia="Times New Roman" w:cs="Times New Roman"/>
        </w:rPr>
      </w:pPr>
      <w:r w:rsidRPr="00BD3232">
        <w:rPr>
          <w:rFonts w:eastAsia="Times New Roman" w:cs="Times New Roman"/>
        </w:rPr>
        <w:t>Atbilstoši Ministru kabineta 2012.gada 7.augusta protokollēmuma (prot. Nr.44, 20.§) „Par informatīvo ziņojumu „Par finanšu stabilitātes nodevas ietekmi, tai skaitā nodevas apmēru”” 3.punktā dotajam uzdevumam Finanšu ministrija ir sagatavojusi ziņojumu par finanšu stabilitātes nodevas ietekmi, apmēru un priekšlikumiem turpmākai rīcībai.</w:t>
      </w:r>
    </w:p>
    <w:p w:rsidR="00E00257" w:rsidRPr="00BD3232" w:rsidRDefault="00E00257" w:rsidP="00E00257">
      <w:pPr>
        <w:spacing w:after="0" w:line="240" w:lineRule="auto"/>
        <w:ind w:firstLine="720"/>
        <w:jc w:val="both"/>
        <w:rPr>
          <w:rFonts w:eastAsia="Times New Roman" w:cs="Times New Roman"/>
        </w:rPr>
      </w:pPr>
      <w:r w:rsidRPr="00BD3232">
        <w:rPr>
          <w:rFonts w:eastAsia="Times New Roman" w:cs="Times New Roman"/>
        </w:rPr>
        <w:t>Latvijas un pasaules banku struktūrā notiek plaša mēroga izmaiņas, kas ir saistītas ar pasaules finanšu tirgus globalizāciju un informācijas apstrādes un pārraide</w:t>
      </w:r>
      <w:r w:rsidR="001206AA" w:rsidRPr="00BD3232">
        <w:rPr>
          <w:rFonts w:eastAsia="Times New Roman" w:cs="Times New Roman"/>
        </w:rPr>
        <w:t>s</w:t>
      </w:r>
      <w:r w:rsidRPr="00BD3232">
        <w:rPr>
          <w:rFonts w:eastAsia="Times New Roman" w:cs="Times New Roman"/>
        </w:rPr>
        <w:t xml:space="preserve"> tehnoloģisko pilnveidošanu. Taču līdztekus tam bija vērojamas arī biežākas un intensīvākas finanšu nestabilitātes epizodes, un tam bija negatīva ietekme praktiski uz visiem ekonomiskajiem procesiem.</w:t>
      </w:r>
      <w:r w:rsidR="001206AA" w:rsidRPr="00BD3232">
        <w:rPr>
          <w:rFonts w:eastAsia="Times New Roman" w:cs="Times New Roman"/>
        </w:rPr>
        <w:t xml:space="preserve"> Šādā situācijā ir nepieciešams pievērst lielāku uzmanību banku sektora stabil</w:t>
      </w:r>
      <w:r w:rsidR="001E47DA">
        <w:rPr>
          <w:rFonts w:eastAsia="Times New Roman" w:cs="Times New Roman"/>
        </w:rPr>
        <w:t>itātes problēmām, ka arī meklēt</w:t>
      </w:r>
      <w:r w:rsidR="001206AA" w:rsidRPr="00BD3232">
        <w:rPr>
          <w:rFonts w:eastAsia="Times New Roman" w:cs="Times New Roman"/>
        </w:rPr>
        <w:t xml:space="preserve"> instrumentus finanšu krīžu gadījumu un to radīto zaudējumu samazināšanai nākotnē.</w:t>
      </w:r>
    </w:p>
    <w:p w:rsidR="00393A8D" w:rsidRPr="00BD3232" w:rsidRDefault="00393A8D" w:rsidP="00393A8D">
      <w:pPr>
        <w:spacing w:after="0" w:line="240" w:lineRule="auto"/>
        <w:ind w:firstLine="720"/>
        <w:jc w:val="both"/>
        <w:rPr>
          <w:rFonts w:eastAsia="Times New Roman" w:cs="Times New Roman"/>
        </w:rPr>
      </w:pPr>
      <w:r w:rsidRPr="00BD3232">
        <w:rPr>
          <w:rFonts w:eastAsia="Times New Roman" w:cs="Times New Roman"/>
        </w:rPr>
        <w:t xml:space="preserve">Informatīvajā ziņojumā ir </w:t>
      </w:r>
      <w:r w:rsidR="0030020C" w:rsidRPr="00BD3232">
        <w:rPr>
          <w:rFonts w:eastAsia="Times New Roman" w:cs="Times New Roman"/>
        </w:rPr>
        <w:t>aplūkotas</w:t>
      </w:r>
      <w:r w:rsidRPr="00BD3232">
        <w:rPr>
          <w:rFonts w:eastAsia="Times New Roman" w:cs="Times New Roman"/>
        </w:rPr>
        <w:t xml:space="preserve"> krīzes izmaksas ekonomikai, apskatīti iespējamie instrumenti finanšu sektora stabilitātes veicināšanai, analizēta finanšu stabilitātes nodevas ietekme uz finanšu sektoru un ekonomiku kopumā, apkopota citu valstu pieredze, analizēti nodevas objekti un informācija par banku sektora veiktajiem obligātajiem maksājumiem valsts budžetā, kā arī izvirzīti priekšlikumi turpmākai rīcībai.</w:t>
      </w:r>
    </w:p>
    <w:p w:rsidR="00393A8D" w:rsidRPr="00BD3232" w:rsidRDefault="00393A8D" w:rsidP="00393A8D">
      <w:pPr>
        <w:spacing w:after="0" w:line="240" w:lineRule="auto"/>
        <w:rPr>
          <w:rFonts w:eastAsia="Times New Roman" w:cs="Times New Roman"/>
          <w:b/>
          <w:u w:val="single"/>
        </w:rPr>
      </w:pPr>
    </w:p>
    <w:p w:rsidR="00393A8D" w:rsidRPr="00BD3232" w:rsidRDefault="00393A8D" w:rsidP="00393A8D">
      <w:pPr>
        <w:spacing w:after="0" w:line="240" w:lineRule="auto"/>
        <w:rPr>
          <w:rFonts w:eastAsia="Times New Roman" w:cs="Times New Roman"/>
          <w:b/>
          <w:u w:val="single"/>
        </w:rPr>
      </w:pPr>
      <w:r w:rsidRPr="00BD3232">
        <w:rPr>
          <w:rFonts w:eastAsia="Times New Roman" w:cs="Times New Roman"/>
          <w:b/>
          <w:u w:val="single"/>
        </w:rPr>
        <w:br w:type="page"/>
      </w:r>
    </w:p>
    <w:p w:rsidR="00393A8D" w:rsidRPr="00BD3232" w:rsidRDefault="00393A8D" w:rsidP="00393A8D">
      <w:pPr>
        <w:spacing w:after="0" w:line="240" w:lineRule="auto"/>
        <w:rPr>
          <w:rFonts w:eastAsia="Calibri" w:cs="Times New Roman"/>
        </w:rPr>
      </w:pPr>
    </w:p>
    <w:p w:rsidR="00393A8D" w:rsidRPr="00BD3232" w:rsidRDefault="00393A8D" w:rsidP="00393A8D">
      <w:pPr>
        <w:numPr>
          <w:ilvl w:val="0"/>
          <w:numId w:val="35"/>
        </w:numPr>
        <w:spacing w:after="0" w:line="240" w:lineRule="auto"/>
        <w:contextualSpacing/>
        <w:rPr>
          <w:rFonts w:eastAsia="Calibri" w:cs="Times New Roman"/>
          <w:b/>
        </w:rPr>
      </w:pPr>
      <w:r w:rsidRPr="00BD3232">
        <w:rPr>
          <w:rFonts w:eastAsia="Calibri" w:cs="Times New Roman"/>
          <w:b/>
        </w:rPr>
        <w:t>Finanšu stabilitātes nodeva</w:t>
      </w:r>
    </w:p>
    <w:p w:rsidR="00393A8D" w:rsidRPr="00BD3232" w:rsidRDefault="00393A8D" w:rsidP="00393A8D">
      <w:pPr>
        <w:spacing w:after="0" w:line="240" w:lineRule="auto"/>
        <w:rPr>
          <w:rFonts w:eastAsia="Calibri" w:cs="Times New Roman"/>
        </w:rPr>
      </w:pPr>
    </w:p>
    <w:p w:rsidR="00393A8D" w:rsidRPr="00BD3232" w:rsidRDefault="00393A8D" w:rsidP="00393A8D">
      <w:pPr>
        <w:spacing w:after="0" w:line="240" w:lineRule="auto"/>
        <w:ind w:firstLine="709"/>
        <w:jc w:val="both"/>
        <w:rPr>
          <w:rFonts w:eastAsia="Times New Roman" w:cs="Times New Roman"/>
          <w:szCs w:val="24"/>
          <w:lang w:eastAsia="lv-LV"/>
        </w:rPr>
      </w:pPr>
      <w:r w:rsidRPr="00BD3232">
        <w:rPr>
          <w:rFonts w:eastAsia="Times New Roman" w:cs="Times New Roman"/>
          <w:szCs w:val="24"/>
          <w:lang w:eastAsia="lv-LV"/>
        </w:rPr>
        <w:t>Pamatojoties uz Ministru kabineta 2010.gada 19.novembra sēdes protokola Nr.65 2.§ par 2011.gada valsts budžetā īstenojamiem fiskālās konsolidācijas pasākumie</w:t>
      </w:r>
      <w:r w:rsidR="00EA0348" w:rsidRPr="00BD3232">
        <w:rPr>
          <w:rFonts w:eastAsia="Times New Roman" w:cs="Times New Roman"/>
          <w:szCs w:val="24"/>
          <w:lang w:eastAsia="lv-LV"/>
        </w:rPr>
        <w:t>m 32.7.punktu, tika izstrādāts F</w:t>
      </w:r>
      <w:r w:rsidRPr="00BD3232">
        <w:rPr>
          <w:rFonts w:eastAsia="Times New Roman" w:cs="Times New Roman"/>
          <w:szCs w:val="24"/>
          <w:lang w:eastAsia="lv-LV"/>
        </w:rPr>
        <w:t>inanšu stabilitātes nodevas likums. Nodevas mērķis ir stiprināt finanšu sistēmu kopumā, lai nepieciešamības gadījumā finansētu pasākumus, kas mazinās grūtībās nonākušo kredītiestāžu negatīvo ietekmi uz citiem finanšu tirgus dalībniekiem, kā arī vismaz daļēji kompensētu valsts budžeta līdzekļus, kas novirzīti situācijas stabilizēšanas pasākumiem finanšu sektorā. Finanšu stabilitātes nodeva tika ieviesta no 2011.gada sākuma, bet 2011.gada 15.decembrī Saeima pieņēma grozījumus Finanšu stabilitātes nodevas likumā, kas paredz no 2012.gada 1.janvāra dubultot nodevas likmi no 0,036% uz 0,072% no nodevas objekta.</w:t>
      </w:r>
    </w:p>
    <w:p w:rsidR="00393A8D" w:rsidRPr="00BD3232" w:rsidRDefault="00393A8D" w:rsidP="00393A8D">
      <w:pPr>
        <w:spacing w:after="0" w:line="240" w:lineRule="auto"/>
        <w:ind w:firstLine="709"/>
        <w:jc w:val="both"/>
        <w:rPr>
          <w:rFonts w:eastAsia="Times New Roman" w:cs="Times New Roman"/>
          <w:szCs w:val="24"/>
          <w:lang w:eastAsia="lv-LV"/>
        </w:rPr>
      </w:pPr>
      <w:r w:rsidRPr="00BD3232">
        <w:rPr>
          <w:rFonts w:eastAsia="Times New Roman" w:cs="Times New Roman"/>
          <w:szCs w:val="24"/>
          <w:lang w:eastAsia="lv-LV"/>
        </w:rPr>
        <w:t>Pastāvošais regulējums ir analizēts no divu galveno aspektu viedokļa – vai un kā atgūt finanšu sektoram šīs krīzes ietvaros sniegto valsts atbalstu un kā izveidot mehānismu reaģēšanai uz nākotnes finanšu krīzēm. Ņemot vēra finanšu pakalpojumu mobilitāti globālajā ekonomikā, pasākumiem, kas uzliek jaunas izmaksas finanšu sektoram, ir jābūt savstarpēji saskaņotiem ar esošajiem nacionālajiem un kolektīvā līmenī plānotajiem maksājumiem.</w:t>
      </w:r>
    </w:p>
    <w:p w:rsidR="00393A8D" w:rsidRPr="00BD3232" w:rsidRDefault="00393A8D" w:rsidP="00393A8D">
      <w:pPr>
        <w:spacing w:after="0" w:line="240" w:lineRule="auto"/>
        <w:ind w:firstLine="709"/>
        <w:jc w:val="both"/>
        <w:rPr>
          <w:rFonts w:eastAsia="Times New Roman" w:cs="Times New Roman"/>
          <w:szCs w:val="24"/>
          <w:lang w:eastAsia="lv-LV"/>
        </w:rPr>
      </w:pPr>
      <w:r w:rsidRPr="00BD3232">
        <w:rPr>
          <w:rFonts w:eastAsia="Times New Roman" w:cs="Times New Roman"/>
          <w:szCs w:val="24"/>
          <w:lang w:eastAsia="lv-LV"/>
        </w:rPr>
        <w:t>Šobrīd valdību prioritātes no neatliekamajiem pasākumiem krīzes seku likvidēšanai pārfokusējas uz profilaktiskiem ilgtermiņa pasākumiem ar mērķi izveidot sistēmu, kas nodrošinātu finanšu sektora spēju segt nākotnē iespējamā atbalsta izmaksas, kā arī samazinātu līdzīgas krīzes iestāšanās varbūtību un ietekmes smagumu.</w:t>
      </w:r>
      <w:r w:rsidRPr="00BD3232">
        <w:rPr>
          <w:rFonts w:eastAsia="Times New Roman" w:cs="Times New Roman"/>
          <w:szCs w:val="24"/>
          <w:vertAlign w:val="superscript"/>
          <w:lang w:eastAsia="lv-LV"/>
        </w:rPr>
        <w:footnoteReference w:id="1"/>
      </w:r>
    </w:p>
    <w:p w:rsidR="00393A8D" w:rsidRPr="00BD3232" w:rsidRDefault="00393A8D" w:rsidP="00393A8D">
      <w:pPr>
        <w:spacing w:after="0" w:line="240" w:lineRule="auto"/>
        <w:jc w:val="both"/>
        <w:rPr>
          <w:rFonts w:eastAsia="Times New Roman" w:cs="Times New Roman"/>
          <w:szCs w:val="24"/>
          <w:lang w:eastAsia="lv-LV"/>
        </w:rPr>
      </w:pPr>
    </w:p>
    <w:p w:rsidR="00393A8D" w:rsidRPr="00BD3232" w:rsidRDefault="00393A8D" w:rsidP="00393A8D">
      <w:pPr>
        <w:spacing w:after="0" w:line="240" w:lineRule="auto"/>
        <w:rPr>
          <w:rFonts w:eastAsia="Calibri" w:cs="Times New Roman"/>
        </w:rPr>
      </w:pPr>
    </w:p>
    <w:p w:rsidR="00393A8D" w:rsidRPr="00BD3232" w:rsidRDefault="00393A8D" w:rsidP="00393A8D">
      <w:pPr>
        <w:numPr>
          <w:ilvl w:val="1"/>
          <w:numId w:val="35"/>
        </w:numPr>
        <w:spacing w:after="0" w:line="240" w:lineRule="auto"/>
        <w:contextualSpacing/>
        <w:rPr>
          <w:rFonts w:eastAsia="Calibri" w:cs="Times New Roman"/>
          <w:b/>
          <w:i/>
        </w:rPr>
      </w:pPr>
      <w:r w:rsidRPr="00BD3232">
        <w:rPr>
          <w:rFonts w:eastAsia="Calibri" w:cs="Times New Roman"/>
          <w:b/>
          <w:i/>
        </w:rPr>
        <w:t>Nodevas objekta struktūra</w:t>
      </w:r>
    </w:p>
    <w:p w:rsidR="00393A8D" w:rsidRPr="00BD3232" w:rsidRDefault="00393A8D" w:rsidP="00393A8D">
      <w:pPr>
        <w:spacing w:after="0" w:line="240" w:lineRule="auto"/>
        <w:ind w:firstLine="709"/>
        <w:jc w:val="both"/>
        <w:rPr>
          <w:rFonts w:eastAsia="Times New Roman" w:cs="Times New Roman"/>
          <w:szCs w:val="24"/>
          <w:lang w:eastAsia="lv-LV"/>
        </w:rPr>
      </w:pPr>
    </w:p>
    <w:p w:rsidR="00393A8D" w:rsidRPr="00BD3232" w:rsidRDefault="00393A8D" w:rsidP="00393A8D">
      <w:pPr>
        <w:spacing w:after="0" w:line="240" w:lineRule="auto"/>
        <w:ind w:firstLine="709"/>
        <w:jc w:val="both"/>
        <w:rPr>
          <w:rFonts w:eastAsia="Times New Roman" w:cs="Times New Roman"/>
          <w:szCs w:val="24"/>
          <w:lang w:eastAsia="lv-LV"/>
        </w:rPr>
      </w:pPr>
      <w:r w:rsidRPr="00BD3232">
        <w:rPr>
          <w:rFonts w:eastAsia="Times New Roman" w:cs="Times New Roman"/>
          <w:szCs w:val="24"/>
          <w:lang w:eastAsia="lv-LV"/>
        </w:rPr>
        <w:t>Finanšu stabilitātes nodevai</w:t>
      </w:r>
      <w:r w:rsidR="00F01581" w:rsidRPr="00BD3232">
        <w:rPr>
          <w:rFonts w:eastAsia="Times New Roman" w:cs="Times New Roman"/>
          <w:szCs w:val="24"/>
          <w:lang w:eastAsia="lv-LV"/>
        </w:rPr>
        <w:t xml:space="preserve"> (turpmāk - FSN)</w:t>
      </w:r>
      <w:r w:rsidRPr="00BD3232">
        <w:rPr>
          <w:rFonts w:eastAsia="Times New Roman" w:cs="Times New Roman"/>
          <w:szCs w:val="24"/>
          <w:lang w:eastAsia="lv-LV"/>
        </w:rPr>
        <w:t xml:space="preserve"> ir regulējošs raksturs, kas ar minimāliem līdzekļiem veicina līdzsvaru starp sabiedriskajām un privātajām interesēm, palielinot augstāka riska darījumu cenu, tādējādi mazinot finanšu sektora motivāciju tos uzņemties un mazinot iespējamos negatīvos blakusefektus tautsaimniecībai. Finanšu stabilitātes nodevas likuma 4.pants nosaka nodevas objektus – kredītiestādes saistību kopsumma taksācijas perioda beigās mīnus noguldījumi, kas pakļauti noguldījumu garantiju shēmai, hipotekārās ķīlu zīmes un pašu kapitāla subordinētais kapitāls. Pēc būtības nodevas objekts ir, piemēram, īstermiņa aizņēmumi starpvalstu tirgos.</w:t>
      </w:r>
    </w:p>
    <w:p w:rsidR="00393A8D" w:rsidRPr="00BD3232" w:rsidRDefault="00393A8D" w:rsidP="00393A8D">
      <w:pPr>
        <w:spacing w:after="0" w:line="240" w:lineRule="auto"/>
        <w:ind w:firstLine="709"/>
        <w:jc w:val="both"/>
        <w:rPr>
          <w:rFonts w:eastAsia="Times New Roman" w:cs="Times New Roman"/>
          <w:szCs w:val="24"/>
          <w:lang w:eastAsia="lv-LV"/>
        </w:rPr>
      </w:pPr>
      <w:r w:rsidRPr="00BD3232">
        <w:rPr>
          <w:rFonts w:eastAsia="Times New Roman" w:cs="Times New Roman"/>
          <w:szCs w:val="24"/>
          <w:lang w:eastAsia="lv-LV"/>
        </w:rPr>
        <w:t>Vienlaicīgi jāatzīmē, ka nodevas objekts tik</w:t>
      </w:r>
      <w:r w:rsidR="00D82333" w:rsidRPr="00BD3232">
        <w:rPr>
          <w:rFonts w:eastAsia="Times New Roman" w:cs="Times New Roman"/>
          <w:szCs w:val="24"/>
          <w:lang w:eastAsia="lv-LV"/>
        </w:rPr>
        <w:t>a</w:t>
      </w:r>
      <w:r w:rsidRPr="00BD3232">
        <w:rPr>
          <w:rFonts w:eastAsia="Times New Roman" w:cs="Times New Roman"/>
          <w:szCs w:val="24"/>
          <w:lang w:eastAsia="lv-LV"/>
        </w:rPr>
        <w:t xml:space="preserve"> noteikts par pamatu ņemot saistību kopsummu taksācijas perioda beigās, nevis darījumus taksācijas periodā, tādējādi, ja kredītiestādei ir nodevas objekta saistības, kas tiek nokārtotas pirms taksācijas perioda beigām, neiestājas pienākums veikt nodevas maksājumu. Šādā situācijā nodeva tikai daļēji sasniedz mērķi ierobežot nesamērīga riska darījumus finanšu tirgū, vienlaicīgi radot stimulu kredītiestādēm pirms taksācijas perioda beigām nokārtot apliekamās saistības, tos finansējot no, piemēram, papildu īstermiņa pirmssvētku noguldījumiem, kas nav nodevas objekts.</w:t>
      </w:r>
    </w:p>
    <w:p w:rsidR="00393A8D" w:rsidRPr="00BD3232" w:rsidRDefault="00393A8D" w:rsidP="00393A8D">
      <w:pPr>
        <w:spacing w:after="0" w:line="240" w:lineRule="auto"/>
        <w:ind w:firstLine="709"/>
        <w:jc w:val="both"/>
        <w:rPr>
          <w:rFonts w:eastAsia="Calibri" w:cs="Times New Roman"/>
        </w:rPr>
      </w:pPr>
      <w:r w:rsidRPr="00BD3232">
        <w:rPr>
          <w:rFonts w:eastAsia="Calibri" w:cs="Times New Roman"/>
        </w:rPr>
        <w:t xml:space="preserve">Jāatzīmē, ka krīzes ietekmē banku zaudējumi 2009. un 2010.gadā ir līdzvērtīgi peļņai kopš 2002.gada. Lai izvairītos no līdzīgiem satricinājumiem nākotnē, varētu </w:t>
      </w:r>
      <w:r w:rsidRPr="00BD3232">
        <w:rPr>
          <w:rFonts w:eastAsia="Calibri" w:cs="Times New Roman"/>
        </w:rPr>
        <w:lastRenderedPageBreak/>
        <w:t xml:space="preserve">būt lietderīgi pielietot stabilitāti veicinošu instrumentu finanšu sektorā, kas mazinātu finanšu krīzes varbūtību nākotnē un radītu finanšu resursu buferi iespējamās krīzes ietekmes kompensēšanai. </w:t>
      </w:r>
      <w:r w:rsidR="00581668" w:rsidRPr="00BD3232">
        <w:rPr>
          <w:rFonts w:eastAsia="Calibri" w:cs="Times New Roman"/>
        </w:rPr>
        <w:t>FSN</w:t>
      </w:r>
      <w:r w:rsidRPr="00BD3232">
        <w:rPr>
          <w:rFonts w:eastAsia="Calibri" w:cs="Times New Roman"/>
        </w:rPr>
        <w:t xml:space="preserve"> banku sektoram 201</w:t>
      </w:r>
      <w:r w:rsidR="00235748" w:rsidRPr="00BD3232">
        <w:rPr>
          <w:rFonts w:eastAsia="Calibri" w:cs="Times New Roman"/>
        </w:rPr>
        <w:t>2</w:t>
      </w:r>
      <w:r w:rsidR="00581668" w:rsidRPr="00BD3232">
        <w:rPr>
          <w:rFonts w:eastAsia="Calibri" w:cs="Times New Roman"/>
        </w:rPr>
        <w:t xml:space="preserve">.gadā izmaksāja 4,04 </w:t>
      </w:r>
      <w:r w:rsidR="00C64571" w:rsidRPr="00BD3232">
        <w:rPr>
          <w:rFonts w:eastAsia="Calibri" w:cs="Times New Roman"/>
        </w:rPr>
        <w:t>milj.</w:t>
      </w:r>
      <w:r w:rsidR="00F01581" w:rsidRPr="00BD3232">
        <w:rPr>
          <w:rFonts w:eastAsia="Calibri" w:cs="Times New Roman"/>
        </w:rPr>
        <w:t xml:space="preserve"> latu, kas ir</w:t>
      </w:r>
      <w:r w:rsidR="007C48E5" w:rsidRPr="00BD3232">
        <w:rPr>
          <w:rFonts w:eastAsia="Calibri" w:cs="Times New Roman"/>
        </w:rPr>
        <w:t xml:space="preserve"> </w:t>
      </w:r>
      <w:r w:rsidR="00F01581" w:rsidRPr="00BD3232">
        <w:rPr>
          <w:rFonts w:eastAsia="Calibri" w:cs="Times New Roman"/>
        </w:rPr>
        <w:t>3,3</w:t>
      </w:r>
      <w:r w:rsidRPr="00BD3232">
        <w:rPr>
          <w:rFonts w:eastAsia="Calibri" w:cs="Times New Roman"/>
        </w:rPr>
        <w:t xml:space="preserve">% no </w:t>
      </w:r>
      <w:r w:rsidR="00F01581" w:rsidRPr="00BD3232">
        <w:rPr>
          <w:rFonts w:eastAsia="Calibri" w:cs="Times New Roman"/>
        </w:rPr>
        <w:t>banku sektora 122,3 milj. latu peļņas.</w:t>
      </w:r>
    </w:p>
    <w:p w:rsidR="00BD3232" w:rsidRPr="00BD3232" w:rsidRDefault="00BD3232" w:rsidP="000B5CC4">
      <w:pPr>
        <w:spacing w:after="0" w:line="240" w:lineRule="auto"/>
        <w:ind w:firstLine="709"/>
        <w:jc w:val="both"/>
        <w:rPr>
          <w:rFonts w:eastAsia="Times New Roman" w:cs="Times New Roman"/>
          <w:szCs w:val="24"/>
          <w:lang w:eastAsia="lv-LV"/>
        </w:rPr>
      </w:pPr>
      <w:r w:rsidRPr="00BD3232">
        <w:rPr>
          <w:rFonts w:eastAsia="Times New Roman" w:cs="Times New Roman"/>
          <w:szCs w:val="24"/>
          <w:lang w:eastAsia="lv-LV"/>
        </w:rPr>
        <w:t>Ar mērķi nodrošināt finanšu stabilitāti valsts ir veikusi būtiskus ieguldījumus likviditātes atbalsta, galvojumu un kapitālieguldījumu formā AS „Parex banka” (šobrīd AS „Citadele banka” un AS „Reverta”), kas savu maksimumu 1,219 mljrd. latu sasniedza 2009.gadā un kas līdz 2012.gada beigām ir samazinājies līdz 713,69 mljrd. latu. Papildus valsts ir veikusi pasākumus, lai stiprinātu tai piederošo VAS „Latvijas Hipotēku un zemes banka”, kur laika posmā no 2008.gada līdz 2012.gadam likviditātes atbalsta, galvojumu un kapitālieguldījumu formā ieguldīti aptuveni 200 milj. latu,</w:t>
      </w:r>
      <w:r w:rsidR="008F4B54">
        <w:rPr>
          <w:rFonts w:eastAsia="Times New Roman" w:cs="Times New Roman"/>
          <w:szCs w:val="24"/>
          <w:lang w:eastAsia="lv-LV"/>
        </w:rPr>
        <w:t xml:space="preserve"> lai nodrošinātu tās pārveidi pa</w:t>
      </w:r>
      <w:r w:rsidRPr="00BD3232">
        <w:rPr>
          <w:rFonts w:eastAsia="Times New Roman" w:cs="Times New Roman"/>
          <w:szCs w:val="24"/>
          <w:lang w:eastAsia="lv-LV"/>
        </w:rPr>
        <w:t xml:space="preserve">r attīstības finanšu institūciju, kā arī vienlaikus samazinātu tiešu valsts ekspozīciju finanšu sektorā. </w:t>
      </w:r>
    </w:p>
    <w:p w:rsidR="00393A8D" w:rsidRPr="00BD3232" w:rsidRDefault="000B5CC4" w:rsidP="000B5CC4">
      <w:pPr>
        <w:spacing w:after="0" w:line="240" w:lineRule="auto"/>
        <w:ind w:firstLine="709"/>
        <w:jc w:val="both"/>
        <w:rPr>
          <w:rFonts w:eastAsia="Times New Roman" w:cs="Times New Roman"/>
          <w:szCs w:val="24"/>
          <w:lang w:eastAsia="lv-LV"/>
        </w:rPr>
      </w:pPr>
      <w:r w:rsidRPr="00BD3232">
        <w:rPr>
          <w:rFonts w:eastAsia="Times New Roman" w:cs="Times New Roman"/>
          <w:szCs w:val="24"/>
          <w:lang w:eastAsia="lv-LV"/>
        </w:rPr>
        <w:t>Lai novērstu krīzes iespējamo negatīvo ietekmi uz finanšu sektoru un tautsaimniecību kopumā, valst</w:t>
      </w:r>
      <w:r w:rsidR="00D82333" w:rsidRPr="00BD3232">
        <w:rPr>
          <w:rFonts w:eastAsia="Times New Roman" w:cs="Times New Roman"/>
          <w:szCs w:val="24"/>
          <w:lang w:eastAsia="lv-LV"/>
        </w:rPr>
        <w:t>s no savas puses nekavējoties veica</w:t>
      </w:r>
      <w:r w:rsidRPr="00BD3232">
        <w:rPr>
          <w:rFonts w:eastAsia="Times New Roman" w:cs="Times New Roman"/>
          <w:szCs w:val="24"/>
          <w:lang w:eastAsia="lv-LV"/>
        </w:rPr>
        <w:t xml:space="preserve"> vairākus neatliekamus pasākumus banku sektorā, kas bija būtiski finanšu sistēmas stabilitātes nodrošināšanai ilgtermiņā. No šiem pasākumiem, kas sekmēja finanšu sektora darbību ar minimāliem satricinājumiem, tiešu labumu primāri guva finanšu sektors, tādā veidā izvairoties no neparedzamiem satricinājumiem finanšu tirgū, kas visticamāk būtu radījuši ievērojami lielākus zaudējumus.</w:t>
      </w:r>
    </w:p>
    <w:p w:rsidR="003B4E6F" w:rsidRPr="00BD3232" w:rsidRDefault="003B4E6F" w:rsidP="000B5CC4">
      <w:pPr>
        <w:spacing w:after="0" w:line="240" w:lineRule="auto"/>
        <w:ind w:firstLine="709"/>
        <w:jc w:val="both"/>
        <w:rPr>
          <w:rFonts w:eastAsia="Times New Roman" w:cs="Times New Roman"/>
          <w:szCs w:val="24"/>
          <w:lang w:eastAsia="lv-LV"/>
        </w:rPr>
      </w:pPr>
    </w:p>
    <w:p w:rsidR="00393A8D" w:rsidRPr="00BD3232" w:rsidRDefault="00393A8D" w:rsidP="00393A8D">
      <w:pPr>
        <w:spacing w:after="0" w:line="240" w:lineRule="auto"/>
        <w:ind w:firstLine="709"/>
        <w:jc w:val="both"/>
        <w:rPr>
          <w:rFonts w:eastAsia="Times New Roman" w:cs="Times New Roman"/>
          <w:szCs w:val="24"/>
          <w:lang w:eastAsia="lv-LV"/>
        </w:rPr>
      </w:pPr>
    </w:p>
    <w:p w:rsidR="00393A8D" w:rsidRPr="00BD3232" w:rsidRDefault="00393A8D" w:rsidP="00393A8D">
      <w:pPr>
        <w:numPr>
          <w:ilvl w:val="1"/>
          <w:numId w:val="35"/>
        </w:numPr>
        <w:spacing w:after="0" w:line="240" w:lineRule="auto"/>
        <w:contextualSpacing/>
        <w:rPr>
          <w:rFonts w:eastAsia="Calibri" w:cs="Times New Roman"/>
          <w:b/>
          <w:i/>
        </w:rPr>
      </w:pPr>
      <w:r w:rsidRPr="00BD3232">
        <w:rPr>
          <w:rFonts w:eastAsia="Calibri" w:cs="Times New Roman"/>
          <w:b/>
          <w:i/>
        </w:rPr>
        <w:t>Administrēšanas izmaksas</w:t>
      </w:r>
    </w:p>
    <w:p w:rsidR="003B4E6F" w:rsidRPr="00BD3232" w:rsidRDefault="003B4E6F" w:rsidP="000C484A">
      <w:pPr>
        <w:spacing w:after="0" w:line="240" w:lineRule="auto"/>
        <w:ind w:firstLine="709"/>
        <w:jc w:val="both"/>
        <w:rPr>
          <w:rFonts w:eastAsia="Calibri" w:cs="Times New Roman"/>
        </w:rPr>
      </w:pPr>
    </w:p>
    <w:p w:rsidR="00E6229C" w:rsidRPr="00BD3232" w:rsidRDefault="00F502BC" w:rsidP="000C484A">
      <w:pPr>
        <w:spacing w:after="0" w:line="240" w:lineRule="auto"/>
        <w:ind w:firstLine="709"/>
        <w:jc w:val="both"/>
        <w:rPr>
          <w:rFonts w:eastAsia="Times New Roman" w:cs="Times New Roman"/>
          <w:szCs w:val="24"/>
          <w:lang w:eastAsia="lv-LV"/>
        </w:rPr>
      </w:pPr>
      <w:r w:rsidRPr="00BD3232">
        <w:rPr>
          <w:rFonts w:eastAsia="Calibri" w:cs="Times New Roman"/>
        </w:rPr>
        <w:t xml:space="preserve">Viens no </w:t>
      </w:r>
      <w:r w:rsidR="00F01581" w:rsidRPr="00BD3232">
        <w:rPr>
          <w:rFonts w:eastAsia="Calibri" w:cs="Times New Roman"/>
        </w:rPr>
        <w:t xml:space="preserve">Finanšu un kapitāla tirgus komisijas (turpmāk – </w:t>
      </w:r>
      <w:r w:rsidRPr="00BD3232">
        <w:rPr>
          <w:rFonts w:eastAsia="Calibri" w:cs="Times New Roman"/>
        </w:rPr>
        <w:t>FKTK</w:t>
      </w:r>
      <w:r w:rsidR="00F01581" w:rsidRPr="00BD3232">
        <w:rPr>
          <w:rFonts w:eastAsia="Calibri" w:cs="Times New Roman"/>
        </w:rPr>
        <w:t>)</w:t>
      </w:r>
      <w:r w:rsidRPr="00BD3232">
        <w:rPr>
          <w:rFonts w:eastAsia="Calibri" w:cs="Times New Roman"/>
        </w:rPr>
        <w:t xml:space="preserve"> darbības stratēģijas mērķiem ir nodrošināt efektīvu finanšu stabilitātes nodevas administrēšanas procesu.</w:t>
      </w:r>
    </w:p>
    <w:p w:rsidR="00F502BC" w:rsidRPr="00BD3232" w:rsidRDefault="001A6C81" w:rsidP="000C484A">
      <w:pPr>
        <w:spacing w:after="0" w:line="240" w:lineRule="auto"/>
        <w:ind w:firstLine="709"/>
        <w:jc w:val="both"/>
        <w:rPr>
          <w:rFonts w:eastAsia="Times New Roman" w:cs="Times New Roman"/>
          <w:szCs w:val="24"/>
          <w:lang w:eastAsia="lv-LV"/>
        </w:rPr>
      </w:pPr>
      <w:r w:rsidRPr="00BD3232">
        <w:rPr>
          <w:rFonts w:eastAsia="Times New Roman" w:cs="Times New Roman"/>
          <w:szCs w:val="24"/>
          <w:lang w:eastAsia="lv-LV"/>
        </w:rPr>
        <w:t>2012.gads</w:t>
      </w:r>
      <w:r w:rsidR="00F502BC" w:rsidRPr="00BD3232">
        <w:rPr>
          <w:rFonts w:eastAsia="Times New Roman" w:cs="Times New Roman"/>
          <w:szCs w:val="24"/>
          <w:lang w:eastAsia="lv-LV"/>
        </w:rPr>
        <w:t xml:space="preserve"> bija otrais gads FSN administrēšanā, un tā laikā FKTK </w:t>
      </w:r>
      <w:r w:rsidR="003B4E6F" w:rsidRPr="00BD3232">
        <w:rPr>
          <w:rFonts w:eastAsia="Times New Roman" w:cs="Times New Roman"/>
          <w:szCs w:val="24"/>
          <w:lang w:eastAsia="lv-LV"/>
        </w:rPr>
        <w:t xml:space="preserve">konsultēja nodokļu maksātājus </w:t>
      </w:r>
      <w:r w:rsidRPr="00BD3232">
        <w:rPr>
          <w:rFonts w:eastAsia="Times New Roman" w:cs="Times New Roman"/>
          <w:szCs w:val="24"/>
          <w:lang w:eastAsia="lv-LV"/>
        </w:rPr>
        <w:t>par deklarācijas aizpildī</w:t>
      </w:r>
      <w:r w:rsidR="00540B8D" w:rsidRPr="00BD3232">
        <w:rPr>
          <w:rFonts w:eastAsia="Times New Roman" w:cs="Times New Roman"/>
          <w:szCs w:val="24"/>
          <w:lang w:eastAsia="lv-LV"/>
        </w:rPr>
        <w:t xml:space="preserve">šanu, </w:t>
      </w:r>
      <w:r w:rsidRPr="00BD3232">
        <w:rPr>
          <w:rFonts w:eastAsia="Times New Roman" w:cs="Times New Roman"/>
          <w:szCs w:val="24"/>
          <w:lang w:eastAsia="lv-LV"/>
        </w:rPr>
        <w:t xml:space="preserve">veica FSN iekasēšanas </w:t>
      </w:r>
      <w:r w:rsidR="00540B8D" w:rsidRPr="00BD3232">
        <w:rPr>
          <w:rFonts w:eastAsia="Times New Roman" w:cs="Times New Roman"/>
          <w:szCs w:val="24"/>
          <w:lang w:eastAsia="lv-LV"/>
        </w:rPr>
        <w:t>kontroli, kā arī veica nodevas maksātāju pārbaudes klātienē, lai gūtu pārliecību par nodevas  pareizu piemērošanu, it īpaši jautājumā par nodevas objekta noteikšanu.</w:t>
      </w:r>
    </w:p>
    <w:p w:rsidR="000C484A" w:rsidRPr="00BD3232" w:rsidRDefault="00F01581" w:rsidP="000C484A">
      <w:pPr>
        <w:spacing w:after="0" w:line="240" w:lineRule="auto"/>
        <w:ind w:firstLine="709"/>
        <w:jc w:val="both"/>
        <w:rPr>
          <w:rFonts w:eastAsia="Times New Roman" w:cs="Times New Roman"/>
          <w:szCs w:val="24"/>
          <w:lang w:eastAsia="lv-LV"/>
        </w:rPr>
      </w:pPr>
      <w:r w:rsidRPr="00BD3232">
        <w:rPr>
          <w:rFonts w:eastAsia="Times New Roman" w:cs="Times New Roman"/>
          <w:szCs w:val="24"/>
          <w:lang w:eastAsia="lv-LV"/>
        </w:rPr>
        <w:t>FSN</w:t>
      </w:r>
      <w:r w:rsidR="000C484A" w:rsidRPr="00BD3232">
        <w:rPr>
          <w:rFonts w:eastAsia="Times New Roman" w:cs="Times New Roman"/>
          <w:szCs w:val="24"/>
          <w:lang w:eastAsia="lv-LV"/>
        </w:rPr>
        <w:t xml:space="preserve"> administrēšanā FKTK izmanto šādus resursus – informācijas sistēmas un informāciju tehnoloģijas; cilvēkresursus nodevas uzskaitei un iekasēšanas kontrolei, kā arī administrēšanas procedūras pilnveidošanai; konsultēšanai par FSN deklarācijas aizpildīšanas kārtību, skaidrojot nodevas objekta komponentes. </w:t>
      </w:r>
    </w:p>
    <w:p w:rsidR="009A71C8" w:rsidRPr="00BD3232" w:rsidRDefault="007C48E5" w:rsidP="00540B8D">
      <w:pPr>
        <w:spacing w:after="0" w:line="240" w:lineRule="auto"/>
        <w:ind w:firstLine="709"/>
        <w:jc w:val="both"/>
        <w:rPr>
          <w:rFonts w:eastAsia="Calibri" w:cs="Times New Roman"/>
        </w:rPr>
      </w:pPr>
      <w:r w:rsidRPr="00BD3232">
        <w:rPr>
          <w:rFonts w:eastAsia="Calibri" w:cs="Times New Roman"/>
        </w:rPr>
        <w:t>Balstoties uz 2011. un 2012.gada darba laika resursu FSN administrēšanās aplēsēm,</w:t>
      </w:r>
      <w:r w:rsidR="00524D3C" w:rsidRPr="00BD3232">
        <w:rPr>
          <w:rFonts w:eastAsia="Calibri" w:cs="Times New Roman"/>
        </w:rPr>
        <w:t xml:space="preserve"> </w:t>
      </w:r>
      <w:r w:rsidRPr="00BD3232">
        <w:rPr>
          <w:rFonts w:eastAsia="Calibri" w:cs="Times New Roman"/>
        </w:rPr>
        <w:t xml:space="preserve">FKTK </w:t>
      </w:r>
      <w:r w:rsidR="00524D3C" w:rsidRPr="00BD3232">
        <w:rPr>
          <w:rFonts w:eastAsia="Calibri" w:cs="Times New Roman"/>
        </w:rPr>
        <w:t xml:space="preserve">ir novērtējusi </w:t>
      </w:r>
      <w:r w:rsidR="001A6C81" w:rsidRPr="00BD3232">
        <w:rPr>
          <w:rFonts w:eastAsia="Calibri" w:cs="Times New Roman"/>
        </w:rPr>
        <w:t>FSN</w:t>
      </w:r>
      <w:r w:rsidR="00524D3C" w:rsidRPr="00BD3232">
        <w:rPr>
          <w:rFonts w:eastAsia="Calibri" w:cs="Times New Roman"/>
        </w:rPr>
        <w:t xml:space="preserve"> administrēšanas izmaksas 2013.gadam šādā apmērā</w:t>
      </w:r>
      <w:r w:rsidR="004055A1" w:rsidRPr="00BD3232">
        <w:rPr>
          <w:rFonts w:eastAsia="Calibri" w:cs="Times New Roman"/>
        </w:rPr>
        <w:t xml:space="preserve"> (1.tab.)</w:t>
      </w:r>
      <w:r w:rsidR="00524D3C" w:rsidRPr="00BD3232">
        <w:rPr>
          <w:rFonts w:eastAsia="Calibri" w:cs="Times New Roman"/>
        </w:rPr>
        <w:t>:</w:t>
      </w:r>
    </w:p>
    <w:p w:rsidR="00540B8D" w:rsidRPr="00BD3232" w:rsidRDefault="00540B8D" w:rsidP="00540B8D">
      <w:pPr>
        <w:spacing w:after="0" w:line="240" w:lineRule="auto"/>
        <w:ind w:firstLine="709"/>
        <w:jc w:val="both"/>
        <w:rPr>
          <w:rFonts w:eastAsia="Calibri" w:cs="Times New Roman"/>
        </w:rPr>
      </w:pPr>
    </w:p>
    <w:p w:rsidR="009A71C8" w:rsidRPr="00BD3232" w:rsidRDefault="009A71C8" w:rsidP="009A71C8">
      <w:pPr>
        <w:spacing w:after="0" w:line="240" w:lineRule="auto"/>
        <w:rPr>
          <w:rFonts w:eastAsia="Calibri" w:cs="Times New Roman"/>
          <w:b/>
        </w:rPr>
      </w:pPr>
      <w:r w:rsidRPr="00BD3232">
        <w:rPr>
          <w:rFonts w:eastAsia="Calibri" w:cs="Times New Roman"/>
          <w:b/>
        </w:rPr>
        <w:t>1.tabula „FSN administrēšanas izmaksas 2013.gadam”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4"/>
        <w:gridCol w:w="1612"/>
        <w:gridCol w:w="1537"/>
        <w:gridCol w:w="1177"/>
      </w:tblGrid>
      <w:tr w:rsidR="00BD3232" w:rsidRPr="00BD3232" w:rsidTr="009A71C8">
        <w:tc>
          <w:tcPr>
            <w:tcW w:w="4094" w:type="dxa"/>
          </w:tcPr>
          <w:p w:rsidR="00B241F5" w:rsidRPr="00BD3232" w:rsidRDefault="00B241F5" w:rsidP="00B241F5">
            <w:pPr>
              <w:spacing w:after="0" w:line="240" w:lineRule="auto"/>
              <w:jc w:val="center"/>
              <w:rPr>
                <w:rFonts w:eastAsia="Times New Roman" w:cs="Times New Roman"/>
                <w:b/>
                <w:szCs w:val="24"/>
                <w:lang w:eastAsia="lv-LV"/>
              </w:rPr>
            </w:pPr>
            <w:r w:rsidRPr="00BD3232">
              <w:rPr>
                <w:rFonts w:eastAsia="Times New Roman" w:cs="Times New Roman"/>
                <w:b/>
                <w:szCs w:val="24"/>
                <w:lang w:eastAsia="lv-LV"/>
              </w:rPr>
              <w:t>Funkcija</w:t>
            </w:r>
          </w:p>
        </w:tc>
        <w:tc>
          <w:tcPr>
            <w:tcW w:w="1612" w:type="dxa"/>
          </w:tcPr>
          <w:p w:rsidR="00B241F5" w:rsidRPr="00BD3232" w:rsidRDefault="00B241F5" w:rsidP="00B241F5">
            <w:pPr>
              <w:spacing w:after="0" w:line="240" w:lineRule="auto"/>
              <w:jc w:val="center"/>
              <w:rPr>
                <w:rFonts w:eastAsia="Times New Roman" w:cs="Times New Roman"/>
                <w:b/>
                <w:szCs w:val="24"/>
                <w:lang w:eastAsia="lv-LV"/>
              </w:rPr>
            </w:pPr>
            <w:r w:rsidRPr="00BD3232">
              <w:rPr>
                <w:rFonts w:eastAsia="Times New Roman" w:cs="Times New Roman"/>
                <w:b/>
                <w:szCs w:val="24"/>
                <w:lang w:eastAsia="lv-LV"/>
              </w:rPr>
              <w:t>Cilvēkdienas gadā</w:t>
            </w:r>
          </w:p>
        </w:tc>
        <w:tc>
          <w:tcPr>
            <w:tcW w:w="1537" w:type="dxa"/>
          </w:tcPr>
          <w:p w:rsidR="00B241F5" w:rsidRPr="00BD3232" w:rsidRDefault="00B241F5" w:rsidP="00B241F5">
            <w:pPr>
              <w:spacing w:after="0" w:line="240" w:lineRule="auto"/>
              <w:jc w:val="center"/>
              <w:rPr>
                <w:rFonts w:eastAsia="Times New Roman" w:cs="Times New Roman"/>
                <w:b/>
                <w:szCs w:val="24"/>
                <w:lang w:eastAsia="lv-LV"/>
              </w:rPr>
            </w:pPr>
            <w:r w:rsidRPr="00BD3232">
              <w:rPr>
                <w:rFonts w:eastAsia="Times New Roman" w:cs="Times New Roman"/>
                <w:b/>
                <w:szCs w:val="24"/>
                <w:lang w:eastAsia="lv-LV"/>
              </w:rPr>
              <w:t>Cilvēkdienas izmaksas, Ls</w:t>
            </w:r>
          </w:p>
        </w:tc>
        <w:tc>
          <w:tcPr>
            <w:tcW w:w="1177" w:type="dxa"/>
          </w:tcPr>
          <w:p w:rsidR="00B241F5" w:rsidRPr="00BD3232" w:rsidRDefault="00B241F5" w:rsidP="00B241F5">
            <w:pPr>
              <w:spacing w:after="0" w:line="240" w:lineRule="auto"/>
              <w:jc w:val="center"/>
              <w:rPr>
                <w:rFonts w:eastAsia="Times New Roman" w:cs="Times New Roman"/>
                <w:b/>
                <w:szCs w:val="24"/>
                <w:lang w:eastAsia="lv-LV"/>
              </w:rPr>
            </w:pPr>
            <w:r w:rsidRPr="00BD3232">
              <w:rPr>
                <w:rFonts w:eastAsia="Times New Roman" w:cs="Times New Roman"/>
                <w:b/>
                <w:szCs w:val="24"/>
                <w:lang w:eastAsia="lv-LV"/>
              </w:rPr>
              <w:t>Izmaksas kopā, Ls</w:t>
            </w:r>
          </w:p>
        </w:tc>
      </w:tr>
      <w:tr w:rsidR="00BD3232" w:rsidRPr="00BD3232" w:rsidTr="009A71C8">
        <w:tc>
          <w:tcPr>
            <w:tcW w:w="4094" w:type="dxa"/>
          </w:tcPr>
          <w:p w:rsidR="00B241F5" w:rsidRPr="00BD3232" w:rsidRDefault="00BF7054" w:rsidP="00BF7054">
            <w:pPr>
              <w:spacing w:after="0" w:line="240" w:lineRule="auto"/>
              <w:jc w:val="both"/>
              <w:rPr>
                <w:rFonts w:eastAsia="Times New Roman" w:cs="Times New Roman"/>
                <w:szCs w:val="24"/>
                <w:lang w:eastAsia="lv-LV"/>
              </w:rPr>
            </w:pPr>
            <w:r w:rsidRPr="00BD3232">
              <w:rPr>
                <w:rFonts w:eastAsia="Times New Roman" w:cs="Times New Roman"/>
                <w:szCs w:val="24"/>
                <w:lang w:eastAsia="lv-LV"/>
              </w:rPr>
              <w:t>Uzskaite</w:t>
            </w:r>
            <w:r w:rsidR="00BC6E8F" w:rsidRPr="00BD3232">
              <w:rPr>
                <w:rFonts w:eastAsia="Times New Roman" w:cs="Times New Roman"/>
                <w:szCs w:val="24"/>
                <w:lang w:eastAsia="lv-LV"/>
              </w:rPr>
              <w:t>, iekasē</w:t>
            </w:r>
            <w:r w:rsidRPr="00BD3232">
              <w:rPr>
                <w:rFonts w:eastAsia="Times New Roman" w:cs="Times New Roman"/>
                <w:szCs w:val="24"/>
                <w:lang w:eastAsia="lv-LV"/>
              </w:rPr>
              <w:t>šanas kontrole</w:t>
            </w:r>
            <w:r w:rsidR="00BC6E8F" w:rsidRPr="00BD3232">
              <w:rPr>
                <w:rFonts w:eastAsia="Times New Roman" w:cs="Times New Roman"/>
                <w:szCs w:val="24"/>
                <w:lang w:eastAsia="lv-LV"/>
              </w:rPr>
              <w:t xml:space="preserve"> un </w:t>
            </w:r>
            <w:r w:rsidRPr="00BD3232">
              <w:rPr>
                <w:rFonts w:eastAsia="Times New Roman" w:cs="Times New Roman"/>
                <w:szCs w:val="24"/>
                <w:lang w:eastAsia="lv-LV"/>
              </w:rPr>
              <w:t xml:space="preserve">konsultēšana par deklarācijas aizpildīšanu </w:t>
            </w:r>
          </w:p>
        </w:tc>
        <w:tc>
          <w:tcPr>
            <w:tcW w:w="1612" w:type="dxa"/>
            <w:vAlign w:val="center"/>
          </w:tcPr>
          <w:p w:rsidR="00B241F5" w:rsidRPr="00BD3232" w:rsidRDefault="00BC6E8F" w:rsidP="00B241F5">
            <w:pPr>
              <w:spacing w:after="0" w:line="240" w:lineRule="auto"/>
              <w:jc w:val="center"/>
              <w:rPr>
                <w:rFonts w:eastAsia="Times New Roman" w:cs="Times New Roman"/>
                <w:szCs w:val="24"/>
                <w:lang w:eastAsia="lv-LV"/>
              </w:rPr>
            </w:pPr>
            <w:r w:rsidRPr="00BD3232">
              <w:rPr>
                <w:rFonts w:eastAsia="Times New Roman" w:cs="Times New Roman"/>
                <w:szCs w:val="24"/>
                <w:lang w:eastAsia="lv-LV"/>
              </w:rPr>
              <w:t>32</w:t>
            </w:r>
          </w:p>
        </w:tc>
        <w:tc>
          <w:tcPr>
            <w:tcW w:w="1537" w:type="dxa"/>
            <w:vAlign w:val="center"/>
          </w:tcPr>
          <w:p w:rsidR="00BC6E8F" w:rsidRPr="00BD3232" w:rsidRDefault="00BC6E8F" w:rsidP="00BC6E8F">
            <w:pPr>
              <w:spacing w:after="0" w:line="240" w:lineRule="auto"/>
              <w:jc w:val="center"/>
              <w:rPr>
                <w:rFonts w:eastAsia="Times New Roman" w:cs="Times New Roman"/>
                <w:szCs w:val="24"/>
                <w:lang w:eastAsia="lv-LV"/>
              </w:rPr>
            </w:pPr>
            <w:r w:rsidRPr="00BD3232">
              <w:rPr>
                <w:rFonts w:eastAsia="Times New Roman" w:cs="Times New Roman"/>
                <w:szCs w:val="24"/>
                <w:lang w:eastAsia="lv-LV"/>
              </w:rPr>
              <w:t>149</w:t>
            </w:r>
          </w:p>
        </w:tc>
        <w:tc>
          <w:tcPr>
            <w:tcW w:w="1177" w:type="dxa"/>
            <w:vAlign w:val="center"/>
          </w:tcPr>
          <w:p w:rsidR="00B241F5" w:rsidRPr="00BD3232" w:rsidRDefault="00BC6E8F" w:rsidP="00B241F5">
            <w:pPr>
              <w:spacing w:after="0" w:line="240" w:lineRule="auto"/>
              <w:jc w:val="center"/>
              <w:rPr>
                <w:rFonts w:eastAsia="Times New Roman" w:cs="Times New Roman"/>
                <w:szCs w:val="24"/>
                <w:lang w:eastAsia="lv-LV"/>
              </w:rPr>
            </w:pPr>
            <w:r w:rsidRPr="00BD3232">
              <w:rPr>
                <w:rFonts w:eastAsia="Times New Roman" w:cs="Times New Roman"/>
                <w:szCs w:val="24"/>
                <w:lang w:eastAsia="lv-LV"/>
              </w:rPr>
              <w:t>4 768</w:t>
            </w:r>
          </w:p>
        </w:tc>
      </w:tr>
      <w:tr w:rsidR="00BD3232" w:rsidRPr="00BD3232" w:rsidTr="009A71C8">
        <w:tc>
          <w:tcPr>
            <w:tcW w:w="4094" w:type="dxa"/>
          </w:tcPr>
          <w:p w:rsidR="00B241F5" w:rsidRPr="00BD3232" w:rsidRDefault="00356F86" w:rsidP="00356F86">
            <w:pPr>
              <w:spacing w:after="0" w:line="240" w:lineRule="auto"/>
              <w:jc w:val="both"/>
              <w:rPr>
                <w:rFonts w:eastAsia="Times New Roman" w:cs="Times New Roman"/>
                <w:szCs w:val="24"/>
                <w:lang w:eastAsia="lv-LV"/>
              </w:rPr>
            </w:pPr>
            <w:r w:rsidRPr="00BD3232">
              <w:rPr>
                <w:rFonts w:eastAsia="Times New Roman" w:cs="Times New Roman"/>
                <w:szCs w:val="24"/>
                <w:lang w:eastAsia="lv-LV"/>
              </w:rPr>
              <w:t>FSN vadības funkcija, t.sk. plānošana un atskaišu sagatavošana Finanšu ministrijai</w:t>
            </w:r>
          </w:p>
        </w:tc>
        <w:tc>
          <w:tcPr>
            <w:tcW w:w="1612" w:type="dxa"/>
            <w:vAlign w:val="center"/>
          </w:tcPr>
          <w:p w:rsidR="00B241F5" w:rsidRPr="00BD3232" w:rsidRDefault="00BC6E8F" w:rsidP="00B241F5">
            <w:pPr>
              <w:spacing w:after="0" w:line="240" w:lineRule="auto"/>
              <w:jc w:val="center"/>
              <w:rPr>
                <w:rFonts w:eastAsia="Times New Roman" w:cs="Times New Roman"/>
                <w:szCs w:val="24"/>
                <w:lang w:eastAsia="lv-LV"/>
              </w:rPr>
            </w:pPr>
            <w:r w:rsidRPr="00BD3232">
              <w:rPr>
                <w:rFonts w:eastAsia="Times New Roman" w:cs="Times New Roman"/>
                <w:szCs w:val="24"/>
                <w:lang w:eastAsia="lv-LV"/>
              </w:rPr>
              <w:t>28</w:t>
            </w:r>
          </w:p>
        </w:tc>
        <w:tc>
          <w:tcPr>
            <w:tcW w:w="1537" w:type="dxa"/>
            <w:vAlign w:val="center"/>
          </w:tcPr>
          <w:p w:rsidR="00B241F5" w:rsidRPr="00BD3232" w:rsidRDefault="00BC6E8F" w:rsidP="00B241F5">
            <w:pPr>
              <w:spacing w:after="0" w:line="240" w:lineRule="auto"/>
              <w:jc w:val="center"/>
              <w:rPr>
                <w:rFonts w:eastAsia="Times New Roman" w:cs="Times New Roman"/>
                <w:szCs w:val="24"/>
                <w:lang w:eastAsia="lv-LV"/>
              </w:rPr>
            </w:pPr>
            <w:r w:rsidRPr="00BD3232">
              <w:rPr>
                <w:rFonts w:eastAsia="Times New Roman" w:cs="Times New Roman"/>
                <w:szCs w:val="24"/>
                <w:lang w:eastAsia="lv-LV"/>
              </w:rPr>
              <w:t>149</w:t>
            </w:r>
          </w:p>
        </w:tc>
        <w:tc>
          <w:tcPr>
            <w:tcW w:w="1177" w:type="dxa"/>
            <w:vAlign w:val="center"/>
          </w:tcPr>
          <w:p w:rsidR="00B241F5" w:rsidRPr="00BD3232" w:rsidRDefault="00BC6E8F" w:rsidP="00B241F5">
            <w:pPr>
              <w:spacing w:after="0" w:line="240" w:lineRule="auto"/>
              <w:jc w:val="center"/>
              <w:rPr>
                <w:rFonts w:eastAsia="Times New Roman" w:cs="Times New Roman"/>
                <w:szCs w:val="24"/>
                <w:lang w:eastAsia="lv-LV"/>
              </w:rPr>
            </w:pPr>
            <w:r w:rsidRPr="00BD3232">
              <w:rPr>
                <w:rFonts w:eastAsia="Times New Roman" w:cs="Times New Roman"/>
                <w:szCs w:val="24"/>
                <w:lang w:eastAsia="lv-LV"/>
              </w:rPr>
              <w:t>4 172</w:t>
            </w:r>
          </w:p>
        </w:tc>
      </w:tr>
      <w:tr w:rsidR="00BD3232" w:rsidRPr="00BD3232" w:rsidTr="009A71C8">
        <w:tc>
          <w:tcPr>
            <w:tcW w:w="4094" w:type="dxa"/>
          </w:tcPr>
          <w:p w:rsidR="00B241F5" w:rsidRPr="00BD3232" w:rsidRDefault="00F502BC" w:rsidP="00BF7054">
            <w:pPr>
              <w:spacing w:after="0" w:line="240" w:lineRule="auto"/>
              <w:jc w:val="both"/>
              <w:rPr>
                <w:rFonts w:eastAsia="Times New Roman" w:cs="Times New Roman"/>
                <w:szCs w:val="24"/>
                <w:lang w:eastAsia="lv-LV"/>
              </w:rPr>
            </w:pPr>
            <w:r w:rsidRPr="00BD3232">
              <w:rPr>
                <w:rFonts w:eastAsia="Times New Roman" w:cs="Times New Roman"/>
                <w:szCs w:val="24"/>
                <w:lang w:eastAsia="lv-LV"/>
              </w:rPr>
              <w:t xml:space="preserve">Ar FSN administrēšanu saistīto </w:t>
            </w:r>
            <w:r w:rsidR="00BF7054" w:rsidRPr="00BD3232">
              <w:rPr>
                <w:rFonts w:eastAsia="Times New Roman" w:cs="Times New Roman"/>
                <w:szCs w:val="24"/>
                <w:lang w:eastAsia="lv-LV"/>
              </w:rPr>
              <w:t xml:space="preserve">normatīvu, metodisko materiālu </w:t>
            </w:r>
            <w:r w:rsidR="00BF7054" w:rsidRPr="00BD3232">
              <w:rPr>
                <w:rFonts w:eastAsia="Times New Roman" w:cs="Times New Roman"/>
                <w:szCs w:val="24"/>
                <w:lang w:eastAsia="lv-LV"/>
              </w:rPr>
              <w:lastRenderedPageBreak/>
              <w:t>izstrāde, saskaņošana un konsultēšana par piemērošanu</w:t>
            </w:r>
            <w:r w:rsidRPr="00BD3232">
              <w:rPr>
                <w:rFonts w:eastAsia="Times New Roman" w:cs="Times New Roman"/>
                <w:szCs w:val="24"/>
                <w:lang w:eastAsia="lv-LV"/>
              </w:rPr>
              <w:t xml:space="preserve"> </w:t>
            </w:r>
          </w:p>
        </w:tc>
        <w:tc>
          <w:tcPr>
            <w:tcW w:w="1612" w:type="dxa"/>
            <w:vAlign w:val="center"/>
          </w:tcPr>
          <w:p w:rsidR="00B241F5" w:rsidRPr="00BD3232" w:rsidRDefault="00BC6E8F" w:rsidP="00B241F5">
            <w:pPr>
              <w:spacing w:after="0" w:line="240" w:lineRule="auto"/>
              <w:jc w:val="center"/>
              <w:rPr>
                <w:rFonts w:eastAsia="Times New Roman" w:cs="Times New Roman"/>
                <w:szCs w:val="24"/>
                <w:lang w:eastAsia="lv-LV"/>
              </w:rPr>
            </w:pPr>
            <w:r w:rsidRPr="00BD3232">
              <w:rPr>
                <w:rFonts w:eastAsia="Times New Roman" w:cs="Times New Roman"/>
                <w:szCs w:val="24"/>
                <w:lang w:eastAsia="lv-LV"/>
              </w:rPr>
              <w:lastRenderedPageBreak/>
              <w:t>146</w:t>
            </w:r>
          </w:p>
        </w:tc>
        <w:tc>
          <w:tcPr>
            <w:tcW w:w="1537" w:type="dxa"/>
            <w:vAlign w:val="center"/>
          </w:tcPr>
          <w:p w:rsidR="00B241F5" w:rsidRPr="00BD3232" w:rsidRDefault="00BC6E8F" w:rsidP="00B241F5">
            <w:pPr>
              <w:spacing w:after="0" w:line="240" w:lineRule="auto"/>
              <w:jc w:val="center"/>
              <w:rPr>
                <w:rFonts w:eastAsia="Times New Roman" w:cs="Times New Roman"/>
                <w:szCs w:val="24"/>
                <w:lang w:eastAsia="lv-LV"/>
              </w:rPr>
            </w:pPr>
            <w:r w:rsidRPr="00BD3232">
              <w:rPr>
                <w:rFonts w:eastAsia="Times New Roman" w:cs="Times New Roman"/>
                <w:szCs w:val="24"/>
                <w:lang w:eastAsia="lv-LV"/>
              </w:rPr>
              <w:t>149</w:t>
            </w:r>
          </w:p>
        </w:tc>
        <w:tc>
          <w:tcPr>
            <w:tcW w:w="1177" w:type="dxa"/>
            <w:vAlign w:val="center"/>
          </w:tcPr>
          <w:p w:rsidR="00B241F5" w:rsidRPr="00BD3232" w:rsidRDefault="00BC6E8F" w:rsidP="00B241F5">
            <w:pPr>
              <w:spacing w:after="0" w:line="240" w:lineRule="auto"/>
              <w:jc w:val="center"/>
              <w:rPr>
                <w:rFonts w:eastAsia="Times New Roman" w:cs="Times New Roman"/>
                <w:szCs w:val="24"/>
                <w:lang w:eastAsia="lv-LV"/>
              </w:rPr>
            </w:pPr>
            <w:r w:rsidRPr="00BD3232">
              <w:rPr>
                <w:rFonts w:eastAsia="Times New Roman" w:cs="Times New Roman"/>
                <w:szCs w:val="24"/>
                <w:lang w:eastAsia="lv-LV"/>
              </w:rPr>
              <w:t>21 754</w:t>
            </w:r>
          </w:p>
        </w:tc>
      </w:tr>
      <w:tr w:rsidR="00BD3232" w:rsidRPr="00BD3232" w:rsidTr="009A71C8">
        <w:tc>
          <w:tcPr>
            <w:tcW w:w="4094" w:type="dxa"/>
          </w:tcPr>
          <w:p w:rsidR="00B241F5" w:rsidRPr="00BD3232" w:rsidRDefault="00BC6E8F" w:rsidP="00B241F5">
            <w:pPr>
              <w:spacing w:after="0" w:line="240" w:lineRule="auto"/>
              <w:jc w:val="both"/>
              <w:rPr>
                <w:rFonts w:eastAsia="Times New Roman" w:cs="Times New Roman"/>
                <w:szCs w:val="24"/>
                <w:lang w:eastAsia="lv-LV"/>
              </w:rPr>
            </w:pPr>
            <w:r w:rsidRPr="00BD3232">
              <w:rPr>
                <w:rFonts w:eastAsia="Times New Roman" w:cs="Times New Roman"/>
                <w:szCs w:val="24"/>
                <w:lang w:eastAsia="lv-LV"/>
              </w:rPr>
              <w:lastRenderedPageBreak/>
              <w:t>Pārbaužu veikšana</w:t>
            </w:r>
          </w:p>
        </w:tc>
        <w:tc>
          <w:tcPr>
            <w:tcW w:w="1612" w:type="dxa"/>
            <w:vAlign w:val="center"/>
          </w:tcPr>
          <w:p w:rsidR="00B241F5" w:rsidRPr="00BD3232" w:rsidRDefault="00BC6E8F" w:rsidP="00B241F5">
            <w:pPr>
              <w:spacing w:after="0" w:line="240" w:lineRule="auto"/>
              <w:jc w:val="center"/>
              <w:rPr>
                <w:rFonts w:eastAsia="Times New Roman" w:cs="Times New Roman"/>
                <w:szCs w:val="24"/>
                <w:lang w:eastAsia="lv-LV"/>
              </w:rPr>
            </w:pPr>
            <w:r w:rsidRPr="00BD3232">
              <w:rPr>
                <w:rFonts w:eastAsia="Times New Roman" w:cs="Times New Roman"/>
                <w:szCs w:val="24"/>
                <w:lang w:eastAsia="lv-LV"/>
              </w:rPr>
              <w:t>252</w:t>
            </w:r>
          </w:p>
        </w:tc>
        <w:tc>
          <w:tcPr>
            <w:tcW w:w="1537" w:type="dxa"/>
            <w:vAlign w:val="center"/>
          </w:tcPr>
          <w:p w:rsidR="00B241F5" w:rsidRPr="00BD3232" w:rsidRDefault="00BC6E8F" w:rsidP="00B241F5">
            <w:pPr>
              <w:spacing w:after="0" w:line="240" w:lineRule="auto"/>
              <w:jc w:val="center"/>
              <w:rPr>
                <w:rFonts w:eastAsia="Times New Roman" w:cs="Times New Roman"/>
                <w:szCs w:val="24"/>
                <w:lang w:eastAsia="lv-LV"/>
              </w:rPr>
            </w:pPr>
            <w:r w:rsidRPr="00BD3232">
              <w:rPr>
                <w:rFonts w:eastAsia="Times New Roman" w:cs="Times New Roman"/>
                <w:szCs w:val="24"/>
                <w:lang w:eastAsia="lv-LV"/>
              </w:rPr>
              <w:t>149</w:t>
            </w:r>
          </w:p>
        </w:tc>
        <w:tc>
          <w:tcPr>
            <w:tcW w:w="1177" w:type="dxa"/>
            <w:vAlign w:val="center"/>
          </w:tcPr>
          <w:p w:rsidR="00B241F5" w:rsidRPr="00BD3232" w:rsidRDefault="00BC6E8F" w:rsidP="00B241F5">
            <w:pPr>
              <w:spacing w:after="0" w:line="240" w:lineRule="auto"/>
              <w:jc w:val="center"/>
              <w:rPr>
                <w:rFonts w:eastAsia="Times New Roman" w:cs="Times New Roman"/>
                <w:szCs w:val="24"/>
                <w:lang w:eastAsia="lv-LV"/>
              </w:rPr>
            </w:pPr>
            <w:r w:rsidRPr="00BD3232">
              <w:rPr>
                <w:rFonts w:eastAsia="Times New Roman" w:cs="Times New Roman"/>
                <w:szCs w:val="24"/>
                <w:lang w:eastAsia="lv-LV"/>
              </w:rPr>
              <w:t>37 548</w:t>
            </w:r>
          </w:p>
        </w:tc>
      </w:tr>
      <w:tr w:rsidR="00BD3232" w:rsidRPr="00BD3232" w:rsidTr="009A71C8">
        <w:tc>
          <w:tcPr>
            <w:tcW w:w="4094" w:type="dxa"/>
          </w:tcPr>
          <w:p w:rsidR="00BC6E8F" w:rsidRPr="00BD3232" w:rsidRDefault="00BC6E8F" w:rsidP="00B241F5">
            <w:pPr>
              <w:spacing w:after="0" w:line="240" w:lineRule="auto"/>
              <w:jc w:val="both"/>
              <w:rPr>
                <w:rFonts w:eastAsia="Times New Roman" w:cs="Times New Roman"/>
                <w:szCs w:val="24"/>
                <w:lang w:eastAsia="lv-LV"/>
              </w:rPr>
            </w:pPr>
            <w:r w:rsidRPr="00BD3232">
              <w:rPr>
                <w:rFonts w:eastAsia="Times New Roman" w:cs="Times New Roman"/>
                <w:szCs w:val="24"/>
                <w:lang w:eastAsia="lv-LV"/>
              </w:rPr>
              <w:t>Informācijas sistēmu un informācijas tehnoloģiju apkalpošana</w:t>
            </w:r>
          </w:p>
        </w:tc>
        <w:tc>
          <w:tcPr>
            <w:tcW w:w="1612" w:type="dxa"/>
            <w:vAlign w:val="center"/>
          </w:tcPr>
          <w:p w:rsidR="00BC6E8F" w:rsidRPr="00BD3232" w:rsidRDefault="00BC6E8F" w:rsidP="00B241F5">
            <w:pPr>
              <w:spacing w:after="0" w:line="240" w:lineRule="auto"/>
              <w:jc w:val="center"/>
              <w:rPr>
                <w:rFonts w:eastAsia="Times New Roman" w:cs="Times New Roman"/>
                <w:szCs w:val="24"/>
                <w:lang w:eastAsia="lv-LV"/>
              </w:rPr>
            </w:pPr>
            <w:r w:rsidRPr="00BD3232">
              <w:rPr>
                <w:rFonts w:eastAsia="Times New Roman" w:cs="Times New Roman"/>
                <w:szCs w:val="24"/>
                <w:lang w:eastAsia="lv-LV"/>
              </w:rPr>
              <w:t>8</w:t>
            </w:r>
          </w:p>
        </w:tc>
        <w:tc>
          <w:tcPr>
            <w:tcW w:w="1537" w:type="dxa"/>
            <w:vAlign w:val="center"/>
          </w:tcPr>
          <w:p w:rsidR="00BC6E8F" w:rsidRPr="00BD3232" w:rsidRDefault="00BC6E8F" w:rsidP="00B241F5">
            <w:pPr>
              <w:spacing w:after="0" w:line="240" w:lineRule="auto"/>
              <w:jc w:val="center"/>
              <w:rPr>
                <w:rFonts w:eastAsia="Times New Roman" w:cs="Times New Roman"/>
                <w:szCs w:val="24"/>
                <w:lang w:eastAsia="lv-LV"/>
              </w:rPr>
            </w:pPr>
            <w:r w:rsidRPr="00BD3232">
              <w:rPr>
                <w:rFonts w:eastAsia="Times New Roman" w:cs="Times New Roman"/>
                <w:szCs w:val="24"/>
                <w:lang w:eastAsia="lv-LV"/>
              </w:rPr>
              <w:t>149</w:t>
            </w:r>
          </w:p>
        </w:tc>
        <w:tc>
          <w:tcPr>
            <w:tcW w:w="1177" w:type="dxa"/>
            <w:vAlign w:val="center"/>
          </w:tcPr>
          <w:p w:rsidR="00BC6E8F" w:rsidRPr="00BD3232" w:rsidRDefault="00BC6E8F" w:rsidP="00B241F5">
            <w:pPr>
              <w:spacing w:after="0" w:line="240" w:lineRule="auto"/>
              <w:jc w:val="center"/>
              <w:rPr>
                <w:rFonts w:eastAsia="Times New Roman" w:cs="Times New Roman"/>
                <w:szCs w:val="24"/>
                <w:lang w:eastAsia="lv-LV"/>
              </w:rPr>
            </w:pPr>
            <w:r w:rsidRPr="00BD3232">
              <w:rPr>
                <w:rFonts w:eastAsia="Times New Roman" w:cs="Times New Roman"/>
                <w:szCs w:val="24"/>
                <w:lang w:eastAsia="lv-LV"/>
              </w:rPr>
              <w:t>1 192</w:t>
            </w:r>
          </w:p>
        </w:tc>
      </w:tr>
      <w:tr w:rsidR="00BD3232" w:rsidRPr="00BD3232" w:rsidTr="009A71C8">
        <w:tc>
          <w:tcPr>
            <w:tcW w:w="4094" w:type="dxa"/>
          </w:tcPr>
          <w:p w:rsidR="00B241F5" w:rsidRPr="00BD3232" w:rsidRDefault="00B241F5" w:rsidP="00B241F5">
            <w:pPr>
              <w:spacing w:after="0" w:line="240" w:lineRule="auto"/>
              <w:jc w:val="both"/>
              <w:rPr>
                <w:rFonts w:eastAsia="Times New Roman" w:cs="Times New Roman"/>
                <w:b/>
                <w:szCs w:val="24"/>
                <w:lang w:eastAsia="lv-LV"/>
              </w:rPr>
            </w:pPr>
            <w:r w:rsidRPr="00BD3232">
              <w:rPr>
                <w:rFonts w:eastAsia="Times New Roman" w:cs="Times New Roman"/>
                <w:b/>
                <w:szCs w:val="24"/>
                <w:lang w:eastAsia="lv-LV"/>
              </w:rPr>
              <w:t>Kopā</w:t>
            </w:r>
          </w:p>
        </w:tc>
        <w:tc>
          <w:tcPr>
            <w:tcW w:w="1612" w:type="dxa"/>
            <w:vAlign w:val="center"/>
          </w:tcPr>
          <w:p w:rsidR="00B241F5" w:rsidRPr="00BD3232" w:rsidRDefault="00BC6E8F" w:rsidP="00B241F5">
            <w:pPr>
              <w:spacing w:after="0" w:line="240" w:lineRule="auto"/>
              <w:jc w:val="center"/>
              <w:rPr>
                <w:rFonts w:eastAsia="Times New Roman" w:cs="Times New Roman"/>
                <w:b/>
                <w:szCs w:val="24"/>
                <w:lang w:eastAsia="lv-LV"/>
              </w:rPr>
            </w:pPr>
            <w:r w:rsidRPr="00BD3232">
              <w:rPr>
                <w:rFonts w:eastAsia="Times New Roman" w:cs="Times New Roman"/>
                <w:b/>
                <w:szCs w:val="24"/>
                <w:lang w:eastAsia="lv-LV"/>
              </w:rPr>
              <w:t>466</w:t>
            </w:r>
          </w:p>
        </w:tc>
        <w:tc>
          <w:tcPr>
            <w:tcW w:w="1537" w:type="dxa"/>
            <w:vAlign w:val="center"/>
          </w:tcPr>
          <w:p w:rsidR="00B241F5" w:rsidRPr="00BD3232" w:rsidRDefault="00BC6E8F" w:rsidP="00B241F5">
            <w:pPr>
              <w:spacing w:after="0" w:line="240" w:lineRule="auto"/>
              <w:jc w:val="center"/>
              <w:rPr>
                <w:rFonts w:eastAsia="Times New Roman" w:cs="Times New Roman"/>
                <w:b/>
                <w:szCs w:val="24"/>
                <w:lang w:eastAsia="lv-LV"/>
              </w:rPr>
            </w:pPr>
            <w:r w:rsidRPr="00BD3232">
              <w:rPr>
                <w:rFonts w:eastAsia="Times New Roman" w:cs="Times New Roman"/>
                <w:b/>
                <w:szCs w:val="24"/>
                <w:lang w:eastAsia="lv-LV"/>
              </w:rPr>
              <w:t>149</w:t>
            </w:r>
          </w:p>
        </w:tc>
        <w:tc>
          <w:tcPr>
            <w:tcW w:w="1177" w:type="dxa"/>
            <w:vAlign w:val="center"/>
          </w:tcPr>
          <w:p w:rsidR="00B241F5" w:rsidRPr="00BD3232" w:rsidRDefault="00BC6E8F" w:rsidP="00B241F5">
            <w:pPr>
              <w:spacing w:after="0" w:line="240" w:lineRule="auto"/>
              <w:jc w:val="center"/>
              <w:rPr>
                <w:rFonts w:eastAsia="Times New Roman" w:cs="Times New Roman"/>
                <w:b/>
                <w:szCs w:val="24"/>
                <w:lang w:eastAsia="lv-LV"/>
              </w:rPr>
            </w:pPr>
            <w:r w:rsidRPr="00BD3232">
              <w:rPr>
                <w:rFonts w:eastAsia="Times New Roman" w:cs="Times New Roman"/>
                <w:b/>
                <w:szCs w:val="24"/>
                <w:lang w:eastAsia="lv-LV"/>
              </w:rPr>
              <w:t>69 434</w:t>
            </w:r>
          </w:p>
        </w:tc>
      </w:tr>
    </w:tbl>
    <w:p w:rsidR="009A71C8" w:rsidRPr="00BD3232" w:rsidRDefault="009A71C8" w:rsidP="009A71C8">
      <w:pPr>
        <w:spacing w:after="0" w:line="240" w:lineRule="auto"/>
        <w:jc w:val="both"/>
        <w:rPr>
          <w:rFonts w:eastAsia="Times New Roman" w:cs="Times New Roman"/>
          <w:sz w:val="22"/>
          <w:lang w:eastAsia="lv-LV"/>
        </w:rPr>
      </w:pPr>
      <w:r w:rsidRPr="00BD3232">
        <w:rPr>
          <w:rFonts w:eastAsia="Times New Roman" w:cs="Times New Roman"/>
          <w:sz w:val="22"/>
          <w:lang w:eastAsia="lv-LV"/>
        </w:rPr>
        <w:t>Dati: FKTK</w:t>
      </w:r>
    </w:p>
    <w:p w:rsidR="009A71C8" w:rsidRPr="00BD3232" w:rsidRDefault="009A71C8" w:rsidP="009A71C8">
      <w:pPr>
        <w:spacing w:after="0" w:line="240" w:lineRule="auto"/>
        <w:ind w:firstLine="709"/>
        <w:jc w:val="both"/>
        <w:rPr>
          <w:rFonts w:eastAsia="Calibri" w:cs="Times New Roman"/>
        </w:rPr>
      </w:pPr>
      <w:r w:rsidRPr="00BD3232">
        <w:rPr>
          <w:rFonts w:eastAsia="Calibri" w:cs="Times New Roman"/>
        </w:rPr>
        <w:t xml:space="preserve">Vienlaicīgi jānorāda, ka esošā modeļa ietvaros nodevas administrēšana tiek nodrošināta FKTK struktūras un kapacitātes ietvaros, nodevas uzskaite un pārskatu saņemšana ir integrēta informācijas sistēmās un informācijas tehnoloģijās, tādējādi </w:t>
      </w:r>
      <w:r w:rsidR="00E6229C" w:rsidRPr="00BD3232">
        <w:rPr>
          <w:rFonts w:eastAsia="Calibri" w:cs="Times New Roman"/>
        </w:rPr>
        <w:t>norādīto darbību veikšanai patērēto cilvēkdienu skaits ir aptuvenas aplēses</w:t>
      </w:r>
      <w:r w:rsidRPr="00BD3232">
        <w:rPr>
          <w:rFonts w:eastAsia="Calibri" w:cs="Times New Roman"/>
        </w:rPr>
        <w:t>.</w:t>
      </w:r>
      <w:r w:rsidR="00E6229C" w:rsidRPr="00BD3232">
        <w:rPr>
          <w:rFonts w:eastAsia="Calibri" w:cs="Times New Roman"/>
        </w:rPr>
        <w:t xml:space="preserve"> </w:t>
      </w:r>
    </w:p>
    <w:p w:rsidR="00393A8D" w:rsidRPr="00BD3232" w:rsidRDefault="00393A8D" w:rsidP="00393A8D">
      <w:pPr>
        <w:spacing w:after="0" w:line="240" w:lineRule="auto"/>
        <w:rPr>
          <w:rFonts w:eastAsia="Calibri" w:cs="Times New Roman"/>
        </w:rPr>
      </w:pPr>
    </w:p>
    <w:p w:rsidR="007E2FA3" w:rsidRPr="00BD3232" w:rsidRDefault="007E2FA3" w:rsidP="00393A8D">
      <w:pPr>
        <w:spacing w:after="0" w:line="240" w:lineRule="auto"/>
        <w:rPr>
          <w:rFonts w:eastAsia="Calibri" w:cs="Times New Roman"/>
        </w:rPr>
      </w:pPr>
    </w:p>
    <w:p w:rsidR="00393A8D" w:rsidRPr="00BD3232" w:rsidRDefault="00393A8D" w:rsidP="00393A8D">
      <w:pPr>
        <w:numPr>
          <w:ilvl w:val="0"/>
          <w:numId w:val="35"/>
        </w:numPr>
        <w:spacing w:after="0" w:line="240" w:lineRule="auto"/>
        <w:contextualSpacing/>
        <w:rPr>
          <w:rFonts w:eastAsia="Calibri" w:cs="Times New Roman"/>
          <w:b/>
        </w:rPr>
      </w:pPr>
      <w:r w:rsidRPr="00BD3232">
        <w:rPr>
          <w:rFonts w:eastAsia="Calibri" w:cs="Times New Roman"/>
          <w:b/>
        </w:rPr>
        <w:t>Situācijas apraksts</w:t>
      </w:r>
    </w:p>
    <w:p w:rsidR="00393A8D" w:rsidRPr="00BD3232" w:rsidRDefault="00393A8D" w:rsidP="00393A8D">
      <w:pPr>
        <w:spacing w:after="0" w:line="240" w:lineRule="auto"/>
        <w:rPr>
          <w:rFonts w:eastAsia="Calibri" w:cs="Times New Roman"/>
        </w:rPr>
      </w:pPr>
    </w:p>
    <w:p w:rsidR="00393A8D" w:rsidRPr="00BD3232" w:rsidRDefault="00393A8D" w:rsidP="00393A8D">
      <w:pPr>
        <w:numPr>
          <w:ilvl w:val="1"/>
          <w:numId w:val="35"/>
        </w:numPr>
        <w:spacing w:after="0" w:line="240" w:lineRule="auto"/>
        <w:contextualSpacing/>
        <w:jc w:val="both"/>
        <w:rPr>
          <w:rFonts w:eastAsia="Calibri" w:cs="Times New Roman"/>
          <w:b/>
          <w:i/>
        </w:rPr>
      </w:pPr>
      <w:r w:rsidRPr="00BD3232">
        <w:rPr>
          <w:rFonts w:eastAsia="Calibri" w:cs="Times New Roman"/>
          <w:b/>
          <w:i/>
        </w:rPr>
        <w:t>Finanšu stabilitātes nodevas pamatojums – krīzes novēršanas izmaksu kompensēšana valdībai</w:t>
      </w:r>
    </w:p>
    <w:p w:rsidR="00393A8D" w:rsidRPr="00BD3232" w:rsidRDefault="00393A8D" w:rsidP="00393A8D">
      <w:pPr>
        <w:spacing w:after="0" w:line="240" w:lineRule="auto"/>
        <w:ind w:firstLine="709"/>
        <w:jc w:val="both"/>
        <w:rPr>
          <w:rFonts w:eastAsia="Times New Roman" w:cs="Times New Roman"/>
          <w:szCs w:val="24"/>
          <w:lang w:eastAsia="lv-LV"/>
        </w:rPr>
      </w:pPr>
    </w:p>
    <w:p w:rsidR="00393A8D" w:rsidRPr="00BD3232" w:rsidRDefault="00393A8D" w:rsidP="00920863">
      <w:pPr>
        <w:spacing w:after="0" w:line="240" w:lineRule="auto"/>
        <w:ind w:firstLine="709"/>
        <w:jc w:val="both"/>
        <w:rPr>
          <w:rFonts w:eastAsia="Times New Roman" w:cs="Times New Roman"/>
          <w:szCs w:val="24"/>
          <w:lang w:eastAsia="lv-LV"/>
        </w:rPr>
      </w:pPr>
      <w:r w:rsidRPr="00BD3232">
        <w:rPr>
          <w:rFonts w:eastAsia="Times New Roman" w:cs="Times New Roman"/>
          <w:szCs w:val="24"/>
          <w:lang w:eastAsia="lv-LV"/>
        </w:rPr>
        <w:t>Pēc Starp</w:t>
      </w:r>
      <w:r w:rsidR="00C17185" w:rsidRPr="00BD3232">
        <w:rPr>
          <w:rFonts w:eastAsia="Times New Roman" w:cs="Times New Roman"/>
          <w:szCs w:val="24"/>
          <w:lang w:eastAsia="lv-LV"/>
        </w:rPr>
        <w:t xml:space="preserve">tautiskā Valūtas fonda (turpmāk - </w:t>
      </w:r>
      <w:r w:rsidRPr="00BD3232">
        <w:rPr>
          <w:rFonts w:eastAsia="Times New Roman" w:cs="Times New Roman"/>
          <w:szCs w:val="24"/>
          <w:lang w:eastAsia="lv-LV"/>
        </w:rPr>
        <w:t xml:space="preserve">SVF) datiem G-20 valstīm ekonomiskās krīzes fiskālās izmaksas sastādīja vidēji 4 – 6% no </w:t>
      </w:r>
      <w:r w:rsidR="00F01581" w:rsidRPr="00BD3232">
        <w:rPr>
          <w:rFonts w:eastAsia="Times New Roman" w:cs="Times New Roman"/>
          <w:szCs w:val="24"/>
          <w:lang w:eastAsia="lv-LV"/>
        </w:rPr>
        <w:t xml:space="preserve">iekšzemes kopprodukta (turpmāk – </w:t>
      </w:r>
      <w:r w:rsidRPr="00BD3232">
        <w:rPr>
          <w:rFonts w:eastAsia="Times New Roman" w:cs="Times New Roman"/>
          <w:szCs w:val="24"/>
          <w:lang w:eastAsia="lv-LV"/>
        </w:rPr>
        <w:t>IKP</w:t>
      </w:r>
      <w:r w:rsidR="00F01581" w:rsidRPr="00BD3232">
        <w:rPr>
          <w:rFonts w:eastAsia="Times New Roman" w:cs="Times New Roman"/>
          <w:szCs w:val="24"/>
          <w:lang w:eastAsia="lv-LV"/>
        </w:rPr>
        <w:t>)</w:t>
      </w:r>
      <w:r w:rsidRPr="00BD3232">
        <w:rPr>
          <w:rFonts w:eastAsia="Times New Roman" w:cs="Times New Roman"/>
          <w:szCs w:val="24"/>
          <w:lang w:eastAsia="lv-LV"/>
        </w:rPr>
        <w:t xml:space="preserve">. Dažām valstīm fiskālās izmaksas bija salīdzinoši nelielas, savukārt citviet 2009.gada beigās neatgūtās izmaksas bija visnotaļ augstas – Apvienotajā Karalistē 6,1 % no IKP, Vācijā 4,8 % no IKP un Amerikas Savienotajās valstīs 3,6%. Atgūtas vidēji tika 2,8% no IKP. Atbalsts tika sniegts gan kā kredītu garantijas, gan kā aktīvu uzpirkšana un garantiju shēmas, gan finanšu resursu injekcijas likviditātes nodrošināšanai. Pieskaitot arī ekonomiskās krīzes netiešo ietekmi, G-20 valstīm izmaksas krīzes periodā svārstījās ap 25% no IKP. SVF prognozē, ka, lai 2015.gadā atgūtos no krīzes radītajām sekām, paredzams valdības parādu pieaugums vidēji par 40 procentu punktiem, salīdzinot ar pirmskrīzes periodu 2008.gadā. Starptautiskā finanšu krīze atklāja trūkumus esošajā finanšu institūciju tiesiskajā regulējumā un ierobežotās iespējas koriģēt finanšu krīzes ietekmi. Gan </w:t>
      </w:r>
      <w:r w:rsidR="00A825C8" w:rsidRPr="00BD3232">
        <w:rPr>
          <w:rFonts w:eastAsia="Times New Roman" w:cs="Times New Roman"/>
          <w:szCs w:val="24"/>
          <w:lang w:eastAsia="lv-LV"/>
        </w:rPr>
        <w:t>Ei</w:t>
      </w:r>
      <w:r w:rsidR="00F01581" w:rsidRPr="00BD3232">
        <w:rPr>
          <w:rFonts w:eastAsia="Times New Roman" w:cs="Times New Roman"/>
          <w:szCs w:val="24"/>
          <w:lang w:eastAsia="lv-LV"/>
        </w:rPr>
        <w:t>ro</w:t>
      </w:r>
      <w:r w:rsidRPr="00BD3232">
        <w:rPr>
          <w:rFonts w:eastAsia="Times New Roman" w:cs="Times New Roman"/>
          <w:szCs w:val="24"/>
          <w:lang w:eastAsia="lv-LV"/>
        </w:rPr>
        <w:t>pas Savienības</w:t>
      </w:r>
      <w:r w:rsidR="00F01581" w:rsidRPr="00BD3232">
        <w:rPr>
          <w:rFonts w:eastAsia="Times New Roman" w:cs="Times New Roman"/>
          <w:szCs w:val="24"/>
          <w:lang w:eastAsia="lv-LV"/>
        </w:rPr>
        <w:t xml:space="preserve"> (turpmāk - ES)</w:t>
      </w:r>
      <w:r w:rsidRPr="00BD3232">
        <w:rPr>
          <w:rFonts w:eastAsia="Times New Roman" w:cs="Times New Roman"/>
          <w:szCs w:val="24"/>
          <w:lang w:eastAsia="lv-LV"/>
        </w:rPr>
        <w:t xml:space="preserve">, gan atsevišķu dalībvalstu līmenī tika veikti vairāki pasākumi bezprecedenta apjomā, sniedzot valsts atbalstu grūtībās nonākušām finanšu institūcijām, ar mērķi stiprināt atsevišķu dalībvalstu un </w:t>
      </w:r>
      <w:r w:rsidR="00F01581" w:rsidRPr="00BD3232">
        <w:rPr>
          <w:rFonts w:eastAsia="Times New Roman" w:cs="Times New Roman"/>
          <w:szCs w:val="24"/>
          <w:lang w:eastAsia="lv-LV"/>
        </w:rPr>
        <w:t>ES</w:t>
      </w:r>
      <w:r w:rsidRPr="00BD3232">
        <w:rPr>
          <w:rFonts w:eastAsia="Times New Roman" w:cs="Times New Roman"/>
          <w:szCs w:val="24"/>
          <w:lang w:eastAsia="lv-LV"/>
        </w:rPr>
        <w:t xml:space="preserve"> finanšu stabilitāti. Uz 2010.gada oktobri </w:t>
      </w:r>
      <w:r w:rsidR="00A825C8" w:rsidRPr="00BD3232">
        <w:rPr>
          <w:rFonts w:eastAsia="Times New Roman" w:cs="Times New Roman"/>
          <w:szCs w:val="24"/>
          <w:lang w:eastAsia="lv-LV"/>
        </w:rPr>
        <w:t>Ei</w:t>
      </w:r>
      <w:r w:rsidR="00F01581" w:rsidRPr="00BD3232">
        <w:rPr>
          <w:rFonts w:eastAsia="Times New Roman" w:cs="Times New Roman"/>
          <w:szCs w:val="24"/>
          <w:lang w:eastAsia="lv-LV"/>
        </w:rPr>
        <w:t>ro</w:t>
      </w:r>
      <w:r w:rsidRPr="00BD3232">
        <w:rPr>
          <w:rFonts w:eastAsia="Times New Roman" w:cs="Times New Roman"/>
          <w:szCs w:val="24"/>
          <w:lang w:eastAsia="lv-LV"/>
        </w:rPr>
        <w:t xml:space="preserve">pas Komisija </w:t>
      </w:r>
      <w:r w:rsidR="00F01581" w:rsidRPr="00BD3232">
        <w:rPr>
          <w:rFonts w:eastAsia="Times New Roman" w:cs="Times New Roman"/>
          <w:szCs w:val="24"/>
          <w:lang w:eastAsia="lv-LV"/>
        </w:rPr>
        <w:t xml:space="preserve">(turpmāk – EK) </w:t>
      </w:r>
      <w:r w:rsidRPr="00BD3232">
        <w:rPr>
          <w:rFonts w:eastAsia="Times New Roman" w:cs="Times New Roman"/>
          <w:szCs w:val="24"/>
          <w:lang w:eastAsia="lv-LV"/>
        </w:rPr>
        <w:t xml:space="preserve">bija apstiprinājusi valsts atbalsta pasākumus 4,6 triljonu </w:t>
      </w:r>
      <w:r w:rsidR="00F01581" w:rsidRPr="007D66EC">
        <w:rPr>
          <w:rFonts w:eastAsia="Times New Roman" w:cs="Times New Roman"/>
          <w:i/>
          <w:szCs w:val="24"/>
          <w:lang w:eastAsia="lv-LV"/>
        </w:rPr>
        <w:t>euro</w:t>
      </w:r>
      <w:r w:rsidRPr="00BD3232">
        <w:rPr>
          <w:rFonts w:eastAsia="Times New Roman" w:cs="Times New Roman"/>
          <w:szCs w:val="24"/>
          <w:lang w:eastAsia="lv-LV"/>
        </w:rPr>
        <w:t xml:space="preserve"> apmērā, no kuriem vairāk kā 2 triljoni </w:t>
      </w:r>
      <w:r w:rsidR="00F01581" w:rsidRPr="007D66EC">
        <w:rPr>
          <w:rFonts w:eastAsia="Times New Roman" w:cs="Times New Roman"/>
          <w:i/>
          <w:szCs w:val="24"/>
          <w:lang w:eastAsia="lv-LV"/>
        </w:rPr>
        <w:t>euro</w:t>
      </w:r>
      <w:r w:rsidRPr="00BD3232">
        <w:rPr>
          <w:rFonts w:eastAsia="Times New Roman" w:cs="Times New Roman"/>
          <w:szCs w:val="24"/>
          <w:lang w:eastAsia="lv-LV"/>
        </w:rPr>
        <w:t xml:space="preserve"> tika izmantoti 2008. un 2009.gadā.</w:t>
      </w:r>
      <w:r w:rsidRPr="00BD3232">
        <w:rPr>
          <w:rFonts w:eastAsia="Times New Roman" w:cs="Times New Roman"/>
          <w:szCs w:val="24"/>
          <w:vertAlign w:val="superscript"/>
          <w:lang w:eastAsia="lv-LV"/>
        </w:rPr>
        <w:footnoteReference w:id="2"/>
      </w:r>
    </w:p>
    <w:p w:rsidR="00393A8D" w:rsidRPr="00BD3232" w:rsidRDefault="00393A8D" w:rsidP="00393A8D">
      <w:pPr>
        <w:spacing w:after="0" w:line="240" w:lineRule="auto"/>
        <w:ind w:firstLine="709"/>
        <w:jc w:val="both"/>
        <w:rPr>
          <w:rFonts w:eastAsia="Times New Roman" w:cs="Times New Roman"/>
          <w:szCs w:val="24"/>
          <w:lang w:eastAsia="lv-LV"/>
        </w:rPr>
      </w:pPr>
      <w:r w:rsidRPr="00BD3232">
        <w:rPr>
          <w:rFonts w:eastAsia="Times New Roman" w:cs="Times New Roman"/>
          <w:szCs w:val="24"/>
          <w:lang w:eastAsia="lv-LV"/>
        </w:rPr>
        <w:t>Lai atgūtu sniegtā finanšu atbalsta izmaksas, vairākas valstis ir uzsākušas iniciatīvas, ieviešot jaunas nodevas finanšu sektoram vai papildu nodokli no finanšu sektora prēmijām un piemaksām, vai atsevišķiem finanšu darījumiem.</w:t>
      </w:r>
    </w:p>
    <w:p w:rsidR="00393A8D" w:rsidRPr="00BD3232" w:rsidRDefault="00393A8D" w:rsidP="00393A8D">
      <w:pPr>
        <w:spacing w:after="0" w:line="240" w:lineRule="auto"/>
        <w:ind w:firstLine="709"/>
        <w:jc w:val="both"/>
        <w:rPr>
          <w:rFonts w:eastAsia="Times New Roman" w:cs="Times New Roman"/>
          <w:szCs w:val="24"/>
          <w:lang w:eastAsia="lv-LV"/>
        </w:rPr>
      </w:pPr>
      <w:r w:rsidRPr="00BD3232">
        <w:rPr>
          <w:rFonts w:eastAsia="Times New Roman" w:cs="Times New Roman"/>
          <w:szCs w:val="24"/>
          <w:lang w:eastAsia="lv-LV"/>
        </w:rPr>
        <w:t>Kā viens no iespējamajiem risinājumiem tiek apskatīts krīzes seku novēršanas izmaksu proporcionāls sadalījums starp tirgus dalībniekiem, par pamatu ņemot iepriekšējo gadu auditētās bilances rādītājus. Šīs pieejas galvenā problēma ir, ka ne visi pirms krīzes tirgus dalībnieki turpina darbību arī pēckrīzes periodā, tādējādi izjaucot proporcionalitātes pieeju.</w:t>
      </w:r>
    </w:p>
    <w:p w:rsidR="00393A8D" w:rsidRPr="00BD3232" w:rsidRDefault="00393A8D" w:rsidP="00393A8D">
      <w:pPr>
        <w:spacing w:after="0" w:line="240" w:lineRule="auto"/>
        <w:ind w:firstLine="709"/>
        <w:jc w:val="both"/>
        <w:rPr>
          <w:rFonts w:eastAsia="Calibri" w:cs="Times New Roman"/>
          <w:szCs w:val="24"/>
          <w:lang w:eastAsia="lv-LV"/>
        </w:rPr>
      </w:pPr>
      <w:r w:rsidRPr="00BD3232">
        <w:rPr>
          <w:rFonts w:eastAsia="Calibri" w:cs="Times New Roman"/>
          <w:szCs w:val="24"/>
          <w:lang w:eastAsia="lv-LV"/>
        </w:rPr>
        <w:lastRenderedPageBreak/>
        <w:t>SVF piedāvā divu veidu risinājumu, kā nodrošināt finanšu sektora iesaisti ekonomiskās krīzes seku likvidēšanā:</w:t>
      </w:r>
    </w:p>
    <w:p w:rsidR="00393A8D" w:rsidRPr="00BD3232" w:rsidRDefault="00393A8D" w:rsidP="00393A8D">
      <w:pPr>
        <w:spacing w:after="0" w:line="240" w:lineRule="auto"/>
        <w:ind w:firstLine="709"/>
        <w:jc w:val="both"/>
        <w:rPr>
          <w:rFonts w:eastAsia="Calibri" w:cs="Times New Roman"/>
          <w:szCs w:val="24"/>
          <w:lang w:eastAsia="lv-LV"/>
        </w:rPr>
      </w:pPr>
      <w:r w:rsidRPr="00BD3232">
        <w:rPr>
          <w:rFonts w:eastAsia="Calibri" w:cs="Times New Roman"/>
          <w:b/>
          <w:i/>
          <w:szCs w:val="24"/>
          <w:lang w:eastAsia="lv-LV"/>
        </w:rPr>
        <w:t>Finanšu stabilitātes nodevas (FSN)</w:t>
      </w:r>
      <w:r w:rsidRPr="00BD3232">
        <w:rPr>
          <w:rFonts w:eastAsia="Calibri" w:cs="Times New Roman"/>
          <w:szCs w:val="24"/>
          <w:lang w:eastAsia="lv-LV"/>
        </w:rPr>
        <w:t xml:space="preserve"> pamatā ir maksājumi, kas segtu nākotnē iespējamās fiskālās izmaksas finanšu sektora atbalstam. Nodeva var tikt ieskatīta kopējā valsts budžetā vai arī uzkrāta atsevišķā fondā. FSN maksā visas finanšu institūcijas sākotnēji pēc vienas noteiktas likmes, kas vēlāk var tikt pielāgota, lai atbilstu atsevišķu institūciju sistemātiskajiem riskiem, kas saistīti ar institūcijas lielumu, ietekmi tirgū un aizvietojamību. Izvēlētajiem kritērijiem ir elastīgi jāreaģē uz situācijas izmaiņām laikā.</w:t>
      </w:r>
    </w:p>
    <w:p w:rsidR="00393A8D" w:rsidRPr="00BD3232" w:rsidRDefault="00393A8D" w:rsidP="00393A8D">
      <w:pPr>
        <w:spacing w:after="0" w:line="240" w:lineRule="auto"/>
        <w:ind w:firstLine="709"/>
        <w:jc w:val="both"/>
        <w:rPr>
          <w:rFonts w:eastAsia="Calibri" w:cs="Times New Roman"/>
          <w:szCs w:val="24"/>
          <w:lang w:eastAsia="lv-LV"/>
        </w:rPr>
      </w:pPr>
      <w:r w:rsidRPr="00BD3232">
        <w:rPr>
          <w:rFonts w:eastAsia="Calibri" w:cs="Times New Roman"/>
          <w:szCs w:val="24"/>
          <w:lang w:eastAsia="lv-LV"/>
        </w:rPr>
        <w:t>Lielbritānija, reaģējot uz SVF izteikto priekšlikumu izveidot atsevišķu Finanšu stabilitātes fondu, norāda, ka apdrošinot riskantākos darījumus, ar tiem saistītie riski tiktu dalīti starp darījuma veicējiem un Finanšu stabilitātes fondu, tādējādi mazinot iniciatīvu atteikties no šādiem darījumiem un tādēļ izvēlas FSN ieņēmums ieskaitīt valsts budžetā.</w:t>
      </w:r>
    </w:p>
    <w:p w:rsidR="00393A8D" w:rsidRPr="00BD3232" w:rsidRDefault="00393A8D" w:rsidP="00393A8D">
      <w:pPr>
        <w:spacing w:after="0" w:line="240" w:lineRule="auto"/>
        <w:ind w:firstLine="709"/>
        <w:jc w:val="both"/>
        <w:rPr>
          <w:rFonts w:eastAsia="Calibri" w:cs="Times New Roman"/>
          <w:szCs w:val="24"/>
          <w:lang w:eastAsia="lv-LV"/>
        </w:rPr>
      </w:pPr>
      <w:r w:rsidRPr="00BD3232">
        <w:rPr>
          <w:rFonts w:eastAsia="Calibri" w:cs="Times New Roman"/>
          <w:b/>
          <w:i/>
          <w:szCs w:val="24"/>
          <w:lang w:eastAsia="lv-LV"/>
        </w:rPr>
        <w:t>Finansiālo aktivitāšu nodoklis (Financial Activity Tax</w:t>
      </w:r>
      <w:r w:rsidR="00F01581" w:rsidRPr="00BD3232">
        <w:rPr>
          <w:rFonts w:eastAsia="Calibri" w:cs="Times New Roman"/>
          <w:b/>
          <w:i/>
          <w:szCs w:val="24"/>
          <w:lang w:eastAsia="lv-LV"/>
        </w:rPr>
        <w:t xml:space="preserve">) </w:t>
      </w:r>
      <w:r w:rsidR="00F01581" w:rsidRPr="00BD3232">
        <w:rPr>
          <w:rFonts w:eastAsia="Calibri" w:cs="Times New Roman"/>
          <w:szCs w:val="24"/>
          <w:lang w:eastAsia="lv-LV"/>
        </w:rPr>
        <w:t xml:space="preserve">(turpmāk - </w:t>
      </w:r>
      <w:r w:rsidR="00393663" w:rsidRPr="00BD3232">
        <w:rPr>
          <w:rFonts w:eastAsia="Calibri" w:cs="Times New Roman"/>
          <w:szCs w:val="24"/>
          <w:lang w:eastAsia="lv-LV"/>
        </w:rPr>
        <w:t>FAN</w:t>
      </w:r>
      <w:r w:rsidR="00F01581" w:rsidRPr="00BD3232">
        <w:rPr>
          <w:rFonts w:eastAsia="Calibri" w:cs="Times New Roman"/>
          <w:szCs w:val="24"/>
          <w:lang w:eastAsia="lv-LV"/>
        </w:rPr>
        <w:t>)</w:t>
      </w:r>
      <w:r w:rsidRPr="00BD3232">
        <w:rPr>
          <w:rFonts w:eastAsia="Calibri" w:cs="Times New Roman"/>
          <w:szCs w:val="24"/>
          <w:lang w:eastAsia="lv-LV"/>
        </w:rPr>
        <w:t xml:space="preserve"> piemērojams banku bruto peļņai un ieskaitāms valsts budžetā.</w:t>
      </w:r>
    </w:p>
    <w:p w:rsidR="00F36CF9" w:rsidRPr="00BD3232" w:rsidRDefault="00393A8D" w:rsidP="00393A8D">
      <w:pPr>
        <w:spacing w:after="0" w:line="240" w:lineRule="auto"/>
        <w:ind w:firstLine="709"/>
        <w:jc w:val="both"/>
      </w:pPr>
      <w:r w:rsidRPr="00BD3232">
        <w:rPr>
          <w:rFonts w:eastAsia="Calibri" w:cs="Times New Roman"/>
          <w:szCs w:val="24"/>
          <w:lang w:eastAsia="lv-LV"/>
        </w:rPr>
        <w:t>Augstāk minētās pieejas tiek kritizētas, jo neviena no tām nenodrošina sistēmisko risku, kas izraisīja 2008.gada ekonomisko krīzi, samazināšanu, nedz arī kompensē krīzes reālās izmaksas, ieskaitot netiešās izmaksas bezdarba sociālās sekas un ražošanas samazinājumu.</w:t>
      </w:r>
      <w:r w:rsidR="00F36CF9" w:rsidRPr="00BD3232">
        <w:t xml:space="preserve"> </w:t>
      </w:r>
    </w:p>
    <w:p w:rsidR="00393A8D" w:rsidRPr="00BD3232" w:rsidRDefault="00F36CF9" w:rsidP="00393A8D">
      <w:pPr>
        <w:spacing w:after="0" w:line="240" w:lineRule="auto"/>
        <w:ind w:firstLine="709"/>
        <w:jc w:val="both"/>
        <w:rPr>
          <w:rFonts w:eastAsia="Calibri" w:cs="Times New Roman"/>
          <w:szCs w:val="24"/>
          <w:lang w:eastAsia="lv-LV"/>
        </w:rPr>
      </w:pPr>
      <w:r w:rsidRPr="00BD3232">
        <w:rPr>
          <w:rFonts w:eastAsia="Calibri" w:cs="Times New Roman"/>
          <w:szCs w:val="24"/>
          <w:lang w:eastAsia="lv-LV"/>
        </w:rPr>
        <w:t xml:space="preserve">Plašākais finanšu darbības nodokļa priekšlikums paredz ar nodokli aplikt institūcijas bilances peļņas un izmaksāto darba algu un tamlīdzīgu atlīdzību summu, bet šaurāki priekšlikumi paredz aplikt tikai pārmērīgu peļņu. Šis nodoklis ir </w:t>
      </w:r>
      <w:r w:rsidR="00BD6600">
        <w:rPr>
          <w:rFonts w:eastAsia="Calibri" w:cs="Times New Roman"/>
          <w:szCs w:val="24"/>
          <w:lang w:eastAsia="lv-LV"/>
        </w:rPr>
        <w:t xml:space="preserve">SVF </w:t>
      </w:r>
      <w:r w:rsidRPr="00BD3232">
        <w:rPr>
          <w:rFonts w:eastAsia="Calibri" w:cs="Times New Roman"/>
          <w:szCs w:val="24"/>
          <w:lang w:eastAsia="lv-LV"/>
        </w:rPr>
        <w:t xml:space="preserve">priekšlikums un paredz ar nodokli aplikt nevis finanšu darījumus, bet gan korporācijas. Šāda veida nodoklis neiejaucas finanšu tirgus uzbūvē un nediskriminē atsevišķus finanšu pakalpojumus. Tomēr šāda nodokļa ieviešana varētu veicināt sektora uzņēmumu peļņas un atalgojuma pārceļošanu ārpus </w:t>
      </w:r>
      <w:r w:rsidR="00F01581" w:rsidRPr="00BD3232">
        <w:rPr>
          <w:rFonts w:eastAsia="Calibri" w:cs="Times New Roman"/>
          <w:szCs w:val="24"/>
          <w:lang w:eastAsia="lv-LV"/>
        </w:rPr>
        <w:t>Euro</w:t>
      </w:r>
      <w:r w:rsidRPr="00BD3232">
        <w:rPr>
          <w:rFonts w:eastAsia="Calibri" w:cs="Times New Roman"/>
          <w:szCs w:val="24"/>
          <w:lang w:eastAsia="lv-LV"/>
        </w:rPr>
        <w:t>pas Savienības.</w:t>
      </w:r>
    </w:p>
    <w:p w:rsidR="00393A8D" w:rsidRPr="00BD3232" w:rsidRDefault="00393A8D" w:rsidP="00C17185">
      <w:pPr>
        <w:spacing w:after="0" w:line="240" w:lineRule="auto"/>
        <w:rPr>
          <w:rFonts w:eastAsia="Calibri" w:cs="Times New Roman"/>
        </w:rPr>
      </w:pPr>
    </w:p>
    <w:p w:rsidR="00C17185" w:rsidRPr="00BD3232" w:rsidRDefault="00C17185" w:rsidP="00C17185">
      <w:pPr>
        <w:spacing w:after="0" w:line="240" w:lineRule="auto"/>
        <w:rPr>
          <w:rFonts w:eastAsia="Calibri" w:cs="Times New Roman"/>
        </w:rPr>
      </w:pPr>
    </w:p>
    <w:p w:rsidR="00393A8D" w:rsidRPr="00BD3232" w:rsidRDefault="00393A8D" w:rsidP="00393A8D">
      <w:pPr>
        <w:numPr>
          <w:ilvl w:val="1"/>
          <w:numId w:val="35"/>
        </w:numPr>
        <w:spacing w:after="0" w:line="240" w:lineRule="auto"/>
        <w:contextualSpacing/>
        <w:rPr>
          <w:rFonts w:eastAsia="Calibri" w:cs="Times New Roman"/>
          <w:b/>
          <w:i/>
        </w:rPr>
      </w:pPr>
      <w:r w:rsidRPr="00BD3232">
        <w:rPr>
          <w:rFonts w:eastAsia="Calibri" w:cs="Times New Roman"/>
          <w:b/>
          <w:i/>
        </w:rPr>
        <w:t>Tendences pasaulē (IMF, EC, UK)</w:t>
      </w:r>
    </w:p>
    <w:p w:rsidR="00393A8D" w:rsidRPr="00BD3232" w:rsidRDefault="00393A8D" w:rsidP="00393A8D">
      <w:pPr>
        <w:spacing w:after="0" w:line="240" w:lineRule="auto"/>
        <w:ind w:firstLine="709"/>
        <w:jc w:val="both"/>
        <w:rPr>
          <w:rFonts w:eastAsia="Times New Roman" w:cs="Times New Roman"/>
          <w:szCs w:val="24"/>
          <w:lang w:eastAsia="lv-LV"/>
        </w:rPr>
      </w:pPr>
    </w:p>
    <w:p w:rsidR="003C3046" w:rsidRPr="00BD3232" w:rsidRDefault="00393663" w:rsidP="005B5A7F">
      <w:pPr>
        <w:spacing w:after="0" w:line="240" w:lineRule="auto"/>
        <w:ind w:firstLine="709"/>
        <w:jc w:val="both"/>
        <w:rPr>
          <w:rFonts w:eastAsia="Times New Roman" w:cs="Times New Roman"/>
          <w:szCs w:val="24"/>
          <w:lang w:eastAsia="lv-LV"/>
        </w:rPr>
      </w:pPr>
      <w:r w:rsidRPr="00BD3232">
        <w:rPr>
          <w:rFonts w:eastAsia="Times New Roman" w:cs="Times New Roman"/>
          <w:szCs w:val="24"/>
          <w:lang w:eastAsia="lv-LV"/>
        </w:rPr>
        <w:t>ES</w:t>
      </w:r>
      <w:r w:rsidR="003C3046" w:rsidRPr="00BD3232">
        <w:rPr>
          <w:rFonts w:eastAsia="Times New Roman" w:cs="Times New Roman"/>
          <w:szCs w:val="24"/>
          <w:lang w:eastAsia="lv-LV"/>
        </w:rPr>
        <w:t xml:space="preserve"> Ekonomisko un finanšu jautājumu Padome (turpmāk - Padome) secinājusi, ka ir jācenšas noteikt globālu pieeju jaunu risinājumu ieviešanā finanšu institūciju aplikšanā ar nodokļiem, kā rezultātā 2010.gada 12.jūlijā </w:t>
      </w:r>
      <w:r w:rsidRPr="00BD3232">
        <w:rPr>
          <w:rFonts w:eastAsia="Times New Roman" w:cs="Times New Roman"/>
          <w:szCs w:val="24"/>
          <w:lang w:eastAsia="lv-LV"/>
        </w:rPr>
        <w:t>EK</w:t>
      </w:r>
      <w:r w:rsidR="003C3046" w:rsidRPr="00BD3232">
        <w:rPr>
          <w:rFonts w:eastAsia="Times New Roman" w:cs="Times New Roman"/>
          <w:szCs w:val="24"/>
          <w:lang w:eastAsia="lv-LV"/>
        </w:rPr>
        <w:t xml:space="preserve"> nāca klajā ar priekšlikumu paketi, kuras mērķis ir veicināt patērētāju aizsardzību un uzticēšanos finanšu pakalpojumiem.</w:t>
      </w:r>
    </w:p>
    <w:p w:rsidR="003C3046" w:rsidRPr="00BD3232" w:rsidRDefault="003C3046" w:rsidP="005B5A7F">
      <w:pPr>
        <w:spacing w:after="0" w:line="240" w:lineRule="auto"/>
        <w:ind w:firstLine="709"/>
        <w:jc w:val="both"/>
        <w:rPr>
          <w:rFonts w:eastAsia="Times New Roman" w:cs="Times New Roman"/>
          <w:szCs w:val="24"/>
          <w:lang w:eastAsia="lv-LV"/>
        </w:rPr>
      </w:pPr>
      <w:r w:rsidRPr="00BD3232">
        <w:rPr>
          <w:rFonts w:eastAsia="Times New Roman" w:cs="Times New Roman"/>
          <w:szCs w:val="24"/>
          <w:lang w:eastAsia="lv-LV"/>
        </w:rPr>
        <w:t xml:space="preserve">Priekšlikumu paketē ietverts direktīvas projekts par </w:t>
      </w:r>
      <w:r w:rsidR="00393663" w:rsidRPr="00BD3232">
        <w:rPr>
          <w:rFonts w:eastAsia="Times New Roman" w:cs="Times New Roman"/>
          <w:szCs w:val="24"/>
          <w:lang w:eastAsia="lv-LV"/>
        </w:rPr>
        <w:t>FDN</w:t>
      </w:r>
      <w:r w:rsidRPr="00BD3232">
        <w:rPr>
          <w:rFonts w:eastAsia="Times New Roman" w:cs="Times New Roman"/>
          <w:szCs w:val="24"/>
          <w:lang w:eastAsia="lv-LV"/>
        </w:rPr>
        <w:t xml:space="preserve"> kopēju sistēmu, lai apgrūtinātu tādu darījumu veikšanu, kas neveicina finanšu tirgu sabalansētu darbību, tādā veidā mazinot krīžu iespējamību nākotnē. </w:t>
      </w:r>
    </w:p>
    <w:p w:rsidR="00DC30A5" w:rsidRPr="00BD3232" w:rsidRDefault="00DC30A5" w:rsidP="00DC30A5">
      <w:pPr>
        <w:spacing w:after="0" w:line="240" w:lineRule="auto"/>
        <w:ind w:firstLine="709"/>
        <w:jc w:val="both"/>
        <w:rPr>
          <w:rFonts w:eastAsia="Times New Roman" w:cs="Times New Roman"/>
          <w:szCs w:val="24"/>
          <w:lang w:eastAsia="lv-LV"/>
        </w:rPr>
      </w:pPr>
      <w:r w:rsidRPr="00BD3232">
        <w:rPr>
          <w:rFonts w:eastAsia="Times New Roman" w:cs="Times New Roman"/>
          <w:b/>
          <w:i/>
          <w:szCs w:val="24"/>
          <w:lang w:eastAsia="lv-LV"/>
        </w:rPr>
        <w:t>Finansiālo darījumu nodoklis (Financial Transaction Tax)</w:t>
      </w:r>
      <w:r w:rsidRPr="00BD3232">
        <w:rPr>
          <w:rFonts w:eastAsia="Times New Roman" w:cs="Times New Roman"/>
          <w:szCs w:val="24"/>
          <w:lang w:eastAsia="lv-LV"/>
        </w:rPr>
        <w:t xml:space="preserve"> (turpmāk - FDN) ir identificēts kā viens no iespējamajiem risinājumiem krīzes izmaksu atgūšanai. Jāatzīmē, ka FDN ir paredzēts ne tikai, lai atgūtu krīzes seku likvidēšanas izmaksas, bet arī kā ilglaicīgs pasākums krīžu profilaksei nākotnē. Vienlaicīgi jānorāda risks, ka FDN var radīt iniciatīvu finanšu darījumus pārcelt uz citām valstīm, kurās netiek piemērots šāds maksājums, tādējādi sekmējot finanšu resursu aizplūšanu no valsts.</w:t>
      </w:r>
    </w:p>
    <w:p w:rsidR="00DC30A5" w:rsidRPr="00BD3232" w:rsidRDefault="00DC30A5" w:rsidP="00DC30A5">
      <w:pPr>
        <w:spacing w:after="0" w:line="240" w:lineRule="auto"/>
        <w:ind w:firstLine="709"/>
        <w:jc w:val="both"/>
        <w:rPr>
          <w:rFonts w:eastAsia="Times New Roman" w:cs="Times New Roman"/>
          <w:szCs w:val="24"/>
          <w:lang w:eastAsia="lv-LV"/>
        </w:rPr>
      </w:pPr>
      <w:r w:rsidRPr="00BD3232">
        <w:rPr>
          <w:rFonts w:eastAsia="Times New Roman" w:cs="Times New Roman"/>
          <w:szCs w:val="24"/>
          <w:lang w:eastAsia="lv-LV"/>
        </w:rPr>
        <w:t xml:space="preserve">Publiskās debatēs ir izskanējis arī mazāk populārs priekšlikums krīzes seku likvidēšanas izmaksu atgūšanai – ierobežot iespējas finanšu institūcijām krīzes perioda zaudējumus pārnest uz nākamajiem taksācijas periodiem. Kā galvenie šīs pieejas trūkumi jāmin nenoteiktība, nosakot krīzes sākuma un beigu datumus, kā arī </w:t>
      </w:r>
      <w:r w:rsidRPr="00BD3232">
        <w:rPr>
          <w:rFonts w:eastAsia="Times New Roman" w:cs="Times New Roman"/>
          <w:szCs w:val="24"/>
          <w:lang w:eastAsia="lv-LV"/>
        </w:rPr>
        <w:lastRenderedPageBreak/>
        <w:t>iespējamas papildu izmaksas finanšu institūcijām pēckrīzes periodā, nodrošinot kapitāla pieejamību tautsaimniecībai.</w:t>
      </w:r>
    </w:p>
    <w:p w:rsidR="005B5A7F" w:rsidRPr="00BD3232" w:rsidRDefault="005B5A7F" w:rsidP="005B5A7F">
      <w:pPr>
        <w:spacing w:after="0" w:line="240" w:lineRule="auto"/>
        <w:ind w:firstLine="709"/>
        <w:jc w:val="both"/>
        <w:rPr>
          <w:rFonts w:eastAsia="Times New Roman" w:cs="Times New Roman"/>
          <w:szCs w:val="24"/>
          <w:lang w:eastAsia="lv-LV"/>
        </w:rPr>
      </w:pPr>
      <w:r w:rsidRPr="00BD3232">
        <w:rPr>
          <w:rFonts w:eastAsia="Times New Roman" w:cs="Times New Roman"/>
          <w:szCs w:val="24"/>
          <w:lang w:eastAsia="lv-LV"/>
        </w:rPr>
        <w:t xml:space="preserve">Direktīvas mērķis ir nodrošināt kopēju </w:t>
      </w:r>
      <w:r w:rsidR="005F6627" w:rsidRPr="00BD3232">
        <w:rPr>
          <w:rFonts w:eastAsia="Times New Roman" w:cs="Times New Roman"/>
          <w:szCs w:val="24"/>
          <w:lang w:eastAsia="lv-LV"/>
        </w:rPr>
        <w:t>Ei</w:t>
      </w:r>
      <w:r w:rsidR="00F01581" w:rsidRPr="00BD3232">
        <w:rPr>
          <w:rFonts w:eastAsia="Times New Roman" w:cs="Times New Roman"/>
          <w:szCs w:val="24"/>
          <w:lang w:eastAsia="lv-LV"/>
        </w:rPr>
        <w:t>ro</w:t>
      </w:r>
      <w:r w:rsidRPr="00BD3232">
        <w:rPr>
          <w:rFonts w:eastAsia="Times New Roman" w:cs="Times New Roman"/>
          <w:szCs w:val="24"/>
          <w:lang w:eastAsia="lv-LV"/>
        </w:rPr>
        <w:t>pas pieeju jautājumam par finanšu sektora aplikšanu ar nodokļiem, kas atb</w:t>
      </w:r>
      <w:r w:rsidR="003C3046" w:rsidRPr="00BD3232">
        <w:rPr>
          <w:rFonts w:eastAsia="Times New Roman" w:cs="Times New Roman"/>
          <w:szCs w:val="24"/>
          <w:lang w:eastAsia="lv-LV"/>
        </w:rPr>
        <w:t xml:space="preserve">ilst iekšējā tirgus principiem. </w:t>
      </w:r>
      <w:r w:rsidRPr="00BD3232">
        <w:rPr>
          <w:rFonts w:eastAsia="Times New Roman" w:cs="Times New Roman"/>
          <w:szCs w:val="24"/>
          <w:lang w:eastAsia="lv-LV"/>
        </w:rPr>
        <w:t>Direktīvas priekšlikums paredz ES dalībvalstu tiesību aktu netiešo nodokļu jomā harmonizēšanu attiecībā uz finanšu darījumiem, lai nodrošinātu vienotā tirgus vienveidīgu funkcionēšanu un izvairītos no konkurences izkropļojumiem. Tā mērķis ir arī pakāpeniski radīt jaunus ieņēmumus ES budžetā ar mērķi aizstāt nacionālo maksājumu ES budžetā veikšanu, samazinot slogu uz valstu nacionālo budžetu.</w:t>
      </w:r>
    </w:p>
    <w:p w:rsidR="00154BFE" w:rsidRPr="00BD3232" w:rsidRDefault="00154BFE" w:rsidP="00154BFE">
      <w:pPr>
        <w:spacing w:after="0" w:line="240" w:lineRule="auto"/>
        <w:ind w:firstLine="709"/>
        <w:jc w:val="both"/>
        <w:rPr>
          <w:rFonts w:eastAsia="Times New Roman" w:cs="Times New Roman"/>
          <w:szCs w:val="24"/>
          <w:lang w:eastAsia="lv-LV"/>
        </w:rPr>
      </w:pPr>
      <w:r w:rsidRPr="00BD3232">
        <w:rPr>
          <w:rFonts w:eastAsia="Times New Roman" w:cs="Times New Roman"/>
          <w:szCs w:val="24"/>
          <w:lang w:eastAsia="lv-LV"/>
        </w:rPr>
        <w:t>Lai finanšu darījums būtu apliekams ar nodokli ES, vienai no darījuma pusēm ir jābūt nodibinātai ES teritorijā. Nodokļu uzlikšana notiek valstī, kuras teritorijā ir nodibināta finanšu iestāde, ar nosacījumu, ka šī iestāde ir darījuma puse, kas darbojas vai nu savā, vai citas personas labā, vai darījuma puses vārdā. Līdz ar to trešās valsts finanšu iestāde, kas veic darījuma ar ES nodibinātu personu, tiks uzskatīta par rezidentu direktīvas piemērošanas vajadzībām, un tās veiktie finanšu darījumi tiks aplikti ar FDN. Tā kā direktīva paredz solidāru atbildību par FDN nomaksu, uz darījuma pusi, kas ir nodibināta ES, gulstas arī pienākums nomaksāt nodokli par trešās valsts finanšu iestādes veikto darījumu.</w:t>
      </w:r>
    </w:p>
    <w:p w:rsidR="00E23280" w:rsidRPr="00BD3232" w:rsidRDefault="00E23280" w:rsidP="00EE4539">
      <w:pPr>
        <w:spacing w:after="0" w:line="240" w:lineRule="auto"/>
        <w:ind w:firstLine="709"/>
        <w:jc w:val="both"/>
        <w:rPr>
          <w:rFonts w:eastAsia="Times New Roman" w:cs="Times New Roman"/>
          <w:szCs w:val="24"/>
          <w:lang w:eastAsia="lv-LV"/>
        </w:rPr>
      </w:pPr>
      <w:r w:rsidRPr="00BD3232">
        <w:rPr>
          <w:rFonts w:eastAsia="Times New Roman" w:cs="Times New Roman"/>
          <w:szCs w:val="24"/>
          <w:lang w:eastAsia="lv-LV"/>
        </w:rPr>
        <w:t xml:space="preserve">Par bāzes pamatu tiek ņemta finanšu darījuma bruto vērtība. </w:t>
      </w:r>
      <w:r w:rsidR="00EE4539" w:rsidRPr="00BD3232">
        <w:rPr>
          <w:rFonts w:eastAsia="Times New Roman" w:cs="Times New Roman"/>
          <w:szCs w:val="24"/>
          <w:lang w:eastAsia="lv-LV"/>
        </w:rPr>
        <w:t>K</w:t>
      </w:r>
      <w:r w:rsidR="00154BFE" w:rsidRPr="00BD3232">
        <w:rPr>
          <w:rFonts w:eastAsia="Times New Roman" w:cs="Times New Roman"/>
          <w:szCs w:val="24"/>
          <w:lang w:eastAsia="lv-LV"/>
        </w:rPr>
        <w:t xml:space="preserve">atra dalībvalsts </w:t>
      </w:r>
      <w:r w:rsidR="00EE4539" w:rsidRPr="00BD3232">
        <w:rPr>
          <w:rFonts w:eastAsia="Times New Roman" w:cs="Times New Roman"/>
          <w:szCs w:val="24"/>
          <w:lang w:eastAsia="lv-LV"/>
        </w:rPr>
        <w:t xml:space="preserve">likmes nosaka </w:t>
      </w:r>
      <w:r w:rsidR="00154BFE" w:rsidRPr="00BD3232">
        <w:rPr>
          <w:rFonts w:eastAsia="Times New Roman" w:cs="Times New Roman"/>
          <w:szCs w:val="24"/>
          <w:lang w:eastAsia="lv-LV"/>
        </w:rPr>
        <w:t>kā procentuālo daļu no ar nodokli apliekamās summas. Likmes nedrīkst būt z</w:t>
      </w:r>
      <w:r w:rsidR="00EE4539" w:rsidRPr="00BD3232">
        <w:rPr>
          <w:rFonts w:eastAsia="Times New Roman" w:cs="Times New Roman"/>
          <w:szCs w:val="24"/>
          <w:lang w:eastAsia="lv-LV"/>
        </w:rPr>
        <w:t xml:space="preserve">emākas kā </w:t>
      </w:r>
      <w:r w:rsidR="00154BFE" w:rsidRPr="00BD3232">
        <w:rPr>
          <w:rFonts w:eastAsia="Times New Roman" w:cs="Times New Roman"/>
          <w:szCs w:val="24"/>
          <w:lang w:eastAsia="lv-LV"/>
        </w:rPr>
        <w:t>0,1% attiecībā uz finanšu darījumiem, kas nav saistīti ar atvas</w:t>
      </w:r>
      <w:r w:rsidR="00EE4539" w:rsidRPr="00BD3232">
        <w:rPr>
          <w:rFonts w:eastAsia="Times New Roman" w:cs="Times New Roman"/>
          <w:szCs w:val="24"/>
          <w:lang w:eastAsia="lv-LV"/>
        </w:rPr>
        <w:t xml:space="preserve">inātajiem finanšu instrumentiem un </w:t>
      </w:r>
      <w:r w:rsidR="00154BFE" w:rsidRPr="00BD3232">
        <w:rPr>
          <w:rFonts w:eastAsia="Times New Roman" w:cs="Times New Roman"/>
          <w:szCs w:val="24"/>
          <w:lang w:eastAsia="lv-LV"/>
        </w:rPr>
        <w:t>0,01% attiecībā uz finanšu darījumiem, kas ir saistīti ar atvasinātajiem finanšu instrumentiem.</w:t>
      </w:r>
      <w:r w:rsidRPr="00BD3232">
        <w:rPr>
          <w:rFonts w:eastAsia="Times New Roman" w:cs="Times New Roman"/>
          <w:szCs w:val="24"/>
          <w:lang w:eastAsia="lv-LV"/>
        </w:rPr>
        <w:t xml:space="preserve"> </w:t>
      </w:r>
    </w:p>
    <w:p w:rsidR="00EE4539" w:rsidRPr="00BD3232" w:rsidRDefault="00EE4539" w:rsidP="00EE4539">
      <w:pPr>
        <w:spacing w:after="0" w:line="240" w:lineRule="auto"/>
        <w:ind w:firstLine="709"/>
        <w:jc w:val="both"/>
        <w:rPr>
          <w:rFonts w:eastAsia="Times New Roman" w:cs="Times New Roman"/>
          <w:bCs/>
          <w:szCs w:val="24"/>
          <w:lang w:eastAsia="lv-LV"/>
        </w:rPr>
      </w:pPr>
      <w:r w:rsidRPr="00BD3232">
        <w:rPr>
          <w:rFonts w:eastAsia="Times New Roman" w:cs="Times New Roman"/>
          <w:bCs/>
          <w:szCs w:val="24"/>
          <w:lang w:eastAsia="lv-LV"/>
        </w:rPr>
        <w:t xml:space="preserve">Direktīvas priekšlikums dod ieguldījumu starptautiskā līmeņa diskusijās par finanšu sektora aplikšanu ar nodokļiem, īpaši FDN ieviešanai globālajā līmenī, jo koordinēta pieeja starptautiskajā līmenī ir vislabākā izvēle, lai minimizētu izvairīšanās no nodokļa nomaksas un kapitāla aizplūšanas riskus. </w:t>
      </w:r>
      <w:r w:rsidR="00466F62" w:rsidRPr="00BD3232">
        <w:rPr>
          <w:rFonts w:eastAsia="Times New Roman" w:cs="Times New Roman"/>
          <w:bCs/>
          <w:szCs w:val="24"/>
          <w:lang w:eastAsia="lv-LV"/>
        </w:rPr>
        <w:t>No 27 ES dalībvalstīm turpināt darbu ar FDN direktīvas priekšlikumu padziļinātās sadarbības procedūras ietvaros piekrita 11 dalībvalstis</w:t>
      </w:r>
      <w:r w:rsidR="00C102FF" w:rsidRPr="00BD3232">
        <w:rPr>
          <w:rFonts w:eastAsia="Times New Roman" w:cs="Times New Roman"/>
          <w:bCs/>
          <w:szCs w:val="24"/>
          <w:lang w:eastAsia="lv-LV"/>
        </w:rPr>
        <w:t xml:space="preserve"> (Beļģija, Vācija, Igaunija, Grieķija, Spānija, Francija, Itālija, Austrija, Portugāle, Slovēnija un Slovākija)</w:t>
      </w:r>
      <w:r w:rsidRPr="00BD3232">
        <w:rPr>
          <w:rFonts w:eastAsia="Times New Roman" w:cs="Times New Roman"/>
          <w:bCs/>
          <w:szCs w:val="24"/>
          <w:lang w:eastAsia="lv-LV"/>
        </w:rPr>
        <w:t xml:space="preserve">. </w:t>
      </w:r>
    </w:p>
    <w:p w:rsidR="00E449AE" w:rsidRPr="00BD3232" w:rsidRDefault="00E449AE" w:rsidP="00E449AE">
      <w:pPr>
        <w:spacing w:after="0" w:line="240" w:lineRule="auto"/>
        <w:ind w:firstLine="709"/>
        <w:jc w:val="both"/>
        <w:rPr>
          <w:rFonts w:eastAsia="Times New Roman" w:cs="Times New Roman"/>
          <w:szCs w:val="24"/>
          <w:lang w:eastAsia="lv-LV"/>
        </w:rPr>
      </w:pPr>
      <w:r w:rsidRPr="00BD3232">
        <w:rPr>
          <w:rFonts w:eastAsia="Times New Roman" w:cs="Times New Roman"/>
          <w:szCs w:val="24"/>
          <w:lang w:eastAsia="lv-LV"/>
        </w:rPr>
        <w:t>Latvija pozitīvi vērtē diskusijas par finanšu sektora iesaisti finanšu krīzes seku pārvarēšanā. FDN ir potenciāls kļūt par labu ienākuma avotu, kas papildinātu to ES valstu nacionālos budžetus, kas iesaistīsies ciešākas sadarbības procedūrā un palīdzētu mazināt finanšu krīzes radīto negatīvo ietekmi uz šo ES valstu tautsaimniecībām, tomēr FDN vienpusēja ieviešana nedrīkstētu apdraudēt ES finanšu tirgus konkurētspēju, radot tirgus fragmentāciju, ietekmējot ekonomisko aktivitāti citās ES valstīs, kas nav ieviesušas FDN, kā arī valstu vērtspapīru tirgu normālu funkcionēšanu un ekonomikas izaugsmes atjaunošanos visās ES dalībvalstīs.</w:t>
      </w:r>
    </w:p>
    <w:p w:rsidR="00E449AE" w:rsidRPr="00BD3232" w:rsidRDefault="00E449AE" w:rsidP="00E449AE">
      <w:pPr>
        <w:spacing w:after="0" w:line="240" w:lineRule="auto"/>
        <w:ind w:firstLine="709"/>
        <w:jc w:val="both"/>
        <w:rPr>
          <w:rFonts w:eastAsia="Times New Roman" w:cs="Times New Roman"/>
          <w:szCs w:val="24"/>
          <w:lang w:eastAsia="lv-LV"/>
        </w:rPr>
      </w:pPr>
      <w:r w:rsidRPr="00BD3232">
        <w:rPr>
          <w:rFonts w:eastAsia="Times New Roman" w:cs="Times New Roman"/>
          <w:szCs w:val="24"/>
          <w:lang w:eastAsia="lv-LV"/>
        </w:rPr>
        <w:t>Vienlaicīgi pastāv bažas par to, ka ieviešot FDN, ar nodokli apliekamā bāze, kas izmantota EK aprēķinu pamatā, pēc laika būtiski samazināsies, t.i. darījumu skaits un apjoms visos finanšu instrumentu klasēs kļūs mazāks, rezultātā nodokļa faktiskās administrēšanas izmaksas attiecīgajā valstī var nekompensē</w:t>
      </w:r>
      <w:r w:rsidR="00AA158C" w:rsidRPr="00BD3232">
        <w:rPr>
          <w:rFonts w:eastAsia="Times New Roman" w:cs="Times New Roman"/>
          <w:szCs w:val="24"/>
          <w:lang w:eastAsia="lv-LV"/>
        </w:rPr>
        <w:t>t</w:t>
      </w:r>
      <w:r w:rsidRPr="00BD3232">
        <w:rPr>
          <w:rFonts w:eastAsia="Times New Roman" w:cs="Times New Roman"/>
          <w:szCs w:val="24"/>
          <w:lang w:eastAsia="lv-LV"/>
        </w:rPr>
        <w:t xml:space="preserve"> ieņēmumus no FDN.</w:t>
      </w:r>
    </w:p>
    <w:p w:rsidR="008F6FFC" w:rsidRPr="00BD3232" w:rsidRDefault="008F6FFC" w:rsidP="008F6FFC">
      <w:pPr>
        <w:spacing w:after="0" w:line="240" w:lineRule="auto"/>
        <w:ind w:firstLine="709"/>
        <w:jc w:val="both"/>
        <w:rPr>
          <w:rFonts w:eastAsia="Times New Roman" w:cs="Times New Roman"/>
          <w:szCs w:val="24"/>
          <w:lang w:eastAsia="lv-LV"/>
        </w:rPr>
      </w:pPr>
      <w:r w:rsidRPr="00BD3232">
        <w:rPr>
          <w:rFonts w:eastAsia="Times New Roman" w:cs="Times New Roman"/>
          <w:szCs w:val="24"/>
          <w:lang w:eastAsia="lv-LV"/>
        </w:rPr>
        <w:t>Saskaņā ar 11.Saeimas Eiropas lietu komisijas 2013.gada 18.janvāra sēdē nolemto (sēdes protokola 1.1.punkts „Pozīcija Nr.4 „Par Priekšlikumu Padomes lēmumam, ar ko atļauj ciešāku sadarbību finanšu darījumu nodokļa jomā” (turpmāk – Nacionālā pozīcija)) Nacionālā pozīcija apstiprināta</w:t>
      </w:r>
      <w:r w:rsidRPr="00BD3232">
        <w:rPr>
          <w:rFonts w:eastAsia="Times New Roman" w:cs="Times New Roman"/>
          <w:b/>
          <w:szCs w:val="24"/>
          <w:lang w:eastAsia="lv-LV"/>
        </w:rPr>
        <w:t xml:space="preserve"> </w:t>
      </w:r>
      <w:r w:rsidRPr="00BD3232">
        <w:rPr>
          <w:rFonts w:eastAsia="Times New Roman" w:cs="Times New Roman"/>
          <w:szCs w:val="24"/>
          <w:lang w:eastAsia="lv-LV"/>
        </w:rPr>
        <w:t xml:space="preserve">ar grozījumiem. Nacionālās pozīcijas sadaļa „Latvijas Republikas pozīcija” izteikta sekojoši: </w:t>
      </w:r>
    </w:p>
    <w:p w:rsidR="008F6FFC" w:rsidRPr="00BD3232" w:rsidRDefault="008F6FFC" w:rsidP="008F6FFC">
      <w:pPr>
        <w:spacing w:after="0" w:line="240" w:lineRule="auto"/>
        <w:ind w:firstLine="709"/>
        <w:jc w:val="both"/>
        <w:rPr>
          <w:rFonts w:eastAsia="Times New Roman" w:cs="Times New Roman"/>
          <w:bCs/>
          <w:szCs w:val="24"/>
          <w:lang w:eastAsia="lv-LV"/>
        </w:rPr>
      </w:pPr>
      <w:r w:rsidRPr="00BD3232">
        <w:rPr>
          <w:rFonts w:eastAsia="Times New Roman" w:cs="Times New Roman"/>
          <w:szCs w:val="24"/>
          <w:lang w:eastAsia="lv-LV"/>
        </w:rPr>
        <w:t xml:space="preserve">„Latvija atbalsta ES dalībvalstis, kas nolēmušas uzsākt ciešāku sadarbību FDN jomā un Padomes lēmuma projektu un iesaistīsies ciešākas sadarbības darba grupā. Latvija vērtēs FDN direktīvas priekšlikumu, kas tiks skatīts ciešākas sadarbības </w:t>
      </w:r>
      <w:r w:rsidRPr="00BD3232">
        <w:rPr>
          <w:rFonts w:eastAsia="Times New Roman" w:cs="Times New Roman"/>
          <w:szCs w:val="24"/>
          <w:lang w:eastAsia="lv-LV"/>
        </w:rPr>
        <w:lastRenderedPageBreak/>
        <w:t>procedūras ietvaros, un pēc attiecīgā priekšlikuma izvērtēšanas lems par tā ieviešanu Latvijā.”</w:t>
      </w:r>
    </w:p>
    <w:p w:rsidR="00AA158C" w:rsidRPr="00BD3232" w:rsidRDefault="005B0407" w:rsidP="00EE4539">
      <w:pPr>
        <w:spacing w:after="0" w:line="240" w:lineRule="auto"/>
        <w:ind w:firstLine="709"/>
        <w:jc w:val="both"/>
        <w:rPr>
          <w:rFonts w:eastAsia="Times New Roman" w:cs="Times New Roman"/>
          <w:szCs w:val="24"/>
          <w:lang w:eastAsia="lv-LV"/>
        </w:rPr>
      </w:pPr>
      <w:r w:rsidRPr="00BD3232">
        <w:rPr>
          <w:rFonts w:eastAsia="Times New Roman" w:cs="Times New Roman"/>
          <w:szCs w:val="24"/>
          <w:lang w:eastAsia="lv-LV"/>
        </w:rPr>
        <w:t xml:space="preserve">Ņemot vērā notikumu attīstību pēc </w:t>
      </w:r>
      <w:r w:rsidR="008F6FFC" w:rsidRPr="00BD3232">
        <w:rPr>
          <w:rFonts w:eastAsia="Times New Roman" w:cs="Times New Roman"/>
          <w:szCs w:val="24"/>
          <w:lang w:eastAsia="lv-LV"/>
        </w:rPr>
        <w:t xml:space="preserve">Nacionālās pozīcijas ar grozījumiem apstiprināšanas 2013.gada 18.janvārī (Valsts kases, Biržas NASDAQ OMX Rīga un Latvijas Centrālā depozitārija nostāja, Lielbritānijas vēstniecības paziņojums par vēršanos EKT attiecībā uz lēmumu par ciešāku sadarbību FDN jomā, </w:t>
      </w:r>
      <w:r w:rsidR="008F6FFC" w:rsidRPr="00BD3232">
        <w:rPr>
          <w:rFonts w:eastAsia="Times New Roman" w:cs="Times New Roman"/>
          <w:i/>
          <w:szCs w:val="24"/>
          <w:lang w:eastAsia="lv-LV"/>
        </w:rPr>
        <w:t xml:space="preserve">BUSINESS EUROPE </w:t>
      </w:r>
      <w:r w:rsidR="008F6FFC" w:rsidRPr="00BD3232">
        <w:rPr>
          <w:rFonts w:eastAsia="Times New Roman" w:cs="Times New Roman"/>
          <w:szCs w:val="24"/>
          <w:lang w:eastAsia="lv-LV"/>
        </w:rPr>
        <w:t xml:space="preserve">(uzņēmēju pārstāvju organizācija Eiropā), </w:t>
      </w:r>
      <w:r w:rsidR="008F6FFC" w:rsidRPr="00BD3232">
        <w:rPr>
          <w:rFonts w:eastAsia="Times New Roman" w:cs="Times New Roman"/>
          <w:i/>
          <w:szCs w:val="24"/>
          <w:lang w:eastAsia="lv-LV"/>
        </w:rPr>
        <w:t xml:space="preserve">The European Financial Services Round Table </w:t>
      </w:r>
      <w:r w:rsidR="008F6FFC" w:rsidRPr="00BD3232">
        <w:rPr>
          <w:rFonts w:eastAsia="Times New Roman" w:cs="Times New Roman"/>
          <w:szCs w:val="24"/>
          <w:lang w:eastAsia="lv-LV"/>
        </w:rPr>
        <w:t xml:space="preserve">(forums, kur piedalās starptautisko banku un apdrošināšanas sabiedrību ar vadības atrašanās vietu Eiropā valdes locekļi un priekšsēdētāji), </w:t>
      </w:r>
      <w:r w:rsidR="008F6FFC" w:rsidRPr="00BD3232">
        <w:rPr>
          <w:rFonts w:eastAsia="Times New Roman" w:cs="Times New Roman"/>
          <w:i/>
          <w:szCs w:val="24"/>
          <w:lang w:eastAsia="lv-LV"/>
        </w:rPr>
        <w:t xml:space="preserve">Association of International Life Offices </w:t>
      </w:r>
      <w:r w:rsidR="008F6FFC" w:rsidRPr="00BD3232">
        <w:rPr>
          <w:rFonts w:eastAsia="Times New Roman" w:cs="Times New Roman"/>
          <w:szCs w:val="24"/>
          <w:lang w:eastAsia="lv-LV"/>
        </w:rPr>
        <w:t>viedokļi)</w:t>
      </w:r>
      <w:r w:rsidRPr="00BD3232">
        <w:rPr>
          <w:rFonts w:eastAsia="Times New Roman" w:cs="Times New Roman"/>
          <w:szCs w:val="24"/>
          <w:lang w:eastAsia="lv-LV"/>
        </w:rPr>
        <w:t>, kā arī ciešākas sadarbības darba grupas ietvaros pastāvošo neskaidrību par FDN projektu</w:t>
      </w:r>
      <w:r w:rsidR="00C102FF" w:rsidRPr="00BD3232">
        <w:rPr>
          <w:rFonts w:eastAsia="Times New Roman" w:cs="Times New Roman"/>
          <w:szCs w:val="24"/>
          <w:lang w:eastAsia="lv-LV"/>
        </w:rPr>
        <w:t xml:space="preserve">, Latvija </w:t>
      </w:r>
      <w:r w:rsidR="008F6FFC" w:rsidRPr="00BD3232">
        <w:rPr>
          <w:rFonts w:eastAsia="Times New Roman" w:cs="Times New Roman"/>
          <w:szCs w:val="24"/>
          <w:lang w:eastAsia="lv-LV"/>
        </w:rPr>
        <w:t xml:space="preserve">sagatavoja pozīciju, ka </w:t>
      </w:r>
      <w:r w:rsidR="00C102FF" w:rsidRPr="00BD3232">
        <w:rPr>
          <w:rFonts w:eastAsia="Times New Roman" w:cs="Times New Roman"/>
          <w:szCs w:val="24"/>
          <w:lang w:eastAsia="lv-LV"/>
        </w:rPr>
        <w:t xml:space="preserve">neiesaistīsies ciešākas sadarbības procedūrā. Latvija sekos FDN direktīvas priekšlikuma apspriešanai ciešākas sadarbības procedūras ietvaros, pēc tā pieņemšanas izvērtēs lietderību tam pievienoties. </w:t>
      </w:r>
    </w:p>
    <w:p w:rsidR="00EE4539" w:rsidRPr="00BD3232" w:rsidRDefault="00EE4539" w:rsidP="00EE4539">
      <w:pPr>
        <w:spacing w:after="0" w:line="240" w:lineRule="auto"/>
        <w:ind w:firstLine="709"/>
        <w:jc w:val="both"/>
        <w:rPr>
          <w:rFonts w:eastAsia="Times New Roman" w:cs="Times New Roman"/>
          <w:szCs w:val="24"/>
          <w:lang w:eastAsia="lv-LV"/>
        </w:rPr>
      </w:pPr>
      <w:r w:rsidRPr="00BD3232">
        <w:rPr>
          <w:rFonts w:eastAsia="Times New Roman" w:cs="Times New Roman"/>
          <w:szCs w:val="24"/>
          <w:lang w:eastAsia="lv-LV"/>
        </w:rPr>
        <w:t>Direktīvas noteikumus tiek plānots piemērot no 2014.gada 1.janvāra (</w:t>
      </w:r>
      <w:r w:rsidR="00A802AC" w:rsidRPr="00BD3232">
        <w:rPr>
          <w:rFonts w:eastAsia="Times New Roman" w:cs="Times New Roman"/>
          <w:szCs w:val="24"/>
          <w:lang w:eastAsia="lv-LV"/>
        </w:rPr>
        <w:t xml:space="preserve">FDN jurisdikciju - </w:t>
      </w:r>
      <w:r w:rsidRPr="00BD3232">
        <w:rPr>
          <w:rFonts w:eastAsia="Times New Roman" w:cs="Times New Roman"/>
          <w:szCs w:val="24"/>
          <w:lang w:eastAsia="lv-LV"/>
        </w:rPr>
        <w:t>dalībvalstu pienākums pieņemt un publicēt normatīvos un administratīvos aktus, kas vajadzīgi, lai izpildītu šīs direktīvas prasības vēlākais līdz 2013.gada 30.septembrim).</w:t>
      </w:r>
    </w:p>
    <w:p w:rsidR="005B5A7F" w:rsidRPr="00BD3232" w:rsidRDefault="00EE4539" w:rsidP="00E23280">
      <w:pPr>
        <w:spacing w:after="0" w:line="240" w:lineRule="auto"/>
        <w:ind w:firstLine="709"/>
        <w:jc w:val="both"/>
        <w:rPr>
          <w:rFonts w:eastAsia="Times New Roman" w:cs="Times New Roman"/>
          <w:szCs w:val="24"/>
          <w:lang w:eastAsia="lv-LV"/>
        </w:rPr>
      </w:pPr>
      <w:r w:rsidRPr="00BD3232">
        <w:rPr>
          <w:rFonts w:eastAsia="Times New Roman" w:cs="Times New Roman"/>
          <w:szCs w:val="24"/>
          <w:lang w:eastAsia="lv-LV"/>
        </w:rPr>
        <w:t>Padomes 2012.gada 22.jūnija un 10.jūlija sanāksmē tika konstatēts, ka pastāv būtiskas viedokļu atšķirības attiecībā uz nepieciešamību ES līmenī izveidot kopēju FDN sistēmu un ka saskaņota FDN princips tuvākajā nākotnē Padomē nesaņems vienprātīgu atbalstu.</w:t>
      </w:r>
    </w:p>
    <w:p w:rsidR="00393A8D" w:rsidRPr="00BD3232" w:rsidRDefault="00A825C8" w:rsidP="00393A8D">
      <w:pPr>
        <w:spacing w:after="0" w:line="240" w:lineRule="auto"/>
        <w:ind w:firstLine="709"/>
        <w:jc w:val="both"/>
        <w:rPr>
          <w:rFonts w:eastAsia="Times New Roman" w:cs="Times New Roman"/>
          <w:szCs w:val="24"/>
          <w:lang w:eastAsia="lv-LV"/>
        </w:rPr>
      </w:pPr>
      <w:r w:rsidRPr="00BD3232">
        <w:rPr>
          <w:rFonts w:eastAsia="Calibri" w:cs="Times New Roman"/>
          <w:szCs w:val="24"/>
        </w:rPr>
        <w:t xml:space="preserve">Saskaņā ar Eiropadomes 2012.gada 14.decembra secinājumu 8.punktu likumdevējiem (Eiropas Parlamentam un Padomei) līdz 2013. gada jūnijam ir nepieciešams vienoties par priekšlikumiem Sanācijas un noregulējuma direktīvai un Noguldījumu garantiju sistēmas direktīvai. </w:t>
      </w:r>
      <w:r w:rsidR="00324A8C" w:rsidRPr="00BD3232">
        <w:rPr>
          <w:rFonts w:eastAsia="Calibri" w:cs="Times New Roman"/>
          <w:szCs w:val="24"/>
        </w:rPr>
        <w:t>Vēl joprojām</w:t>
      </w:r>
      <w:r w:rsidRPr="00BD3232">
        <w:rPr>
          <w:rFonts w:eastAsia="Calibri" w:cs="Times New Roman"/>
          <w:szCs w:val="24"/>
        </w:rPr>
        <w:t xml:space="preserve"> (uz 2013.gada 7.jūniju) </w:t>
      </w:r>
      <w:r w:rsidR="00324A8C" w:rsidRPr="00BD3232">
        <w:rPr>
          <w:rFonts w:eastAsia="Calibri" w:cs="Times New Roman"/>
          <w:szCs w:val="24"/>
        </w:rPr>
        <w:t xml:space="preserve">Padomes Finanšu pakalpojumu darba grupā tiek analizēts </w:t>
      </w:r>
      <w:r w:rsidR="00393663" w:rsidRPr="00BD3232">
        <w:rPr>
          <w:rFonts w:eastAsia="Times New Roman" w:cs="Times New Roman"/>
          <w:szCs w:val="24"/>
          <w:lang w:eastAsia="lv-LV"/>
        </w:rPr>
        <w:t>EK</w:t>
      </w:r>
      <w:r w:rsidR="00324A8C" w:rsidRPr="00BD3232">
        <w:rPr>
          <w:rFonts w:eastAsia="Times New Roman" w:cs="Times New Roman"/>
          <w:szCs w:val="24"/>
          <w:lang w:eastAsia="lv-LV"/>
        </w:rPr>
        <w:t xml:space="preserve"> </w:t>
      </w:r>
      <w:r w:rsidRPr="00BD3232">
        <w:rPr>
          <w:rFonts w:eastAsia="Times New Roman" w:cs="Times New Roman"/>
          <w:szCs w:val="24"/>
          <w:lang w:eastAsia="lv-LV"/>
        </w:rPr>
        <w:t>2010.gada 12.jūlijā</w:t>
      </w:r>
      <w:r w:rsidR="00A561DF" w:rsidRPr="00BD3232">
        <w:rPr>
          <w:rFonts w:eastAsia="Times New Roman" w:cs="Times New Roman"/>
          <w:szCs w:val="24"/>
          <w:lang w:eastAsia="lv-LV"/>
        </w:rPr>
        <w:t xml:space="preserve"> </w:t>
      </w:r>
      <w:r w:rsidRPr="00BD3232">
        <w:rPr>
          <w:rFonts w:eastAsia="Times New Roman" w:cs="Times New Roman"/>
          <w:szCs w:val="24"/>
          <w:lang w:eastAsia="lv-LV"/>
        </w:rPr>
        <w:t>publicētais</w:t>
      </w:r>
      <w:r w:rsidR="00393A8D" w:rsidRPr="00BD3232">
        <w:rPr>
          <w:rFonts w:eastAsia="Times New Roman" w:cs="Times New Roman"/>
          <w:szCs w:val="24"/>
          <w:lang w:eastAsia="lv-LV"/>
        </w:rPr>
        <w:t xml:space="preserve"> </w:t>
      </w:r>
      <w:r w:rsidR="00324A8C" w:rsidRPr="00BD3232">
        <w:rPr>
          <w:rFonts w:eastAsia="Times New Roman" w:cs="Times New Roman"/>
          <w:szCs w:val="24"/>
          <w:lang w:eastAsia="lv-LV"/>
        </w:rPr>
        <w:t xml:space="preserve">priekšlikums, </w:t>
      </w:r>
      <w:r w:rsidR="00393A8D" w:rsidRPr="00BD3232">
        <w:rPr>
          <w:rFonts w:eastAsia="Times New Roman" w:cs="Times New Roman"/>
          <w:szCs w:val="24"/>
          <w:lang w:eastAsia="lv-LV"/>
        </w:rPr>
        <w:t xml:space="preserve">pilnībā grozīt direktīvu 94/19/EK par noguldījumu garantiju sistēmām (turpmāk – NGS), kura kopš 1994.gada paredz, ka visās dalībvalstīs ir bankas noguldītāju drošības sistēma. Priekšlikums aptver visas kredītiestādes un visas noguldītāju garantiju sistēmas bez izņēmumiem, kā arī precizē noguldījumu definīciju. Visas noguldījumu garantiju sistēmas turpmāk būs pakļautas uzraudzībai, un arī šajā sfērā būs jāveic regulāri stresa testi. Lai mazinātu slogu uz nodokļu maksātājiem, krīzes seku novēršanas izmaksas finansējot no valsts budžeta līdzekļiem, kā arī vadoties no pieņēmuma, ka labumu no finanšu situācijas stabilizēšanas gūs gan grūtībās nonākusī kredītiestāde, tās īpašnieki un klienti, kā arī pārējie tirgus dalībnieki, dažas no dalībvalstīm finanšu krīzes laikā banku glābšanai vai restrukturizācijas pasākumu finansēšanai izmantoja noguldījumu garantiju fondā uzkrātos līdzekļus. Vairākas dalībvalstis uzstāja, ka šī iespēja ir jāsaglabā arī jaunajā, pārskatītajā NGS direktīvā. Šobrīd </w:t>
      </w:r>
      <w:r w:rsidRPr="00BD3232">
        <w:rPr>
          <w:rFonts w:eastAsia="Times New Roman" w:cs="Times New Roman"/>
          <w:szCs w:val="24"/>
          <w:lang w:eastAsia="lv-LV"/>
        </w:rPr>
        <w:t>(uz 2013.gada 7.jūniju)</w:t>
      </w:r>
      <w:r w:rsidRPr="00BD3232">
        <w:rPr>
          <w:rFonts w:eastAsia="Times New Roman" w:cs="Times New Roman"/>
          <w:bCs/>
          <w:szCs w:val="24"/>
          <w:lang w:eastAsia="lv-LV"/>
        </w:rPr>
        <w:t xml:space="preserve"> </w:t>
      </w:r>
      <w:r w:rsidR="00393A8D" w:rsidRPr="00BD3232">
        <w:rPr>
          <w:rFonts w:eastAsia="Times New Roman" w:cs="Times New Roman"/>
          <w:szCs w:val="24"/>
          <w:lang w:eastAsia="lv-LV"/>
        </w:rPr>
        <w:t>direktīvas projekt</w:t>
      </w:r>
      <w:r w:rsidR="00804EDF" w:rsidRPr="00BD3232">
        <w:rPr>
          <w:rFonts w:eastAsia="Times New Roman" w:cs="Times New Roman"/>
          <w:szCs w:val="24"/>
          <w:lang w:eastAsia="lv-LV"/>
        </w:rPr>
        <w:t>ā</w:t>
      </w:r>
      <w:r w:rsidR="00393A8D" w:rsidRPr="00BD3232">
        <w:rPr>
          <w:rFonts w:eastAsia="Times New Roman" w:cs="Times New Roman"/>
          <w:szCs w:val="24"/>
          <w:lang w:eastAsia="lv-LV"/>
        </w:rPr>
        <w:t xml:space="preserve"> dalībvalstīm ir paredzētas izvēles iespējas NGF esošos līdzekļus izmantot ne tikai garantēto atlīdzību izmaksai, bet arī preventīviem līdzekļiem banku glābšanai, bankas restrukturizācijas procesa vai kredītportfeļa nodošanas finansēšanai. Direktīvas projekts paredz pārņemšanu nacionālajos tiesību aktos tā, lai direktīvas normas stātos spēkā 18 mēnešu laikā pēc publicēšanas.</w:t>
      </w:r>
    </w:p>
    <w:p w:rsidR="00A561DF" w:rsidRPr="00BD3232" w:rsidRDefault="00A561DF" w:rsidP="00A561DF">
      <w:pPr>
        <w:spacing w:after="0" w:line="240" w:lineRule="auto"/>
        <w:ind w:firstLine="709"/>
        <w:jc w:val="both"/>
        <w:rPr>
          <w:rFonts w:eastAsia="Times New Roman" w:cs="Times New Roman"/>
          <w:szCs w:val="24"/>
          <w:lang w:eastAsia="lv-LV"/>
        </w:rPr>
      </w:pPr>
      <w:r w:rsidRPr="00BD3232">
        <w:rPr>
          <w:rFonts w:eastAsia="Times New Roman" w:cs="Times New Roman"/>
          <w:szCs w:val="24"/>
          <w:lang w:eastAsia="lv-LV"/>
        </w:rPr>
        <w:t xml:space="preserve">Papildus NGS priekšlikumam Padomes Finanšu pakalpojumu darba grupā notiek darbs ar </w:t>
      </w:r>
      <w:r w:rsidR="00393663" w:rsidRPr="00BD3232">
        <w:rPr>
          <w:rFonts w:eastAsia="Times New Roman" w:cs="Times New Roman"/>
          <w:szCs w:val="24"/>
          <w:lang w:eastAsia="lv-LV"/>
        </w:rPr>
        <w:t>EK</w:t>
      </w:r>
      <w:r w:rsidRPr="00BD3232">
        <w:rPr>
          <w:rFonts w:eastAsia="Times New Roman" w:cs="Times New Roman"/>
          <w:szCs w:val="24"/>
          <w:lang w:eastAsia="lv-LV"/>
        </w:rPr>
        <w:t xml:space="preserve"> 2012.gada 6.jūnija priekšlikumu par kredītiestāžu un ieguldījumu sabiedrību sanācijas un noregulējuma režīmu, ņemot vērā, ka finanšu iestāžu savstarpējā atkarība rada sistēmiskas krīzes risku, kad problēmas vienā bankā var ietekmēt visu sistēmu kopumā. Ņemot vērā šo sistēmisko risku un finanšu iestāžu </w:t>
      </w:r>
      <w:r w:rsidRPr="00BD3232">
        <w:rPr>
          <w:rFonts w:eastAsia="Times New Roman" w:cs="Times New Roman"/>
          <w:szCs w:val="24"/>
          <w:lang w:eastAsia="lv-LV"/>
        </w:rPr>
        <w:lastRenderedPageBreak/>
        <w:t xml:space="preserve">nozīmīgo ekonomisko funkciju, parastā maksātnespējas procedūra dažos gadījumos var izrādīties nelietderīga, un, tā kā nav efektīvu instrumentu, lai pārvaldītu krīzes skartās iestādes, bieži nākas izmantot valsts budžeta līdzekļus, lai atjaunotu uzticību pat salīdzinoši nelielām iestādēm un tādējādi novērstu domino efektu, neļaujot finanšu iestāžu bankrotam radīt nopietnu kaitējumu </w:t>
      </w:r>
      <w:r w:rsidR="008244FB" w:rsidRPr="00BD3232">
        <w:rPr>
          <w:rFonts w:eastAsia="Times New Roman" w:cs="Times New Roman"/>
          <w:szCs w:val="24"/>
          <w:lang w:eastAsia="lv-LV"/>
        </w:rPr>
        <w:t>citos ekonomikas sektoros</w:t>
      </w:r>
      <w:r w:rsidRPr="00BD3232">
        <w:rPr>
          <w:rFonts w:eastAsia="Times New Roman" w:cs="Times New Roman"/>
          <w:szCs w:val="24"/>
          <w:lang w:eastAsia="lv-LV"/>
        </w:rPr>
        <w:t>.</w:t>
      </w:r>
    </w:p>
    <w:p w:rsidR="00174AF9" w:rsidRPr="00BD3232" w:rsidRDefault="00F32D74" w:rsidP="00F32D74">
      <w:pPr>
        <w:spacing w:after="0" w:line="240" w:lineRule="auto"/>
        <w:ind w:firstLine="709"/>
        <w:jc w:val="both"/>
        <w:rPr>
          <w:rFonts w:eastAsia="Times New Roman" w:cs="Times New Roman"/>
          <w:szCs w:val="24"/>
          <w:lang w:eastAsia="lv-LV"/>
        </w:rPr>
      </w:pPr>
      <w:r w:rsidRPr="00BD3232">
        <w:rPr>
          <w:rFonts w:eastAsia="Times New Roman" w:cs="Times New Roman"/>
          <w:szCs w:val="24"/>
          <w:lang w:eastAsia="lv-LV"/>
        </w:rPr>
        <w:t xml:space="preserve">Jaunos priekšlikumus paredzēts pieņemt un apstiprināt līdz 2013.gada beigām un 2014.gadā uzsākt to ieviešanu nacionālajos tiesību aktos. Papildus plānots, ka līdz 2013.gada vidum EK nāks klajā ar jaunu priekšlikumu par vienotu noregulējuma mehānismu un vienotas noregulējuma iestādes izveidošanu </w:t>
      </w:r>
      <w:r w:rsidRPr="007D66EC">
        <w:rPr>
          <w:rFonts w:eastAsia="Times New Roman" w:cs="Times New Roman"/>
          <w:i/>
          <w:szCs w:val="24"/>
          <w:lang w:eastAsia="lv-LV"/>
        </w:rPr>
        <w:t>euro</w:t>
      </w:r>
      <w:r w:rsidRPr="00BD3232">
        <w:rPr>
          <w:rFonts w:eastAsia="Times New Roman" w:cs="Times New Roman"/>
          <w:szCs w:val="24"/>
          <w:lang w:eastAsia="lv-LV"/>
        </w:rPr>
        <w:t xml:space="preserve"> zonas dalībvalstu</w:t>
      </w:r>
      <w:r w:rsidRPr="00BD3232">
        <w:t xml:space="preserve"> </w:t>
      </w:r>
      <w:r w:rsidRPr="00BD3232">
        <w:rPr>
          <w:rFonts w:eastAsia="Times New Roman" w:cs="Times New Roman"/>
          <w:szCs w:val="24"/>
          <w:lang w:eastAsia="lv-LV"/>
        </w:rPr>
        <w:t>kredītiestāžu un ieguldījumu sabiedrību darbības noregulēšanai, kas papildinās 2012.gada septembrī nopublicētos EK regulas priekšlikumus par vienotā uzraudzības mehānisma izveidi. EK šobrīd veic ietekmes novērtējumu, lai noteiktu, uz kuras ES iestādes bāzes šādu noregulējuma iestādi izveidot. Ņemot vērā šo priekšlikumu prasības un neraugoties uz to, ka no tiem neizriet pienākums dalībvalstīm automātiski atcelt to iepriekš ieviestās nodevas, Latvijai var rasties nepieciešamība, tai skaitā ietekmes uz nozari un uz gala patērētājiem pārnesto izmaksu sloga dēļ, tuvākā gada laikā pārvērtēt arī FSN līdzšinējo piemērošanas un izlietošanas kārtību ES iniciatīvu kontekstā</w:t>
      </w:r>
      <w:r w:rsidR="00007ED9">
        <w:rPr>
          <w:rFonts w:eastAsia="Times New Roman" w:cs="Times New Roman"/>
          <w:szCs w:val="24"/>
          <w:lang w:eastAsia="lv-LV"/>
        </w:rPr>
        <w:t>.</w:t>
      </w:r>
    </w:p>
    <w:p w:rsidR="00E23280" w:rsidRPr="00BD3232" w:rsidRDefault="00E23280" w:rsidP="00E23280">
      <w:pPr>
        <w:spacing w:after="0" w:line="240" w:lineRule="auto"/>
        <w:ind w:firstLine="709"/>
        <w:jc w:val="both"/>
        <w:rPr>
          <w:rFonts w:eastAsia="Times New Roman" w:cs="Times New Roman"/>
          <w:szCs w:val="24"/>
          <w:lang w:eastAsia="lv-LV"/>
        </w:rPr>
      </w:pPr>
      <w:r w:rsidRPr="00BD3232">
        <w:rPr>
          <w:rFonts w:eastAsia="Times New Roman" w:cs="Times New Roman"/>
          <w:szCs w:val="24"/>
          <w:lang w:eastAsia="lv-LV"/>
        </w:rPr>
        <w:t xml:space="preserve">2012.gada 13.decembrī ES tika panākta politiska vienošanās par vienotā kredītiestāžu uzraudzības mehānisma izveidi, kura mērķis ir atjaunot uzticēšanos banku sektoram. To veidos </w:t>
      </w:r>
      <w:r w:rsidR="00393663" w:rsidRPr="00BD3232">
        <w:rPr>
          <w:rFonts w:eastAsia="Times New Roman" w:cs="Times New Roman"/>
          <w:szCs w:val="24"/>
          <w:lang w:eastAsia="lv-LV"/>
        </w:rPr>
        <w:t xml:space="preserve">Eiropas Centrālā banka (turpmāk – </w:t>
      </w:r>
      <w:r w:rsidRPr="00BD3232">
        <w:rPr>
          <w:rFonts w:eastAsia="Times New Roman" w:cs="Times New Roman"/>
          <w:szCs w:val="24"/>
          <w:lang w:eastAsia="lv-LV"/>
        </w:rPr>
        <w:t>ECB</w:t>
      </w:r>
      <w:r w:rsidR="00393663" w:rsidRPr="00BD3232">
        <w:rPr>
          <w:rFonts w:eastAsia="Times New Roman" w:cs="Times New Roman"/>
          <w:szCs w:val="24"/>
          <w:lang w:eastAsia="lv-LV"/>
        </w:rPr>
        <w:t>)</w:t>
      </w:r>
      <w:r w:rsidRPr="00BD3232">
        <w:rPr>
          <w:rFonts w:eastAsia="Times New Roman" w:cs="Times New Roman"/>
          <w:szCs w:val="24"/>
          <w:lang w:eastAsia="lv-LV"/>
        </w:rPr>
        <w:t xml:space="preserve"> un nacionālās kompetentās iestādes. Latvijai pievienojoties </w:t>
      </w:r>
      <w:r w:rsidR="00F01581" w:rsidRPr="00BD3232">
        <w:rPr>
          <w:rFonts w:eastAsia="Times New Roman" w:cs="Times New Roman"/>
          <w:szCs w:val="24"/>
          <w:lang w:eastAsia="lv-LV"/>
        </w:rPr>
        <w:t>euro</w:t>
      </w:r>
      <w:r w:rsidRPr="00BD3232">
        <w:rPr>
          <w:rFonts w:eastAsia="Times New Roman" w:cs="Times New Roman"/>
          <w:szCs w:val="24"/>
          <w:lang w:eastAsia="lv-LV"/>
        </w:rPr>
        <w:t xml:space="preserve">zonai, trīs lielākās bankas varētu tikt pakļautas ECB tiešajai uzraudzībai. No visām 6000 </w:t>
      </w:r>
      <w:r w:rsidR="00F01581" w:rsidRPr="00BD3232">
        <w:rPr>
          <w:rFonts w:eastAsia="Times New Roman" w:cs="Times New Roman"/>
          <w:szCs w:val="24"/>
          <w:lang w:eastAsia="lv-LV"/>
        </w:rPr>
        <w:t>euro</w:t>
      </w:r>
      <w:r w:rsidRPr="00BD3232">
        <w:rPr>
          <w:rFonts w:eastAsia="Times New Roman" w:cs="Times New Roman"/>
          <w:szCs w:val="24"/>
          <w:lang w:eastAsia="lv-LV"/>
        </w:rPr>
        <w:t>zonas bankām pēc apstiprinātajiem kritērijiem aptuveni 200 tiks pakļautas tiešajai ECB uzraudzībai.</w:t>
      </w:r>
    </w:p>
    <w:p w:rsidR="00E23280" w:rsidRDefault="00E23280" w:rsidP="00E23280">
      <w:pPr>
        <w:spacing w:after="0" w:line="240" w:lineRule="auto"/>
        <w:ind w:firstLine="709"/>
        <w:jc w:val="both"/>
        <w:rPr>
          <w:rFonts w:eastAsia="Times New Roman" w:cs="Times New Roman"/>
          <w:szCs w:val="24"/>
          <w:lang w:eastAsia="lv-LV"/>
        </w:rPr>
      </w:pPr>
      <w:r w:rsidRPr="00BD3232">
        <w:rPr>
          <w:rFonts w:eastAsia="Times New Roman" w:cs="Times New Roman"/>
          <w:szCs w:val="24"/>
          <w:lang w:eastAsia="lv-LV"/>
        </w:rPr>
        <w:t xml:space="preserve">Plānots, ka vienotās uzraudzības mehānisms pēc darbības uzsākšanas nodrošinātu iespēju </w:t>
      </w:r>
      <w:r w:rsidR="00F01581" w:rsidRPr="00BD3232">
        <w:rPr>
          <w:rFonts w:eastAsia="Times New Roman" w:cs="Times New Roman"/>
          <w:i/>
          <w:iCs/>
          <w:szCs w:val="24"/>
          <w:lang w:eastAsia="lv-LV"/>
        </w:rPr>
        <w:t>Euro</w:t>
      </w:r>
      <w:r w:rsidRPr="00BD3232">
        <w:rPr>
          <w:rFonts w:eastAsia="Times New Roman" w:cs="Times New Roman"/>
          <w:i/>
          <w:iCs/>
          <w:szCs w:val="24"/>
          <w:lang w:eastAsia="lv-LV"/>
        </w:rPr>
        <w:t xml:space="preserve">pas Stabilitātes mehānismam </w:t>
      </w:r>
      <w:r w:rsidRPr="00BD3232">
        <w:rPr>
          <w:rFonts w:eastAsia="Times New Roman" w:cs="Times New Roman"/>
          <w:szCs w:val="24"/>
          <w:lang w:eastAsia="lv-LV"/>
        </w:rPr>
        <w:t xml:space="preserve">tieši rekapitalizēt grūtībās nonākušās </w:t>
      </w:r>
      <w:r w:rsidR="00F01581" w:rsidRPr="00BD3232">
        <w:rPr>
          <w:rFonts w:eastAsia="Times New Roman" w:cs="Times New Roman"/>
          <w:szCs w:val="24"/>
          <w:lang w:eastAsia="lv-LV"/>
        </w:rPr>
        <w:t>euro</w:t>
      </w:r>
      <w:r w:rsidRPr="00BD3232">
        <w:rPr>
          <w:rFonts w:eastAsia="Times New Roman" w:cs="Times New Roman"/>
          <w:szCs w:val="24"/>
          <w:lang w:eastAsia="lv-LV"/>
        </w:rPr>
        <w:t xml:space="preserve">zonas bankas, tādējādi neapgrūtinot </w:t>
      </w:r>
      <w:r w:rsidR="00F01581" w:rsidRPr="00BD3232">
        <w:rPr>
          <w:rFonts w:eastAsia="Times New Roman" w:cs="Times New Roman"/>
          <w:szCs w:val="24"/>
          <w:lang w:eastAsia="lv-LV"/>
        </w:rPr>
        <w:t>euro</w:t>
      </w:r>
      <w:r w:rsidRPr="00BD3232">
        <w:rPr>
          <w:rFonts w:eastAsia="Times New Roman" w:cs="Times New Roman"/>
          <w:szCs w:val="24"/>
          <w:lang w:eastAsia="lv-LV"/>
        </w:rPr>
        <w:t>zonas valstis ar vēl lielākām parādsaistībām. Priekšlikums paredz, ka ECB pilnā apjomā uzsāks īstenot sa</w:t>
      </w:r>
      <w:r w:rsidR="00393663" w:rsidRPr="00BD3232">
        <w:rPr>
          <w:rFonts w:eastAsia="Times New Roman" w:cs="Times New Roman"/>
          <w:szCs w:val="24"/>
          <w:lang w:eastAsia="lv-LV"/>
        </w:rPr>
        <w:t>vas uzraudzības pilnvaras 2014.gada 1.</w:t>
      </w:r>
      <w:r w:rsidR="00A825C8" w:rsidRPr="00BD3232">
        <w:rPr>
          <w:rFonts w:eastAsia="Times New Roman" w:cs="Times New Roman"/>
          <w:szCs w:val="24"/>
          <w:lang w:eastAsia="lv-LV"/>
        </w:rPr>
        <w:t>jūlijā</w:t>
      </w:r>
      <w:r w:rsidRPr="00BD3232">
        <w:rPr>
          <w:rFonts w:eastAsia="Times New Roman" w:cs="Times New Roman"/>
          <w:szCs w:val="24"/>
          <w:lang w:eastAsia="lv-LV"/>
        </w:rPr>
        <w:t xml:space="preserve"> vai 12 mēnešus pēc regulas spēkā stāšanās.</w:t>
      </w:r>
    </w:p>
    <w:p w:rsidR="00481086" w:rsidRPr="006A37E8" w:rsidRDefault="00481086" w:rsidP="00481086">
      <w:pPr>
        <w:spacing w:after="0" w:line="240" w:lineRule="auto"/>
        <w:ind w:firstLine="720"/>
        <w:jc w:val="both"/>
        <w:rPr>
          <w:color w:val="000000" w:themeColor="text1"/>
        </w:rPr>
      </w:pPr>
      <w:r w:rsidRPr="00FF7387">
        <w:t>Finanšu stabilitātes nodevas jautājumu nākotnē būs jāpārskata ES iniciatīvu kontekstā gan attiecībā uz kopējām Eiropas Savienības līmeņa prasībām banku sanācijai un noregulējumam, gan Vienotā Noregulējuma mehānisma izveidei ar vienotu Noregulējuma fondu Eiropas Savienībā, kas attieksies uz tām dalībvalstīm, kuras ir Vienotā uzraudzības mehānisma dalībnieces. Taču vienlaikus būtu skaidri arī jāapzinās, ka banku iemaksām Vienotajā Noregulējuma fondā un Finanšu stabilitātes nodevai ir atšķirīgs mērķis, kur pirmajām ir nodrošināt banku sanācijas un noregulēšanas pasākumus, aizsargājot noguldītāju un citu investoru intereses, vienlaikus nodrošinot kopējo finanšu stabilitāti sistēmā kopumā. Taču Finanšu stabilitātes nodeva tika ieviesta kā finanšu krīzes laika risinājums,  lai daļēji kompensētu valsts budžeta līdzekļus, kas novirzīti situācijas stabilizēšanas pasākumiem finanšu sektorā. Vai atstāt abus šos instrumentus, vai saglabāt tikai iemaksas Vienotajā Noregulējuma mehānismā, tā būs Latvijas politiskā izšķiršanās. Uzskatām, ka šobrīd ir pragmatiskāk saglabāt esošo kārtību un konkrētāk par iespējamiem risinājuma scenārijiem lemt nākošgad, kad būs apstiprināts regulējums, kā šis Vienotais Noregulējuma fonds darbosies un konkrēti kādas būs noteiktas banku iemaksas šajā fondā.</w:t>
      </w:r>
    </w:p>
    <w:p w:rsidR="000C37F8" w:rsidRDefault="0016581F" w:rsidP="006A37E8">
      <w:pPr>
        <w:spacing w:after="0" w:line="240" w:lineRule="auto"/>
        <w:ind w:firstLine="720"/>
        <w:jc w:val="both"/>
        <w:rPr>
          <w:color w:val="000000" w:themeColor="text1"/>
        </w:rPr>
      </w:pPr>
      <w:r w:rsidRPr="00C8121F">
        <w:rPr>
          <w:color w:val="000000" w:themeColor="text1"/>
        </w:rPr>
        <w:t>2013.gada 10.jūlijā</w:t>
      </w:r>
      <w:r w:rsidR="00F32D74" w:rsidRPr="00C8121F">
        <w:rPr>
          <w:color w:val="000000" w:themeColor="text1"/>
        </w:rPr>
        <w:t xml:space="preserve"> ar </w:t>
      </w:r>
      <w:r w:rsidRPr="00C8121F">
        <w:rPr>
          <w:color w:val="000000" w:themeColor="text1"/>
        </w:rPr>
        <w:t xml:space="preserve">Pastāvīgo pārstāvju komitejas (COREPER) lēmumu ir izveidota īpaša Padomes </w:t>
      </w:r>
      <w:r w:rsidRPr="00C8121F">
        <w:rPr>
          <w:i/>
          <w:iCs/>
          <w:color w:val="000000" w:themeColor="text1"/>
        </w:rPr>
        <w:t>ad hoc</w:t>
      </w:r>
      <w:r w:rsidRPr="00C8121F">
        <w:rPr>
          <w:color w:val="000000" w:themeColor="text1"/>
        </w:rPr>
        <w:t xml:space="preserve"> augsta līmeņa ekspertu darba grupa</w:t>
      </w:r>
      <w:r w:rsidR="00F32D74" w:rsidRPr="00C8121F">
        <w:rPr>
          <w:color w:val="000000" w:themeColor="text1"/>
        </w:rPr>
        <w:t xml:space="preserve">, </w:t>
      </w:r>
      <w:r w:rsidRPr="00C8121F">
        <w:rPr>
          <w:color w:val="000000" w:themeColor="text1"/>
        </w:rPr>
        <w:t xml:space="preserve">EK </w:t>
      </w:r>
      <w:r w:rsidR="00DC6CE8" w:rsidRPr="006A37E8">
        <w:rPr>
          <w:color w:val="000000" w:themeColor="text1"/>
        </w:rPr>
        <w:t>nopublicētā</w:t>
      </w:r>
      <w:r w:rsidR="00DC6CE8" w:rsidRPr="00C8121F">
        <w:rPr>
          <w:color w:val="000000" w:themeColor="text1"/>
        </w:rPr>
        <w:t xml:space="preserve"> </w:t>
      </w:r>
      <w:r w:rsidRPr="00C8121F">
        <w:rPr>
          <w:color w:val="000000" w:themeColor="text1"/>
        </w:rPr>
        <w:t>priekšlikuma</w:t>
      </w:r>
      <w:r w:rsidR="00C8121F" w:rsidRPr="00C8121F">
        <w:rPr>
          <w:color w:val="000000" w:themeColor="text1"/>
        </w:rPr>
        <w:t xml:space="preserve"> </w:t>
      </w:r>
      <w:r w:rsidR="00F32D74" w:rsidRPr="00C8121F">
        <w:rPr>
          <w:color w:val="000000" w:themeColor="text1"/>
        </w:rPr>
        <w:t xml:space="preserve">- </w:t>
      </w:r>
      <w:r w:rsidR="00C8121F" w:rsidRPr="00C8121F">
        <w:rPr>
          <w:i/>
          <w:iCs/>
          <w:color w:val="000000" w:themeColor="text1"/>
        </w:rPr>
        <w:t xml:space="preserve">Eiropas Parlamenta un Padomes Regula, ar ko izveido vienādus noteikumus un vienotu procedūru kredītiestāžu un noteiktu ieguldījumu brokeru </w:t>
      </w:r>
      <w:r w:rsidR="00C8121F" w:rsidRPr="00C8121F">
        <w:rPr>
          <w:i/>
          <w:iCs/>
          <w:color w:val="000000" w:themeColor="text1"/>
        </w:rPr>
        <w:lastRenderedPageBreak/>
        <w:t>sabiedrību noregulējumam, izmantojot vienotu noregulējuma mehānismu un vienotu banku noregulējuma fondu, un groza Eiropas Parlamenta un Padomes Regulu (ES) Nr. 1093/2010</w:t>
      </w:r>
      <w:r w:rsidR="00F32D74" w:rsidRPr="00C8121F">
        <w:rPr>
          <w:color w:val="000000" w:themeColor="text1"/>
        </w:rPr>
        <w:t>,</w:t>
      </w:r>
      <w:r w:rsidR="00C8121F" w:rsidRPr="00C8121F">
        <w:rPr>
          <w:color w:val="000000" w:themeColor="text1"/>
        </w:rPr>
        <w:t xml:space="preserve"> izskatīšanai un saskaņošanai.</w:t>
      </w:r>
      <w:r w:rsidR="00F32D74" w:rsidRPr="00C8121F">
        <w:rPr>
          <w:color w:val="000000" w:themeColor="text1"/>
        </w:rPr>
        <w:t xml:space="preserve"> </w:t>
      </w:r>
      <w:r w:rsidR="00C8121F" w:rsidRPr="00C8121F">
        <w:rPr>
          <w:color w:val="000000" w:themeColor="text1"/>
        </w:rPr>
        <w:t>Priekšlikuma 64.-67.pantos noteikta kārtība, kā bankām jāveic iemaksas Vienotajā Noregulējuma fondā. Eiropas Komisijas sākotnējā priekšlikumā noteikts, ka Vienotā Noregulējuma fonda mērķapjoms ir vismaz 1% no visu banku, kam piešķirta atļauja iesaistītājās dalībvalstīs, noguldījumiem, kas tiek garantēti saskaņā ar Direktīvu 94/19/EK. Katras bankas iemaksas iekasēs vismaz reizi gadā, un tās aprēķinu veidos proporcionāli to saistību apjomam, izņemot pašu kapitālu un segtos noguldījumus attiecībā uz visu iestāžu, kam piešķirta darbības atļauja iesaistīto dalībvalstu teritorijā. Iemaksas aprēķināšanā tiks ņemts vērā arī konkrētās bankas riska profils. Šis priekšlikums ir jāpieņem Padomes un Eiropas Parlamenta koplēmuma procedūrā. Plānots, ka priekšlikums stāsies spēkā ar 2015.gada 1.janvāri, taču tas ir atkarīgs, cik raiti virzīsies šī priekšlikuma apstiprināšana Padomē un secīgi, cik drīz izdosies panākt gala vienošanos ar Eiropas Parlamentu.</w:t>
      </w:r>
    </w:p>
    <w:p w:rsidR="00393A8D" w:rsidRPr="00BD3232" w:rsidRDefault="00393A8D" w:rsidP="007E2FA3">
      <w:pPr>
        <w:spacing w:after="0" w:line="240" w:lineRule="auto"/>
        <w:ind w:firstLine="709"/>
        <w:jc w:val="both"/>
        <w:rPr>
          <w:rFonts w:eastAsia="Calibri" w:cs="Times New Roman"/>
        </w:rPr>
      </w:pPr>
      <w:r w:rsidRPr="00BD3232">
        <w:rPr>
          <w:rFonts w:eastAsia="Calibri" w:cs="Times New Roman"/>
        </w:rPr>
        <w:t>ASV ir ierosinājusi Finanšu krīzes atbildības (</w:t>
      </w:r>
      <w:r w:rsidRPr="00BD3232">
        <w:rPr>
          <w:rFonts w:eastAsia="Calibri" w:cs="Times New Roman"/>
          <w:i/>
          <w:lang w:val="en-US"/>
        </w:rPr>
        <w:t>Financial Crisis Responsibility</w:t>
      </w:r>
      <w:r w:rsidRPr="00BD3232">
        <w:rPr>
          <w:rFonts w:eastAsia="Calibri" w:cs="Times New Roman"/>
          <w:i/>
        </w:rPr>
        <w:t xml:space="preserve"> - FCR</w:t>
      </w:r>
      <w:r w:rsidRPr="00BD3232">
        <w:rPr>
          <w:rFonts w:eastAsia="Calibri" w:cs="Times New Roman"/>
        </w:rPr>
        <w:t>) nodevu, lai atgūtu krīzes ietekmes mazināšanas izmaksas. Šie maksājumi jāveic bankām, apdrošināšanas sabiedrībām un citām noguldījumu sabiedrībām, kam pieder aktīvi virs 50 miljardiem dolāru. Ikgadējā nodeva sākotnēji paredzēta 0,15% apmērā no kopējām saistībām izņemot noguldījumus Federālo noguldījumu apdrošināšanas sabiedrībā un apdrošināšanas polišu rezerves. Paredzamie ieņēmumi no FCR ir 90 – 117 miljardi dolāru 10 – 12 gadu periodā. Šī nodeva būs spēkā līdz Nedrošo aktīvu atvieglošanas programmas (</w:t>
      </w:r>
      <w:r w:rsidRPr="00BD3232">
        <w:rPr>
          <w:rFonts w:eastAsia="Calibri" w:cs="Times New Roman"/>
          <w:i/>
        </w:rPr>
        <w:t>Troubled Asset Relief Program</w:t>
      </w:r>
      <w:r w:rsidRPr="00BD3232">
        <w:rPr>
          <w:rFonts w:eastAsia="Calibri" w:cs="Times New Roman"/>
        </w:rPr>
        <w:t xml:space="preserve"> </w:t>
      </w:r>
      <w:r w:rsidRPr="00BD3232">
        <w:rPr>
          <w:rFonts w:eastAsia="Calibri" w:cs="Times New Roman"/>
          <w:i/>
        </w:rPr>
        <w:t>– TARP</w:t>
      </w:r>
      <w:r w:rsidRPr="00BD3232">
        <w:rPr>
          <w:rFonts w:eastAsia="Calibri" w:cs="Times New Roman"/>
        </w:rPr>
        <w:t>) izmaksas tiks atgūtas pilnībā. Priekšlikums ir iesniegts tiesiskai izvērtēšanai, kā pēdējais piedāvājums tiek vērtēta pieeja balstīties uz aktīvu risku novērtējumu, izņemot akciju vērtību (</w:t>
      </w:r>
      <w:r w:rsidRPr="00BD3232">
        <w:rPr>
          <w:rFonts w:eastAsia="Calibri" w:cs="Times New Roman"/>
          <w:i/>
        </w:rPr>
        <w:t xml:space="preserve">equity capital) </w:t>
      </w:r>
      <w:r w:rsidRPr="00BD3232">
        <w:rPr>
          <w:rFonts w:eastAsia="Calibri" w:cs="Times New Roman"/>
        </w:rPr>
        <w:t>un apdrošinātās saistības kā bāzi.</w:t>
      </w:r>
    </w:p>
    <w:p w:rsidR="000B5909" w:rsidRPr="00BD3232" w:rsidRDefault="00393A8D" w:rsidP="005A6A4C">
      <w:pPr>
        <w:spacing w:after="0" w:line="240" w:lineRule="auto"/>
        <w:ind w:firstLine="709"/>
        <w:jc w:val="both"/>
        <w:rPr>
          <w:rFonts w:eastAsia="Calibri" w:cs="Times New Roman"/>
        </w:rPr>
      </w:pPr>
      <w:r w:rsidRPr="00BD3232">
        <w:rPr>
          <w:rFonts w:eastAsia="Calibri" w:cs="Times New Roman"/>
        </w:rPr>
        <w:t>Lielbritānija un Francija ir ieviesušas pagaidu nodokli prēmijām un piemaksām. „Banku izmaksu nodoklis”, kas bija spēkā Lielbritānijā līdz 2010.gada 5.aprīlim, paredzēja 50% maksājumus no visiem prēmiju maksājumiem, kas pārsniedz 25 000 mārciņu. Francijā 2009.gada taksācijas periodam piemērotā shēma arī iekasēja 50% no prēmijām un piemaksām virs aptuveni tāda pat sliekšņa,</w:t>
      </w:r>
      <w:r w:rsidR="00C64571" w:rsidRPr="00BD3232">
        <w:rPr>
          <w:rFonts w:eastAsia="Calibri" w:cs="Times New Roman"/>
        </w:rPr>
        <w:t xml:space="preserve"> iekasējot aptuveni 360 milj.</w:t>
      </w:r>
      <w:r w:rsidRPr="00BD3232">
        <w:rPr>
          <w:rFonts w:eastAsia="Calibri" w:cs="Times New Roman"/>
        </w:rPr>
        <w:t xml:space="preserve"> </w:t>
      </w:r>
      <w:r w:rsidR="00F01581" w:rsidRPr="007D66EC">
        <w:rPr>
          <w:rFonts w:eastAsia="Calibri" w:cs="Times New Roman"/>
          <w:i/>
        </w:rPr>
        <w:t>euro</w:t>
      </w:r>
      <w:r w:rsidRPr="00BD3232">
        <w:rPr>
          <w:rFonts w:eastAsia="Calibri" w:cs="Times New Roman"/>
        </w:rPr>
        <w:t>. Atšķirībā no ASV pieejas, šīs shēmas neparedz atgūt kādu noteiktu summu valsts budžetā.</w:t>
      </w:r>
      <w:r w:rsidR="007E2FA3" w:rsidRPr="00BD3232">
        <w:rPr>
          <w:rFonts w:eastAsia="Calibri" w:cs="Times New Roman"/>
        </w:rPr>
        <w:t xml:space="preserve"> </w:t>
      </w:r>
    </w:p>
    <w:p w:rsidR="00393A8D" w:rsidRPr="00BD3232" w:rsidRDefault="00393A8D" w:rsidP="00393A8D">
      <w:pPr>
        <w:spacing w:after="0" w:line="240" w:lineRule="auto"/>
        <w:ind w:firstLine="709"/>
        <w:jc w:val="both"/>
        <w:rPr>
          <w:rFonts w:eastAsia="Calibri" w:cs="Times New Roman"/>
        </w:rPr>
      </w:pPr>
      <w:r w:rsidRPr="00BD3232">
        <w:rPr>
          <w:rFonts w:eastAsia="Calibri" w:cs="Times New Roman"/>
        </w:rPr>
        <w:t>Zviedrija bija viena no pirmajām valstīm, kas nāca klajā ar piedāvājumu ieviest banku un citu kredītinstitūciju stabilitātes nodevu. Nodevas ieņēmumus stabilitātes fondā administrē Nacionālo parādu ofiss (</w:t>
      </w:r>
      <w:r w:rsidRPr="00BD3232">
        <w:rPr>
          <w:rFonts w:eastAsia="Calibri" w:cs="Times New Roman"/>
          <w:i/>
        </w:rPr>
        <w:t>National Debt Office</w:t>
      </w:r>
      <w:r w:rsidRPr="00BD3232">
        <w:rPr>
          <w:rFonts w:eastAsia="Calibri" w:cs="Times New Roman"/>
        </w:rPr>
        <w:t>). Valdība plāno nodevu saglabāt vismaz 15 gadus, līdz uzkrājumi fondā sasniegs 2,5% no IKP, kas ir aptuveni novērtētās kopējās banku sektora krīzes izmaksas ekonomikai. Nodeva ir 0,018% no kredītiestādes auditētās bilances saistībām, izņemot akciju vērtību (</w:t>
      </w:r>
      <w:r w:rsidRPr="00BD3232">
        <w:rPr>
          <w:rFonts w:eastAsia="Calibri" w:cs="Times New Roman"/>
          <w:i/>
        </w:rPr>
        <w:t>equity capital</w:t>
      </w:r>
      <w:r w:rsidRPr="00BD3232">
        <w:rPr>
          <w:rFonts w:eastAsia="Calibri" w:cs="Times New Roman"/>
        </w:rPr>
        <w:t xml:space="preserve">) un nesenas parādsaistības. Fondā ieskaitītas arī Zviedrijas valdībai piederošās krīzes laikā iegādātās 10% Nordea bankas akcijas, kuras labvēlīgā tirgus situācijā tiks pārdotas. Šobrīd fonda vērtība ir aptuveni 1% no IKP. Zviedrijas valdība </w:t>
      </w:r>
      <w:r w:rsidR="00F911B3" w:rsidRPr="00BD3232">
        <w:rPr>
          <w:rFonts w:eastAsia="Calibri" w:cs="Times New Roman"/>
        </w:rPr>
        <w:t>dubultoja</w:t>
      </w:r>
      <w:r w:rsidRPr="00BD3232">
        <w:rPr>
          <w:rFonts w:eastAsia="Calibri" w:cs="Times New Roman"/>
        </w:rPr>
        <w:t xml:space="preserve"> </w:t>
      </w:r>
      <w:r w:rsidR="00F911B3" w:rsidRPr="00BD3232">
        <w:rPr>
          <w:rFonts w:eastAsia="Calibri" w:cs="Times New Roman"/>
        </w:rPr>
        <w:t>nodevu 2011.gadā līdz 0,036%</w:t>
      </w:r>
      <w:r w:rsidRPr="00BD3232">
        <w:rPr>
          <w:rFonts w:eastAsia="Calibri" w:cs="Times New Roman"/>
        </w:rPr>
        <w:t>.</w:t>
      </w:r>
      <w:r w:rsidR="00F911B3" w:rsidRPr="00BD3232">
        <w:rPr>
          <w:rFonts w:eastAsia="Calibri" w:cs="Times New Roman"/>
        </w:rPr>
        <w:t xml:space="preserve"> Šāds palielinājums ir saistīts ar to, ka </w:t>
      </w:r>
      <w:r w:rsidR="007E2FA3" w:rsidRPr="00BD3232">
        <w:rPr>
          <w:rFonts w:eastAsia="Calibri" w:cs="Times New Roman"/>
        </w:rPr>
        <w:t>2009. un 2010.gada bija piemērota samazinātā likme – 0,018%</w:t>
      </w:r>
      <w:r w:rsidR="00293437" w:rsidRPr="00BD3232">
        <w:rPr>
          <w:rFonts w:eastAsia="Calibri" w:cs="Times New Roman"/>
        </w:rPr>
        <w:t>.</w:t>
      </w:r>
      <w:r w:rsidRPr="00BD3232">
        <w:rPr>
          <w:rFonts w:eastAsia="Calibri" w:cs="Times New Roman"/>
        </w:rPr>
        <w:t xml:space="preserve"> Zviedrija ir mācījusies no 1990.gadu banku krīzes pieredzes, kad, ieviešot finanšu darījumu nodokli, daļa darījumu tika pārcelti uz Londonu, kur bija pievilcīgāks nodokļu režīms.</w:t>
      </w:r>
    </w:p>
    <w:p w:rsidR="00393A8D" w:rsidRPr="00BD3232" w:rsidRDefault="00393A8D" w:rsidP="00CE3624">
      <w:pPr>
        <w:spacing w:after="0" w:line="240" w:lineRule="auto"/>
        <w:ind w:firstLine="709"/>
        <w:jc w:val="both"/>
        <w:rPr>
          <w:rFonts w:eastAsia="Calibri" w:cs="Times New Roman"/>
        </w:rPr>
      </w:pPr>
      <w:r w:rsidRPr="00BD3232">
        <w:rPr>
          <w:rFonts w:eastAsia="Calibri" w:cs="Times New Roman"/>
        </w:rPr>
        <w:t xml:space="preserve">Jāatzīst, ka saskaņā ar </w:t>
      </w:r>
      <w:r w:rsidR="00393663" w:rsidRPr="00BD3232">
        <w:rPr>
          <w:rFonts w:eastAsia="Calibri" w:cs="Times New Roman"/>
        </w:rPr>
        <w:t>SIA „</w:t>
      </w:r>
      <w:r w:rsidRPr="00BD3232">
        <w:rPr>
          <w:rFonts w:eastAsia="Calibri" w:cs="Times New Roman"/>
        </w:rPr>
        <w:t>KPMG</w:t>
      </w:r>
      <w:r w:rsidR="00393663" w:rsidRPr="00BD3232">
        <w:rPr>
          <w:rFonts w:eastAsia="Calibri" w:cs="Times New Roman"/>
        </w:rPr>
        <w:t xml:space="preserve"> Baltics”</w:t>
      </w:r>
      <w:r w:rsidRPr="00BD3232">
        <w:rPr>
          <w:rFonts w:eastAsia="Calibri" w:cs="Times New Roman"/>
        </w:rPr>
        <w:t xml:space="preserve"> veikto analīzi</w:t>
      </w:r>
      <w:r w:rsidRPr="00BD3232">
        <w:rPr>
          <w:rFonts w:eastAsia="Calibri" w:cs="Times New Roman"/>
          <w:vertAlign w:val="superscript"/>
        </w:rPr>
        <w:footnoteReference w:id="3"/>
      </w:r>
      <w:r w:rsidRPr="00BD3232">
        <w:rPr>
          <w:rFonts w:eastAsia="Calibri" w:cs="Times New Roman"/>
        </w:rPr>
        <w:t xml:space="preserve"> iepriekš aprakstītajām banku sektora nodevām ir iespējams nodokļu dubultās uzlikšanas risks.</w:t>
      </w:r>
    </w:p>
    <w:p w:rsidR="00393A8D" w:rsidRPr="00BD3232" w:rsidRDefault="00393A8D" w:rsidP="00393A8D">
      <w:pPr>
        <w:spacing w:after="0" w:line="240" w:lineRule="auto"/>
        <w:rPr>
          <w:rFonts w:eastAsia="Calibri" w:cs="Times New Roman"/>
        </w:rPr>
      </w:pPr>
    </w:p>
    <w:p w:rsidR="00393A8D" w:rsidRPr="00100BDE" w:rsidRDefault="00393A8D" w:rsidP="00100BDE">
      <w:pPr>
        <w:numPr>
          <w:ilvl w:val="0"/>
          <w:numId w:val="35"/>
        </w:numPr>
        <w:spacing w:after="0" w:line="240" w:lineRule="auto"/>
        <w:contextualSpacing/>
        <w:rPr>
          <w:rFonts w:eastAsia="Calibri" w:cs="Times New Roman"/>
          <w:b/>
        </w:rPr>
      </w:pPr>
      <w:r w:rsidRPr="00BD3232">
        <w:rPr>
          <w:rFonts w:eastAsia="Calibri" w:cs="Times New Roman"/>
          <w:b/>
        </w:rPr>
        <w:t>Finanšu sektora darbības rezultāti Latvijā</w:t>
      </w:r>
    </w:p>
    <w:p w:rsidR="00494A1D" w:rsidRPr="00BD3232" w:rsidRDefault="001710CE" w:rsidP="00CC76D8">
      <w:pPr>
        <w:autoSpaceDE w:val="0"/>
        <w:autoSpaceDN w:val="0"/>
        <w:adjustRightInd w:val="0"/>
        <w:spacing w:before="240" w:after="0" w:line="240" w:lineRule="auto"/>
        <w:ind w:firstLine="709"/>
        <w:jc w:val="both"/>
        <w:rPr>
          <w:rFonts w:ascii="TimesNewRomanPSMT" w:hAnsi="TimesNewRomanPSMT" w:cs="TimesNewRomanPSMT"/>
          <w:szCs w:val="24"/>
        </w:rPr>
      </w:pPr>
      <w:r w:rsidRPr="00BD3232">
        <w:rPr>
          <w:rFonts w:ascii="TimesNewRomanPSMT" w:hAnsi="TimesNewRomanPSMT" w:cs="TimesNewRomanPSMT"/>
          <w:szCs w:val="24"/>
        </w:rPr>
        <w:t>2012.</w:t>
      </w:r>
      <w:r w:rsidR="00A03D73" w:rsidRPr="00BD3232">
        <w:rPr>
          <w:rFonts w:ascii="TimesNewRomanPSMT" w:hAnsi="TimesNewRomanPSMT" w:cs="TimesNewRomanPSMT"/>
          <w:szCs w:val="24"/>
        </w:rPr>
        <w:t>gadā Latvijas tautsaimniecības izaugsmes temps, neraugoties uz nelabvēlīgajām norisēm globālajos tirgos un galvenajās tirdzniecības partnervalstīs, saglabājās augsts.</w:t>
      </w:r>
      <w:r w:rsidR="00416B32" w:rsidRPr="00BD3232">
        <w:rPr>
          <w:rFonts w:ascii="TimesNewRomanPSMT" w:hAnsi="TimesNewRomanPSMT" w:cs="TimesNewRomanPSMT"/>
          <w:szCs w:val="24"/>
        </w:rPr>
        <w:t xml:space="preserve"> Saskaņā ar </w:t>
      </w:r>
      <w:r w:rsidR="00501918" w:rsidRPr="00BD3232">
        <w:rPr>
          <w:rFonts w:ascii="TimesNewRomanPSMT" w:hAnsi="TimesNewRomanPSMT" w:cs="TimesNewRomanPSMT"/>
          <w:szCs w:val="24"/>
        </w:rPr>
        <w:t>Centrālās statistikas pārvaldes</w:t>
      </w:r>
      <w:r w:rsidR="00CC76D8" w:rsidRPr="00BD3232">
        <w:rPr>
          <w:rFonts w:ascii="TimesNewRomanPSMT" w:hAnsi="TimesNewRomanPSMT" w:cs="TimesNewRomanPSMT"/>
          <w:szCs w:val="24"/>
        </w:rPr>
        <w:t xml:space="preserve"> (turpmāk - CSP)</w:t>
      </w:r>
      <w:r w:rsidR="00416B32" w:rsidRPr="00BD3232">
        <w:rPr>
          <w:rFonts w:ascii="TimesNewRomanPSMT" w:hAnsi="TimesNewRomanPSMT" w:cs="TimesNewRomanPSMT"/>
          <w:szCs w:val="24"/>
        </w:rPr>
        <w:t xml:space="preserve"> datiem 2012.gadā IKP pieauga par </w:t>
      </w:r>
      <w:r w:rsidR="001C25E0" w:rsidRPr="00BD3232">
        <w:rPr>
          <w:rFonts w:ascii="TimesNewRomanPSMT" w:hAnsi="TimesNewRomanPSMT" w:cs="TimesNewRomanPSMT"/>
          <w:szCs w:val="24"/>
        </w:rPr>
        <w:t>5,5</w:t>
      </w:r>
      <w:r w:rsidR="00416B32" w:rsidRPr="00BD3232">
        <w:rPr>
          <w:rFonts w:ascii="TimesNewRomanPSMT" w:hAnsi="TimesNewRomanPSMT" w:cs="TimesNewRomanPSMT"/>
          <w:szCs w:val="24"/>
        </w:rPr>
        <w:t>%</w:t>
      </w:r>
      <w:r w:rsidR="00826958" w:rsidRPr="00BD3232">
        <w:rPr>
          <w:rFonts w:ascii="TimesNewRomanPSMT" w:hAnsi="TimesNewRomanPSMT" w:cs="TimesNewRomanPSMT"/>
          <w:szCs w:val="24"/>
        </w:rPr>
        <w:t xml:space="preserve"> (salīdzinājumā ar iepriekšējo gadu), savukārt </w:t>
      </w:r>
      <w:r w:rsidR="00416B32" w:rsidRPr="00BD3232">
        <w:rPr>
          <w:rFonts w:ascii="TimesNewRomanPSMT" w:hAnsi="TimesNewRomanPSMT" w:cs="TimesNewRomanPSMT"/>
          <w:szCs w:val="24"/>
        </w:rPr>
        <w:t xml:space="preserve">bezdarba </w:t>
      </w:r>
      <w:r w:rsidR="001C25E0" w:rsidRPr="00BD3232">
        <w:rPr>
          <w:rFonts w:ascii="TimesNewRomanPSMT" w:hAnsi="TimesNewRomanPSMT" w:cs="TimesNewRomanPSMT"/>
          <w:szCs w:val="24"/>
        </w:rPr>
        <w:t>līmenis samazinājies līdz 14,9</w:t>
      </w:r>
      <w:r w:rsidR="00416B32" w:rsidRPr="00BD3232">
        <w:rPr>
          <w:rFonts w:ascii="TimesNewRomanPSMT" w:hAnsi="TimesNewRomanPSMT" w:cs="TimesNewRomanPSMT"/>
          <w:szCs w:val="24"/>
        </w:rPr>
        <w:t>%</w:t>
      </w:r>
      <w:r w:rsidR="00826958" w:rsidRPr="00BD3232">
        <w:rPr>
          <w:rFonts w:ascii="TimesNewRomanPSMT" w:hAnsi="TimesNewRomanPSMT" w:cs="TimesNewRomanPSMT"/>
          <w:szCs w:val="24"/>
        </w:rPr>
        <w:t>.</w:t>
      </w:r>
    </w:p>
    <w:p w:rsidR="005E10FD" w:rsidRPr="00BD3232" w:rsidRDefault="005E10FD" w:rsidP="00494A1D">
      <w:pPr>
        <w:autoSpaceDE w:val="0"/>
        <w:autoSpaceDN w:val="0"/>
        <w:adjustRightInd w:val="0"/>
        <w:spacing w:after="0" w:line="240" w:lineRule="auto"/>
        <w:ind w:firstLine="709"/>
        <w:jc w:val="both"/>
        <w:rPr>
          <w:rFonts w:ascii="TimesNewRomanPSMT" w:hAnsi="TimesNewRomanPSMT" w:cs="TimesNewRomanPSMT"/>
          <w:szCs w:val="24"/>
        </w:rPr>
      </w:pPr>
      <w:r w:rsidRPr="00BD3232">
        <w:rPr>
          <w:rFonts w:ascii="TimesNewRomanPSMT" w:hAnsi="TimesNewRomanPSMT" w:cs="TimesNewRomanPSMT"/>
          <w:szCs w:val="24"/>
        </w:rPr>
        <w:t>Latvijas ekonomikas atveseļošanās atzīta arī starptautiski, starptautisko reitingu aģentūrām paaugstinot Latvijas kredītreitingu, kas samazina gan valsts izdevumus ārējā parāda apkalpošanai, gan arī aizņemšanas izmaksas.</w:t>
      </w:r>
    </w:p>
    <w:p w:rsidR="00C67E34" w:rsidRPr="00BD3232" w:rsidRDefault="007A5E2A" w:rsidP="001710CE">
      <w:pPr>
        <w:autoSpaceDE w:val="0"/>
        <w:autoSpaceDN w:val="0"/>
        <w:adjustRightInd w:val="0"/>
        <w:spacing w:after="0" w:line="240" w:lineRule="auto"/>
        <w:ind w:firstLine="709"/>
        <w:jc w:val="both"/>
        <w:rPr>
          <w:rFonts w:ascii="TimesNewRomanPS-BoldMT" w:hAnsi="TimesNewRomanPS-BoldMT" w:cs="TimesNewRomanPS-BoldMT"/>
          <w:bCs/>
          <w:szCs w:val="24"/>
        </w:rPr>
      </w:pPr>
      <w:r w:rsidRPr="00BD3232">
        <w:rPr>
          <w:rFonts w:ascii="TimesNewRomanPS-BoldMT" w:hAnsi="TimesNewRomanPS-BoldMT" w:cs="TimesNewRomanPS-BoldMT"/>
          <w:bCs/>
          <w:szCs w:val="24"/>
        </w:rPr>
        <w:t>V</w:t>
      </w:r>
      <w:r w:rsidR="001710CE" w:rsidRPr="00BD3232">
        <w:rPr>
          <w:rFonts w:ascii="TimesNewRomanPS-BoldMT" w:hAnsi="TimesNewRomanPS-BoldMT" w:cs="TimesNewRomanPS-BoldMT"/>
          <w:bCs/>
          <w:szCs w:val="24"/>
        </w:rPr>
        <w:t>eiksmīgi attīstoties tautsaimniecībai, Latvijas finanšu sektora sistēmiskie riski mazinājās. Tomēr krīzes sekas vēl nav pilnībā pārvarētas, un iespējamais ārējo risku saasinājums var vājināt kreditēšanas atveseļošanos un paaugstināt kredītrisku un pelnītspējas risku, kurus savukārt pastiprina aizņēmēju, īpaši mājsaimniecību, trauslā maksātspēja. Kredītiestāžu spēja absorbēt šokus joprojām saglabājas augsta.</w:t>
      </w:r>
    </w:p>
    <w:p w:rsidR="00826958" w:rsidRPr="00BD3232" w:rsidRDefault="00826958" w:rsidP="00826958">
      <w:pPr>
        <w:pStyle w:val="Default"/>
        <w:ind w:firstLine="709"/>
        <w:jc w:val="both"/>
        <w:rPr>
          <w:rFonts w:ascii="Times New Roman" w:hAnsi="Times New Roman" w:cs="Times New Roman"/>
          <w:color w:val="auto"/>
        </w:rPr>
      </w:pPr>
      <w:r w:rsidRPr="00BD3232">
        <w:rPr>
          <w:rFonts w:ascii="Times New Roman" w:hAnsi="Times New Roman" w:cs="Times New Roman"/>
          <w:color w:val="auto"/>
        </w:rPr>
        <w:t xml:space="preserve">2012.gadā Latvijā darbojās 20 </w:t>
      </w:r>
      <w:r w:rsidRPr="00BD3232">
        <w:rPr>
          <w:rFonts w:ascii="Times New Roman" w:hAnsi="Times New Roman" w:cs="Times New Roman"/>
          <w:bCs/>
          <w:color w:val="auto"/>
        </w:rPr>
        <w:t>bankas</w:t>
      </w:r>
      <w:r w:rsidRPr="00BD3232">
        <w:rPr>
          <w:rFonts w:ascii="Times New Roman" w:hAnsi="Times New Roman" w:cs="Times New Roman"/>
          <w:b/>
          <w:bCs/>
          <w:color w:val="auto"/>
        </w:rPr>
        <w:t xml:space="preserve"> </w:t>
      </w:r>
      <w:r w:rsidRPr="00BD3232">
        <w:rPr>
          <w:rFonts w:ascii="Times New Roman" w:hAnsi="Times New Roman" w:cs="Times New Roman"/>
          <w:color w:val="auto"/>
        </w:rPr>
        <w:t xml:space="preserve">un bija reģistrētas </w:t>
      </w:r>
      <w:r w:rsidR="00D7619A" w:rsidRPr="00BD3232">
        <w:rPr>
          <w:rFonts w:ascii="Times New Roman" w:hAnsi="Times New Roman" w:cs="Times New Roman"/>
          <w:color w:val="auto"/>
        </w:rPr>
        <w:t>9</w:t>
      </w:r>
      <w:r w:rsidRPr="00BD3232">
        <w:rPr>
          <w:rFonts w:ascii="Times New Roman" w:hAnsi="Times New Roman" w:cs="Times New Roman"/>
          <w:color w:val="auto"/>
        </w:rPr>
        <w:t xml:space="preserve"> ES dalībvalstu banku filiāles. Ārvalstīs darbojās 12 Latvijas banku filiāles. </w:t>
      </w:r>
    </w:p>
    <w:p w:rsidR="00826958" w:rsidRPr="00BD3232" w:rsidRDefault="00826958" w:rsidP="00826958">
      <w:pPr>
        <w:pStyle w:val="Default"/>
        <w:ind w:firstLine="709"/>
        <w:jc w:val="both"/>
        <w:rPr>
          <w:rFonts w:ascii="Times New Roman" w:hAnsi="Times New Roman" w:cs="Times New Roman"/>
          <w:color w:val="auto"/>
        </w:rPr>
      </w:pPr>
      <w:r w:rsidRPr="00BD3232">
        <w:rPr>
          <w:rFonts w:ascii="Times New Roman" w:hAnsi="Times New Roman" w:cs="Times New Roman"/>
          <w:color w:val="auto"/>
        </w:rPr>
        <w:t xml:space="preserve">2012.gadā vairākās Latvijas bankās notika strukturālas izmaiņas: </w:t>
      </w:r>
    </w:p>
    <w:p w:rsidR="002B249C" w:rsidRPr="00BD3232" w:rsidRDefault="00826958" w:rsidP="002B249C">
      <w:pPr>
        <w:pStyle w:val="Default"/>
        <w:numPr>
          <w:ilvl w:val="0"/>
          <w:numId w:val="38"/>
        </w:numPr>
        <w:jc w:val="both"/>
        <w:rPr>
          <w:rFonts w:ascii="Times New Roman" w:hAnsi="Times New Roman" w:cs="Times New Roman"/>
          <w:color w:val="auto"/>
        </w:rPr>
      </w:pPr>
      <w:r w:rsidRPr="00BD3232">
        <w:rPr>
          <w:rFonts w:ascii="Times New Roman" w:hAnsi="Times New Roman" w:cs="Times New Roman"/>
          <w:color w:val="auto"/>
        </w:rPr>
        <w:t xml:space="preserve">2012.gada jūlijā uzsāktā komercdaļas pārdošanas procesa ietvaros notikusi VAS „Latvijas Hipotēku un zemes banka” (Hipotēku banka) komercdaļas klientu apkalpošanas pāreja uz AS „Swedbank”. Līdz ar to tiek arī pildīts Latvijas valdības lēmums un starptautiskās saistības pret </w:t>
      </w:r>
      <w:r w:rsidR="00393663" w:rsidRPr="00BD3232">
        <w:rPr>
          <w:rFonts w:ascii="Times New Roman" w:hAnsi="Times New Roman" w:cs="Times New Roman"/>
          <w:color w:val="auto"/>
        </w:rPr>
        <w:t>EK</w:t>
      </w:r>
      <w:r w:rsidRPr="00BD3232">
        <w:rPr>
          <w:rFonts w:ascii="Times New Roman" w:hAnsi="Times New Roman" w:cs="Times New Roman"/>
          <w:color w:val="auto"/>
        </w:rPr>
        <w:t>, kas paredz Hipotēku bankas komercdarbības pa</w:t>
      </w:r>
      <w:r w:rsidR="00E55B5F" w:rsidRPr="00BD3232">
        <w:rPr>
          <w:rFonts w:ascii="Times New Roman" w:hAnsi="Times New Roman" w:cs="Times New Roman"/>
          <w:color w:val="auto"/>
        </w:rPr>
        <w:t>kāpenisku izbeigšanu līdz 2013.</w:t>
      </w:r>
      <w:r w:rsidRPr="00BD3232">
        <w:rPr>
          <w:rFonts w:ascii="Times New Roman" w:hAnsi="Times New Roman" w:cs="Times New Roman"/>
          <w:color w:val="auto"/>
        </w:rPr>
        <w:t xml:space="preserve">gada beigām; </w:t>
      </w:r>
    </w:p>
    <w:p w:rsidR="00E55B5F" w:rsidRPr="00BD3232" w:rsidRDefault="00826958" w:rsidP="002B249C">
      <w:pPr>
        <w:pStyle w:val="Default"/>
        <w:numPr>
          <w:ilvl w:val="0"/>
          <w:numId w:val="38"/>
        </w:numPr>
        <w:jc w:val="both"/>
        <w:rPr>
          <w:rFonts w:ascii="Times New Roman" w:hAnsi="Times New Roman" w:cs="Times New Roman"/>
          <w:color w:val="auto"/>
        </w:rPr>
      </w:pPr>
      <w:r w:rsidRPr="00BD3232">
        <w:rPr>
          <w:rFonts w:ascii="Times New Roman" w:hAnsi="Times New Roman" w:cs="Times New Roman"/>
          <w:color w:val="auto"/>
        </w:rPr>
        <w:t>AS „Citadele banka” akciju pā</w:t>
      </w:r>
      <w:r w:rsidR="00393663" w:rsidRPr="00BD3232">
        <w:rPr>
          <w:rFonts w:ascii="Times New Roman" w:hAnsi="Times New Roman" w:cs="Times New Roman"/>
          <w:color w:val="auto"/>
        </w:rPr>
        <w:t>rdošanas process (uzsākts 2011.</w:t>
      </w:r>
      <w:r w:rsidRPr="00BD3232">
        <w:rPr>
          <w:rFonts w:ascii="Times New Roman" w:hAnsi="Times New Roman" w:cs="Times New Roman"/>
          <w:color w:val="auto"/>
        </w:rPr>
        <w:t>gada vidū) pašlaik ir apturēts līdz brīdim, kad būs uzlabojusies situācija starptautiskajos finanšu tirgos. Līdz akcionāru turpmākajiem lēmumiem AS „Citadele banka” paliks esošo akcionāru īpašumā. Lēmums par pārdošanas atlikšanu neietekmē AS „Citadele banka” darbību, tā turpina realizēt restrukturizācijas plānu. 2012.</w:t>
      </w:r>
      <w:r w:rsidR="00E55B5F" w:rsidRPr="00BD3232">
        <w:rPr>
          <w:rFonts w:ascii="Times New Roman" w:hAnsi="Times New Roman" w:cs="Times New Roman"/>
          <w:color w:val="auto"/>
        </w:rPr>
        <w:t>gada 14.</w:t>
      </w:r>
      <w:r w:rsidRPr="00BD3232">
        <w:rPr>
          <w:rFonts w:ascii="Times New Roman" w:hAnsi="Times New Roman" w:cs="Times New Roman"/>
          <w:color w:val="auto"/>
        </w:rPr>
        <w:t>februārī AS „Citadele banka” pirms termiņa Finanšu ministrijai atmaksāja pēdējo valsts termiņnoguldījuma maksājumu</w:t>
      </w:r>
      <w:r w:rsidR="00E55B5F" w:rsidRPr="00BD3232">
        <w:rPr>
          <w:rFonts w:ascii="Times New Roman" w:hAnsi="Times New Roman" w:cs="Times New Roman"/>
          <w:color w:val="auto"/>
        </w:rPr>
        <w:t>;</w:t>
      </w:r>
      <w:r w:rsidR="00ED1D6D" w:rsidRPr="00BD3232">
        <w:rPr>
          <w:rFonts w:ascii="Times New Roman" w:eastAsia="Times New Roman" w:hAnsi="Times New Roman" w:cs="Times New Roman"/>
          <w:color w:val="auto"/>
          <w:szCs w:val="22"/>
          <w:lang w:eastAsia="lv-LV"/>
        </w:rPr>
        <w:t xml:space="preserve"> </w:t>
      </w:r>
    </w:p>
    <w:p w:rsidR="00E55B5F" w:rsidRPr="00BD3232" w:rsidRDefault="00826958" w:rsidP="00E55B5F">
      <w:pPr>
        <w:pStyle w:val="Default"/>
        <w:numPr>
          <w:ilvl w:val="0"/>
          <w:numId w:val="38"/>
        </w:numPr>
        <w:jc w:val="both"/>
        <w:rPr>
          <w:rFonts w:ascii="Times New Roman" w:hAnsi="Times New Roman" w:cs="Times New Roman"/>
          <w:color w:val="auto"/>
        </w:rPr>
      </w:pPr>
      <w:r w:rsidRPr="00BD3232">
        <w:rPr>
          <w:rFonts w:ascii="Times New Roman" w:hAnsi="Times New Roman" w:cs="Times New Roman"/>
          <w:color w:val="auto"/>
        </w:rPr>
        <w:t>20</w:t>
      </w:r>
      <w:r w:rsidR="00E55B5F" w:rsidRPr="00BD3232">
        <w:rPr>
          <w:rFonts w:ascii="Times New Roman" w:hAnsi="Times New Roman" w:cs="Times New Roman"/>
          <w:color w:val="auto"/>
        </w:rPr>
        <w:t>12.gada 10.</w:t>
      </w:r>
      <w:r w:rsidRPr="00BD3232">
        <w:rPr>
          <w:rFonts w:ascii="Times New Roman" w:hAnsi="Times New Roman" w:cs="Times New Roman"/>
          <w:color w:val="auto"/>
        </w:rPr>
        <w:t>maijā tika pieņemts lēmums anulēt AS „Latvijas Krājbanka” izsniegto licenci (atļauju) kredītiestādes darbībai, ievēroj</w:t>
      </w:r>
      <w:r w:rsidR="00393663" w:rsidRPr="00BD3232">
        <w:rPr>
          <w:rFonts w:ascii="Times New Roman" w:hAnsi="Times New Roman" w:cs="Times New Roman"/>
          <w:color w:val="auto"/>
        </w:rPr>
        <w:t>ot, ka Rīgas apgabaltiesa 2012.</w:t>
      </w:r>
      <w:r w:rsidR="00CC1B85" w:rsidRPr="00BD3232">
        <w:rPr>
          <w:rFonts w:ascii="Times New Roman" w:hAnsi="Times New Roman" w:cs="Times New Roman"/>
          <w:color w:val="auto"/>
        </w:rPr>
        <w:t xml:space="preserve"> </w:t>
      </w:r>
      <w:r w:rsidR="00393663" w:rsidRPr="00BD3232">
        <w:rPr>
          <w:rFonts w:ascii="Times New Roman" w:hAnsi="Times New Roman" w:cs="Times New Roman"/>
          <w:color w:val="auto"/>
        </w:rPr>
        <w:t>gada 8.</w:t>
      </w:r>
      <w:r w:rsidR="00CC1B85" w:rsidRPr="00BD3232">
        <w:rPr>
          <w:rFonts w:ascii="Times New Roman" w:hAnsi="Times New Roman" w:cs="Times New Roman"/>
          <w:color w:val="auto"/>
        </w:rPr>
        <w:t xml:space="preserve"> </w:t>
      </w:r>
      <w:r w:rsidRPr="00BD3232">
        <w:rPr>
          <w:rFonts w:ascii="Times New Roman" w:hAnsi="Times New Roman" w:cs="Times New Roman"/>
          <w:color w:val="auto"/>
        </w:rPr>
        <w:t>maijā nolēma u</w:t>
      </w:r>
      <w:r w:rsidR="00E55B5F" w:rsidRPr="00BD3232">
        <w:rPr>
          <w:rFonts w:ascii="Times New Roman" w:hAnsi="Times New Roman" w:cs="Times New Roman"/>
          <w:color w:val="auto"/>
        </w:rPr>
        <w:t>zsākt bankrota procedūru. 2012.</w:t>
      </w:r>
      <w:r w:rsidRPr="00BD3232">
        <w:rPr>
          <w:rFonts w:ascii="Times New Roman" w:hAnsi="Times New Roman" w:cs="Times New Roman"/>
          <w:color w:val="auto"/>
        </w:rPr>
        <w:t xml:space="preserve">gada vidū tika uzsākts bankas kredītportfeļu pārdošanas process, veicot pasākumus potenciālo investoru piesaistei. AS „Latvijas Krājbanka” kredīti ir sadalīti piecos kredītportfeļos; </w:t>
      </w:r>
    </w:p>
    <w:p w:rsidR="00826958" w:rsidRPr="00BD3232" w:rsidRDefault="00E55B5F" w:rsidP="00E55B5F">
      <w:pPr>
        <w:pStyle w:val="Default"/>
        <w:numPr>
          <w:ilvl w:val="0"/>
          <w:numId w:val="38"/>
        </w:numPr>
        <w:jc w:val="both"/>
        <w:rPr>
          <w:rFonts w:ascii="Times New Roman" w:hAnsi="Times New Roman" w:cs="Times New Roman"/>
          <w:color w:val="auto"/>
        </w:rPr>
      </w:pPr>
      <w:r w:rsidRPr="00BD3232">
        <w:rPr>
          <w:rFonts w:ascii="Times New Roman" w:hAnsi="Times New Roman" w:cs="Times New Roman"/>
          <w:color w:val="auto"/>
        </w:rPr>
        <w:t>2012.gada 15.</w:t>
      </w:r>
      <w:r w:rsidR="00826958" w:rsidRPr="00BD3232">
        <w:rPr>
          <w:rFonts w:ascii="Times New Roman" w:hAnsi="Times New Roman" w:cs="Times New Roman"/>
          <w:color w:val="auto"/>
        </w:rPr>
        <w:t>martā tika pieņemts lēmums anulēt AS „Parex banka” izsniegto licenci kredītiestādes darbībai un atļaut veikt bankas reorganizāciju, pārreģistrējot to par komercsabiedrību, kuras darbība nav saistīta ar kredītiestādes darbību. Šāds lēmums tika pieņemts pēc AS „Parex banka” lūguma anulēt bankai izsniegto licenci</w:t>
      </w:r>
      <w:r w:rsidRPr="00BD3232">
        <w:rPr>
          <w:rFonts w:ascii="Times New Roman" w:hAnsi="Times New Roman" w:cs="Times New Roman"/>
          <w:color w:val="auto"/>
        </w:rPr>
        <w:t xml:space="preserve"> kredītiestādes darbībai. 2012.</w:t>
      </w:r>
      <w:r w:rsidR="00826958" w:rsidRPr="00BD3232">
        <w:rPr>
          <w:rFonts w:ascii="Times New Roman" w:hAnsi="Times New Roman" w:cs="Times New Roman"/>
          <w:color w:val="auto"/>
        </w:rPr>
        <w:t xml:space="preserve">gada 8.maijā pēc statusa un nosaukuma maiņas AS „Parex banka” uzsāk darbu kā profesionāls problemātisko aktīvu pārvaldīšanas uzņēmums – AS „Reverta”. Ar aktīvu portfeli gandrīz miljarda </w:t>
      </w:r>
      <w:r w:rsidR="00F01581" w:rsidRPr="007D66EC">
        <w:rPr>
          <w:rFonts w:ascii="Times New Roman" w:hAnsi="Times New Roman" w:cs="Times New Roman"/>
          <w:i/>
          <w:color w:val="auto"/>
        </w:rPr>
        <w:t>euro</w:t>
      </w:r>
      <w:r w:rsidR="00826958" w:rsidRPr="00BD3232">
        <w:rPr>
          <w:rFonts w:ascii="Times New Roman" w:hAnsi="Times New Roman" w:cs="Times New Roman"/>
          <w:color w:val="auto"/>
        </w:rPr>
        <w:t xml:space="preserve"> apmērā „Reverta” ir lielākais problemātisko aktīvu pārvaldītājs Baltijas reģionā.</w:t>
      </w:r>
    </w:p>
    <w:p w:rsidR="004D56A3" w:rsidRPr="00BD3232" w:rsidRDefault="00F03106" w:rsidP="00F03106">
      <w:pPr>
        <w:pStyle w:val="Default"/>
        <w:ind w:firstLine="709"/>
        <w:jc w:val="both"/>
        <w:rPr>
          <w:rFonts w:ascii="Times New Roman" w:hAnsi="Times New Roman" w:cs="Times New Roman"/>
          <w:color w:val="auto"/>
        </w:rPr>
      </w:pPr>
      <w:r w:rsidRPr="00BD3232">
        <w:rPr>
          <w:rFonts w:ascii="Times New Roman" w:hAnsi="Times New Roman" w:cs="Times New Roman"/>
          <w:color w:val="auto"/>
        </w:rPr>
        <w:lastRenderedPageBreak/>
        <w:t>2012.</w:t>
      </w:r>
      <w:r w:rsidR="00BC28AB" w:rsidRPr="00BD3232">
        <w:rPr>
          <w:rFonts w:ascii="Times New Roman" w:hAnsi="Times New Roman" w:cs="Times New Roman"/>
          <w:color w:val="auto"/>
        </w:rPr>
        <w:t>gadā banku sektora aktīvi kopumā saruka par 697 milj. latu jeb 3,3% un to apmērs decembra beigās sasniedza 20,2 mljrd. latu (2011.gada laikā aktīvi saruka par vairāk nekā 1 mljrd. latu jeb par 4,7%). Šo samazinājumu noteica abu problēmbanku</w:t>
      </w:r>
      <w:r w:rsidR="00740D6E" w:rsidRPr="00BD3232">
        <w:rPr>
          <w:rStyle w:val="FootnoteReference"/>
          <w:rFonts w:ascii="Times New Roman" w:hAnsi="Times New Roman" w:cs="Times New Roman"/>
          <w:color w:val="auto"/>
        </w:rPr>
        <w:footnoteReference w:id="4"/>
      </w:r>
      <w:r w:rsidR="00BC28AB" w:rsidRPr="00BD3232">
        <w:rPr>
          <w:rFonts w:ascii="Times New Roman" w:hAnsi="Times New Roman" w:cs="Times New Roman"/>
          <w:color w:val="auto"/>
        </w:rPr>
        <w:t xml:space="preserve"> aiziešana no banku tirgus, savukārt, tās neiekļaujot 2011.gada datos, banku sektora aktīvi 2012.gada laikā kopumā uzrādīja pieaugumu par 4,3% jeb 830 milj. latu.</w:t>
      </w:r>
    </w:p>
    <w:p w:rsidR="00842067" w:rsidRPr="00BD3232" w:rsidRDefault="00842067" w:rsidP="00F03106">
      <w:pPr>
        <w:pStyle w:val="Default"/>
        <w:ind w:firstLine="709"/>
        <w:jc w:val="both"/>
        <w:rPr>
          <w:rFonts w:ascii="Times New Roman" w:hAnsi="Times New Roman" w:cs="Times New Roman"/>
          <w:color w:val="auto"/>
        </w:rPr>
      </w:pPr>
      <w:r w:rsidRPr="00BD3232">
        <w:rPr>
          <w:rFonts w:ascii="Times New Roman" w:hAnsi="Times New Roman" w:cs="Times New Roman"/>
          <w:color w:val="auto"/>
        </w:rPr>
        <w:t>Latvijas banku sektora aktīvu apmērs konsolidācijas grupu līmenī g</w:t>
      </w:r>
      <w:r w:rsidR="00F03106" w:rsidRPr="00BD3232">
        <w:rPr>
          <w:rFonts w:ascii="Times New Roman" w:hAnsi="Times New Roman" w:cs="Times New Roman"/>
          <w:color w:val="auto"/>
        </w:rPr>
        <w:t>ada laikā nedaudz saruka (par 0,7%) un decembra beigās bija 19,8 mljrd. latu jeb 127,</w:t>
      </w:r>
      <w:r w:rsidRPr="00BD3232">
        <w:rPr>
          <w:rFonts w:ascii="Times New Roman" w:hAnsi="Times New Roman" w:cs="Times New Roman"/>
          <w:color w:val="auto"/>
        </w:rPr>
        <w:t xml:space="preserve">7% no Latvijas IKP, un tas, lai gan ievērojami atpaliek no attīstīto ES dalībvalstu datiem, ir viens no augstākajiem rādītājiem starp valstīm, </w:t>
      </w:r>
      <w:r w:rsidR="00F03106" w:rsidRPr="00BD3232">
        <w:rPr>
          <w:rFonts w:ascii="Times New Roman" w:hAnsi="Times New Roman" w:cs="Times New Roman"/>
          <w:color w:val="auto"/>
        </w:rPr>
        <w:t>kuras ES pievienojās kopš 2004.</w:t>
      </w:r>
      <w:r w:rsidRPr="00BD3232">
        <w:rPr>
          <w:rFonts w:ascii="Times New Roman" w:hAnsi="Times New Roman" w:cs="Times New Roman"/>
          <w:color w:val="auto"/>
        </w:rPr>
        <w:t>gada (neskaitot Maltu un Kipru).</w:t>
      </w:r>
    </w:p>
    <w:p w:rsidR="00842067" w:rsidRPr="00BD3232" w:rsidRDefault="00F03106" w:rsidP="00F03106">
      <w:pPr>
        <w:autoSpaceDE w:val="0"/>
        <w:autoSpaceDN w:val="0"/>
        <w:adjustRightInd w:val="0"/>
        <w:spacing w:after="0" w:line="240" w:lineRule="auto"/>
        <w:ind w:firstLine="709"/>
        <w:jc w:val="both"/>
        <w:rPr>
          <w:rFonts w:cs="Times New Roman"/>
          <w:szCs w:val="24"/>
        </w:rPr>
      </w:pPr>
      <w:r w:rsidRPr="00BD3232">
        <w:rPr>
          <w:rFonts w:cs="Times New Roman"/>
          <w:szCs w:val="24"/>
        </w:rPr>
        <w:t>Kredītportfeļa dinamika 2012.</w:t>
      </w:r>
      <w:r w:rsidR="00842067" w:rsidRPr="00BD3232">
        <w:rPr>
          <w:rFonts w:cs="Times New Roman"/>
          <w:szCs w:val="24"/>
        </w:rPr>
        <w:t xml:space="preserve">gadā raksturojama kā mēģinājums lauzt četrus gadus ilgušo krituma tendenci. Neiekļaujot datos problēmbankas, gada 2. un 3. ceturksnī pat tika fiksēts neliels kredītportfeļa pieaugums, tomēr šī tendence vēl nebija noturīga. </w:t>
      </w:r>
    </w:p>
    <w:p w:rsidR="00842067" w:rsidRPr="00BD3232" w:rsidRDefault="00F03106" w:rsidP="00F03106">
      <w:pPr>
        <w:pStyle w:val="Default"/>
        <w:ind w:firstLine="709"/>
        <w:jc w:val="both"/>
        <w:rPr>
          <w:rFonts w:ascii="Times New Roman" w:hAnsi="Times New Roman" w:cs="Times New Roman"/>
          <w:color w:val="auto"/>
        </w:rPr>
      </w:pPr>
      <w:r w:rsidRPr="00BD3232">
        <w:rPr>
          <w:rFonts w:ascii="Times New Roman" w:hAnsi="Times New Roman" w:cs="Times New Roman"/>
          <w:color w:val="auto"/>
        </w:rPr>
        <w:t>Bankas 2012.</w:t>
      </w:r>
      <w:r w:rsidR="00842067" w:rsidRPr="00BD3232">
        <w:rPr>
          <w:rFonts w:ascii="Times New Roman" w:hAnsi="Times New Roman" w:cs="Times New Roman"/>
          <w:color w:val="auto"/>
        </w:rPr>
        <w:t>gadā no jauna izsniedza kredī</w:t>
      </w:r>
      <w:r w:rsidRPr="00BD3232">
        <w:rPr>
          <w:rFonts w:ascii="Times New Roman" w:hAnsi="Times New Roman" w:cs="Times New Roman"/>
          <w:color w:val="auto"/>
        </w:rPr>
        <w:t>tus 1,</w:t>
      </w:r>
      <w:r w:rsidR="00842067" w:rsidRPr="00BD3232">
        <w:rPr>
          <w:rFonts w:ascii="Times New Roman" w:hAnsi="Times New Roman" w:cs="Times New Roman"/>
          <w:color w:val="auto"/>
        </w:rPr>
        <w:t>95 mljrd. latu apmērā</w:t>
      </w:r>
      <w:r w:rsidRPr="00BD3232">
        <w:rPr>
          <w:rFonts w:ascii="Times New Roman" w:hAnsi="Times New Roman" w:cs="Times New Roman"/>
          <w:color w:val="auto"/>
        </w:rPr>
        <w:t xml:space="preserve"> (t.sk. 654,</w:t>
      </w:r>
      <w:r w:rsidR="00842067" w:rsidRPr="00BD3232">
        <w:rPr>
          <w:rFonts w:ascii="Times New Roman" w:hAnsi="Times New Roman" w:cs="Times New Roman"/>
          <w:color w:val="auto"/>
        </w:rPr>
        <w:t xml:space="preserve">8 milj. latu – Latvijas </w:t>
      </w:r>
      <w:r w:rsidRPr="00BD3232">
        <w:rPr>
          <w:rFonts w:ascii="Times New Roman" w:hAnsi="Times New Roman" w:cs="Times New Roman"/>
          <w:color w:val="auto"/>
        </w:rPr>
        <w:t>uzņēmumu</w:t>
      </w:r>
      <w:r w:rsidR="00842067" w:rsidRPr="00BD3232">
        <w:rPr>
          <w:rFonts w:ascii="Times New Roman" w:hAnsi="Times New Roman" w:cs="Times New Roman"/>
          <w:color w:val="auto"/>
        </w:rPr>
        <w:t xml:space="preserve"> attīstī</w:t>
      </w:r>
      <w:r w:rsidRPr="00BD3232">
        <w:rPr>
          <w:rFonts w:ascii="Times New Roman" w:hAnsi="Times New Roman" w:cs="Times New Roman"/>
          <w:color w:val="auto"/>
        </w:rPr>
        <w:t>bai, 285,</w:t>
      </w:r>
      <w:r w:rsidR="00842067" w:rsidRPr="00BD3232">
        <w:rPr>
          <w:rFonts w:ascii="Times New Roman" w:hAnsi="Times New Roman" w:cs="Times New Roman"/>
          <w:color w:val="auto"/>
        </w:rPr>
        <w:t>7 milj. latu – Latvijas finanšu institūcijā</w:t>
      </w:r>
      <w:r w:rsidRPr="00BD3232">
        <w:rPr>
          <w:rFonts w:ascii="Times New Roman" w:hAnsi="Times New Roman" w:cs="Times New Roman"/>
          <w:color w:val="auto"/>
        </w:rPr>
        <w:t>m, 184,</w:t>
      </w:r>
      <w:r w:rsidR="00842067" w:rsidRPr="00BD3232">
        <w:rPr>
          <w:rFonts w:ascii="Times New Roman" w:hAnsi="Times New Roman" w:cs="Times New Roman"/>
          <w:color w:val="auto"/>
        </w:rPr>
        <w:t>3 milj. latu – rezidentu mājsaimniecībām, savukārt 818</w:t>
      </w:r>
      <w:r w:rsidRPr="00BD3232">
        <w:rPr>
          <w:rFonts w:ascii="Times New Roman" w:hAnsi="Times New Roman" w:cs="Times New Roman"/>
          <w:color w:val="auto"/>
        </w:rPr>
        <w:t>,</w:t>
      </w:r>
      <w:r w:rsidR="00842067" w:rsidRPr="00BD3232">
        <w:rPr>
          <w:rFonts w:ascii="Times New Roman" w:hAnsi="Times New Roman" w:cs="Times New Roman"/>
          <w:color w:val="auto"/>
        </w:rPr>
        <w:t>5 milj. latu – nerezidentiem).</w:t>
      </w:r>
    </w:p>
    <w:p w:rsidR="00842067" w:rsidRPr="00BD3232" w:rsidRDefault="00842067" w:rsidP="00F03106">
      <w:pPr>
        <w:pStyle w:val="Default"/>
        <w:ind w:firstLine="709"/>
        <w:jc w:val="both"/>
        <w:rPr>
          <w:rFonts w:ascii="Times New Roman" w:hAnsi="Times New Roman" w:cs="Times New Roman"/>
          <w:color w:val="auto"/>
        </w:rPr>
      </w:pPr>
      <w:r w:rsidRPr="00BD3232">
        <w:rPr>
          <w:rFonts w:ascii="Times New Roman" w:hAnsi="Times New Roman" w:cs="Times New Roman"/>
          <w:color w:val="auto"/>
        </w:rPr>
        <w:t>Atšķirībā no iepriekšējā gada, kad bankas izteiktāk fokusējās uz eksportu orie</w:t>
      </w:r>
      <w:r w:rsidR="00F03106" w:rsidRPr="00BD3232">
        <w:rPr>
          <w:rFonts w:ascii="Times New Roman" w:hAnsi="Times New Roman" w:cs="Times New Roman"/>
          <w:color w:val="auto"/>
        </w:rPr>
        <w:t>ntēto nozaru kreditēšanu, 2012.</w:t>
      </w:r>
      <w:r w:rsidRPr="00BD3232">
        <w:rPr>
          <w:rFonts w:ascii="Times New Roman" w:hAnsi="Times New Roman" w:cs="Times New Roman"/>
          <w:color w:val="auto"/>
        </w:rPr>
        <w:t xml:space="preserve">gadā visvairāk tika kreditētas uz iekšējo patēriņu vērstās nozares – </w:t>
      </w:r>
      <w:r w:rsidR="00F03106" w:rsidRPr="00BD3232">
        <w:rPr>
          <w:rFonts w:ascii="Times New Roman" w:hAnsi="Times New Roman" w:cs="Times New Roman"/>
          <w:color w:val="auto"/>
        </w:rPr>
        <w:t>enerģētika (150,</w:t>
      </w:r>
      <w:r w:rsidRPr="00BD3232">
        <w:rPr>
          <w:rFonts w:ascii="Times New Roman" w:hAnsi="Times New Roman" w:cs="Times New Roman"/>
          <w:color w:val="auto"/>
        </w:rPr>
        <w:t>6 milj. latu), tirdzniecība (105 milj. latu), oper</w:t>
      </w:r>
      <w:r w:rsidR="00F03106" w:rsidRPr="00BD3232">
        <w:rPr>
          <w:rFonts w:ascii="Times New Roman" w:hAnsi="Times New Roman" w:cs="Times New Roman"/>
          <w:color w:val="auto"/>
        </w:rPr>
        <w:t>ācijas ar nekustamo īpašumu (69,</w:t>
      </w:r>
      <w:r w:rsidRPr="00BD3232">
        <w:rPr>
          <w:rFonts w:ascii="Times New Roman" w:hAnsi="Times New Roman" w:cs="Times New Roman"/>
          <w:color w:val="auto"/>
        </w:rPr>
        <w:t>9 milj. latu), tām sekoja uz eksportu orientētā</w:t>
      </w:r>
      <w:r w:rsidR="00F03106" w:rsidRPr="00BD3232">
        <w:rPr>
          <w:rFonts w:ascii="Times New Roman" w:hAnsi="Times New Roman" w:cs="Times New Roman"/>
          <w:color w:val="auto"/>
        </w:rPr>
        <w:t>s nozares – lauksaimniecība (63,</w:t>
      </w:r>
      <w:r w:rsidRPr="00BD3232">
        <w:rPr>
          <w:rFonts w:ascii="Times New Roman" w:hAnsi="Times New Roman" w:cs="Times New Roman"/>
          <w:color w:val="auto"/>
        </w:rPr>
        <w:t>3 milj. la</w:t>
      </w:r>
      <w:r w:rsidR="00F03106" w:rsidRPr="00BD3232">
        <w:rPr>
          <w:rFonts w:ascii="Times New Roman" w:hAnsi="Times New Roman" w:cs="Times New Roman"/>
          <w:color w:val="auto"/>
        </w:rPr>
        <w:t>tu) un apstrādes rūpniecība (58,</w:t>
      </w:r>
      <w:r w:rsidRPr="00BD3232">
        <w:rPr>
          <w:rFonts w:ascii="Times New Roman" w:hAnsi="Times New Roman" w:cs="Times New Roman"/>
          <w:color w:val="auto"/>
        </w:rPr>
        <w:t>1 milj</w:t>
      </w:r>
      <w:r w:rsidR="00F03106" w:rsidRPr="00BD3232">
        <w:rPr>
          <w:rFonts w:ascii="Times New Roman" w:hAnsi="Times New Roman" w:cs="Times New Roman"/>
          <w:color w:val="auto"/>
        </w:rPr>
        <w:t xml:space="preserve">. latu). </w:t>
      </w:r>
      <w:r w:rsidRPr="00BD3232">
        <w:rPr>
          <w:rFonts w:ascii="Times New Roman" w:hAnsi="Times New Roman" w:cs="Times New Roman"/>
          <w:color w:val="auto"/>
        </w:rPr>
        <w:t>Savukārt mājsaimniecību segmentā divas trešdaļas (67%</w:t>
      </w:r>
      <w:r w:rsidR="00F03106" w:rsidRPr="00BD3232">
        <w:rPr>
          <w:rFonts w:ascii="Times New Roman" w:hAnsi="Times New Roman" w:cs="Times New Roman"/>
          <w:color w:val="auto"/>
        </w:rPr>
        <w:t xml:space="preserve"> jeb 10 milj. latu</w:t>
      </w:r>
      <w:r w:rsidRPr="00BD3232">
        <w:rPr>
          <w:rFonts w:ascii="Times New Roman" w:hAnsi="Times New Roman" w:cs="Times New Roman"/>
          <w:color w:val="auto"/>
        </w:rPr>
        <w:t>) no jauna izsniegto kredītu veidoja kredīti mājokļa iegādei, rekonstrukcijai un remontam,</w:t>
      </w:r>
      <w:r w:rsidR="00EC08F2" w:rsidRPr="00BD3232">
        <w:rPr>
          <w:rFonts w:ascii="Times New Roman" w:hAnsi="Times New Roman" w:cs="Times New Roman"/>
          <w:color w:val="auto"/>
        </w:rPr>
        <w:t xml:space="preserve"> kas bija līdzīgi kā 2011.</w:t>
      </w:r>
      <w:r w:rsidR="00F03106" w:rsidRPr="00BD3232">
        <w:rPr>
          <w:rFonts w:ascii="Times New Roman" w:hAnsi="Times New Roman" w:cs="Times New Roman"/>
          <w:color w:val="auto"/>
        </w:rPr>
        <w:t>gadā</w:t>
      </w:r>
      <w:r w:rsidRPr="00BD3232">
        <w:rPr>
          <w:rFonts w:ascii="Times New Roman" w:hAnsi="Times New Roman" w:cs="Times New Roman"/>
          <w:color w:val="auto"/>
        </w:rPr>
        <w:t>.</w:t>
      </w:r>
    </w:p>
    <w:p w:rsidR="00BC28AB" w:rsidRPr="00BD3232" w:rsidRDefault="006353AD" w:rsidP="00F03106">
      <w:pPr>
        <w:pStyle w:val="Default"/>
        <w:ind w:firstLine="709"/>
        <w:jc w:val="both"/>
        <w:rPr>
          <w:rFonts w:ascii="Times New Roman" w:hAnsi="Times New Roman" w:cs="Times New Roman"/>
          <w:color w:val="auto"/>
        </w:rPr>
      </w:pPr>
      <w:r w:rsidRPr="00BD3232">
        <w:rPr>
          <w:rFonts w:ascii="Times New Roman" w:hAnsi="Times New Roman" w:cs="Times New Roman"/>
          <w:color w:val="auto"/>
        </w:rPr>
        <w:t>Atmaksāto un norakstīto kredītu apmēram joprojām pārsniedzot jauno kredītu plūsmu, banku sektora kopējais k</w:t>
      </w:r>
      <w:r w:rsidR="00393663" w:rsidRPr="00BD3232">
        <w:rPr>
          <w:rFonts w:ascii="Times New Roman" w:hAnsi="Times New Roman" w:cs="Times New Roman"/>
          <w:color w:val="auto"/>
        </w:rPr>
        <w:t>redītportfelis saruka arī 2012.</w:t>
      </w:r>
      <w:r w:rsidRPr="00BD3232">
        <w:rPr>
          <w:rFonts w:ascii="Times New Roman" w:hAnsi="Times New Roman" w:cs="Times New Roman"/>
          <w:color w:val="auto"/>
        </w:rPr>
        <w:t>gadā, tomēr līdz ar kreditēšanas aktivitātes pieaugumu tā sarukuma temps turpināja mazināties un gada lai</w:t>
      </w:r>
      <w:r w:rsidR="00393663" w:rsidRPr="00BD3232">
        <w:rPr>
          <w:rFonts w:ascii="Times New Roman" w:hAnsi="Times New Roman" w:cs="Times New Roman"/>
          <w:color w:val="auto"/>
        </w:rPr>
        <w:t>kā kredītportfelis saruka par 2,</w:t>
      </w:r>
      <w:r w:rsidRPr="00BD3232">
        <w:rPr>
          <w:rFonts w:ascii="Times New Roman" w:hAnsi="Times New Roman" w:cs="Times New Roman"/>
          <w:color w:val="auto"/>
        </w:rPr>
        <w:t>8%.</w:t>
      </w:r>
    </w:p>
    <w:p w:rsidR="006353AD" w:rsidRPr="00BD3232" w:rsidRDefault="006353AD" w:rsidP="00F03106">
      <w:pPr>
        <w:pStyle w:val="Default"/>
        <w:ind w:firstLine="709"/>
        <w:jc w:val="both"/>
        <w:rPr>
          <w:rFonts w:ascii="Times New Roman" w:hAnsi="Times New Roman" w:cs="Times New Roman"/>
          <w:color w:val="auto"/>
        </w:rPr>
      </w:pPr>
      <w:r w:rsidRPr="00BD3232">
        <w:rPr>
          <w:rFonts w:ascii="Times New Roman" w:hAnsi="Times New Roman" w:cs="Times New Roman"/>
          <w:color w:val="auto"/>
        </w:rPr>
        <w:t xml:space="preserve">Nozaru un </w:t>
      </w:r>
      <w:r w:rsidR="00EC08F2" w:rsidRPr="00BD3232">
        <w:rPr>
          <w:rFonts w:ascii="Times New Roman" w:hAnsi="Times New Roman" w:cs="Times New Roman"/>
          <w:color w:val="auto"/>
        </w:rPr>
        <w:t>aizņēmēju</w:t>
      </w:r>
      <w:r w:rsidRPr="00BD3232">
        <w:rPr>
          <w:rFonts w:ascii="Times New Roman" w:hAnsi="Times New Roman" w:cs="Times New Roman"/>
          <w:color w:val="auto"/>
        </w:rPr>
        <w:t xml:space="preserve"> kategoriju dalījumā kredītportfeļa samazinājumu galvenokārt ietekmēja tā sarukums ar nekustamo īpašumu saistītajās nozarēs, kurās pirmskrīzes gados bija vērojama īpaši strauja izaugsme, kā arī mājsaimniecību kredītportfeļa samazināšanās. Savukārt lielākais pieaugums bija enerģētikas nozarē, nerezidentiem izsniegtajos kredītos, kā arī lauksaimniecības nozarē.</w:t>
      </w:r>
    </w:p>
    <w:p w:rsidR="006353AD" w:rsidRPr="00BD3232" w:rsidRDefault="006353AD" w:rsidP="00F03106">
      <w:pPr>
        <w:pStyle w:val="Default"/>
        <w:ind w:firstLine="709"/>
        <w:jc w:val="both"/>
        <w:rPr>
          <w:rFonts w:ascii="Times New Roman" w:hAnsi="Times New Roman" w:cs="Times New Roman"/>
          <w:color w:val="auto"/>
        </w:rPr>
      </w:pPr>
      <w:r w:rsidRPr="00BD3232">
        <w:rPr>
          <w:rFonts w:ascii="Times New Roman" w:hAnsi="Times New Roman" w:cs="Times New Roman"/>
          <w:color w:val="auto"/>
        </w:rPr>
        <w:t>Līdz ar kredītportfeļa sarukumu un piesaistīto noguldījumu pieaugumu samazinājās arī nepieciešamība pē</w:t>
      </w:r>
      <w:r w:rsidR="00EC08F2" w:rsidRPr="00BD3232">
        <w:rPr>
          <w:rFonts w:ascii="Times New Roman" w:hAnsi="Times New Roman" w:cs="Times New Roman"/>
          <w:color w:val="auto"/>
        </w:rPr>
        <w:t>c papildu finansējuma, un 2012.</w:t>
      </w:r>
      <w:r w:rsidRPr="00BD3232">
        <w:rPr>
          <w:rFonts w:ascii="Times New Roman" w:hAnsi="Times New Roman" w:cs="Times New Roman"/>
          <w:color w:val="auto"/>
        </w:rPr>
        <w:t>gadā banku piesaistītais finansējums no monetārajām finanšu iestādēm (turpmāk – MFI) turpināja sa</w:t>
      </w:r>
      <w:r w:rsidR="00EC08F2" w:rsidRPr="00BD3232">
        <w:rPr>
          <w:rFonts w:ascii="Times New Roman" w:hAnsi="Times New Roman" w:cs="Times New Roman"/>
          <w:color w:val="auto"/>
        </w:rPr>
        <w:t>rukt (par 980 milj. latu jeb 19,</w:t>
      </w:r>
      <w:r w:rsidRPr="00BD3232">
        <w:rPr>
          <w:rFonts w:ascii="Times New Roman" w:hAnsi="Times New Roman" w:cs="Times New Roman"/>
          <w:color w:val="auto"/>
        </w:rPr>
        <w:t>1%), ko galvenokārt noteica ārvalstu banku meitu un filiāļu no mātesbankām piesaistītā finansējuma saruku</w:t>
      </w:r>
      <w:r w:rsidR="00EC08F2" w:rsidRPr="00BD3232">
        <w:rPr>
          <w:rFonts w:ascii="Times New Roman" w:hAnsi="Times New Roman" w:cs="Times New Roman"/>
          <w:color w:val="auto"/>
        </w:rPr>
        <w:t>ms (par 827 milj. latu)</w:t>
      </w:r>
      <w:r w:rsidRPr="00BD3232">
        <w:rPr>
          <w:rFonts w:ascii="Times New Roman" w:hAnsi="Times New Roman" w:cs="Times New Roman"/>
          <w:color w:val="auto"/>
        </w:rPr>
        <w:t>. Finansējumu no mātes</w:t>
      </w:r>
      <w:r w:rsidR="00EC08F2" w:rsidRPr="00BD3232">
        <w:rPr>
          <w:rFonts w:ascii="Times New Roman" w:hAnsi="Times New Roman" w:cs="Times New Roman"/>
          <w:color w:val="auto"/>
        </w:rPr>
        <w:t xml:space="preserve"> </w:t>
      </w:r>
      <w:r w:rsidRPr="00BD3232">
        <w:rPr>
          <w:rFonts w:ascii="Times New Roman" w:hAnsi="Times New Roman" w:cs="Times New Roman"/>
          <w:color w:val="auto"/>
        </w:rPr>
        <w:t>bankām 2</w:t>
      </w:r>
      <w:r w:rsidR="00EC08F2" w:rsidRPr="00BD3232">
        <w:rPr>
          <w:rFonts w:ascii="Times New Roman" w:hAnsi="Times New Roman" w:cs="Times New Roman"/>
          <w:color w:val="auto"/>
        </w:rPr>
        <w:t>012.</w:t>
      </w:r>
      <w:r w:rsidRPr="00BD3232">
        <w:rPr>
          <w:rFonts w:ascii="Times New Roman" w:hAnsi="Times New Roman" w:cs="Times New Roman"/>
          <w:color w:val="auto"/>
        </w:rPr>
        <w:t>gada laikā samazināja visas ārvalstu banku meitas</w:t>
      </w:r>
      <w:r w:rsidR="00EC08F2" w:rsidRPr="00BD3232">
        <w:rPr>
          <w:rFonts w:ascii="Times New Roman" w:hAnsi="Times New Roman" w:cs="Times New Roman"/>
          <w:color w:val="auto"/>
        </w:rPr>
        <w:t xml:space="preserve"> </w:t>
      </w:r>
      <w:r w:rsidRPr="00BD3232">
        <w:rPr>
          <w:rFonts w:ascii="Times New Roman" w:hAnsi="Times New Roman" w:cs="Times New Roman"/>
          <w:color w:val="auto"/>
        </w:rPr>
        <w:t>bankas, turpretim ārvalstu banku filiālēm finansējuma apmērs no radniecīgajām MFI nedaudz palielinājās.</w:t>
      </w:r>
    </w:p>
    <w:p w:rsidR="006353AD" w:rsidRPr="00BD3232" w:rsidRDefault="006353AD" w:rsidP="00F03106">
      <w:pPr>
        <w:pStyle w:val="Default"/>
        <w:ind w:firstLine="709"/>
        <w:jc w:val="both"/>
        <w:rPr>
          <w:rFonts w:ascii="Times New Roman" w:hAnsi="Times New Roman" w:cs="Times New Roman"/>
          <w:color w:val="auto"/>
        </w:rPr>
      </w:pPr>
      <w:r w:rsidRPr="00BD3232">
        <w:rPr>
          <w:rFonts w:ascii="Times New Roman" w:hAnsi="Times New Roman" w:cs="Times New Roman"/>
          <w:color w:val="auto"/>
        </w:rPr>
        <w:t xml:space="preserve">2012.gadā banku sektors kopumā darbojās ar peļņu un tās apmērs sasniedza 122,3 milj. latu, t.i., par 25,4% vairāk nekā 2011.gadā </w:t>
      </w:r>
      <w:r w:rsidR="00393663" w:rsidRPr="00BD3232">
        <w:rPr>
          <w:rFonts w:ascii="Times New Roman" w:hAnsi="Times New Roman" w:cs="Times New Roman"/>
          <w:color w:val="auto"/>
        </w:rPr>
        <w:t xml:space="preserve">(1. </w:t>
      </w:r>
      <w:r w:rsidRPr="00BD3232">
        <w:rPr>
          <w:rFonts w:ascii="Times New Roman" w:hAnsi="Times New Roman" w:cs="Times New Roman"/>
          <w:color w:val="auto"/>
        </w:rPr>
        <w:t xml:space="preserve">att.), tostarp 19 Latvijas bankas un ārvalstu banku filiāles, kuru aktīvi veidoja 94,1% no banku sektora aktīviem, 2012.gadā guva 196,3 milj. latu lielu peļņu. Banku pelnītspēju 2012.gadā </w:t>
      </w:r>
      <w:r w:rsidRPr="00BD3232">
        <w:rPr>
          <w:rFonts w:ascii="Times New Roman" w:hAnsi="Times New Roman" w:cs="Times New Roman"/>
          <w:color w:val="auto"/>
        </w:rPr>
        <w:lastRenderedPageBreak/>
        <w:t>pozitīvi ietekmēja kredītportfeļa kvalitātes tālāka stabilizēšanās un līdz ar to zemāki uzkrājumi nedrošiem parādiem, kā arī ienākumu pieaugums no komisijas maksām un finanšu instrumentu tirdzniecības.</w:t>
      </w:r>
    </w:p>
    <w:p w:rsidR="006353AD" w:rsidRPr="00BD3232" w:rsidRDefault="006353AD" w:rsidP="004D56A3">
      <w:pPr>
        <w:pStyle w:val="Default"/>
        <w:ind w:firstLine="709"/>
        <w:jc w:val="both"/>
        <w:rPr>
          <w:rFonts w:ascii="Times New Roman" w:hAnsi="Times New Roman" w:cs="Times New Roman"/>
          <w:color w:val="auto"/>
        </w:rPr>
      </w:pPr>
    </w:p>
    <w:p w:rsidR="00BC28AB" w:rsidRPr="00BD3232" w:rsidRDefault="005043A1" w:rsidP="00B72F2C">
      <w:pPr>
        <w:jc w:val="both"/>
      </w:pPr>
      <w:r w:rsidRPr="00BD3232">
        <w:rPr>
          <w:noProof/>
          <w:lang w:eastAsia="lv-LV"/>
        </w:rPr>
        <w:drawing>
          <wp:inline distT="0" distB="0" distL="0" distR="0">
            <wp:extent cx="5534025" cy="258127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353AD" w:rsidRPr="00BD3232" w:rsidRDefault="006353AD" w:rsidP="006353AD">
      <w:pPr>
        <w:pStyle w:val="Default"/>
        <w:ind w:firstLine="709"/>
        <w:jc w:val="both"/>
        <w:rPr>
          <w:rFonts w:ascii="Times New Roman" w:hAnsi="Times New Roman" w:cs="Times New Roman"/>
          <w:color w:val="auto"/>
        </w:rPr>
      </w:pPr>
      <w:r w:rsidRPr="00BD3232">
        <w:rPr>
          <w:rFonts w:ascii="Times New Roman" w:hAnsi="Times New Roman" w:cs="Times New Roman"/>
          <w:color w:val="auto"/>
        </w:rPr>
        <w:t>Dati: Latvijas Banka.</w:t>
      </w:r>
    </w:p>
    <w:p w:rsidR="006353AD" w:rsidRPr="00BD3232" w:rsidRDefault="00393663" w:rsidP="00393663">
      <w:pPr>
        <w:pStyle w:val="Default"/>
        <w:jc w:val="center"/>
        <w:rPr>
          <w:rFonts w:ascii="Times New Roman" w:hAnsi="Times New Roman" w:cs="Times New Roman"/>
          <w:b/>
          <w:color w:val="auto"/>
        </w:rPr>
      </w:pPr>
      <w:r w:rsidRPr="00BD3232">
        <w:rPr>
          <w:rFonts w:ascii="Times New Roman" w:hAnsi="Times New Roman" w:cs="Times New Roman"/>
          <w:b/>
          <w:color w:val="auto"/>
        </w:rPr>
        <w:t>1.</w:t>
      </w:r>
      <w:r w:rsidR="006353AD" w:rsidRPr="00BD3232">
        <w:rPr>
          <w:rFonts w:ascii="Times New Roman" w:hAnsi="Times New Roman" w:cs="Times New Roman"/>
          <w:b/>
          <w:color w:val="auto"/>
        </w:rPr>
        <w:t xml:space="preserve">att. </w:t>
      </w:r>
      <w:r w:rsidR="00EC08F2" w:rsidRPr="00BD3232">
        <w:rPr>
          <w:rFonts w:ascii="Times New Roman" w:hAnsi="Times New Roman" w:cs="Times New Roman"/>
          <w:b/>
          <w:color w:val="auto"/>
        </w:rPr>
        <w:t>Banku gada peļņa vai zaudējumi</w:t>
      </w:r>
      <w:r w:rsidR="006353AD" w:rsidRPr="00BD3232">
        <w:rPr>
          <w:rFonts w:ascii="Times New Roman" w:hAnsi="Times New Roman" w:cs="Times New Roman"/>
          <w:b/>
          <w:color w:val="auto"/>
        </w:rPr>
        <w:t xml:space="preserve"> (milj. </w:t>
      </w:r>
      <w:r w:rsidRPr="00BD3232">
        <w:rPr>
          <w:rFonts w:ascii="Times New Roman" w:hAnsi="Times New Roman" w:cs="Times New Roman"/>
          <w:b/>
          <w:color w:val="auto"/>
        </w:rPr>
        <w:t>Ls</w:t>
      </w:r>
      <w:r w:rsidR="006353AD" w:rsidRPr="00BD3232">
        <w:rPr>
          <w:rFonts w:ascii="Times New Roman" w:hAnsi="Times New Roman" w:cs="Times New Roman"/>
          <w:b/>
          <w:color w:val="auto"/>
        </w:rPr>
        <w:t>)</w:t>
      </w:r>
    </w:p>
    <w:p w:rsidR="00BC28AB" w:rsidRPr="00BD3232" w:rsidRDefault="00BC28AB" w:rsidP="00EC08F2">
      <w:pPr>
        <w:pStyle w:val="Default"/>
        <w:jc w:val="both"/>
        <w:rPr>
          <w:rFonts w:ascii="Times New Roman" w:hAnsi="Times New Roman" w:cs="Times New Roman"/>
          <w:color w:val="auto"/>
        </w:rPr>
      </w:pPr>
    </w:p>
    <w:p w:rsidR="006353AD" w:rsidRPr="00BD3232" w:rsidRDefault="006353AD" w:rsidP="00F03106">
      <w:pPr>
        <w:pStyle w:val="Default"/>
        <w:ind w:firstLine="709"/>
        <w:jc w:val="both"/>
        <w:rPr>
          <w:rFonts w:ascii="Times New Roman" w:hAnsi="Times New Roman" w:cs="Times New Roman"/>
          <w:color w:val="auto"/>
        </w:rPr>
      </w:pPr>
      <w:r w:rsidRPr="00BD3232">
        <w:rPr>
          <w:rFonts w:ascii="Times New Roman" w:hAnsi="Times New Roman" w:cs="Times New Roman"/>
          <w:color w:val="auto"/>
        </w:rPr>
        <w:t>Kopumā 2012.gadu banku sektors beidza ar relatīvi zemiem atdeves rādītājiem, tikai minimāli uzlabojot iepriekšējā gada līmeni, un decembra beigās banku sektora kapitāla atdeves rādītājs (ROE)</w:t>
      </w:r>
      <w:r w:rsidRPr="00BD3232">
        <w:rPr>
          <w:rStyle w:val="FootnoteReference"/>
          <w:rFonts w:ascii="Times New Roman" w:hAnsi="Times New Roman" w:cs="Times New Roman"/>
          <w:color w:val="auto"/>
        </w:rPr>
        <w:footnoteReference w:id="5"/>
      </w:r>
      <w:r w:rsidRPr="00BD3232">
        <w:rPr>
          <w:rFonts w:ascii="Times New Roman" w:hAnsi="Times New Roman" w:cs="Times New Roman"/>
          <w:color w:val="auto"/>
        </w:rPr>
        <w:t xml:space="preserve"> sasniedza 5,6%, savukārt aktīvu atdeves rādītājs (ROA)</w:t>
      </w:r>
      <w:r w:rsidRPr="00BD3232">
        <w:rPr>
          <w:rStyle w:val="FootnoteReference"/>
          <w:rFonts w:ascii="Times New Roman" w:hAnsi="Times New Roman" w:cs="Times New Roman"/>
          <w:color w:val="auto"/>
        </w:rPr>
        <w:footnoteReference w:id="6"/>
      </w:r>
      <w:r w:rsidRPr="00BD3232">
        <w:rPr>
          <w:rFonts w:ascii="Times New Roman" w:hAnsi="Times New Roman" w:cs="Times New Roman"/>
          <w:color w:val="auto"/>
        </w:rPr>
        <w:t xml:space="preserve"> bija 0,6% (2011.gada beigās – attiecīgi 5,5% un 0,5%).</w:t>
      </w:r>
    </w:p>
    <w:p w:rsidR="00BC28AB" w:rsidRPr="00BD3232" w:rsidRDefault="006353AD" w:rsidP="00F03106">
      <w:pPr>
        <w:pStyle w:val="Default"/>
        <w:ind w:firstLine="709"/>
        <w:jc w:val="both"/>
        <w:rPr>
          <w:rFonts w:ascii="Times New Roman" w:hAnsi="Times New Roman" w:cs="Times New Roman"/>
          <w:color w:val="auto"/>
        </w:rPr>
      </w:pPr>
      <w:r w:rsidRPr="00BD3232">
        <w:rPr>
          <w:rFonts w:ascii="Times New Roman" w:hAnsi="Times New Roman" w:cs="Times New Roman"/>
          <w:color w:val="auto"/>
        </w:rPr>
        <w:t xml:space="preserve">Banku sektora finansiālās darbības </w:t>
      </w:r>
      <w:r w:rsidR="00EC08F2" w:rsidRPr="00BD3232">
        <w:rPr>
          <w:rFonts w:ascii="Times New Roman" w:hAnsi="Times New Roman" w:cs="Times New Roman"/>
          <w:color w:val="auto"/>
        </w:rPr>
        <w:t>peļņa 2012.gadā sasniedza 631,</w:t>
      </w:r>
      <w:r w:rsidRPr="00BD3232">
        <w:rPr>
          <w:rFonts w:ascii="Times New Roman" w:hAnsi="Times New Roman" w:cs="Times New Roman"/>
          <w:color w:val="auto"/>
        </w:rPr>
        <w:t>5 milj.</w:t>
      </w:r>
      <w:r w:rsidR="00EC08F2" w:rsidRPr="00BD3232">
        <w:rPr>
          <w:rFonts w:ascii="Times New Roman" w:hAnsi="Times New Roman" w:cs="Times New Roman"/>
          <w:color w:val="auto"/>
        </w:rPr>
        <w:t xml:space="preserve"> latu, t.i., par 10,</w:t>
      </w:r>
      <w:r w:rsidRPr="00BD3232">
        <w:rPr>
          <w:rFonts w:ascii="Times New Roman" w:hAnsi="Times New Roman" w:cs="Times New Roman"/>
          <w:color w:val="auto"/>
        </w:rPr>
        <w:t>6% vairāk nekā gadu iepriekš.</w:t>
      </w:r>
    </w:p>
    <w:p w:rsidR="006353AD" w:rsidRPr="00BD3232" w:rsidRDefault="006353AD" w:rsidP="00F03106">
      <w:pPr>
        <w:pStyle w:val="Default"/>
        <w:ind w:firstLine="709"/>
        <w:jc w:val="both"/>
        <w:rPr>
          <w:rFonts w:ascii="Times New Roman" w:hAnsi="Times New Roman" w:cs="Times New Roman"/>
          <w:color w:val="auto"/>
        </w:rPr>
      </w:pPr>
      <w:r w:rsidRPr="00BD3232">
        <w:rPr>
          <w:rFonts w:ascii="Times New Roman" w:hAnsi="Times New Roman" w:cs="Times New Roman"/>
          <w:color w:val="auto"/>
        </w:rPr>
        <w:t>Stabilizējoties kredītportfeļa kvalitātei, turpināja sarukt arī izdevumi uzkrājumiem nedrošiem kredītiem (salīdzinot ar iepriekšējo gadu par 13%), tomēr tie joprojām veidoja nozīmīgu banku izdevumu daļu (39%). Otrs nozīmīgākais banku izdevumu postenis – a</w:t>
      </w:r>
      <w:r w:rsidR="00EC08F2" w:rsidRPr="00BD3232">
        <w:rPr>
          <w:rFonts w:ascii="Times New Roman" w:hAnsi="Times New Roman" w:cs="Times New Roman"/>
          <w:color w:val="auto"/>
        </w:rPr>
        <w:t>dministratīvie izdevumi – 2012.</w:t>
      </w:r>
      <w:r w:rsidRPr="00BD3232">
        <w:rPr>
          <w:rFonts w:ascii="Times New Roman" w:hAnsi="Times New Roman" w:cs="Times New Roman"/>
          <w:color w:val="auto"/>
        </w:rPr>
        <w:t>gada beigās veidoja 29% no kopējiem izdevumiem. Lai gan bankas savas izmaksas optimizēja jau krīzes gados, tomēr a</w:t>
      </w:r>
      <w:r w:rsidR="00EC08F2" w:rsidRPr="00BD3232">
        <w:rPr>
          <w:rFonts w:ascii="Times New Roman" w:hAnsi="Times New Roman" w:cs="Times New Roman"/>
          <w:color w:val="auto"/>
        </w:rPr>
        <w:t>rī 2012.</w:t>
      </w:r>
      <w:r w:rsidRPr="00BD3232">
        <w:rPr>
          <w:rFonts w:ascii="Times New Roman" w:hAnsi="Times New Roman" w:cs="Times New Roman"/>
          <w:color w:val="auto"/>
        </w:rPr>
        <w:t xml:space="preserve">gadā tās bija radušas iespēju turpināt savu izdevumu </w:t>
      </w:r>
      <w:r w:rsidR="00EC08F2" w:rsidRPr="00BD3232">
        <w:rPr>
          <w:rFonts w:ascii="Times New Roman" w:hAnsi="Times New Roman" w:cs="Times New Roman"/>
          <w:color w:val="auto"/>
        </w:rPr>
        <w:t>ierobežošanu</w:t>
      </w:r>
      <w:r w:rsidRPr="00BD3232">
        <w:rPr>
          <w:rFonts w:ascii="Times New Roman" w:hAnsi="Times New Roman" w:cs="Times New Roman"/>
          <w:color w:val="auto"/>
        </w:rPr>
        <w:t xml:space="preserve"> (piem., optimizējot filiāļu tīklu), un gada laikā administratīv</w:t>
      </w:r>
      <w:r w:rsidR="00EC08F2" w:rsidRPr="00BD3232">
        <w:rPr>
          <w:rFonts w:ascii="Times New Roman" w:hAnsi="Times New Roman" w:cs="Times New Roman"/>
          <w:color w:val="auto"/>
        </w:rPr>
        <w:t>ie izdevumi kopumā saruka par 4,</w:t>
      </w:r>
      <w:r w:rsidRPr="00BD3232">
        <w:rPr>
          <w:rFonts w:ascii="Times New Roman" w:hAnsi="Times New Roman" w:cs="Times New Roman"/>
          <w:color w:val="auto"/>
        </w:rPr>
        <w:t>8%.</w:t>
      </w:r>
    </w:p>
    <w:p w:rsidR="006353AD" w:rsidRPr="00BD3232" w:rsidRDefault="00EC08F2" w:rsidP="00F03106">
      <w:pPr>
        <w:pStyle w:val="Default"/>
        <w:ind w:firstLine="709"/>
        <w:jc w:val="both"/>
        <w:rPr>
          <w:rFonts w:ascii="Times New Roman" w:hAnsi="Times New Roman" w:cs="Times New Roman"/>
          <w:color w:val="auto"/>
        </w:rPr>
      </w:pPr>
      <w:r w:rsidRPr="00BD3232">
        <w:rPr>
          <w:rFonts w:ascii="Times New Roman" w:hAnsi="Times New Roman" w:cs="Times New Roman"/>
          <w:color w:val="auto"/>
        </w:rPr>
        <w:t>2012.</w:t>
      </w:r>
      <w:r w:rsidR="006353AD" w:rsidRPr="00BD3232">
        <w:rPr>
          <w:rFonts w:ascii="Times New Roman" w:hAnsi="Times New Roman" w:cs="Times New Roman"/>
          <w:color w:val="auto"/>
        </w:rPr>
        <w:t>gada laikā banku sektora kapitalizācija saglabājās augstā līmenī – vairākas bankas stiprinā</w:t>
      </w:r>
      <w:r w:rsidR="00291320" w:rsidRPr="00BD3232">
        <w:rPr>
          <w:rFonts w:ascii="Times New Roman" w:hAnsi="Times New Roman" w:cs="Times New Roman"/>
          <w:color w:val="auto"/>
        </w:rPr>
        <w:t>ja</w:t>
      </w:r>
      <w:r w:rsidR="006353AD" w:rsidRPr="00BD3232">
        <w:rPr>
          <w:rFonts w:ascii="Times New Roman" w:hAnsi="Times New Roman" w:cs="Times New Roman"/>
          <w:color w:val="auto"/>
        </w:rPr>
        <w:t xml:space="preserve"> kapitāla bāzi – gan tajā iekļaujot kārtējā darbības gada (starpposma) auditēto </w:t>
      </w:r>
      <w:r w:rsidRPr="00BD3232">
        <w:rPr>
          <w:rFonts w:ascii="Times New Roman" w:hAnsi="Times New Roman" w:cs="Times New Roman"/>
          <w:color w:val="auto"/>
        </w:rPr>
        <w:t>peļņu</w:t>
      </w:r>
      <w:r w:rsidR="006353AD" w:rsidRPr="00BD3232">
        <w:rPr>
          <w:rFonts w:ascii="Times New Roman" w:hAnsi="Times New Roman" w:cs="Times New Roman"/>
          <w:color w:val="auto"/>
        </w:rPr>
        <w:t>, gan palielinot pamatkapitālu (10 bankas palielin</w:t>
      </w:r>
      <w:r w:rsidRPr="00BD3232">
        <w:rPr>
          <w:rFonts w:ascii="Times New Roman" w:hAnsi="Times New Roman" w:cs="Times New Roman"/>
          <w:color w:val="auto"/>
        </w:rPr>
        <w:t>āja pamatkapitālu kopumā par 86,</w:t>
      </w:r>
      <w:r w:rsidR="006353AD" w:rsidRPr="00BD3232">
        <w:rPr>
          <w:rFonts w:ascii="Times New Roman" w:hAnsi="Times New Roman" w:cs="Times New Roman"/>
          <w:color w:val="auto"/>
        </w:rPr>
        <w:t>3 milj. latu).</w:t>
      </w:r>
    </w:p>
    <w:p w:rsidR="006353AD" w:rsidRPr="00BD3232" w:rsidRDefault="006353AD" w:rsidP="00F03106">
      <w:pPr>
        <w:autoSpaceDE w:val="0"/>
        <w:autoSpaceDN w:val="0"/>
        <w:adjustRightInd w:val="0"/>
        <w:spacing w:after="0" w:line="240" w:lineRule="auto"/>
        <w:ind w:firstLine="709"/>
        <w:jc w:val="both"/>
        <w:rPr>
          <w:rFonts w:cs="Times New Roman"/>
          <w:szCs w:val="24"/>
        </w:rPr>
      </w:pPr>
      <w:r w:rsidRPr="00BD3232">
        <w:rPr>
          <w:rFonts w:cs="Times New Roman"/>
          <w:szCs w:val="24"/>
        </w:rPr>
        <w:t>Banku sektora kapitāla pietiekamības rādītājs saglabājās augstā līmenī un 2012.gada decembra beigās sasniedza 17,6% (minimālā kapitāla prasība – 8%), savukārt pirmā līmeņa kapitāla rādītājs</w:t>
      </w:r>
      <w:r w:rsidRPr="00BD3232">
        <w:rPr>
          <w:rStyle w:val="FootnoteReference"/>
          <w:rFonts w:cs="Times New Roman"/>
          <w:szCs w:val="24"/>
        </w:rPr>
        <w:footnoteReference w:id="7"/>
      </w:r>
      <w:r w:rsidRPr="00BD3232">
        <w:rPr>
          <w:rFonts w:cs="Times New Roman"/>
          <w:szCs w:val="24"/>
        </w:rPr>
        <w:t xml:space="preserve"> bija 15,3% (2011.gada beigās attiecīgi 17,4% un 14,2%). Banku pašu kapitāla struktūrā dominēja pirmā līmeņa kapitāls, un tas gada beigās veidoja 86,6% no banku pašu kapitāla. </w:t>
      </w:r>
    </w:p>
    <w:p w:rsidR="006353AD" w:rsidRPr="00BD3232" w:rsidRDefault="006353AD" w:rsidP="00F03106">
      <w:pPr>
        <w:pStyle w:val="Default"/>
        <w:ind w:firstLine="709"/>
        <w:jc w:val="both"/>
        <w:rPr>
          <w:rFonts w:ascii="Times New Roman" w:hAnsi="Times New Roman" w:cs="Times New Roman"/>
          <w:color w:val="auto"/>
        </w:rPr>
      </w:pPr>
      <w:r w:rsidRPr="00BD3232">
        <w:rPr>
          <w:rFonts w:ascii="Times New Roman" w:hAnsi="Times New Roman" w:cs="Times New Roman"/>
          <w:color w:val="auto"/>
        </w:rPr>
        <w:lastRenderedPageBreak/>
        <w:t>Lai gan ievērojami lēnākā tempā nekā iepriekš, tomēr kapitāla prasību kopējā apmēra sarukums turpinājās arī 2012.gadā, t.i., kopumā par 0,9%, t.sk. kredītriskam vien par 0,6%, bet operacionālajam riskam – par 8,8% (2011.gadā kapitāla prasību kopējais apmērs saruka par 16,6%, t.sk. kredītriskam – par 17,4% un operacionālajam riskam – par 6,2%). Bankām būtiskākais no riskiem ir kredītrisks, un 2012.gada beigās kredītriska kapitāla prasības veidoja 89,6% no banku sektora kapitāla prasību kopējā apmēra (2011.gada beigās – 89,3%).</w:t>
      </w:r>
    </w:p>
    <w:p w:rsidR="006353AD" w:rsidRPr="00BD3232" w:rsidRDefault="000B2C47" w:rsidP="00F03106">
      <w:pPr>
        <w:pStyle w:val="Default"/>
        <w:ind w:firstLine="709"/>
        <w:jc w:val="both"/>
        <w:rPr>
          <w:rFonts w:ascii="Times New Roman" w:hAnsi="Times New Roman" w:cs="Times New Roman"/>
          <w:color w:val="auto"/>
        </w:rPr>
      </w:pPr>
      <w:r w:rsidRPr="00BD3232">
        <w:rPr>
          <w:rFonts w:ascii="Times New Roman" w:hAnsi="Times New Roman" w:cs="Times New Roman"/>
          <w:color w:val="auto"/>
        </w:rPr>
        <w:t>Lai gan 2012.</w:t>
      </w:r>
      <w:r w:rsidR="006353AD" w:rsidRPr="00BD3232">
        <w:rPr>
          <w:rFonts w:ascii="Times New Roman" w:hAnsi="Times New Roman" w:cs="Times New Roman"/>
          <w:color w:val="auto"/>
        </w:rPr>
        <w:t xml:space="preserve">gadā turpināja uzlaboties kredītportfeļa kvalitāte, kredītrisks joprojām saglabājas būtiskā līmenī, it īpaši mājsaimniecību segmentā. Kredītportfeļa kvalitātes uzlabojumus galvenokārt veicināja straujāka banku bilanču "attīrīšana" no sliktajiem kredītiem, kreditēšanas aktivitātes pieaugums, kā arī </w:t>
      </w:r>
      <w:r w:rsidR="00487611" w:rsidRPr="00BD3232">
        <w:rPr>
          <w:rFonts w:ascii="Times New Roman" w:hAnsi="Times New Roman" w:cs="Times New Roman"/>
          <w:color w:val="auto"/>
        </w:rPr>
        <w:t>uzņēmumu</w:t>
      </w:r>
      <w:r w:rsidR="006353AD" w:rsidRPr="00BD3232">
        <w:rPr>
          <w:rFonts w:ascii="Times New Roman" w:hAnsi="Times New Roman" w:cs="Times New Roman"/>
          <w:color w:val="auto"/>
        </w:rPr>
        <w:t xml:space="preserve"> maksātspējas uzlabošanās. Gada laikā turpināja sarukt ilgāk par 90 dienām kavēto kredītu īpatsvars bank</w:t>
      </w:r>
      <w:r w:rsidRPr="00BD3232">
        <w:rPr>
          <w:rFonts w:ascii="Times New Roman" w:hAnsi="Times New Roman" w:cs="Times New Roman"/>
          <w:color w:val="auto"/>
        </w:rPr>
        <w:t>u sektora kredītportfelī, 2012.</w:t>
      </w:r>
      <w:r w:rsidR="006353AD" w:rsidRPr="00BD3232">
        <w:rPr>
          <w:rFonts w:ascii="Times New Roman" w:hAnsi="Times New Roman" w:cs="Times New Roman"/>
          <w:color w:val="auto"/>
        </w:rPr>
        <w:t>gada</w:t>
      </w:r>
      <w:r w:rsidRPr="00BD3232">
        <w:rPr>
          <w:rFonts w:ascii="Times New Roman" w:hAnsi="Times New Roman" w:cs="Times New Roman"/>
          <w:color w:val="auto"/>
        </w:rPr>
        <w:t xml:space="preserve"> beigās sasniedzot 11,1% (2011.gada beigās – 13,</w:t>
      </w:r>
      <w:r w:rsidR="006353AD" w:rsidRPr="00BD3232">
        <w:rPr>
          <w:rFonts w:ascii="Times New Roman" w:hAnsi="Times New Roman" w:cs="Times New Roman"/>
          <w:color w:val="auto"/>
        </w:rPr>
        <w:t>3%). Pakāpeniski uzlabojoties kredītu kvalitātei, kā arī, bankām norakstot zaudētos kredītus, banku izveidoto uzkrājumu nedrošajiem kredītiem atlikums 2012</w:t>
      </w:r>
      <w:r w:rsidRPr="00BD3232">
        <w:rPr>
          <w:rFonts w:ascii="Times New Roman" w:hAnsi="Times New Roman" w:cs="Times New Roman"/>
          <w:color w:val="auto"/>
        </w:rPr>
        <w:t>.gada laikā saruka par 243,</w:t>
      </w:r>
      <w:r w:rsidR="006353AD" w:rsidRPr="00BD3232">
        <w:rPr>
          <w:rFonts w:ascii="Times New Roman" w:hAnsi="Times New Roman" w:cs="Times New Roman"/>
          <w:color w:val="auto"/>
        </w:rPr>
        <w:t>7 milj. latu</w:t>
      </w:r>
      <w:r w:rsidRPr="00BD3232">
        <w:rPr>
          <w:rFonts w:ascii="Times New Roman" w:hAnsi="Times New Roman" w:cs="Times New Roman"/>
          <w:color w:val="auto"/>
        </w:rPr>
        <w:t xml:space="preserve"> jeb par 20.6% un sasniedza 937,</w:t>
      </w:r>
      <w:r w:rsidR="006353AD" w:rsidRPr="00BD3232">
        <w:rPr>
          <w:rFonts w:ascii="Times New Roman" w:hAnsi="Times New Roman" w:cs="Times New Roman"/>
          <w:color w:val="auto"/>
        </w:rPr>
        <w:t>4 milj. latu jeb 8% no banku kopējā kredītportfeļa 20</w:t>
      </w:r>
      <w:r w:rsidRPr="00BD3232">
        <w:rPr>
          <w:rFonts w:ascii="Times New Roman" w:hAnsi="Times New Roman" w:cs="Times New Roman"/>
          <w:color w:val="auto"/>
        </w:rPr>
        <w:t>12. gada decembra beigās (2011.gada beigās – 9,</w:t>
      </w:r>
      <w:r w:rsidR="006353AD" w:rsidRPr="00BD3232">
        <w:rPr>
          <w:rFonts w:ascii="Times New Roman" w:hAnsi="Times New Roman" w:cs="Times New Roman"/>
          <w:color w:val="auto"/>
        </w:rPr>
        <w:t>8%). Izveidoto uzkrājumu apmēra attiecība pret ilgāk par 90 dienām kavēto kredītu ap</w:t>
      </w:r>
      <w:r w:rsidRPr="00BD3232">
        <w:rPr>
          <w:rFonts w:ascii="Times New Roman" w:hAnsi="Times New Roman" w:cs="Times New Roman"/>
          <w:color w:val="auto"/>
        </w:rPr>
        <w:t>mēru saglabājās augsta un 2012.gada beigās sasniedza 71,7% (2011.gada beigās – 73,</w:t>
      </w:r>
      <w:r w:rsidR="006353AD" w:rsidRPr="00BD3232">
        <w:rPr>
          <w:rFonts w:ascii="Times New Roman" w:hAnsi="Times New Roman" w:cs="Times New Roman"/>
          <w:color w:val="auto"/>
        </w:rPr>
        <w:t>4%).</w:t>
      </w:r>
    </w:p>
    <w:p w:rsidR="00BC28AB" w:rsidRPr="00BD3232" w:rsidRDefault="006353AD" w:rsidP="00F03106">
      <w:pPr>
        <w:pStyle w:val="Default"/>
        <w:ind w:firstLine="709"/>
        <w:jc w:val="both"/>
        <w:rPr>
          <w:rFonts w:ascii="Times New Roman" w:hAnsi="Times New Roman" w:cs="Times New Roman"/>
          <w:color w:val="auto"/>
        </w:rPr>
      </w:pPr>
      <w:r w:rsidRPr="00BD3232">
        <w:rPr>
          <w:rFonts w:ascii="Times New Roman" w:hAnsi="Times New Roman" w:cs="Times New Roman"/>
          <w:color w:val="auto"/>
        </w:rPr>
        <w:t xml:space="preserve">Līdz ar bezdarba </w:t>
      </w:r>
      <w:r w:rsidR="00F03106" w:rsidRPr="00BD3232">
        <w:rPr>
          <w:rFonts w:ascii="Times New Roman" w:hAnsi="Times New Roman" w:cs="Times New Roman"/>
          <w:color w:val="auto"/>
        </w:rPr>
        <w:t>līmeņa</w:t>
      </w:r>
      <w:r w:rsidRPr="00BD3232">
        <w:rPr>
          <w:rFonts w:ascii="Times New Roman" w:hAnsi="Times New Roman" w:cs="Times New Roman"/>
          <w:color w:val="auto"/>
        </w:rPr>
        <w:t xml:space="preserve"> samazināšanos un nod</w:t>
      </w:r>
      <w:r w:rsidR="00393663" w:rsidRPr="00BD3232">
        <w:rPr>
          <w:rFonts w:ascii="Times New Roman" w:hAnsi="Times New Roman" w:cs="Times New Roman"/>
          <w:color w:val="auto"/>
        </w:rPr>
        <w:t>arbināto skaita pieaugumu 2012.</w:t>
      </w:r>
      <w:r w:rsidRPr="00BD3232">
        <w:rPr>
          <w:rFonts w:ascii="Times New Roman" w:hAnsi="Times New Roman" w:cs="Times New Roman"/>
          <w:color w:val="auto"/>
        </w:rPr>
        <w:t>gadā turpināja stabilizēties mājsaimniecību kredītu kvalitāte. Mājsaimniecību kredītportfeļa kvalitāte gada laikā nav būtiski mainījusies - ilgāk par 90 dienām kavēto kredītu īpatsvars mājsaimniecību k</w:t>
      </w:r>
      <w:r w:rsidR="0045185D" w:rsidRPr="00BD3232">
        <w:rPr>
          <w:rFonts w:ascii="Times New Roman" w:hAnsi="Times New Roman" w:cs="Times New Roman"/>
          <w:color w:val="auto"/>
        </w:rPr>
        <w:t>redītportfelī samazinājās no 16,2% 2011.gada beigās līdz 15,2% 2012.</w:t>
      </w:r>
      <w:r w:rsidRPr="00BD3232">
        <w:rPr>
          <w:rFonts w:ascii="Times New Roman" w:hAnsi="Times New Roman" w:cs="Times New Roman"/>
          <w:color w:val="auto"/>
        </w:rPr>
        <w:t>gada beigās, tomēr šos uzlabojumus lielā mērā veicinā</w:t>
      </w:r>
      <w:r w:rsidR="00CC76D8" w:rsidRPr="00BD3232">
        <w:rPr>
          <w:rFonts w:ascii="Times New Roman" w:hAnsi="Times New Roman" w:cs="Times New Roman"/>
          <w:color w:val="auto"/>
        </w:rPr>
        <w:t>ja zaudēto kredītu norakstīšana</w:t>
      </w:r>
      <w:r w:rsidRPr="00BD3232">
        <w:rPr>
          <w:rFonts w:ascii="Times New Roman" w:hAnsi="Times New Roman" w:cs="Times New Roman"/>
          <w:color w:val="auto"/>
        </w:rPr>
        <w:t>. Tomēr gada laikā kopējais kavēto kredītu īpatsvars mājsaimniecību kredītportfelī samazinā</w:t>
      </w:r>
      <w:r w:rsidR="0045185D" w:rsidRPr="00BD3232">
        <w:rPr>
          <w:rFonts w:ascii="Times New Roman" w:hAnsi="Times New Roman" w:cs="Times New Roman"/>
          <w:color w:val="auto"/>
        </w:rPr>
        <w:t>jās no 26,3% līdz 24,</w:t>
      </w:r>
      <w:r w:rsidRPr="00BD3232">
        <w:rPr>
          <w:rFonts w:ascii="Times New Roman" w:hAnsi="Times New Roman" w:cs="Times New Roman"/>
          <w:color w:val="auto"/>
        </w:rPr>
        <w:t xml:space="preserve">5%, kas, it īpaši </w:t>
      </w:r>
      <w:r w:rsidR="0045185D" w:rsidRPr="00BD3232">
        <w:rPr>
          <w:rFonts w:ascii="Times New Roman" w:hAnsi="Times New Roman" w:cs="Times New Roman"/>
          <w:color w:val="auto"/>
        </w:rPr>
        <w:t>ņemot</w:t>
      </w:r>
      <w:r w:rsidRPr="00BD3232">
        <w:rPr>
          <w:rFonts w:ascii="Times New Roman" w:hAnsi="Times New Roman" w:cs="Times New Roman"/>
          <w:color w:val="auto"/>
        </w:rPr>
        <w:t xml:space="preserve"> vērā būtisko komunālo maksājumu sloga palielinājumu, atzīmējama kā pozitīva tendence. Mājsaimniecībām mājokļa iegādei izsniegto kredītu kvalitāte ir labāka nekā pārējiem mājsaimniecību kredītiem - ilgāk par 90 dienām kavēto kredītu īpatsvars šajā kredītportfe</w:t>
      </w:r>
      <w:r w:rsidR="0045185D" w:rsidRPr="00BD3232">
        <w:rPr>
          <w:rFonts w:ascii="Times New Roman" w:hAnsi="Times New Roman" w:cs="Times New Roman"/>
          <w:color w:val="auto"/>
        </w:rPr>
        <w:t>lī gada laikā samazinājās no 13,8% līdz 13,</w:t>
      </w:r>
      <w:r w:rsidRPr="00BD3232">
        <w:rPr>
          <w:rFonts w:ascii="Times New Roman" w:hAnsi="Times New Roman" w:cs="Times New Roman"/>
          <w:color w:val="auto"/>
        </w:rPr>
        <w:t>2%, savukārt kopējais</w:t>
      </w:r>
      <w:r w:rsidR="0045185D" w:rsidRPr="00BD3232">
        <w:rPr>
          <w:rFonts w:ascii="Times New Roman" w:hAnsi="Times New Roman" w:cs="Times New Roman"/>
          <w:color w:val="auto"/>
        </w:rPr>
        <w:t xml:space="preserve"> kavēto kredītu īpatsvars </w:t>
      </w:r>
      <w:r w:rsidR="00217A32" w:rsidRPr="00BD3232">
        <w:rPr>
          <w:rFonts w:ascii="Times New Roman" w:hAnsi="Times New Roman" w:cs="Times New Roman"/>
          <w:color w:val="auto"/>
        </w:rPr>
        <w:t xml:space="preserve">samazinājās </w:t>
      </w:r>
      <w:r w:rsidR="0045185D" w:rsidRPr="00BD3232">
        <w:rPr>
          <w:rFonts w:ascii="Times New Roman" w:hAnsi="Times New Roman" w:cs="Times New Roman"/>
          <w:color w:val="auto"/>
        </w:rPr>
        <w:t>no 24,1% līdz 22,</w:t>
      </w:r>
      <w:r w:rsidRPr="00BD3232">
        <w:rPr>
          <w:rFonts w:ascii="Times New Roman" w:hAnsi="Times New Roman" w:cs="Times New Roman"/>
          <w:color w:val="auto"/>
        </w:rPr>
        <w:t>7%.</w:t>
      </w:r>
    </w:p>
    <w:p w:rsidR="006353AD" w:rsidRPr="00BD3232" w:rsidRDefault="006353AD" w:rsidP="00F03106">
      <w:pPr>
        <w:pStyle w:val="Default"/>
        <w:ind w:firstLine="709"/>
        <w:jc w:val="both"/>
        <w:rPr>
          <w:rFonts w:ascii="Times New Roman" w:hAnsi="Times New Roman" w:cs="Times New Roman"/>
          <w:color w:val="auto"/>
        </w:rPr>
      </w:pPr>
      <w:r w:rsidRPr="00BD3232">
        <w:rPr>
          <w:rFonts w:ascii="Times New Roman" w:hAnsi="Times New Roman" w:cs="Times New Roman"/>
          <w:color w:val="auto"/>
        </w:rPr>
        <w:t xml:space="preserve">Saglabājoties straujai tautsaimniecības izaugsmei un uzlabojoties </w:t>
      </w:r>
      <w:r w:rsidR="00F03106" w:rsidRPr="00BD3232">
        <w:rPr>
          <w:rFonts w:ascii="Times New Roman" w:hAnsi="Times New Roman" w:cs="Times New Roman"/>
          <w:color w:val="auto"/>
        </w:rPr>
        <w:t>uzņēmumu</w:t>
      </w:r>
      <w:r w:rsidRPr="00BD3232">
        <w:rPr>
          <w:rFonts w:ascii="Times New Roman" w:hAnsi="Times New Roman" w:cs="Times New Roman"/>
          <w:color w:val="auto"/>
        </w:rPr>
        <w:t xml:space="preserve"> pelnītspējai, turpināja uzlaboties korporatīvo klientu kredītu kvalitāte. Joprojām korporatīvajā sektorā finansiālā situācija uzlabojas straujāk nekā mājsaimniecībām, ko atspoguļo arī kavēto kredītu dinamika. Ilgāk par 90 dienām kavēto kredītu īpatsvars korporatīvo klientu kredītpor</w:t>
      </w:r>
      <w:r w:rsidR="0045185D" w:rsidRPr="00BD3232">
        <w:rPr>
          <w:rFonts w:ascii="Times New Roman" w:hAnsi="Times New Roman" w:cs="Times New Roman"/>
          <w:color w:val="auto"/>
        </w:rPr>
        <w:t>tfelī saruka no 12,7% 2011.gada beigās līdz 9,2% 2012.</w:t>
      </w:r>
      <w:r w:rsidRPr="00BD3232">
        <w:rPr>
          <w:rFonts w:ascii="Times New Roman" w:hAnsi="Times New Roman" w:cs="Times New Roman"/>
          <w:color w:val="auto"/>
        </w:rPr>
        <w:t>gada beigās, ko galvenokārt veicināja šādu kredītu apmēra sarukums ar nekustamo īpašumu saistītajās nozarēs, kas veido pusi no ilgāk par 90 dienām kavēto kredītu apmēra samazinājuma korporatīvajā sektorā. Arī kopējais kavēto kredītu īpatsvars kor</w:t>
      </w:r>
      <w:r w:rsidR="0045185D" w:rsidRPr="00BD3232">
        <w:rPr>
          <w:rFonts w:ascii="Times New Roman" w:hAnsi="Times New Roman" w:cs="Times New Roman"/>
          <w:color w:val="auto"/>
        </w:rPr>
        <w:t>poratīvajā sektorā saruka no 18,1% līdz 13,</w:t>
      </w:r>
      <w:r w:rsidRPr="00BD3232">
        <w:rPr>
          <w:rFonts w:ascii="Times New Roman" w:hAnsi="Times New Roman" w:cs="Times New Roman"/>
          <w:color w:val="auto"/>
        </w:rPr>
        <w:t>2%.</w:t>
      </w:r>
    </w:p>
    <w:p w:rsidR="006353AD" w:rsidRPr="00BD3232" w:rsidRDefault="006353AD" w:rsidP="00F03106">
      <w:pPr>
        <w:pStyle w:val="Default"/>
        <w:ind w:firstLine="709"/>
        <w:jc w:val="both"/>
        <w:rPr>
          <w:rFonts w:ascii="Times New Roman" w:hAnsi="Times New Roman" w:cs="Times New Roman"/>
          <w:color w:val="auto"/>
        </w:rPr>
      </w:pPr>
      <w:r w:rsidRPr="00BD3232">
        <w:rPr>
          <w:rFonts w:ascii="Times New Roman" w:hAnsi="Times New Roman" w:cs="Times New Roman"/>
          <w:color w:val="auto"/>
        </w:rPr>
        <w:t>Lai gan pārstrukturēto un atgūšanas procesā esošo kredītu īpatsvars turpināja samazināties, tas joprojām saglabājās augsts. Gada laikā pārstrukturēto kredītu, kas ir nozīmīgs riska avots bankām, īpatsvars banku sektora kop</w:t>
      </w:r>
      <w:r w:rsidR="0045185D" w:rsidRPr="00BD3232">
        <w:rPr>
          <w:rFonts w:ascii="Times New Roman" w:hAnsi="Times New Roman" w:cs="Times New Roman"/>
          <w:color w:val="auto"/>
        </w:rPr>
        <w:t>ējā kredītportfelī saruka no 15,5% līdz 12,</w:t>
      </w:r>
      <w:r w:rsidRPr="00BD3232">
        <w:rPr>
          <w:rFonts w:ascii="Times New Roman" w:hAnsi="Times New Roman" w:cs="Times New Roman"/>
          <w:color w:val="auto"/>
        </w:rPr>
        <w:t xml:space="preserve">5% </w:t>
      </w:r>
      <w:r w:rsidR="0045185D" w:rsidRPr="00BD3232">
        <w:rPr>
          <w:rFonts w:ascii="Times New Roman" w:hAnsi="Times New Roman" w:cs="Times New Roman"/>
          <w:color w:val="auto"/>
        </w:rPr>
        <w:t>un to apmērs samazinājās par 21,</w:t>
      </w:r>
      <w:r w:rsidRPr="00BD3232">
        <w:rPr>
          <w:rFonts w:ascii="Times New Roman" w:hAnsi="Times New Roman" w:cs="Times New Roman"/>
          <w:color w:val="auto"/>
        </w:rPr>
        <w:t>6%. Tajā pašā laikā samazinājās arī atgūšanas procesā</w:t>
      </w:r>
      <w:r w:rsidR="0045185D" w:rsidRPr="00BD3232">
        <w:rPr>
          <w:rFonts w:ascii="Times New Roman" w:hAnsi="Times New Roman" w:cs="Times New Roman"/>
          <w:color w:val="auto"/>
        </w:rPr>
        <w:t xml:space="preserve"> esošo kredītu īpatsvars (no 12,</w:t>
      </w:r>
      <w:r w:rsidRPr="00BD3232">
        <w:rPr>
          <w:rFonts w:ascii="Times New Roman" w:hAnsi="Times New Roman" w:cs="Times New Roman"/>
          <w:color w:val="auto"/>
        </w:rPr>
        <w:t>3% lī</w:t>
      </w:r>
      <w:r w:rsidR="0045185D" w:rsidRPr="00BD3232">
        <w:rPr>
          <w:rFonts w:ascii="Times New Roman" w:hAnsi="Times New Roman" w:cs="Times New Roman"/>
          <w:color w:val="auto"/>
        </w:rPr>
        <w:t>dz 10,1%) un apmērs (par 20,</w:t>
      </w:r>
      <w:r w:rsidRPr="00BD3232">
        <w:rPr>
          <w:rFonts w:ascii="Times New Roman" w:hAnsi="Times New Roman" w:cs="Times New Roman"/>
          <w:color w:val="auto"/>
        </w:rPr>
        <w:t>2%).</w:t>
      </w:r>
    </w:p>
    <w:p w:rsidR="006353AD" w:rsidRPr="00BD3232" w:rsidRDefault="002530CB" w:rsidP="00F03106">
      <w:pPr>
        <w:pStyle w:val="Default"/>
        <w:ind w:firstLine="709"/>
        <w:jc w:val="both"/>
        <w:rPr>
          <w:rFonts w:ascii="Times New Roman" w:hAnsi="Times New Roman" w:cs="Times New Roman"/>
          <w:color w:val="auto"/>
        </w:rPr>
      </w:pPr>
      <w:r w:rsidRPr="00BD3232">
        <w:rPr>
          <w:rFonts w:ascii="Times New Roman" w:hAnsi="Times New Roman" w:cs="Times New Roman"/>
          <w:color w:val="auto"/>
        </w:rPr>
        <w:t>2012.</w:t>
      </w:r>
      <w:r w:rsidR="006353AD" w:rsidRPr="00BD3232">
        <w:rPr>
          <w:rFonts w:ascii="Times New Roman" w:hAnsi="Times New Roman" w:cs="Times New Roman"/>
          <w:color w:val="auto"/>
        </w:rPr>
        <w:t xml:space="preserve">gadā pārstrukturēto kredītu kategorijā no </w:t>
      </w:r>
      <w:r w:rsidRPr="00BD3232">
        <w:rPr>
          <w:rFonts w:ascii="Times New Roman" w:hAnsi="Times New Roman" w:cs="Times New Roman"/>
          <w:color w:val="auto"/>
        </w:rPr>
        <w:t>jauna tika iekļauti kredīti 654,</w:t>
      </w:r>
      <w:r w:rsidR="006353AD" w:rsidRPr="00BD3232">
        <w:rPr>
          <w:rFonts w:ascii="Times New Roman" w:hAnsi="Times New Roman" w:cs="Times New Roman"/>
          <w:color w:val="auto"/>
        </w:rPr>
        <w:t>7 milj. latu apmērā,</w:t>
      </w:r>
      <w:r w:rsidRPr="00BD3232">
        <w:rPr>
          <w:rFonts w:ascii="Times New Roman" w:hAnsi="Times New Roman" w:cs="Times New Roman"/>
          <w:color w:val="auto"/>
        </w:rPr>
        <w:t xml:space="preserve"> kas ir gandrīz uz pusi (par 42,9%) mazāk nekā 2011.</w:t>
      </w:r>
      <w:r w:rsidR="006353AD" w:rsidRPr="00BD3232">
        <w:rPr>
          <w:rFonts w:ascii="Times New Roman" w:hAnsi="Times New Roman" w:cs="Times New Roman"/>
          <w:color w:val="auto"/>
        </w:rPr>
        <w:t xml:space="preserve">gadā, un tas </w:t>
      </w:r>
      <w:r w:rsidR="006353AD" w:rsidRPr="00BD3232">
        <w:rPr>
          <w:rFonts w:ascii="Times New Roman" w:hAnsi="Times New Roman" w:cs="Times New Roman"/>
          <w:color w:val="auto"/>
        </w:rPr>
        <w:lastRenderedPageBreak/>
        <w:t xml:space="preserve">liecina, ka mazāk ir tādu </w:t>
      </w:r>
      <w:r w:rsidR="00F03106" w:rsidRPr="00BD3232">
        <w:rPr>
          <w:rFonts w:ascii="Times New Roman" w:hAnsi="Times New Roman" w:cs="Times New Roman"/>
          <w:color w:val="auto"/>
        </w:rPr>
        <w:t>aizņēmēju</w:t>
      </w:r>
      <w:r w:rsidR="006353AD" w:rsidRPr="00BD3232">
        <w:rPr>
          <w:rFonts w:ascii="Times New Roman" w:hAnsi="Times New Roman" w:cs="Times New Roman"/>
          <w:color w:val="auto"/>
        </w:rPr>
        <w:t>, kuriem pārskata gada laikā ir radušās grūtības ar kredītsaistību izpildi.</w:t>
      </w:r>
    </w:p>
    <w:p w:rsidR="006353AD" w:rsidRPr="00BD3232" w:rsidRDefault="00F03106" w:rsidP="00F03106">
      <w:pPr>
        <w:pStyle w:val="Default"/>
        <w:ind w:firstLine="709"/>
        <w:jc w:val="both"/>
        <w:rPr>
          <w:rFonts w:ascii="Times New Roman" w:hAnsi="Times New Roman" w:cs="Times New Roman"/>
          <w:color w:val="auto"/>
        </w:rPr>
      </w:pPr>
      <w:r w:rsidRPr="00BD3232">
        <w:rPr>
          <w:rFonts w:ascii="Times New Roman" w:hAnsi="Times New Roman" w:cs="Times New Roman"/>
          <w:color w:val="auto"/>
        </w:rPr>
        <w:t>Bankas</w:t>
      </w:r>
      <w:r w:rsidR="002530CB" w:rsidRPr="00BD3232">
        <w:rPr>
          <w:rFonts w:ascii="Times New Roman" w:hAnsi="Times New Roman" w:cs="Times New Roman"/>
          <w:color w:val="auto"/>
        </w:rPr>
        <w:t xml:space="preserve"> aktīvāk attīra bilances. 2012.</w:t>
      </w:r>
      <w:r w:rsidRPr="00BD3232">
        <w:rPr>
          <w:rFonts w:ascii="Times New Roman" w:hAnsi="Times New Roman" w:cs="Times New Roman"/>
          <w:color w:val="auto"/>
        </w:rPr>
        <w:t>gada laikā banku sektorā tika norakstīti kredīti 338 milj. latu apmērā (t.sk. rezidentu mājsaimniecībām – 136 milj. latu, rezidentu korporatīvajiem klientiem – 19</w:t>
      </w:r>
      <w:r w:rsidR="002530CB" w:rsidRPr="00BD3232">
        <w:rPr>
          <w:rFonts w:ascii="Times New Roman" w:hAnsi="Times New Roman" w:cs="Times New Roman"/>
          <w:color w:val="auto"/>
        </w:rPr>
        <w:t>3 milj. latu, nerezidentiem – 8,</w:t>
      </w:r>
      <w:r w:rsidRPr="00BD3232">
        <w:rPr>
          <w:rFonts w:ascii="Times New Roman" w:hAnsi="Times New Roman" w:cs="Times New Roman"/>
          <w:color w:val="auto"/>
        </w:rPr>
        <w:t>7 milj. latu), k</w:t>
      </w:r>
      <w:r w:rsidR="002530CB" w:rsidRPr="00BD3232">
        <w:rPr>
          <w:rFonts w:ascii="Times New Roman" w:hAnsi="Times New Roman" w:cs="Times New Roman"/>
          <w:color w:val="auto"/>
        </w:rPr>
        <w:t>as ir par 11% vairāk nekā 2011.</w:t>
      </w:r>
      <w:r w:rsidRPr="00BD3232">
        <w:rPr>
          <w:rFonts w:ascii="Times New Roman" w:hAnsi="Times New Roman" w:cs="Times New Roman"/>
          <w:color w:val="auto"/>
        </w:rPr>
        <w:t>gadā.</w:t>
      </w:r>
    </w:p>
    <w:p w:rsidR="00BC28AB" w:rsidRPr="00BD3232" w:rsidRDefault="00F03106" w:rsidP="00F03106">
      <w:pPr>
        <w:pStyle w:val="Default"/>
        <w:ind w:firstLine="709"/>
        <w:jc w:val="both"/>
        <w:rPr>
          <w:rFonts w:ascii="Times New Roman" w:hAnsi="Times New Roman" w:cs="Times New Roman"/>
          <w:color w:val="auto"/>
        </w:rPr>
      </w:pPr>
      <w:r w:rsidRPr="00BD3232">
        <w:rPr>
          <w:rFonts w:ascii="Times New Roman" w:hAnsi="Times New Roman" w:cs="Times New Roman"/>
          <w:color w:val="auto"/>
        </w:rPr>
        <w:t xml:space="preserve">Banku sektora likviditātes risks saglabājās </w:t>
      </w:r>
      <w:r w:rsidR="002530CB" w:rsidRPr="00BD3232">
        <w:rPr>
          <w:rFonts w:ascii="Times New Roman" w:hAnsi="Times New Roman" w:cs="Times New Roman"/>
          <w:color w:val="auto"/>
        </w:rPr>
        <w:t>ierobežots</w:t>
      </w:r>
      <w:r w:rsidRPr="00BD3232">
        <w:rPr>
          <w:rFonts w:ascii="Times New Roman" w:hAnsi="Times New Roman" w:cs="Times New Roman"/>
          <w:color w:val="auto"/>
        </w:rPr>
        <w:t xml:space="preserve"> – likvīdos aktīvus bankas uzturēja augstā līmenī un arī likviditātes rādītājs bija aug</w:t>
      </w:r>
      <w:r w:rsidR="002530CB" w:rsidRPr="00BD3232">
        <w:rPr>
          <w:rFonts w:ascii="Times New Roman" w:hAnsi="Times New Roman" w:cs="Times New Roman"/>
          <w:color w:val="auto"/>
        </w:rPr>
        <w:t>sts, t.i., 2012.gada decembra beigās – 59,</w:t>
      </w:r>
      <w:r w:rsidRPr="00BD3232">
        <w:rPr>
          <w:rFonts w:ascii="Times New Roman" w:hAnsi="Times New Roman" w:cs="Times New Roman"/>
          <w:color w:val="auto"/>
        </w:rPr>
        <w:t xml:space="preserve">7%, tādējādi gandrīz divkārt pārsniedzot noteikto minimālo prasību </w:t>
      </w:r>
      <w:r w:rsidR="002530CB" w:rsidRPr="00BD3232">
        <w:rPr>
          <w:rFonts w:ascii="Times New Roman" w:hAnsi="Times New Roman" w:cs="Times New Roman"/>
          <w:color w:val="auto"/>
        </w:rPr>
        <w:t>(2011.gada beigās – 63,</w:t>
      </w:r>
      <w:r w:rsidRPr="00BD3232">
        <w:rPr>
          <w:rFonts w:ascii="Times New Roman" w:hAnsi="Times New Roman" w:cs="Times New Roman"/>
          <w:color w:val="auto"/>
        </w:rPr>
        <w:t>9%)</w:t>
      </w:r>
      <w:r w:rsidR="002530CB" w:rsidRPr="00BD3232">
        <w:rPr>
          <w:rFonts w:ascii="Times New Roman" w:hAnsi="Times New Roman" w:cs="Times New Roman"/>
          <w:color w:val="auto"/>
        </w:rPr>
        <w:t>.</w:t>
      </w:r>
    </w:p>
    <w:p w:rsidR="00BC28AB" w:rsidRPr="00BD3232" w:rsidRDefault="00BC28AB" w:rsidP="004D56A3">
      <w:pPr>
        <w:pStyle w:val="Default"/>
        <w:ind w:firstLine="709"/>
        <w:jc w:val="both"/>
        <w:rPr>
          <w:rFonts w:ascii="Times New Roman" w:hAnsi="Times New Roman" w:cs="Times New Roman"/>
          <w:color w:val="auto"/>
        </w:rPr>
      </w:pPr>
    </w:p>
    <w:p w:rsidR="001710CE" w:rsidRPr="00BD3232" w:rsidRDefault="001710CE" w:rsidP="002530CB">
      <w:pPr>
        <w:pStyle w:val="Default"/>
        <w:jc w:val="both"/>
        <w:rPr>
          <w:rFonts w:ascii="Times New Roman" w:hAnsi="Times New Roman" w:cs="Times New Roman"/>
          <w:color w:val="auto"/>
        </w:rPr>
      </w:pPr>
    </w:p>
    <w:p w:rsidR="00393A8D" w:rsidRPr="00BD3232" w:rsidRDefault="00393A8D" w:rsidP="00393A8D">
      <w:pPr>
        <w:numPr>
          <w:ilvl w:val="0"/>
          <w:numId w:val="35"/>
        </w:numPr>
        <w:spacing w:after="0" w:line="240" w:lineRule="auto"/>
        <w:contextualSpacing/>
        <w:rPr>
          <w:rFonts w:eastAsia="Calibri" w:cs="Times New Roman"/>
          <w:b/>
        </w:rPr>
      </w:pPr>
      <w:r w:rsidRPr="00BD3232">
        <w:rPr>
          <w:rFonts w:eastAsia="Calibri" w:cs="Times New Roman"/>
          <w:b/>
        </w:rPr>
        <w:t>Banku sektora veiktie nodokļu un citi maksājumi Latvijā</w:t>
      </w:r>
    </w:p>
    <w:p w:rsidR="00393A8D" w:rsidRPr="00BD3232" w:rsidRDefault="00393A8D" w:rsidP="00393A8D">
      <w:pPr>
        <w:spacing w:after="0" w:line="240" w:lineRule="auto"/>
        <w:rPr>
          <w:rFonts w:eastAsia="Calibri" w:cs="Times New Roman"/>
        </w:rPr>
      </w:pPr>
    </w:p>
    <w:p w:rsidR="00393A8D" w:rsidRPr="00BD3232" w:rsidRDefault="00393A8D" w:rsidP="00393A8D">
      <w:pPr>
        <w:numPr>
          <w:ilvl w:val="1"/>
          <w:numId w:val="37"/>
        </w:numPr>
        <w:spacing w:after="0" w:line="240" w:lineRule="auto"/>
        <w:contextualSpacing/>
        <w:rPr>
          <w:rFonts w:eastAsia="Calibri" w:cs="Times New Roman"/>
          <w:b/>
          <w:i/>
        </w:rPr>
      </w:pPr>
      <w:r w:rsidRPr="00BD3232">
        <w:rPr>
          <w:rFonts w:eastAsia="Calibri" w:cs="Times New Roman"/>
          <w:b/>
          <w:i/>
        </w:rPr>
        <w:t>Noguldījumu garantiju fonds</w:t>
      </w:r>
    </w:p>
    <w:p w:rsidR="00393A8D" w:rsidRPr="00BD3232" w:rsidRDefault="00393A8D" w:rsidP="00141057">
      <w:pPr>
        <w:spacing w:after="0" w:line="240" w:lineRule="auto"/>
        <w:ind w:firstLine="709"/>
        <w:rPr>
          <w:rFonts w:eastAsia="Calibri" w:cs="Times New Roman"/>
        </w:rPr>
      </w:pPr>
    </w:p>
    <w:p w:rsidR="00141057" w:rsidRPr="00BD3232" w:rsidRDefault="001D42A6" w:rsidP="001D42A6">
      <w:pPr>
        <w:spacing w:after="0" w:line="240" w:lineRule="auto"/>
        <w:ind w:firstLine="709"/>
        <w:jc w:val="both"/>
        <w:rPr>
          <w:rFonts w:eastAsia="Calibri" w:cs="Times New Roman"/>
        </w:rPr>
      </w:pPr>
      <w:r w:rsidRPr="00BD3232">
        <w:rPr>
          <w:rFonts w:eastAsia="Calibri" w:cs="Times New Roman"/>
        </w:rPr>
        <w:t>Latvijas Noguldījumu garantiju fonds</w:t>
      </w:r>
      <w:r w:rsidR="00393663" w:rsidRPr="00BD3232">
        <w:rPr>
          <w:rFonts w:eastAsia="Calibri" w:cs="Times New Roman"/>
        </w:rPr>
        <w:t xml:space="preserve"> (turpmāk - NGF)</w:t>
      </w:r>
      <w:r w:rsidRPr="00BD3232">
        <w:rPr>
          <w:rFonts w:eastAsia="Calibri" w:cs="Times New Roman"/>
        </w:rPr>
        <w:t xml:space="preserve"> ir izveidots un darbojas saskaņā ar Noguldījumu garantiju likumu. Tas ir izveidots, lai nodrošinātu noguldītājiem atlīdzības izmaksu par noguldījumiem, kas veikti pie noguldījumu garantiju sistēmas dalībnieka, bet kļuvuši nepieejami, t.i., gadījumā, kad noguldījumu garantiju sistēmas dalībnieks nespēj klientam izmaksāt viņa noguldījumu tādēļ, ka FKTK sistēmas dalībniekam anulējusi licenci un tiesa pasludinājusi noguldījumu piesaistītāju par maksātnespējīgu, kā arī citos gadījumos, kad FKTK ir konstatējusi, ka noguldījumu piesaistītājs nespēj izmaksāt noguldītājam garantēto noguldījumu, un pieņēmusi lēmumu par noguldījumu nepieejamības iestāšanos.</w:t>
      </w:r>
    </w:p>
    <w:p w:rsidR="003326C2" w:rsidRDefault="00FD212A" w:rsidP="00A0557B">
      <w:pPr>
        <w:spacing w:after="0" w:line="240" w:lineRule="auto"/>
        <w:ind w:firstLine="709"/>
        <w:jc w:val="both"/>
        <w:rPr>
          <w:rFonts w:eastAsia="Calibri" w:cs="Times New Roman"/>
        </w:rPr>
      </w:pPr>
      <w:r w:rsidRPr="00BD3232">
        <w:rPr>
          <w:rFonts w:eastAsia="Calibri" w:cs="Times New Roman"/>
        </w:rPr>
        <w:t>2012</w:t>
      </w:r>
      <w:r w:rsidR="00150352" w:rsidRPr="00BD3232">
        <w:rPr>
          <w:rFonts w:eastAsia="Calibri" w:cs="Times New Roman"/>
        </w:rPr>
        <w:t xml:space="preserve">.gada laikā NGF tīrie finansiālie aktīvi pieauga par </w:t>
      </w:r>
      <w:r w:rsidR="00973FD0">
        <w:rPr>
          <w:rFonts w:eastAsia="Calibri" w:cs="Times New Roman"/>
        </w:rPr>
        <w:t xml:space="preserve">28 468 </w:t>
      </w:r>
      <w:r w:rsidR="00150352" w:rsidRPr="00BD3232">
        <w:rPr>
          <w:rFonts w:eastAsia="Calibri" w:cs="Times New Roman"/>
        </w:rPr>
        <w:t xml:space="preserve">tūkst. latu jeb </w:t>
      </w:r>
      <w:r w:rsidRPr="00BD3232">
        <w:rPr>
          <w:rFonts w:eastAsia="Calibri" w:cs="Times New Roman"/>
        </w:rPr>
        <w:t>18</w:t>
      </w:r>
      <w:r w:rsidR="00CC76D8" w:rsidRPr="00BD3232">
        <w:rPr>
          <w:rFonts w:eastAsia="Calibri" w:cs="Times New Roman"/>
        </w:rPr>
        <w:t>,3</w:t>
      </w:r>
      <w:r w:rsidRPr="00BD3232">
        <w:rPr>
          <w:rFonts w:eastAsia="Calibri" w:cs="Times New Roman"/>
        </w:rPr>
        <w:t xml:space="preserve"> %. 2012</w:t>
      </w:r>
      <w:r w:rsidR="00150352" w:rsidRPr="00BD3232">
        <w:rPr>
          <w:rFonts w:eastAsia="Calibri" w:cs="Times New Roman"/>
        </w:rPr>
        <w:t>.gada beigās NGF tīrie</w:t>
      </w:r>
      <w:r w:rsidR="00FF1E03" w:rsidRPr="00BD3232">
        <w:rPr>
          <w:rFonts w:eastAsia="Calibri" w:cs="Times New Roman"/>
        </w:rPr>
        <w:t xml:space="preserve"> finansiālie aktīvi bija </w:t>
      </w:r>
      <w:r w:rsidR="00973FD0">
        <w:rPr>
          <w:rFonts w:eastAsia="Calibri" w:cs="Times New Roman"/>
        </w:rPr>
        <w:t xml:space="preserve">184 006 </w:t>
      </w:r>
      <w:r w:rsidR="00150352" w:rsidRPr="00BD3232">
        <w:rPr>
          <w:rFonts w:eastAsia="Calibri" w:cs="Times New Roman"/>
        </w:rPr>
        <w:t>tūkst. latu</w:t>
      </w:r>
      <w:r w:rsidR="007F06D3" w:rsidRPr="00BD3232">
        <w:rPr>
          <w:rFonts w:eastAsia="Calibri" w:cs="Times New Roman"/>
        </w:rPr>
        <w:t xml:space="preserve"> (</w:t>
      </w:r>
      <w:r w:rsidR="00393663" w:rsidRPr="00BD3232">
        <w:rPr>
          <w:rFonts w:eastAsia="Calibri" w:cs="Times New Roman"/>
        </w:rPr>
        <w:t>2</w:t>
      </w:r>
      <w:r w:rsidR="007F06D3" w:rsidRPr="00BD3232">
        <w:rPr>
          <w:rFonts w:eastAsia="Calibri" w:cs="Times New Roman"/>
        </w:rPr>
        <w:t>.tab.)</w:t>
      </w:r>
      <w:r w:rsidR="00150352" w:rsidRPr="00BD3232">
        <w:rPr>
          <w:rFonts w:eastAsia="Calibri" w:cs="Times New Roman"/>
        </w:rPr>
        <w:t>.</w:t>
      </w:r>
      <w:r w:rsidR="00ED551B" w:rsidRPr="00BD3232">
        <w:rPr>
          <w:rFonts w:eastAsia="Calibri" w:cs="Times New Roman"/>
        </w:rPr>
        <w:t xml:space="preserve"> </w:t>
      </w:r>
    </w:p>
    <w:p w:rsidR="003326C2" w:rsidRPr="00BD3232" w:rsidRDefault="003326C2" w:rsidP="001D42A6">
      <w:pPr>
        <w:spacing w:after="0" w:line="240" w:lineRule="auto"/>
        <w:ind w:firstLine="709"/>
        <w:jc w:val="both"/>
        <w:rPr>
          <w:rFonts w:eastAsia="Calibri" w:cs="Times New Roman"/>
        </w:rPr>
      </w:pPr>
    </w:p>
    <w:p w:rsidR="0067108E" w:rsidRPr="00BD3232" w:rsidRDefault="00393663" w:rsidP="0067108E">
      <w:pPr>
        <w:spacing w:after="0" w:line="240" w:lineRule="auto"/>
        <w:ind w:firstLine="709"/>
        <w:jc w:val="both"/>
        <w:rPr>
          <w:rFonts w:eastAsia="Calibri" w:cs="Times New Roman"/>
          <w:b/>
        </w:rPr>
      </w:pPr>
      <w:r w:rsidRPr="00BD3232">
        <w:rPr>
          <w:rFonts w:eastAsia="Calibri" w:cs="Times New Roman"/>
          <w:b/>
        </w:rPr>
        <w:t>2</w:t>
      </w:r>
      <w:r w:rsidR="0067108E" w:rsidRPr="00BD3232">
        <w:rPr>
          <w:rFonts w:eastAsia="Calibri" w:cs="Times New Roman"/>
          <w:b/>
        </w:rPr>
        <w:t>.tabula „</w:t>
      </w:r>
      <w:r w:rsidR="00772A15" w:rsidRPr="00BD3232">
        <w:rPr>
          <w:rFonts w:eastAsia="Calibri" w:cs="Times New Roman"/>
          <w:b/>
        </w:rPr>
        <w:t>Noguldījumu garantiju fonda bilance</w:t>
      </w:r>
      <w:r w:rsidR="0067108E" w:rsidRPr="00BD3232">
        <w:rPr>
          <w:rFonts w:eastAsia="Calibri" w:cs="Times New Roman"/>
          <w:b/>
        </w:rPr>
        <w:t>”</w:t>
      </w:r>
    </w:p>
    <w:tbl>
      <w:tblPr>
        <w:tblStyle w:val="TableGrid"/>
        <w:tblW w:w="0" w:type="auto"/>
        <w:jc w:val="center"/>
        <w:tblLook w:val="04A0" w:firstRow="1" w:lastRow="0" w:firstColumn="1" w:lastColumn="0" w:noHBand="0" w:noVBand="1"/>
      </w:tblPr>
      <w:tblGrid>
        <w:gridCol w:w="3652"/>
        <w:gridCol w:w="1985"/>
      </w:tblGrid>
      <w:tr w:rsidR="00BD3232" w:rsidRPr="00B70B88" w:rsidTr="00150352">
        <w:trPr>
          <w:jc w:val="center"/>
        </w:trPr>
        <w:tc>
          <w:tcPr>
            <w:tcW w:w="3652" w:type="dxa"/>
          </w:tcPr>
          <w:p w:rsidR="0067108E" w:rsidRPr="00B70B88" w:rsidRDefault="0067108E" w:rsidP="001D42A6">
            <w:pPr>
              <w:jc w:val="both"/>
              <w:rPr>
                <w:rFonts w:ascii="Times New Roman" w:eastAsia="Calibri" w:hAnsi="Times New Roman" w:cs="Times New Roman"/>
                <w:szCs w:val="24"/>
              </w:rPr>
            </w:pPr>
          </w:p>
        </w:tc>
        <w:tc>
          <w:tcPr>
            <w:tcW w:w="1985" w:type="dxa"/>
          </w:tcPr>
          <w:p w:rsidR="0067108E" w:rsidRPr="00B70B88" w:rsidRDefault="0067108E" w:rsidP="00150352">
            <w:pPr>
              <w:jc w:val="center"/>
              <w:rPr>
                <w:rFonts w:ascii="Times New Roman" w:eastAsia="Calibri" w:hAnsi="Times New Roman" w:cs="Times New Roman"/>
                <w:szCs w:val="24"/>
              </w:rPr>
            </w:pPr>
            <w:r w:rsidRPr="00B70B88">
              <w:rPr>
                <w:rFonts w:ascii="Times New Roman" w:eastAsia="Calibri" w:hAnsi="Times New Roman" w:cs="Times New Roman"/>
                <w:szCs w:val="24"/>
              </w:rPr>
              <w:t>Finansiālie aktīvi</w:t>
            </w:r>
          </w:p>
        </w:tc>
      </w:tr>
      <w:tr w:rsidR="00BD3232" w:rsidRPr="00B70B88" w:rsidTr="00150352">
        <w:trPr>
          <w:jc w:val="center"/>
        </w:trPr>
        <w:tc>
          <w:tcPr>
            <w:tcW w:w="3652" w:type="dxa"/>
          </w:tcPr>
          <w:p w:rsidR="00150352" w:rsidRPr="00B70B88" w:rsidRDefault="00150352" w:rsidP="00D15427">
            <w:pPr>
              <w:jc w:val="both"/>
              <w:rPr>
                <w:rFonts w:ascii="Times New Roman" w:eastAsia="Calibri" w:hAnsi="Times New Roman" w:cs="Times New Roman"/>
                <w:b/>
                <w:szCs w:val="24"/>
              </w:rPr>
            </w:pPr>
            <w:r w:rsidRPr="00B70B88">
              <w:rPr>
                <w:rFonts w:ascii="Times New Roman" w:eastAsia="Calibri" w:hAnsi="Times New Roman" w:cs="Times New Roman"/>
                <w:b/>
                <w:szCs w:val="24"/>
              </w:rPr>
              <w:t>Izpildes rezultāts 31.12.2008.</w:t>
            </w:r>
          </w:p>
        </w:tc>
        <w:tc>
          <w:tcPr>
            <w:tcW w:w="1985" w:type="dxa"/>
          </w:tcPr>
          <w:p w:rsidR="00150352" w:rsidRPr="00B70B88" w:rsidRDefault="00494616" w:rsidP="00150352">
            <w:pPr>
              <w:jc w:val="center"/>
              <w:rPr>
                <w:rFonts w:ascii="Times New Roman" w:eastAsia="Calibri" w:hAnsi="Times New Roman" w:cs="Times New Roman"/>
                <w:b/>
                <w:szCs w:val="24"/>
              </w:rPr>
            </w:pPr>
            <w:r w:rsidRPr="00B70B88">
              <w:rPr>
                <w:rFonts w:ascii="Times New Roman" w:eastAsia="Calibri" w:hAnsi="Times New Roman" w:cs="Times New Roman"/>
                <w:b/>
                <w:szCs w:val="24"/>
              </w:rPr>
              <w:t>87 608 3</w:t>
            </w:r>
            <w:r w:rsidR="0039318D" w:rsidRPr="00B70B88">
              <w:rPr>
                <w:rFonts w:ascii="Times New Roman" w:eastAsia="Calibri" w:hAnsi="Times New Roman" w:cs="Times New Roman"/>
                <w:b/>
                <w:szCs w:val="24"/>
              </w:rPr>
              <w:t>58</w:t>
            </w:r>
          </w:p>
        </w:tc>
      </w:tr>
      <w:tr w:rsidR="00BD3232" w:rsidRPr="00B70B88" w:rsidTr="00150352">
        <w:trPr>
          <w:jc w:val="center"/>
        </w:trPr>
        <w:tc>
          <w:tcPr>
            <w:tcW w:w="3652" w:type="dxa"/>
          </w:tcPr>
          <w:p w:rsidR="00150352" w:rsidRPr="00B70B88" w:rsidRDefault="00150352" w:rsidP="00D15427">
            <w:pPr>
              <w:jc w:val="both"/>
              <w:rPr>
                <w:rFonts w:ascii="Times New Roman" w:eastAsia="Calibri" w:hAnsi="Times New Roman" w:cs="Times New Roman"/>
                <w:szCs w:val="24"/>
              </w:rPr>
            </w:pPr>
            <w:r w:rsidRPr="00B70B88">
              <w:rPr>
                <w:rFonts w:ascii="Times New Roman" w:eastAsia="Calibri" w:hAnsi="Times New Roman" w:cs="Times New Roman"/>
                <w:szCs w:val="24"/>
              </w:rPr>
              <w:t>Pārskata perioda izpildes rezultāts</w:t>
            </w:r>
          </w:p>
        </w:tc>
        <w:tc>
          <w:tcPr>
            <w:tcW w:w="1985" w:type="dxa"/>
          </w:tcPr>
          <w:p w:rsidR="00150352" w:rsidRPr="00B70B88" w:rsidRDefault="00150352" w:rsidP="0039318D">
            <w:pPr>
              <w:jc w:val="center"/>
              <w:rPr>
                <w:rFonts w:ascii="Times New Roman" w:eastAsia="Calibri" w:hAnsi="Times New Roman" w:cs="Times New Roman"/>
                <w:szCs w:val="24"/>
              </w:rPr>
            </w:pPr>
            <w:r w:rsidRPr="00B70B88">
              <w:rPr>
                <w:rFonts w:ascii="Times New Roman" w:eastAsia="Calibri" w:hAnsi="Times New Roman" w:cs="Times New Roman"/>
                <w:szCs w:val="24"/>
              </w:rPr>
              <w:t>20</w:t>
            </w:r>
            <w:r w:rsidR="0039318D" w:rsidRPr="00B70B88">
              <w:rPr>
                <w:rFonts w:ascii="Times New Roman" w:eastAsia="Calibri" w:hAnsi="Times New Roman" w:cs="Times New Roman"/>
                <w:szCs w:val="24"/>
              </w:rPr>
              <w:t> 734 158</w:t>
            </w:r>
          </w:p>
        </w:tc>
      </w:tr>
      <w:tr w:rsidR="00BD3232" w:rsidRPr="00B70B88" w:rsidTr="00150352">
        <w:trPr>
          <w:jc w:val="center"/>
        </w:trPr>
        <w:tc>
          <w:tcPr>
            <w:tcW w:w="3652" w:type="dxa"/>
          </w:tcPr>
          <w:p w:rsidR="00150352" w:rsidRPr="00B70B88" w:rsidRDefault="00150352" w:rsidP="001D42A6">
            <w:pPr>
              <w:jc w:val="both"/>
              <w:rPr>
                <w:rFonts w:ascii="Times New Roman" w:eastAsia="Calibri" w:hAnsi="Times New Roman" w:cs="Times New Roman"/>
                <w:b/>
                <w:szCs w:val="24"/>
              </w:rPr>
            </w:pPr>
            <w:r w:rsidRPr="00B70B88">
              <w:rPr>
                <w:rFonts w:ascii="Times New Roman" w:eastAsia="Calibri" w:hAnsi="Times New Roman" w:cs="Times New Roman"/>
                <w:b/>
                <w:szCs w:val="24"/>
              </w:rPr>
              <w:t>Izpildes rezultāts 31.12.2009.</w:t>
            </w:r>
          </w:p>
        </w:tc>
        <w:tc>
          <w:tcPr>
            <w:tcW w:w="1985" w:type="dxa"/>
          </w:tcPr>
          <w:p w:rsidR="00150352" w:rsidRPr="00B70B88" w:rsidRDefault="00150352" w:rsidP="00150352">
            <w:pPr>
              <w:jc w:val="center"/>
              <w:rPr>
                <w:rFonts w:ascii="Times New Roman" w:eastAsia="Calibri" w:hAnsi="Times New Roman" w:cs="Times New Roman"/>
                <w:b/>
                <w:szCs w:val="24"/>
              </w:rPr>
            </w:pPr>
            <w:r w:rsidRPr="00B70B88">
              <w:rPr>
                <w:rFonts w:ascii="Times New Roman" w:eastAsia="Calibri" w:hAnsi="Times New Roman" w:cs="Times New Roman"/>
                <w:b/>
                <w:szCs w:val="24"/>
              </w:rPr>
              <w:t xml:space="preserve">108 342 </w:t>
            </w:r>
            <w:r w:rsidR="00BB2171" w:rsidRPr="00B70B88">
              <w:rPr>
                <w:rFonts w:ascii="Times New Roman" w:eastAsia="Calibri" w:hAnsi="Times New Roman" w:cs="Times New Roman"/>
                <w:b/>
                <w:szCs w:val="24"/>
              </w:rPr>
              <w:t>516</w:t>
            </w:r>
          </w:p>
        </w:tc>
      </w:tr>
      <w:tr w:rsidR="00BD3232" w:rsidRPr="00B70B88" w:rsidTr="00150352">
        <w:trPr>
          <w:jc w:val="center"/>
        </w:trPr>
        <w:tc>
          <w:tcPr>
            <w:tcW w:w="3652" w:type="dxa"/>
          </w:tcPr>
          <w:p w:rsidR="00150352" w:rsidRPr="00B70B88" w:rsidRDefault="00150352" w:rsidP="001D42A6">
            <w:pPr>
              <w:jc w:val="both"/>
              <w:rPr>
                <w:rFonts w:ascii="Times New Roman" w:eastAsia="Calibri" w:hAnsi="Times New Roman" w:cs="Times New Roman"/>
                <w:szCs w:val="24"/>
              </w:rPr>
            </w:pPr>
            <w:r w:rsidRPr="00B70B88">
              <w:rPr>
                <w:rFonts w:ascii="Times New Roman" w:eastAsia="Calibri" w:hAnsi="Times New Roman" w:cs="Times New Roman"/>
                <w:szCs w:val="24"/>
              </w:rPr>
              <w:t>Pārskata perioda izpildes rezultāts</w:t>
            </w:r>
          </w:p>
        </w:tc>
        <w:tc>
          <w:tcPr>
            <w:tcW w:w="1985" w:type="dxa"/>
          </w:tcPr>
          <w:p w:rsidR="00150352" w:rsidRPr="00B70B88" w:rsidRDefault="00BB2171" w:rsidP="00150352">
            <w:pPr>
              <w:jc w:val="center"/>
              <w:rPr>
                <w:rFonts w:ascii="Times New Roman" w:eastAsia="Calibri" w:hAnsi="Times New Roman" w:cs="Times New Roman"/>
                <w:szCs w:val="24"/>
              </w:rPr>
            </w:pPr>
            <w:r w:rsidRPr="00B70B88">
              <w:rPr>
                <w:rFonts w:ascii="Times New Roman" w:eastAsia="Calibri" w:hAnsi="Times New Roman" w:cs="Times New Roman"/>
                <w:szCs w:val="24"/>
              </w:rPr>
              <w:t>24 772 564</w:t>
            </w:r>
          </w:p>
        </w:tc>
      </w:tr>
      <w:tr w:rsidR="00BD3232" w:rsidRPr="00B70B88" w:rsidTr="00150352">
        <w:trPr>
          <w:jc w:val="center"/>
        </w:trPr>
        <w:tc>
          <w:tcPr>
            <w:tcW w:w="3652" w:type="dxa"/>
          </w:tcPr>
          <w:p w:rsidR="00150352" w:rsidRPr="00B70B88" w:rsidRDefault="00150352" w:rsidP="001D42A6">
            <w:pPr>
              <w:jc w:val="both"/>
              <w:rPr>
                <w:rFonts w:ascii="Times New Roman" w:eastAsia="Calibri" w:hAnsi="Times New Roman" w:cs="Times New Roman"/>
                <w:b/>
                <w:szCs w:val="24"/>
              </w:rPr>
            </w:pPr>
            <w:r w:rsidRPr="00B70B88">
              <w:rPr>
                <w:rFonts w:ascii="Times New Roman" w:eastAsia="Calibri" w:hAnsi="Times New Roman" w:cs="Times New Roman"/>
                <w:b/>
                <w:szCs w:val="24"/>
              </w:rPr>
              <w:t>Izpildes rezultāts 31.12.2010.</w:t>
            </w:r>
          </w:p>
        </w:tc>
        <w:tc>
          <w:tcPr>
            <w:tcW w:w="1985" w:type="dxa"/>
          </w:tcPr>
          <w:p w:rsidR="00150352" w:rsidRPr="00B70B88" w:rsidRDefault="00BB2171" w:rsidP="00150352">
            <w:pPr>
              <w:jc w:val="center"/>
              <w:rPr>
                <w:rFonts w:ascii="Times New Roman" w:eastAsia="Calibri" w:hAnsi="Times New Roman" w:cs="Times New Roman"/>
                <w:b/>
                <w:szCs w:val="24"/>
              </w:rPr>
            </w:pPr>
            <w:r w:rsidRPr="00B70B88">
              <w:rPr>
                <w:rFonts w:ascii="Times New Roman" w:eastAsia="Calibri" w:hAnsi="Times New Roman" w:cs="Times New Roman"/>
                <w:b/>
                <w:szCs w:val="24"/>
              </w:rPr>
              <w:t>133 115 080</w:t>
            </w:r>
          </w:p>
        </w:tc>
      </w:tr>
      <w:tr w:rsidR="00BD3232" w:rsidRPr="00B70B88" w:rsidTr="00150352">
        <w:trPr>
          <w:jc w:val="center"/>
        </w:trPr>
        <w:tc>
          <w:tcPr>
            <w:tcW w:w="3652" w:type="dxa"/>
          </w:tcPr>
          <w:p w:rsidR="00150352" w:rsidRPr="00B70B88" w:rsidRDefault="00150352" w:rsidP="00D15427">
            <w:pPr>
              <w:jc w:val="both"/>
              <w:rPr>
                <w:rFonts w:ascii="Times New Roman" w:eastAsia="Calibri" w:hAnsi="Times New Roman" w:cs="Times New Roman"/>
                <w:szCs w:val="24"/>
              </w:rPr>
            </w:pPr>
            <w:r w:rsidRPr="00B70B88">
              <w:rPr>
                <w:rFonts w:ascii="Times New Roman" w:eastAsia="Calibri" w:hAnsi="Times New Roman" w:cs="Times New Roman"/>
                <w:szCs w:val="24"/>
              </w:rPr>
              <w:t>Pārskata perioda izpildes rezultāts</w:t>
            </w:r>
          </w:p>
        </w:tc>
        <w:tc>
          <w:tcPr>
            <w:tcW w:w="1985" w:type="dxa"/>
          </w:tcPr>
          <w:p w:rsidR="00150352" w:rsidRPr="00B70B88" w:rsidRDefault="00BB2171" w:rsidP="00150352">
            <w:pPr>
              <w:jc w:val="center"/>
              <w:rPr>
                <w:rFonts w:ascii="Times New Roman" w:eastAsia="Calibri" w:hAnsi="Times New Roman" w:cs="Times New Roman"/>
                <w:szCs w:val="24"/>
              </w:rPr>
            </w:pPr>
            <w:r w:rsidRPr="00B70B88">
              <w:rPr>
                <w:rFonts w:ascii="Times New Roman" w:eastAsia="Calibri" w:hAnsi="Times New Roman" w:cs="Times New Roman"/>
                <w:szCs w:val="24"/>
              </w:rPr>
              <w:t>22 422 901</w:t>
            </w:r>
          </w:p>
        </w:tc>
      </w:tr>
      <w:tr w:rsidR="00BD3232" w:rsidRPr="00B70B88" w:rsidTr="00150352">
        <w:trPr>
          <w:jc w:val="center"/>
        </w:trPr>
        <w:tc>
          <w:tcPr>
            <w:tcW w:w="3652" w:type="dxa"/>
          </w:tcPr>
          <w:p w:rsidR="00150352" w:rsidRPr="00B70B88" w:rsidRDefault="00150352" w:rsidP="00D15427">
            <w:pPr>
              <w:jc w:val="both"/>
              <w:rPr>
                <w:rFonts w:ascii="Times New Roman" w:eastAsia="Calibri" w:hAnsi="Times New Roman" w:cs="Times New Roman"/>
                <w:b/>
                <w:szCs w:val="24"/>
              </w:rPr>
            </w:pPr>
            <w:r w:rsidRPr="00B70B88">
              <w:rPr>
                <w:rFonts w:ascii="Times New Roman" w:eastAsia="Calibri" w:hAnsi="Times New Roman" w:cs="Times New Roman"/>
                <w:b/>
                <w:szCs w:val="24"/>
              </w:rPr>
              <w:t>Izpildes rezultāts 31.12.2011.</w:t>
            </w:r>
          </w:p>
        </w:tc>
        <w:tc>
          <w:tcPr>
            <w:tcW w:w="1985" w:type="dxa"/>
          </w:tcPr>
          <w:p w:rsidR="00150352" w:rsidRPr="00B70B88" w:rsidRDefault="00150352" w:rsidP="00BB2171">
            <w:pPr>
              <w:jc w:val="center"/>
              <w:rPr>
                <w:rFonts w:ascii="Times New Roman" w:eastAsia="Calibri" w:hAnsi="Times New Roman" w:cs="Times New Roman"/>
                <w:b/>
                <w:szCs w:val="24"/>
              </w:rPr>
            </w:pPr>
            <w:r w:rsidRPr="00B70B88">
              <w:rPr>
                <w:rFonts w:ascii="Times New Roman" w:eastAsia="Calibri" w:hAnsi="Times New Roman" w:cs="Times New Roman"/>
                <w:b/>
                <w:szCs w:val="24"/>
              </w:rPr>
              <w:t>155</w:t>
            </w:r>
            <w:r w:rsidR="00BB2171" w:rsidRPr="00B70B88">
              <w:rPr>
                <w:rFonts w:ascii="Times New Roman" w:eastAsia="Calibri" w:hAnsi="Times New Roman" w:cs="Times New Roman"/>
                <w:b/>
                <w:szCs w:val="24"/>
              </w:rPr>
              <w:t> 537 981</w:t>
            </w:r>
          </w:p>
        </w:tc>
      </w:tr>
      <w:tr w:rsidR="00BD3232" w:rsidRPr="00B70B88" w:rsidTr="00150352">
        <w:trPr>
          <w:jc w:val="center"/>
        </w:trPr>
        <w:tc>
          <w:tcPr>
            <w:tcW w:w="3652" w:type="dxa"/>
          </w:tcPr>
          <w:p w:rsidR="00150352" w:rsidRPr="00B70B88" w:rsidRDefault="00150352" w:rsidP="00D15427">
            <w:pPr>
              <w:jc w:val="both"/>
              <w:rPr>
                <w:rFonts w:ascii="Times New Roman" w:eastAsia="Calibri" w:hAnsi="Times New Roman" w:cs="Times New Roman"/>
                <w:szCs w:val="24"/>
              </w:rPr>
            </w:pPr>
            <w:r w:rsidRPr="00B70B88">
              <w:rPr>
                <w:rFonts w:ascii="Times New Roman" w:eastAsia="Calibri" w:hAnsi="Times New Roman" w:cs="Times New Roman"/>
                <w:szCs w:val="24"/>
              </w:rPr>
              <w:t>Pārskata perioda izpildes rezultāts</w:t>
            </w:r>
          </w:p>
        </w:tc>
        <w:tc>
          <w:tcPr>
            <w:tcW w:w="1985" w:type="dxa"/>
          </w:tcPr>
          <w:p w:rsidR="00150352" w:rsidRPr="00B70B88" w:rsidRDefault="00824784" w:rsidP="00356F86">
            <w:pPr>
              <w:jc w:val="center"/>
              <w:rPr>
                <w:rFonts w:ascii="Times New Roman" w:eastAsia="Calibri" w:hAnsi="Times New Roman" w:cs="Times New Roman"/>
                <w:szCs w:val="24"/>
              </w:rPr>
            </w:pPr>
            <w:r w:rsidRPr="00B70B88">
              <w:rPr>
                <w:rFonts w:ascii="Times New Roman" w:eastAsia="Calibri" w:hAnsi="Times New Roman" w:cs="Times New Roman"/>
                <w:szCs w:val="24"/>
              </w:rPr>
              <w:t>28</w:t>
            </w:r>
            <w:r w:rsidR="00356F86" w:rsidRPr="00B70B88">
              <w:rPr>
                <w:rFonts w:ascii="Times New Roman" w:eastAsia="Calibri" w:hAnsi="Times New Roman" w:cs="Times New Roman"/>
                <w:szCs w:val="24"/>
              </w:rPr>
              <w:t> 468 345</w:t>
            </w:r>
          </w:p>
        </w:tc>
      </w:tr>
      <w:tr w:rsidR="00BD3232" w:rsidRPr="00B70B88" w:rsidTr="00150352">
        <w:trPr>
          <w:jc w:val="center"/>
        </w:trPr>
        <w:tc>
          <w:tcPr>
            <w:tcW w:w="3652" w:type="dxa"/>
          </w:tcPr>
          <w:p w:rsidR="00150352" w:rsidRPr="00B70B88" w:rsidRDefault="00150352" w:rsidP="00D15427">
            <w:pPr>
              <w:jc w:val="both"/>
              <w:rPr>
                <w:rFonts w:ascii="Times New Roman" w:eastAsia="Calibri" w:hAnsi="Times New Roman" w:cs="Times New Roman"/>
                <w:b/>
                <w:szCs w:val="24"/>
              </w:rPr>
            </w:pPr>
            <w:r w:rsidRPr="00B70B88">
              <w:rPr>
                <w:rFonts w:ascii="Times New Roman" w:eastAsia="Calibri" w:hAnsi="Times New Roman" w:cs="Times New Roman"/>
                <w:b/>
                <w:szCs w:val="24"/>
              </w:rPr>
              <w:t>Izpildes rezultāts 31.12.2012.</w:t>
            </w:r>
          </w:p>
        </w:tc>
        <w:tc>
          <w:tcPr>
            <w:tcW w:w="1985" w:type="dxa"/>
          </w:tcPr>
          <w:p w:rsidR="00150352" w:rsidRPr="00B70B88" w:rsidRDefault="00356F86" w:rsidP="00356F86">
            <w:pPr>
              <w:jc w:val="center"/>
              <w:rPr>
                <w:rFonts w:ascii="Times New Roman" w:eastAsia="Calibri" w:hAnsi="Times New Roman" w:cs="Times New Roman"/>
                <w:b/>
                <w:szCs w:val="24"/>
              </w:rPr>
            </w:pPr>
            <w:r w:rsidRPr="00B70B88">
              <w:rPr>
                <w:rFonts w:ascii="Times New Roman" w:eastAsia="Calibri" w:hAnsi="Times New Roman" w:cs="Times New Roman"/>
                <w:b/>
                <w:szCs w:val="24"/>
              </w:rPr>
              <w:t>184 00</w:t>
            </w:r>
            <w:r w:rsidR="00824784" w:rsidRPr="00B70B88">
              <w:rPr>
                <w:rFonts w:ascii="Times New Roman" w:eastAsia="Calibri" w:hAnsi="Times New Roman" w:cs="Times New Roman"/>
                <w:b/>
                <w:szCs w:val="24"/>
              </w:rPr>
              <w:t>6 3</w:t>
            </w:r>
            <w:r w:rsidRPr="00B70B88">
              <w:rPr>
                <w:rFonts w:ascii="Times New Roman" w:eastAsia="Calibri" w:hAnsi="Times New Roman" w:cs="Times New Roman"/>
                <w:b/>
                <w:szCs w:val="24"/>
              </w:rPr>
              <w:t>26</w:t>
            </w:r>
          </w:p>
        </w:tc>
      </w:tr>
    </w:tbl>
    <w:p w:rsidR="00D7619A" w:rsidRDefault="0067108E" w:rsidP="001D42A6">
      <w:pPr>
        <w:spacing w:after="0" w:line="240" w:lineRule="auto"/>
        <w:ind w:firstLine="709"/>
        <w:jc w:val="both"/>
        <w:rPr>
          <w:rFonts w:eastAsia="Calibri" w:cs="Times New Roman"/>
        </w:rPr>
      </w:pPr>
      <w:r w:rsidRPr="00BD3232">
        <w:rPr>
          <w:rFonts w:eastAsia="Calibri" w:cs="Times New Roman"/>
        </w:rPr>
        <w:t>Dati: FKTK</w:t>
      </w:r>
    </w:p>
    <w:p w:rsidR="00EC6B15" w:rsidRPr="00BD3232" w:rsidRDefault="00EC6B15" w:rsidP="001D42A6">
      <w:pPr>
        <w:spacing w:after="0" w:line="240" w:lineRule="auto"/>
        <w:ind w:firstLine="709"/>
        <w:jc w:val="both"/>
        <w:rPr>
          <w:rFonts w:eastAsia="Calibri" w:cs="Times New Roman"/>
        </w:rPr>
      </w:pPr>
    </w:p>
    <w:p w:rsidR="00D15427" w:rsidRPr="00BD3232" w:rsidRDefault="00D15427" w:rsidP="00D15427">
      <w:pPr>
        <w:spacing w:after="0" w:line="240" w:lineRule="auto"/>
        <w:ind w:firstLine="709"/>
        <w:jc w:val="both"/>
        <w:rPr>
          <w:rFonts w:cs="Cronos Pro"/>
          <w:szCs w:val="24"/>
        </w:rPr>
      </w:pPr>
      <w:r w:rsidRPr="00BD3232">
        <w:rPr>
          <w:rFonts w:cs="Cronos Pro"/>
          <w:szCs w:val="24"/>
        </w:rPr>
        <w:t xml:space="preserve">Jāpiebilst, ka iestājoties noguldījumu nepieejamībai AS “Latvijas Krājbanka”, NGF kopējais apmērs bija 149,9 milj. latu. Tā kā NGF jānodrošina AS “Latvijas Krājbanka” noguldītājiem garantētās atlīdzības līdz 335,6 milj. latu apmērā, iztrūkstošos līdzekļus garantēto atlīdzību izmaksai 185,6 milj. latu apmērā NGF aizdeva </w:t>
      </w:r>
      <w:r w:rsidR="00145C0C" w:rsidRPr="00BD3232">
        <w:rPr>
          <w:rFonts w:cs="Cronos Pro"/>
          <w:szCs w:val="24"/>
        </w:rPr>
        <w:t>Valsts kase</w:t>
      </w:r>
      <w:r w:rsidRPr="00BD3232">
        <w:rPr>
          <w:rFonts w:cs="Cronos Pro"/>
          <w:szCs w:val="24"/>
        </w:rPr>
        <w:t xml:space="preserve">. Aizņēmums no </w:t>
      </w:r>
      <w:r w:rsidR="00145C0C" w:rsidRPr="00BD3232">
        <w:rPr>
          <w:rFonts w:cs="Cronos Pro"/>
          <w:szCs w:val="24"/>
        </w:rPr>
        <w:t>Valsts kases</w:t>
      </w:r>
      <w:r w:rsidRPr="00BD3232">
        <w:rPr>
          <w:rFonts w:cs="Cronos Pro"/>
          <w:szCs w:val="24"/>
        </w:rPr>
        <w:t xml:space="preserve"> tiks atmaksāts no NGF līdzekļiem, kuru noguldījumu piesaistītāji katru ceturksni papildina ar iemaksām Noguldījumu garantiju likumā noteiktajā kārtībā, un no līdzekļiem, kas atgūti no AS “Latvijas Krājbanka” par izmaksātajām garantētajām atlīdzībām. NGF ir pirmās kārtas prasījuma tiesības izmaksāto garantēto atlīdzību apmērā kā pret Raunas Kooperatīvo krājaizdevu sabiedrību, tā arī pret AS “Latvijas Krājbanka”.</w:t>
      </w:r>
    </w:p>
    <w:p w:rsidR="002A156E" w:rsidRPr="00BD3232" w:rsidRDefault="00D15427" w:rsidP="00D15427">
      <w:pPr>
        <w:spacing w:after="0" w:line="240" w:lineRule="auto"/>
        <w:ind w:firstLine="709"/>
        <w:jc w:val="both"/>
        <w:rPr>
          <w:rFonts w:eastAsia="Times New Roman" w:cs="Times New Roman"/>
          <w:szCs w:val="24"/>
        </w:rPr>
      </w:pPr>
      <w:r w:rsidRPr="00BD3232">
        <w:rPr>
          <w:rFonts w:eastAsia="Times New Roman" w:cs="Times New Roman"/>
          <w:bCs/>
          <w:iCs/>
          <w:szCs w:val="24"/>
        </w:rPr>
        <w:lastRenderedPageBreak/>
        <w:t>AS „Latvijas Krājbanka”</w:t>
      </w:r>
      <w:r w:rsidR="002A156E" w:rsidRPr="00BD3232">
        <w:rPr>
          <w:rFonts w:eastAsia="Times New Roman" w:cs="Times New Roman"/>
          <w:bCs/>
          <w:szCs w:val="24"/>
        </w:rPr>
        <w:t xml:space="preserve"> administrators </w:t>
      </w:r>
      <w:r w:rsidR="00D31D6A" w:rsidRPr="00BD3232">
        <w:rPr>
          <w:rFonts w:eastAsia="Times New Roman" w:cs="Times New Roman"/>
          <w:bCs/>
          <w:szCs w:val="24"/>
        </w:rPr>
        <w:t>SIA „</w:t>
      </w:r>
      <w:r w:rsidR="002A156E" w:rsidRPr="00BD3232">
        <w:rPr>
          <w:rFonts w:eastAsia="Times New Roman" w:cs="Times New Roman"/>
          <w:bCs/>
          <w:szCs w:val="24"/>
        </w:rPr>
        <w:t>KPMG Baltics</w:t>
      </w:r>
      <w:r w:rsidR="00D31D6A" w:rsidRPr="00BD3232">
        <w:rPr>
          <w:rFonts w:eastAsia="Times New Roman" w:cs="Times New Roman"/>
          <w:bCs/>
          <w:szCs w:val="24"/>
        </w:rPr>
        <w:t>”</w:t>
      </w:r>
      <w:r w:rsidR="002A156E" w:rsidRPr="00BD3232">
        <w:rPr>
          <w:rFonts w:eastAsia="Times New Roman" w:cs="Times New Roman"/>
          <w:bCs/>
          <w:szCs w:val="24"/>
        </w:rPr>
        <w:t xml:space="preserve"> turpina norēķināties ar bankas kreditoriem, pārskaitot </w:t>
      </w:r>
      <w:r w:rsidRPr="00BD3232">
        <w:rPr>
          <w:rFonts w:eastAsia="Times New Roman" w:cs="Times New Roman"/>
          <w:bCs/>
          <w:szCs w:val="24"/>
        </w:rPr>
        <w:t>NGF</w:t>
      </w:r>
      <w:r w:rsidR="002A156E" w:rsidRPr="00BD3232">
        <w:rPr>
          <w:rFonts w:eastAsia="Times New Roman" w:cs="Times New Roman"/>
          <w:bCs/>
          <w:szCs w:val="24"/>
        </w:rPr>
        <w:t xml:space="preserve"> vēl 10 milj. latus. Kopumā </w:t>
      </w:r>
      <w:r w:rsidR="00ED551B" w:rsidRPr="00BD3232">
        <w:rPr>
          <w:rFonts w:eastAsia="Times New Roman" w:cs="Times New Roman"/>
          <w:bCs/>
          <w:szCs w:val="24"/>
        </w:rPr>
        <w:t xml:space="preserve">NGF </w:t>
      </w:r>
      <w:r w:rsidR="002A156E" w:rsidRPr="00BD3232">
        <w:rPr>
          <w:rFonts w:eastAsia="Times New Roman" w:cs="Times New Roman"/>
          <w:bCs/>
          <w:szCs w:val="24"/>
        </w:rPr>
        <w:t>pārskaitīti jau 100 milj. latu</w:t>
      </w:r>
      <w:r w:rsidRPr="00BD3232">
        <w:rPr>
          <w:rStyle w:val="FootnoteReference"/>
          <w:rFonts w:eastAsia="Times New Roman" w:cs="Times New Roman"/>
          <w:bCs/>
          <w:szCs w:val="24"/>
        </w:rPr>
        <w:footnoteReference w:id="8"/>
      </w:r>
      <w:r w:rsidR="002A156E" w:rsidRPr="00BD3232">
        <w:rPr>
          <w:rFonts w:eastAsia="Times New Roman" w:cs="Times New Roman"/>
          <w:bCs/>
          <w:szCs w:val="24"/>
        </w:rPr>
        <w:t>.</w:t>
      </w:r>
    </w:p>
    <w:p w:rsidR="002A156E" w:rsidRPr="00BD3232" w:rsidRDefault="00D15427" w:rsidP="00D15427">
      <w:pPr>
        <w:spacing w:after="0" w:line="240" w:lineRule="auto"/>
        <w:ind w:firstLine="709"/>
        <w:jc w:val="both"/>
        <w:rPr>
          <w:rFonts w:eastAsia="Times New Roman" w:cs="Times New Roman"/>
          <w:szCs w:val="24"/>
        </w:rPr>
      </w:pPr>
      <w:r w:rsidRPr="00BD3232">
        <w:rPr>
          <w:rFonts w:eastAsia="Times New Roman" w:cs="Times New Roman"/>
          <w:szCs w:val="24"/>
        </w:rPr>
        <w:t>NGF</w:t>
      </w:r>
      <w:r w:rsidR="002A156E" w:rsidRPr="00BD3232">
        <w:rPr>
          <w:rFonts w:eastAsia="Times New Roman" w:cs="Times New Roman"/>
          <w:szCs w:val="24"/>
        </w:rPr>
        <w:t xml:space="preserve"> ir lielākais </w:t>
      </w:r>
      <w:r w:rsidR="002A156E" w:rsidRPr="00BD3232">
        <w:rPr>
          <w:rFonts w:eastAsia="Times New Roman" w:cs="Times New Roman"/>
          <w:iCs/>
          <w:szCs w:val="24"/>
        </w:rPr>
        <w:t>Latvijas Krājbankas</w:t>
      </w:r>
      <w:r w:rsidR="002A156E" w:rsidRPr="00BD3232">
        <w:rPr>
          <w:rFonts w:eastAsia="Times New Roman" w:cs="Times New Roman"/>
          <w:szCs w:val="24"/>
        </w:rPr>
        <w:t xml:space="preserve"> kreditors. </w:t>
      </w:r>
      <w:r w:rsidR="00ED551B" w:rsidRPr="00BD3232">
        <w:rPr>
          <w:rFonts w:eastAsia="Times New Roman" w:cs="Times New Roman"/>
          <w:szCs w:val="24"/>
        </w:rPr>
        <w:t>Saskaņā ar SIA „KPMG Baltics” informāciju, s</w:t>
      </w:r>
      <w:r w:rsidR="002A156E" w:rsidRPr="00BD3232">
        <w:rPr>
          <w:rFonts w:eastAsia="Times New Roman" w:cs="Times New Roman"/>
          <w:szCs w:val="24"/>
        </w:rPr>
        <w:t>ākotnējās bankas saistības pret NGF bija 33</w:t>
      </w:r>
      <w:r w:rsidRPr="00BD3232">
        <w:rPr>
          <w:rFonts w:eastAsia="Times New Roman" w:cs="Times New Roman"/>
          <w:szCs w:val="24"/>
        </w:rPr>
        <w:t>5,</w:t>
      </w:r>
      <w:r w:rsidR="002A156E" w:rsidRPr="00BD3232">
        <w:rPr>
          <w:rFonts w:eastAsia="Times New Roman" w:cs="Times New Roman"/>
          <w:szCs w:val="24"/>
        </w:rPr>
        <w:t xml:space="preserve">6 milj. latu, kas </w:t>
      </w:r>
      <w:r w:rsidR="003D3622" w:rsidRPr="00BD3232">
        <w:rPr>
          <w:rFonts w:eastAsia="Times New Roman" w:cs="Times New Roman"/>
          <w:szCs w:val="24"/>
        </w:rPr>
        <w:t>uz 2013.gada 4.martu</w:t>
      </w:r>
      <w:r w:rsidR="002A156E" w:rsidRPr="00BD3232">
        <w:rPr>
          <w:rFonts w:eastAsia="Times New Roman" w:cs="Times New Roman"/>
          <w:szCs w:val="24"/>
        </w:rPr>
        <w:t xml:space="preserve"> sarukušas līdz 23</w:t>
      </w:r>
      <w:r w:rsidRPr="00BD3232">
        <w:rPr>
          <w:rFonts w:eastAsia="Times New Roman" w:cs="Times New Roman"/>
          <w:szCs w:val="24"/>
        </w:rPr>
        <w:t>5,</w:t>
      </w:r>
      <w:r w:rsidR="002A156E" w:rsidRPr="00BD3232">
        <w:rPr>
          <w:rFonts w:eastAsia="Times New Roman" w:cs="Times New Roman"/>
          <w:szCs w:val="24"/>
        </w:rPr>
        <w:t>6 milj. latu.</w:t>
      </w:r>
    </w:p>
    <w:p w:rsidR="00141057" w:rsidRPr="00BD3232" w:rsidRDefault="00141057" w:rsidP="00141057">
      <w:pPr>
        <w:spacing w:after="0" w:line="240" w:lineRule="auto"/>
        <w:ind w:firstLine="709"/>
        <w:rPr>
          <w:rFonts w:eastAsia="Calibri" w:cs="Times New Roman"/>
        </w:rPr>
      </w:pPr>
    </w:p>
    <w:p w:rsidR="00393A8D" w:rsidRPr="00BD3232" w:rsidRDefault="00393A8D" w:rsidP="00393A8D">
      <w:pPr>
        <w:numPr>
          <w:ilvl w:val="1"/>
          <w:numId w:val="35"/>
        </w:numPr>
        <w:spacing w:after="0" w:line="240" w:lineRule="auto"/>
        <w:contextualSpacing/>
        <w:rPr>
          <w:rFonts w:eastAsia="Calibri" w:cs="Times New Roman"/>
          <w:b/>
          <w:i/>
        </w:rPr>
      </w:pPr>
      <w:r w:rsidRPr="00BD3232">
        <w:rPr>
          <w:rFonts w:eastAsia="Calibri" w:cs="Times New Roman"/>
          <w:b/>
          <w:i/>
        </w:rPr>
        <w:t>Nodokļu maksājumi</w:t>
      </w:r>
    </w:p>
    <w:p w:rsidR="00393A8D" w:rsidRPr="00BD3232" w:rsidRDefault="00393A8D" w:rsidP="00141057">
      <w:pPr>
        <w:spacing w:after="0" w:line="240" w:lineRule="auto"/>
        <w:ind w:firstLine="709"/>
        <w:rPr>
          <w:rFonts w:eastAsia="Calibri" w:cs="Times New Roman"/>
        </w:rPr>
      </w:pPr>
    </w:p>
    <w:p w:rsidR="00141057" w:rsidRPr="00BD3232" w:rsidRDefault="00141057" w:rsidP="00141057">
      <w:pPr>
        <w:spacing w:after="0" w:line="240" w:lineRule="auto"/>
        <w:ind w:firstLine="709"/>
        <w:jc w:val="both"/>
        <w:rPr>
          <w:rFonts w:eastAsia="Calibri" w:cs="Times New Roman"/>
        </w:rPr>
      </w:pPr>
      <w:r w:rsidRPr="00BD3232">
        <w:rPr>
          <w:rFonts w:eastAsia="Calibri" w:cs="Times New Roman"/>
        </w:rPr>
        <w:t xml:space="preserve">Banku sektors ir tautsaimniecībai nozīmīgs ne tikai kā finanšu pakalpojumu nodrošinātājs, bet arī kā kvalificētu darba vietu radītājs un nodokļu maksātājs. Jāatzīmē banku sektora augstās biznesa morāles labvēlīgā ietekme uz kopējo uzņēmējdarbības vidi Latvijā.  </w:t>
      </w:r>
    </w:p>
    <w:p w:rsidR="00DA7401" w:rsidRPr="00BD3232" w:rsidRDefault="00760E4A" w:rsidP="00141057">
      <w:pPr>
        <w:spacing w:after="0" w:line="240" w:lineRule="auto"/>
        <w:ind w:firstLine="709"/>
        <w:jc w:val="both"/>
        <w:rPr>
          <w:noProof/>
          <w:lang w:eastAsia="lv-LV"/>
        </w:rPr>
      </w:pPr>
      <w:r w:rsidRPr="00BD3232">
        <w:rPr>
          <w:rFonts w:eastAsia="Calibri" w:cs="Times New Roman"/>
        </w:rPr>
        <w:t>Banku sektora kopējie maksājumi valsts budžetā 2008.gadā sasnie</w:t>
      </w:r>
      <w:r w:rsidR="00C64571" w:rsidRPr="00BD3232">
        <w:rPr>
          <w:rFonts w:eastAsia="Calibri" w:cs="Times New Roman"/>
        </w:rPr>
        <w:t>dza maksimumu ar 186,5 milj.</w:t>
      </w:r>
      <w:r w:rsidRPr="00BD3232">
        <w:rPr>
          <w:rFonts w:eastAsia="Calibri" w:cs="Times New Roman"/>
        </w:rPr>
        <w:t xml:space="preserve"> latu, 2010.gadā samazinoties līd</w:t>
      </w:r>
      <w:r w:rsidR="00C64571" w:rsidRPr="00BD3232">
        <w:rPr>
          <w:rFonts w:eastAsia="Calibri" w:cs="Times New Roman"/>
        </w:rPr>
        <w:t>z zemākajam punktam 78,1 milj.</w:t>
      </w:r>
      <w:r w:rsidRPr="00BD3232">
        <w:rPr>
          <w:rFonts w:eastAsia="Calibri" w:cs="Times New Roman"/>
        </w:rPr>
        <w:t xml:space="preserve"> latu apmērā</w:t>
      </w:r>
      <w:r w:rsidR="00F54C88" w:rsidRPr="00BD3232">
        <w:rPr>
          <w:rFonts w:eastAsia="Calibri" w:cs="Times New Roman"/>
        </w:rPr>
        <w:t xml:space="preserve"> (</w:t>
      </w:r>
      <w:r w:rsidR="00441BF3" w:rsidRPr="00BD3232">
        <w:rPr>
          <w:rFonts w:eastAsia="Calibri" w:cs="Times New Roman"/>
        </w:rPr>
        <w:t>2.</w:t>
      </w:r>
      <w:r w:rsidR="00F54C88" w:rsidRPr="00BD3232">
        <w:rPr>
          <w:rFonts w:eastAsia="Calibri" w:cs="Times New Roman"/>
        </w:rPr>
        <w:t>att.)</w:t>
      </w:r>
      <w:r w:rsidRPr="00BD3232">
        <w:rPr>
          <w:rFonts w:eastAsia="Calibri" w:cs="Times New Roman"/>
        </w:rPr>
        <w:t>.</w:t>
      </w:r>
      <w:r w:rsidR="00DA7401" w:rsidRPr="00BD3232">
        <w:rPr>
          <w:noProof/>
          <w:lang w:eastAsia="lv-LV"/>
        </w:rPr>
        <w:t xml:space="preserve"> </w:t>
      </w:r>
    </w:p>
    <w:p w:rsidR="00C17222" w:rsidRPr="00BD3232" w:rsidRDefault="00DA7401" w:rsidP="00141057">
      <w:pPr>
        <w:spacing w:after="0" w:line="240" w:lineRule="auto"/>
        <w:ind w:firstLine="709"/>
        <w:jc w:val="both"/>
        <w:rPr>
          <w:rFonts w:eastAsia="Calibri" w:cs="Times New Roman"/>
        </w:rPr>
      </w:pPr>
      <w:r w:rsidRPr="00BD3232">
        <w:rPr>
          <w:noProof/>
          <w:lang w:eastAsia="lv-LV"/>
        </w:rPr>
        <w:drawing>
          <wp:inline distT="0" distB="0" distL="0" distR="0">
            <wp:extent cx="4563995" cy="28289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A7401" w:rsidRPr="00BD3232" w:rsidRDefault="00DA7401" w:rsidP="00141057">
      <w:pPr>
        <w:spacing w:after="0" w:line="240" w:lineRule="auto"/>
        <w:ind w:firstLine="709"/>
        <w:jc w:val="both"/>
        <w:rPr>
          <w:rFonts w:eastAsia="Calibri" w:cs="Times New Roman"/>
        </w:rPr>
      </w:pPr>
      <w:r w:rsidRPr="00BD3232">
        <w:rPr>
          <w:rFonts w:eastAsia="Calibri" w:cs="Times New Roman"/>
        </w:rPr>
        <w:t>Dati: Valsts ieņēmumu dienests</w:t>
      </w:r>
    </w:p>
    <w:p w:rsidR="00DA7401" w:rsidRPr="00BD3232" w:rsidRDefault="00441BF3" w:rsidP="00DA7401">
      <w:pPr>
        <w:spacing w:after="0" w:line="240" w:lineRule="auto"/>
        <w:ind w:firstLine="709"/>
        <w:jc w:val="center"/>
        <w:rPr>
          <w:rFonts w:eastAsia="Calibri" w:cs="Times New Roman"/>
          <w:b/>
        </w:rPr>
      </w:pPr>
      <w:r w:rsidRPr="00BD3232">
        <w:rPr>
          <w:rFonts w:eastAsia="Calibri" w:cs="Times New Roman"/>
          <w:b/>
        </w:rPr>
        <w:t>2.</w:t>
      </w:r>
      <w:r w:rsidR="00DA7401" w:rsidRPr="00BD3232">
        <w:rPr>
          <w:rFonts w:eastAsia="Calibri" w:cs="Times New Roman"/>
          <w:b/>
        </w:rPr>
        <w:t>att. „Nodokļu kopsumma, milj. Ls”</w:t>
      </w:r>
    </w:p>
    <w:p w:rsidR="00DA7401" w:rsidRPr="00BD3232" w:rsidRDefault="00DA7401" w:rsidP="00DA7401">
      <w:pPr>
        <w:spacing w:after="0" w:line="240" w:lineRule="auto"/>
        <w:ind w:firstLine="709"/>
        <w:jc w:val="both"/>
        <w:rPr>
          <w:rFonts w:eastAsia="Calibri" w:cs="Times New Roman"/>
        </w:rPr>
      </w:pPr>
    </w:p>
    <w:p w:rsidR="00DA7401" w:rsidRPr="00BD3232" w:rsidRDefault="00DA7401" w:rsidP="00DA7401">
      <w:pPr>
        <w:spacing w:after="0" w:line="240" w:lineRule="auto"/>
        <w:ind w:firstLine="709"/>
        <w:jc w:val="both"/>
        <w:rPr>
          <w:rFonts w:eastAsia="Calibri" w:cs="Times New Roman"/>
        </w:rPr>
      </w:pPr>
      <w:r w:rsidRPr="00BD3232">
        <w:rPr>
          <w:rFonts w:eastAsia="Calibri" w:cs="Times New Roman"/>
        </w:rPr>
        <w:t xml:space="preserve">Banku sektora veiktie nodokļu maksājumi budžetā samazinājās par vienu procenta punktu (no 3,5% no </w:t>
      </w:r>
      <w:r w:rsidR="00C64571" w:rsidRPr="00BD3232">
        <w:rPr>
          <w:rFonts w:eastAsia="Calibri" w:cs="Times New Roman"/>
        </w:rPr>
        <w:t xml:space="preserve">Valsts ieņēmumu dienesta (turpmāk – </w:t>
      </w:r>
      <w:r w:rsidRPr="00BD3232">
        <w:rPr>
          <w:rFonts w:eastAsia="Calibri" w:cs="Times New Roman"/>
        </w:rPr>
        <w:t>VID</w:t>
      </w:r>
      <w:r w:rsidR="00C64571" w:rsidRPr="00BD3232">
        <w:rPr>
          <w:rFonts w:eastAsia="Calibri" w:cs="Times New Roman"/>
        </w:rPr>
        <w:t>)</w:t>
      </w:r>
      <w:r w:rsidRPr="00BD3232">
        <w:rPr>
          <w:rFonts w:eastAsia="Calibri" w:cs="Times New Roman"/>
        </w:rPr>
        <w:t xml:space="preserve"> administrētajiem nodokļu ieņēmumiem 2008.gadā līdz attiecīgi – 2,5% 2009.gadā), un kaut arī ir novērojams nodokļu maksājumu neliels skaitlisks palielinājums 2011. un 2012.gadā, ekonomiskās izaugsmes kontekstā īpatsvars kopējos nodokļu ieņēmumos saglabājies 2,4% apmērā no VID administrēto nodokļu ieņēmumiem.</w:t>
      </w:r>
    </w:p>
    <w:p w:rsidR="00DA7401" w:rsidRPr="00BD3232" w:rsidRDefault="00DA7401" w:rsidP="00DA7401">
      <w:pPr>
        <w:spacing w:after="0" w:line="240" w:lineRule="auto"/>
        <w:ind w:firstLine="709"/>
        <w:jc w:val="both"/>
        <w:rPr>
          <w:rFonts w:eastAsia="Calibri" w:cs="Times New Roman"/>
        </w:rPr>
      </w:pPr>
      <w:r w:rsidRPr="00BD3232">
        <w:rPr>
          <w:rFonts w:eastAsia="Calibri" w:cs="Times New Roman"/>
        </w:rPr>
        <w:t>Lielāko daļu no banku sektora veiktajiem nodokļu maksājumiem veido darbaspēka nodokļi – IIN un VSAOI</w:t>
      </w:r>
      <w:r w:rsidR="00792FA1" w:rsidRPr="00BD3232">
        <w:rPr>
          <w:rFonts w:eastAsia="Calibri" w:cs="Times New Roman"/>
        </w:rPr>
        <w:t xml:space="preserve"> (</w:t>
      </w:r>
      <w:r w:rsidR="00441BF3" w:rsidRPr="00BD3232">
        <w:rPr>
          <w:rFonts w:eastAsia="Calibri" w:cs="Times New Roman"/>
        </w:rPr>
        <w:t>3.</w:t>
      </w:r>
      <w:r w:rsidR="00792FA1" w:rsidRPr="00BD3232">
        <w:rPr>
          <w:rFonts w:eastAsia="Calibri" w:cs="Times New Roman"/>
        </w:rPr>
        <w:t>tab.)</w:t>
      </w:r>
      <w:r w:rsidRPr="00BD3232">
        <w:rPr>
          <w:rFonts w:eastAsia="Calibri" w:cs="Times New Roman"/>
        </w:rPr>
        <w:t xml:space="preserve">. </w:t>
      </w:r>
      <w:r w:rsidR="00EB23D8" w:rsidRPr="00BD3232">
        <w:rPr>
          <w:rFonts w:eastAsia="Calibri" w:cs="Times New Roman"/>
        </w:rPr>
        <w:t xml:space="preserve">Saskaņā ar </w:t>
      </w:r>
      <w:r w:rsidR="00695900" w:rsidRPr="00BD3232">
        <w:rPr>
          <w:rFonts w:eastAsia="Calibri" w:cs="Times New Roman"/>
        </w:rPr>
        <w:t>Centrālās statistikas pārvaldes datiem a</w:t>
      </w:r>
      <w:r w:rsidRPr="00BD3232">
        <w:rPr>
          <w:rFonts w:eastAsia="Calibri" w:cs="Times New Roman"/>
        </w:rPr>
        <w:t>talgojums banku sektorā strādājošajiem ir lielāks ne</w:t>
      </w:r>
      <w:r w:rsidR="00C12388" w:rsidRPr="00BD3232">
        <w:rPr>
          <w:rFonts w:eastAsia="Calibri" w:cs="Times New Roman"/>
        </w:rPr>
        <w:t>kā tautsaimniecībā vidēji – 2012</w:t>
      </w:r>
      <w:r w:rsidRPr="00BD3232">
        <w:rPr>
          <w:rFonts w:eastAsia="Calibri" w:cs="Times New Roman"/>
        </w:rPr>
        <w:t>.gada pēdējā ceturksnī strādājošo mēneša vidējā bruto darba samaksa finanšu un apdrošināšanas sektorā bija 9</w:t>
      </w:r>
      <w:r w:rsidR="00C12388" w:rsidRPr="00BD3232">
        <w:rPr>
          <w:rFonts w:eastAsia="Calibri" w:cs="Times New Roman"/>
        </w:rPr>
        <w:t>29</w:t>
      </w:r>
      <w:r w:rsidRPr="00BD3232">
        <w:rPr>
          <w:rFonts w:eastAsia="Calibri" w:cs="Times New Roman"/>
        </w:rPr>
        <w:t xml:space="preserve"> lati, salīdzinot ar 4</w:t>
      </w:r>
      <w:r w:rsidR="00C12388" w:rsidRPr="00BD3232">
        <w:rPr>
          <w:rFonts w:eastAsia="Calibri" w:cs="Times New Roman"/>
        </w:rPr>
        <w:t>94</w:t>
      </w:r>
      <w:r w:rsidRPr="00BD3232">
        <w:rPr>
          <w:rFonts w:eastAsia="Calibri" w:cs="Times New Roman"/>
        </w:rPr>
        <w:t xml:space="preserve"> latiem mēneša vidējo bruto samaksu tautsaimniecībā.</w:t>
      </w:r>
    </w:p>
    <w:p w:rsidR="00441BF3" w:rsidRPr="00BD3232" w:rsidRDefault="00441BF3" w:rsidP="002B76C2">
      <w:pPr>
        <w:spacing w:after="0" w:line="240" w:lineRule="auto"/>
        <w:jc w:val="both"/>
        <w:rPr>
          <w:rFonts w:eastAsia="Calibri" w:cs="Times New Roman"/>
          <w:b/>
        </w:rPr>
      </w:pPr>
    </w:p>
    <w:p w:rsidR="00145C0C" w:rsidRPr="00BD3232" w:rsidRDefault="00441BF3" w:rsidP="00141057">
      <w:pPr>
        <w:spacing w:after="0" w:line="240" w:lineRule="auto"/>
        <w:ind w:firstLine="709"/>
        <w:jc w:val="both"/>
        <w:rPr>
          <w:rFonts w:eastAsia="Calibri" w:cs="Times New Roman"/>
          <w:b/>
        </w:rPr>
      </w:pPr>
      <w:r w:rsidRPr="00BD3232">
        <w:rPr>
          <w:rFonts w:eastAsia="Calibri" w:cs="Times New Roman"/>
          <w:b/>
        </w:rPr>
        <w:lastRenderedPageBreak/>
        <w:t>3</w:t>
      </w:r>
      <w:r w:rsidR="00145C0C" w:rsidRPr="00BD3232">
        <w:rPr>
          <w:rFonts w:eastAsia="Calibri" w:cs="Times New Roman"/>
          <w:b/>
        </w:rPr>
        <w:t>.tabula Banku sektora budžetā veiktie maksājumi, milj. Ls</w:t>
      </w:r>
      <w:r w:rsidR="00145C0C" w:rsidRPr="00BD3232">
        <w:rPr>
          <w:rStyle w:val="FootnoteReference"/>
          <w:rFonts w:eastAsia="Calibri" w:cs="Times New Roman"/>
          <w:b/>
        </w:rPr>
        <w:footnoteReference w:id="9"/>
      </w:r>
    </w:p>
    <w:tbl>
      <w:tblPr>
        <w:tblStyle w:val="TableGrid"/>
        <w:tblW w:w="0" w:type="auto"/>
        <w:jc w:val="center"/>
        <w:tblLook w:val="04A0" w:firstRow="1" w:lastRow="0" w:firstColumn="1" w:lastColumn="0" w:noHBand="0" w:noVBand="1"/>
      </w:tblPr>
      <w:tblGrid>
        <w:gridCol w:w="1816"/>
        <w:gridCol w:w="1283"/>
        <w:gridCol w:w="1304"/>
        <w:gridCol w:w="1268"/>
        <w:gridCol w:w="1224"/>
        <w:gridCol w:w="1134"/>
      </w:tblGrid>
      <w:tr w:rsidR="00BD3232" w:rsidRPr="00BD3232" w:rsidTr="003258D6">
        <w:trPr>
          <w:jc w:val="center"/>
        </w:trPr>
        <w:tc>
          <w:tcPr>
            <w:tcW w:w="1816" w:type="dxa"/>
          </w:tcPr>
          <w:p w:rsidR="003258D6" w:rsidRPr="00BD3232" w:rsidRDefault="003258D6" w:rsidP="00141057">
            <w:pPr>
              <w:jc w:val="both"/>
              <w:rPr>
                <w:rFonts w:eastAsia="Calibri" w:cs="Times New Roman"/>
                <w:szCs w:val="24"/>
              </w:rPr>
            </w:pPr>
          </w:p>
        </w:tc>
        <w:tc>
          <w:tcPr>
            <w:tcW w:w="1283" w:type="dxa"/>
          </w:tcPr>
          <w:p w:rsidR="003258D6" w:rsidRPr="00BD3232" w:rsidRDefault="003258D6" w:rsidP="00C17222">
            <w:pPr>
              <w:jc w:val="center"/>
              <w:rPr>
                <w:rFonts w:eastAsia="Calibri" w:cs="Times New Roman"/>
                <w:b/>
                <w:szCs w:val="24"/>
              </w:rPr>
            </w:pPr>
            <w:r w:rsidRPr="00BD3232">
              <w:rPr>
                <w:rFonts w:eastAsia="Calibri" w:cs="Times New Roman"/>
                <w:b/>
                <w:szCs w:val="24"/>
              </w:rPr>
              <w:t>2008</w:t>
            </w:r>
          </w:p>
        </w:tc>
        <w:tc>
          <w:tcPr>
            <w:tcW w:w="1304" w:type="dxa"/>
          </w:tcPr>
          <w:p w:rsidR="003258D6" w:rsidRPr="00BD3232" w:rsidRDefault="003258D6" w:rsidP="00C17222">
            <w:pPr>
              <w:jc w:val="center"/>
              <w:rPr>
                <w:rFonts w:eastAsia="Calibri" w:cs="Times New Roman"/>
                <w:b/>
                <w:szCs w:val="24"/>
              </w:rPr>
            </w:pPr>
            <w:r w:rsidRPr="00BD3232">
              <w:rPr>
                <w:rFonts w:eastAsia="Calibri" w:cs="Times New Roman"/>
                <w:b/>
                <w:szCs w:val="24"/>
              </w:rPr>
              <w:t>2009</w:t>
            </w:r>
          </w:p>
        </w:tc>
        <w:tc>
          <w:tcPr>
            <w:tcW w:w="1268" w:type="dxa"/>
          </w:tcPr>
          <w:p w:rsidR="003258D6" w:rsidRPr="00BD3232" w:rsidRDefault="003258D6" w:rsidP="00C17222">
            <w:pPr>
              <w:jc w:val="center"/>
              <w:rPr>
                <w:rFonts w:eastAsia="Calibri" w:cs="Times New Roman"/>
                <w:b/>
                <w:szCs w:val="24"/>
              </w:rPr>
            </w:pPr>
            <w:r w:rsidRPr="00BD3232">
              <w:rPr>
                <w:rFonts w:eastAsia="Calibri" w:cs="Times New Roman"/>
                <w:b/>
                <w:szCs w:val="24"/>
              </w:rPr>
              <w:t>2010</w:t>
            </w:r>
          </w:p>
        </w:tc>
        <w:tc>
          <w:tcPr>
            <w:tcW w:w="1224" w:type="dxa"/>
          </w:tcPr>
          <w:p w:rsidR="003258D6" w:rsidRPr="00BD3232" w:rsidRDefault="003258D6" w:rsidP="00C17222">
            <w:pPr>
              <w:jc w:val="center"/>
              <w:rPr>
                <w:rFonts w:eastAsia="Calibri" w:cs="Times New Roman"/>
                <w:b/>
                <w:szCs w:val="24"/>
              </w:rPr>
            </w:pPr>
            <w:r w:rsidRPr="00BD3232">
              <w:rPr>
                <w:rFonts w:eastAsia="Calibri" w:cs="Times New Roman"/>
                <w:b/>
                <w:szCs w:val="24"/>
              </w:rPr>
              <w:t>2011</w:t>
            </w:r>
          </w:p>
        </w:tc>
        <w:tc>
          <w:tcPr>
            <w:tcW w:w="1134" w:type="dxa"/>
          </w:tcPr>
          <w:p w:rsidR="003258D6" w:rsidRPr="00BD3232" w:rsidRDefault="003258D6" w:rsidP="00C17222">
            <w:pPr>
              <w:jc w:val="center"/>
              <w:rPr>
                <w:rFonts w:eastAsia="Calibri" w:cs="Times New Roman"/>
                <w:b/>
                <w:szCs w:val="24"/>
              </w:rPr>
            </w:pPr>
            <w:r w:rsidRPr="00BD3232">
              <w:rPr>
                <w:rFonts w:eastAsia="Calibri" w:cs="Times New Roman"/>
                <w:b/>
                <w:szCs w:val="24"/>
              </w:rPr>
              <w:t>2012</w:t>
            </w:r>
          </w:p>
        </w:tc>
      </w:tr>
      <w:tr w:rsidR="00BD3232" w:rsidRPr="00BD3232" w:rsidTr="003258D6">
        <w:trPr>
          <w:jc w:val="center"/>
        </w:trPr>
        <w:tc>
          <w:tcPr>
            <w:tcW w:w="1816" w:type="dxa"/>
          </w:tcPr>
          <w:p w:rsidR="003258D6" w:rsidRPr="00BD3232" w:rsidRDefault="003258D6" w:rsidP="00141057">
            <w:pPr>
              <w:jc w:val="both"/>
              <w:rPr>
                <w:rFonts w:eastAsia="Calibri" w:cs="Times New Roman"/>
                <w:szCs w:val="24"/>
              </w:rPr>
            </w:pPr>
            <w:r w:rsidRPr="00BD3232">
              <w:rPr>
                <w:rFonts w:eastAsia="Calibri" w:cs="Times New Roman"/>
                <w:szCs w:val="24"/>
              </w:rPr>
              <w:t>IIN</w:t>
            </w:r>
          </w:p>
        </w:tc>
        <w:tc>
          <w:tcPr>
            <w:tcW w:w="1283" w:type="dxa"/>
          </w:tcPr>
          <w:p w:rsidR="003258D6" w:rsidRPr="00BD3232" w:rsidRDefault="003258D6" w:rsidP="00C17222">
            <w:pPr>
              <w:jc w:val="right"/>
              <w:rPr>
                <w:rFonts w:eastAsia="Calibri" w:cs="Times New Roman"/>
                <w:szCs w:val="24"/>
              </w:rPr>
            </w:pPr>
            <w:r w:rsidRPr="00BD3232">
              <w:rPr>
                <w:rFonts w:eastAsia="Calibri" w:cs="Times New Roman"/>
                <w:szCs w:val="24"/>
              </w:rPr>
              <w:t>39,2</w:t>
            </w:r>
          </w:p>
        </w:tc>
        <w:tc>
          <w:tcPr>
            <w:tcW w:w="1304" w:type="dxa"/>
          </w:tcPr>
          <w:p w:rsidR="003258D6" w:rsidRPr="00BD3232" w:rsidRDefault="003258D6" w:rsidP="00C17222">
            <w:pPr>
              <w:jc w:val="right"/>
              <w:rPr>
                <w:rFonts w:eastAsia="Calibri" w:cs="Times New Roman"/>
                <w:szCs w:val="24"/>
              </w:rPr>
            </w:pPr>
            <w:r w:rsidRPr="00BD3232">
              <w:rPr>
                <w:rFonts w:eastAsia="Calibri" w:cs="Times New Roman"/>
                <w:szCs w:val="24"/>
              </w:rPr>
              <w:t>29,8</w:t>
            </w:r>
          </w:p>
        </w:tc>
        <w:tc>
          <w:tcPr>
            <w:tcW w:w="1268" w:type="dxa"/>
          </w:tcPr>
          <w:p w:rsidR="003258D6" w:rsidRPr="00BD3232" w:rsidRDefault="003258D6" w:rsidP="00C17222">
            <w:pPr>
              <w:jc w:val="right"/>
              <w:rPr>
                <w:rFonts w:eastAsia="Calibri" w:cs="Times New Roman"/>
                <w:szCs w:val="24"/>
              </w:rPr>
            </w:pPr>
            <w:r w:rsidRPr="00BD3232">
              <w:rPr>
                <w:rFonts w:eastAsia="Calibri" w:cs="Times New Roman"/>
                <w:szCs w:val="24"/>
              </w:rPr>
              <w:t>38,4</w:t>
            </w:r>
          </w:p>
        </w:tc>
        <w:tc>
          <w:tcPr>
            <w:tcW w:w="1224" w:type="dxa"/>
          </w:tcPr>
          <w:p w:rsidR="003258D6" w:rsidRPr="00BD3232" w:rsidRDefault="003258D6" w:rsidP="00C17222">
            <w:pPr>
              <w:jc w:val="right"/>
              <w:rPr>
                <w:rFonts w:eastAsia="Calibri" w:cs="Times New Roman"/>
                <w:szCs w:val="24"/>
              </w:rPr>
            </w:pPr>
            <w:r w:rsidRPr="00BD3232">
              <w:rPr>
                <w:rFonts w:eastAsia="Calibri" w:cs="Times New Roman"/>
                <w:szCs w:val="24"/>
              </w:rPr>
              <w:t>35,2</w:t>
            </w:r>
          </w:p>
        </w:tc>
        <w:tc>
          <w:tcPr>
            <w:tcW w:w="1134" w:type="dxa"/>
          </w:tcPr>
          <w:p w:rsidR="003258D6" w:rsidRPr="00BD3232" w:rsidRDefault="003258D6" w:rsidP="00C17222">
            <w:pPr>
              <w:jc w:val="right"/>
              <w:rPr>
                <w:rFonts w:eastAsia="Calibri" w:cs="Times New Roman"/>
                <w:szCs w:val="24"/>
              </w:rPr>
            </w:pPr>
            <w:r w:rsidRPr="00BD3232">
              <w:rPr>
                <w:rFonts w:eastAsia="Calibri" w:cs="Times New Roman"/>
                <w:szCs w:val="24"/>
              </w:rPr>
              <w:t>33,9</w:t>
            </w:r>
          </w:p>
        </w:tc>
      </w:tr>
      <w:tr w:rsidR="00BD3232" w:rsidRPr="00BD3232" w:rsidTr="003258D6">
        <w:trPr>
          <w:jc w:val="center"/>
        </w:trPr>
        <w:tc>
          <w:tcPr>
            <w:tcW w:w="1816" w:type="dxa"/>
          </w:tcPr>
          <w:p w:rsidR="003258D6" w:rsidRPr="00BD3232" w:rsidRDefault="003258D6" w:rsidP="00141057">
            <w:pPr>
              <w:jc w:val="both"/>
              <w:rPr>
                <w:rFonts w:eastAsia="Calibri" w:cs="Times New Roman"/>
                <w:szCs w:val="24"/>
              </w:rPr>
            </w:pPr>
            <w:r w:rsidRPr="00BD3232">
              <w:rPr>
                <w:rFonts w:eastAsia="Calibri" w:cs="Times New Roman"/>
                <w:szCs w:val="24"/>
              </w:rPr>
              <w:t>UIN</w:t>
            </w:r>
          </w:p>
        </w:tc>
        <w:tc>
          <w:tcPr>
            <w:tcW w:w="1283" w:type="dxa"/>
          </w:tcPr>
          <w:p w:rsidR="003258D6" w:rsidRPr="00BD3232" w:rsidRDefault="003258D6" w:rsidP="00C17222">
            <w:pPr>
              <w:jc w:val="right"/>
              <w:rPr>
                <w:rFonts w:eastAsia="Calibri" w:cs="Times New Roman"/>
                <w:szCs w:val="24"/>
              </w:rPr>
            </w:pPr>
            <w:r w:rsidRPr="00BD3232">
              <w:rPr>
                <w:rFonts w:eastAsia="Calibri" w:cs="Times New Roman"/>
                <w:szCs w:val="24"/>
              </w:rPr>
              <w:t>86,8</w:t>
            </w:r>
          </w:p>
        </w:tc>
        <w:tc>
          <w:tcPr>
            <w:tcW w:w="1304" w:type="dxa"/>
          </w:tcPr>
          <w:p w:rsidR="003258D6" w:rsidRPr="00BD3232" w:rsidRDefault="003258D6" w:rsidP="00C17222">
            <w:pPr>
              <w:jc w:val="right"/>
              <w:rPr>
                <w:rFonts w:eastAsia="Calibri" w:cs="Times New Roman"/>
                <w:szCs w:val="24"/>
              </w:rPr>
            </w:pPr>
            <w:r w:rsidRPr="00BD3232">
              <w:rPr>
                <w:rFonts w:eastAsia="Calibri" w:cs="Times New Roman"/>
                <w:szCs w:val="24"/>
              </w:rPr>
              <w:t>7,1</w:t>
            </w:r>
          </w:p>
        </w:tc>
        <w:tc>
          <w:tcPr>
            <w:tcW w:w="1268" w:type="dxa"/>
          </w:tcPr>
          <w:p w:rsidR="003258D6" w:rsidRPr="00BD3232" w:rsidRDefault="003258D6" w:rsidP="00C17222">
            <w:pPr>
              <w:jc w:val="right"/>
              <w:rPr>
                <w:rFonts w:eastAsia="Calibri" w:cs="Times New Roman"/>
                <w:szCs w:val="24"/>
              </w:rPr>
            </w:pPr>
            <w:r w:rsidRPr="00BD3232">
              <w:rPr>
                <w:rFonts w:eastAsia="Calibri" w:cs="Times New Roman"/>
                <w:szCs w:val="24"/>
              </w:rPr>
              <w:t>-14,9</w:t>
            </w:r>
          </w:p>
        </w:tc>
        <w:tc>
          <w:tcPr>
            <w:tcW w:w="1224" w:type="dxa"/>
          </w:tcPr>
          <w:p w:rsidR="003258D6" w:rsidRPr="00BD3232" w:rsidRDefault="003258D6" w:rsidP="00C17222">
            <w:pPr>
              <w:jc w:val="right"/>
              <w:rPr>
                <w:rFonts w:eastAsia="Calibri" w:cs="Times New Roman"/>
                <w:szCs w:val="24"/>
              </w:rPr>
            </w:pPr>
            <w:r w:rsidRPr="00BD3232">
              <w:rPr>
                <w:rFonts w:eastAsia="Calibri" w:cs="Times New Roman"/>
                <w:szCs w:val="24"/>
              </w:rPr>
              <w:t>6,0</w:t>
            </w:r>
          </w:p>
        </w:tc>
        <w:tc>
          <w:tcPr>
            <w:tcW w:w="1134" w:type="dxa"/>
          </w:tcPr>
          <w:p w:rsidR="003258D6" w:rsidRPr="00BD3232" w:rsidRDefault="003258D6" w:rsidP="00C17222">
            <w:pPr>
              <w:jc w:val="right"/>
              <w:rPr>
                <w:rFonts w:eastAsia="Calibri" w:cs="Times New Roman"/>
                <w:szCs w:val="24"/>
              </w:rPr>
            </w:pPr>
            <w:r w:rsidRPr="00BD3232">
              <w:rPr>
                <w:rFonts w:eastAsia="Calibri" w:cs="Times New Roman"/>
                <w:szCs w:val="24"/>
              </w:rPr>
              <w:t>9,1</w:t>
            </w:r>
          </w:p>
        </w:tc>
      </w:tr>
      <w:tr w:rsidR="00BD3232" w:rsidRPr="00BD3232" w:rsidTr="003258D6">
        <w:trPr>
          <w:jc w:val="center"/>
        </w:trPr>
        <w:tc>
          <w:tcPr>
            <w:tcW w:w="1816" w:type="dxa"/>
          </w:tcPr>
          <w:p w:rsidR="003258D6" w:rsidRPr="00BD3232" w:rsidRDefault="003258D6" w:rsidP="00141057">
            <w:pPr>
              <w:jc w:val="both"/>
              <w:rPr>
                <w:rFonts w:eastAsia="Calibri" w:cs="Times New Roman"/>
                <w:szCs w:val="24"/>
              </w:rPr>
            </w:pPr>
            <w:r w:rsidRPr="00BD3232">
              <w:rPr>
                <w:rFonts w:eastAsia="Calibri" w:cs="Times New Roman"/>
                <w:szCs w:val="24"/>
              </w:rPr>
              <w:t>VSAOI</w:t>
            </w:r>
          </w:p>
        </w:tc>
        <w:tc>
          <w:tcPr>
            <w:tcW w:w="1283" w:type="dxa"/>
          </w:tcPr>
          <w:p w:rsidR="003258D6" w:rsidRPr="00BD3232" w:rsidRDefault="003258D6" w:rsidP="00C17222">
            <w:pPr>
              <w:jc w:val="right"/>
              <w:rPr>
                <w:rFonts w:eastAsia="Calibri" w:cs="Times New Roman"/>
                <w:szCs w:val="24"/>
              </w:rPr>
            </w:pPr>
            <w:r w:rsidRPr="00BD3232">
              <w:rPr>
                <w:rFonts w:eastAsia="Calibri" w:cs="Times New Roman"/>
                <w:szCs w:val="24"/>
              </w:rPr>
              <w:t>50,9</w:t>
            </w:r>
          </w:p>
        </w:tc>
        <w:tc>
          <w:tcPr>
            <w:tcW w:w="1304" w:type="dxa"/>
          </w:tcPr>
          <w:p w:rsidR="003258D6" w:rsidRPr="00BD3232" w:rsidRDefault="003258D6" w:rsidP="00C17222">
            <w:pPr>
              <w:jc w:val="right"/>
              <w:rPr>
                <w:rFonts w:eastAsia="Calibri" w:cs="Times New Roman"/>
                <w:szCs w:val="24"/>
              </w:rPr>
            </w:pPr>
            <w:r w:rsidRPr="00BD3232">
              <w:rPr>
                <w:rFonts w:eastAsia="Calibri" w:cs="Times New Roman"/>
                <w:szCs w:val="24"/>
              </w:rPr>
              <w:t>50,2</w:t>
            </w:r>
          </w:p>
        </w:tc>
        <w:tc>
          <w:tcPr>
            <w:tcW w:w="1268" w:type="dxa"/>
          </w:tcPr>
          <w:p w:rsidR="003258D6" w:rsidRPr="00BD3232" w:rsidRDefault="003258D6" w:rsidP="00C17222">
            <w:pPr>
              <w:jc w:val="right"/>
              <w:rPr>
                <w:rFonts w:eastAsia="Calibri" w:cs="Times New Roman"/>
                <w:szCs w:val="24"/>
              </w:rPr>
            </w:pPr>
            <w:r w:rsidRPr="00BD3232">
              <w:rPr>
                <w:rFonts w:eastAsia="Calibri" w:cs="Times New Roman"/>
                <w:szCs w:val="24"/>
              </w:rPr>
              <w:t>44,8</w:t>
            </w:r>
          </w:p>
        </w:tc>
        <w:tc>
          <w:tcPr>
            <w:tcW w:w="1224" w:type="dxa"/>
          </w:tcPr>
          <w:p w:rsidR="003258D6" w:rsidRPr="00BD3232" w:rsidRDefault="003258D6" w:rsidP="00C17222">
            <w:pPr>
              <w:jc w:val="right"/>
              <w:rPr>
                <w:rFonts w:eastAsia="Calibri" w:cs="Times New Roman"/>
                <w:szCs w:val="24"/>
              </w:rPr>
            </w:pPr>
            <w:r w:rsidRPr="00BD3232">
              <w:rPr>
                <w:rFonts w:eastAsia="Calibri" w:cs="Times New Roman"/>
                <w:szCs w:val="24"/>
              </w:rPr>
              <w:t>48,3</w:t>
            </w:r>
          </w:p>
        </w:tc>
        <w:tc>
          <w:tcPr>
            <w:tcW w:w="1134" w:type="dxa"/>
          </w:tcPr>
          <w:p w:rsidR="003258D6" w:rsidRPr="00BD3232" w:rsidRDefault="003258D6" w:rsidP="00C17222">
            <w:pPr>
              <w:jc w:val="right"/>
              <w:rPr>
                <w:rFonts w:eastAsia="Calibri" w:cs="Times New Roman"/>
                <w:szCs w:val="24"/>
              </w:rPr>
            </w:pPr>
            <w:r w:rsidRPr="00BD3232">
              <w:rPr>
                <w:rFonts w:eastAsia="Calibri" w:cs="Times New Roman"/>
                <w:szCs w:val="24"/>
              </w:rPr>
              <w:t>49,4</w:t>
            </w:r>
          </w:p>
        </w:tc>
      </w:tr>
      <w:tr w:rsidR="00BD3232" w:rsidRPr="00BD3232" w:rsidTr="003258D6">
        <w:trPr>
          <w:jc w:val="center"/>
        </w:trPr>
        <w:tc>
          <w:tcPr>
            <w:tcW w:w="1816" w:type="dxa"/>
          </w:tcPr>
          <w:p w:rsidR="003258D6" w:rsidRPr="00BD3232" w:rsidRDefault="003258D6" w:rsidP="00141057">
            <w:pPr>
              <w:jc w:val="both"/>
              <w:rPr>
                <w:rFonts w:eastAsia="Calibri" w:cs="Times New Roman"/>
                <w:szCs w:val="24"/>
              </w:rPr>
            </w:pPr>
            <w:r w:rsidRPr="00BD3232">
              <w:rPr>
                <w:rFonts w:eastAsia="Calibri" w:cs="Times New Roman"/>
                <w:szCs w:val="24"/>
              </w:rPr>
              <w:t>PVN</w:t>
            </w:r>
          </w:p>
        </w:tc>
        <w:tc>
          <w:tcPr>
            <w:tcW w:w="1283" w:type="dxa"/>
          </w:tcPr>
          <w:p w:rsidR="003258D6" w:rsidRPr="00BD3232" w:rsidRDefault="003258D6" w:rsidP="00C17222">
            <w:pPr>
              <w:jc w:val="right"/>
              <w:rPr>
                <w:rFonts w:eastAsia="Calibri" w:cs="Times New Roman"/>
                <w:szCs w:val="24"/>
              </w:rPr>
            </w:pPr>
            <w:r w:rsidRPr="00BD3232">
              <w:rPr>
                <w:rFonts w:eastAsia="Calibri" w:cs="Times New Roman"/>
                <w:szCs w:val="24"/>
              </w:rPr>
              <w:t>4,6</w:t>
            </w:r>
          </w:p>
        </w:tc>
        <w:tc>
          <w:tcPr>
            <w:tcW w:w="1304" w:type="dxa"/>
          </w:tcPr>
          <w:p w:rsidR="003258D6" w:rsidRPr="00BD3232" w:rsidRDefault="003258D6" w:rsidP="00C17222">
            <w:pPr>
              <w:jc w:val="right"/>
              <w:rPr>
                <w:rFonts w:eastAsia="Calibri" w:cs="Times New Roman"/>
                <w:szCs w:val="24"/>
              </w:rPr>
            </w:pPr>
            <w:r w:rsidRPr="00BD3232">
              <w:rPr>
                <w:rFonts w:eastAsia="Calibri" w:cs="Times New Roman"/>
                <w:szCs w:val="24"/>
              </w:rPr>
              <w:t>7,0</w:t>
            </w:r>
          </w:p>
        </w:tc>
        <w:tc>
          <w:tcPr>
            <w:tcW w:w="1268" w:type="dxa"/>
          </w:tcPr>
          <w:p w:rsidR="003258D6" w:rsidRPr="00BD3232" w:rsidRDefault="003258D6" w:rsidP="00C17222">
            <w:pPr>
              <w:jc w:val="right"/>
              <w:rPr>
                <w:rFonts w:eastAsia="Calibri" w:cs="Times New Roman"/>
                <w:szCs w:val="24"/>
              </w:rPr>
            </w:pPr>
            <w:r w:rsidRPr="00BD3232">
              <w:rPr>
                <w:rFonts w:eastAsia="Calibri" w:cs="Times New Roman"/>
                <w:szCs w:val="24"/>
              </w:rPr>
              <w:t>3,2</w:t>
            </w:r>
          </w:p>
        </w:tc>
        <w:tc>
          <w:tcPr>
            <w:tcW w:w="1224" w:type="dxa"/>
          </w:tcPr>
          <w:p w:rsidR="003258D6" w:rsidRPr="00BD3232" w:rsidRDefault="003258D6" w:rsidP="00C17222">
            <w:pPr>
              <w:jc w:val="right"/>
              <w:rPr>
                <w:rFonts w:eastAsia="Calibri" w:cs="Times New Roman"/>
                <w:szCs w:val="24"/>
              </w:rPr>
            </w:pPr>
            <w:r w:rsidRPr="00BD3232">
              <w:rPr>
                <w:rFonts w:eastAsia="Calibri" w:cs="Times New Roman"/>
                <w:szCs w:val="24"/>
              </w:rPr>
              <w:t>4,1</w:t>
            </w:r>
          </w:p>
        </w:tc>
        <w:tc>
          <w:tcPr>
            <w:tcW w:w="1134" w:type="dxa"/>
          </w:tcPr>
          <w:p w:rsidR="003258D6" w:rsidRPr="00BD3232" w:rsidRDefault="003258D6" w:rsidP="00C17222">
            <w:pPr>
              <w:jc w:val="right"/>
              <w:rPr>
                <w:rFonts w:eastAsia="Calibri" w:cs="Times New Roman"/>
                <w:szCs w:val="24"/>
              </w:rPr>
            </w:pPr>
            <w:r w:rsidRPr="00BD3232">
              <w:rPr>
                <w:rFonts w:eastAsia="Calibri" w:cs="Times New Roman"/>
                <w:szCs w:val="24"/>
              </w:rPr>
              <w:t>4,6</w:t>
            </w:r>
          </w:p>
        </w:tc>
      </w:tr>
      <w:tr w:rsidR="00BD3232" w:rsidRPr="00BD3232" w:rsidTr="003258D6">
        <w:trPr>
          <w:jc w:val="center"/>
        </w:trPr>
        <w:tc>
          <w:tcPr>
            <w:tcW w:w="1816" w:type="dxa"/>
          </w:tcPr>
          <w:p w:rsidR="003258D6" w:rsidRPr="00BD3232" w:rsidRDefault="003258D6" w:rsidP="00141057">
            <w:pPr>
              <w:jc w:val="both"/>
              <w:rPr>
                <w:rFonts w:eastAsia="Calibri" w:cs="Times New Roman"/>
                <w:szCs w:val="24"/>
              </w:rPr>
            </w:pPr>
            <w:r w:rsidRPr="00BD3232">
              <w:rPr>
                <w:rFonts w:eastAsia="Calibri" w:cs="Times New Roman"/>
                <w:szCs w:val="24"/>
              </w:rPr>
              <w:t>Citi maksājumi</w:t>
            </w:r>
          </w:p>
        </w:tc>
        <w:tc>
          <w:tcPr>
            <w:tcW w:w="1283" w:type="dxa"/>
          </w:tcPr>
          <w:p w:rsidR="003258D6" w:rsidRPr="00BD3232" w:rsidRDefault="003258D6" w:rsidP="00C17222">
            <w:pPr>
              <w:jc w:val="right"/>
              <w:rPr>
                <w:rFonts w:eastAsia="Calibri" w:cs="Times New Roman"/>
                <w:szCs w:val="24"/>
              </w:rPr>
            </w:pPr>
            <w:r w:rsidRPr="00BD3232">
              <w:rPr>
                <w:rFonts w:eastAsia="Calibri" w:cs="Times New Roman"/>
                <w:szCs w:val="24"/>
              </w:rPr>
              <w:t>5,0</w:t>
            </w:r>
          </w:p>
        </w:tc>
        <w:tc>
          <w:tcPr>
            <w:tcW w:w="1304" w:type="dxa"/>
          </w:tcPr>
          <w:p w:rsidR="003258D6" w:rsidRPr="00BD3232" w:rsidRDefault="003258D6" w:rsidP="00C17222">
            <w:pPr>
              <w:jc w:val="right"/>
              <w:rPr>
                <w:rFonts w:eastAsia="Calibri" w:cs="Times New Roman"/>
                <w:szCs w:val="24"/>
              </w:rPr>
            </w:pPr>
            <w:r w:rsidRPr="00BD3232">
              <w:rPr>
                <w:rFonts w:eastAsia="Calibri" w:cs="Times New Roman"/>
                <w:szCs w:val="24"/>
              </w:rPr>
              <w:t>6,7</w:t>
            </w:r>
          </w:p>
        </w:tc>
        <w:tc>
          <w:tcPr>
            <w:tcW w:w="1268" w:type="dxa"/>
          </w:tcPr>
          <w:p w:rsidR="003258D6" w:rsidRPr="00BD3232" w:rsidRDefault="003258D6" w:rsidP="00C17222">
            <w:pPr>
              <w:jc w:val="right"/>
              <w:rPr>
                <w:rFonts w:eastAsia="Calibri" w:cs="Times New Roman"/>
                <w:szCs w:val="24"/>
              </w:rPr>
            </w:pPr>
            <w:r w:rsidRPr="00BD3232">
              <w:rPr>
                <w:rFonts w:eastAsia="Calibri" w:cs="Times New Roman"/>
                <w:szCs w:val="24"/>
              </w:rPr>
              <w:t>6,6</w:t>
            </w:r>
          </w:p>
        </w:tc>
        <w:tc>
          <w:tcPr>
            <w:tcW w:w="1224" w:type="dxa"/>
          </w:tcPr>
          <w:p w:rsidR="003258D6" w:rsidRPr="00BD3232" w:rsidRDefault="003258D6" w:rsidP="00C17222">
            <w:pPr>
              <w:jc w:val="right"/>
              <w:rPr>
                <w:rFonts w:eastAsia="Calibri" w:cs="Times New Roman"/>
                <w:szCs w:val="24"/>
              </w:rPr>
            </w:pPr>
            <w:r w:rsidRPr="00BD3232">
              <w:rPr>
                <w:rFonts w:eastAsia="Calibri" w:cs="Times New Roman"/>
                <w:szCs w:val="24"/>
              </w:rPr>
              <w:t>8,9</w:t>
            </w:r>
          </w:p>
        </w:tc>
        <w:tc>
          <w:tcPr>
            <w:tcW w:w="1134" w:type="dxa"/>
          </w:tcPr>
          <w:p w:rsidR="003258D6" w:rsidRPr="00BD3232" w:rsidRDefault="003258D6" w:rsidP="00C17222">
            <w:pPr>
              <w:jc w:val="right"/>
              <w:rPr>
                <w:rFonts w:eastAsia="Calibri" w:cs="Times New Roman"/>
                <w:szCs w:val="24"/>
              </w:rPr>
            </w:pPr>
            <w:r w:rsidRPr="00BD3232">
              <w:rPr>
                <w:rFonts w:eastAsia="Calibri" w:cs="Times New Roman"/>
                <w:szCs w:val="24"/>
              </w:rPr>
              <w:t>13,9</w:t>
            </w:r>
          </w:p>
        </w:tc>
      </w:tr>
      <w:tr w:rsidR="00BD3232" w:rsidRPr="00BD3232" w:rsidTr="003258D6">
        <w:trPr>
          <w:jc w:val="center"/>
        </w:trPr>
        <w:tc>
          <w:tcPr>
            <w:tcW w:w="1816" w:type="dxa"/>
          </w:tcPr>
          <w:p w:rsidR="003258D6" w:rsidRPr="00BD3232" w:rsidRDefault="003258D6" w:rsidP="00C17222">
            <w:pPr>
              <w:jc w:val="right"/>
              <w:rPr>
                <w:rFonts w:eastAsia="Calibri" w:cs="Times New Roman"/>
                <w:b/>
                <w:szCs w:val="24"/>
              </w:rPr>
            </w:pPr>
            <w:r w:rsidRPr="00BD3232">
              <w:rPr>
                <w:rFonts w:eastAsia="Calibri" w:cs="Times New Roman"/>
                <w:b/>
                <w:szCs w:val="24"/>
              </w:rPr>
              <w:t>Kopā:</w:t>
            </w:r>
          </w:p>
        </w:tc>
        <w:tc>
          <w:tcPr>
            <w:tcW w:w="1283" w:type="dxa"/>
          </w:tcPr>
          <w:p w:rsidR="003258D6" w:rsidRPr="00BD3232" w:rsidRDefault="003258D6" w:rsidP="00C17222">
            <w:pPr>
              <w:jc w:val="right"/>
              <w:rPr>
                <w:rFonts w:eastAsia="Calibri" w:cs="Times New Roman"/>
                <w:b/>
                <w:szCs w:val="24"/>
              </w:rPr>
            </w:pPr>
            <w:r w:rsidRPr="00BD3232">
              <w:rPr>
                <w:rFonts w:eastAsia="Calibri" w:cs="Times New Roman"/>
                <w:b/>
                <w:szCs w:val="24"/>
              </w:rPr>
              <w:t>186,5</w:t>
            </w:r>
          </w:p>
        </w:tc>
        <w:tc>
          <w:tcPr>
            <w:tcW w:w="1304" w:type="dxa"/>
          </w:tcPr>
          <w:p w:rsidR="003258D6" w:rsidRPr="00BD3232" w:rsidRDefault="003258D6" w:rsidP="00C17222">
            <w:pPr>
              <w:jc w:val="right"/>
              <w:rPr>
                <w:rFonts w:eastAsia="Calibri" w:cs="Times New Roman"/>
                <w:b/>
                <w:szCs w:val="24"/>
              </w:rPr>
            </w:pPr>
            <w:r w:rsidRPr="00BD3232">
              <w:rPr>
                <w:rFonts w:eastAsia="Calibri" w:cs="Times New Roman"/>
                <w:b/>
                <w:szCs w:val="24"/>
              </w:rPr>
              <w:t>100,8</w:t>
            </w:r>
          </w:p>
        </w:tc>
        <w:tc>
          <w:tcPr>
            <w:tcW w:w="1268" w:type="dxa"/>
          </w:tcPr>
          <w:p w:rsidR="003258D6" w:rsidRPr="00BD3232" w:rsidRDefault="003258D6" w:rsidP="00C17222">
            <w:pPr>
              <w:jc w:val="right"/>
              <w:rPr>
                <w:rFonts w:eastAsia="Calibri" w:cs="Times New Roman"/>
                <w:b/>
                <w:szCs w:val="24"/>
              </w:rPr>
            </w:pPr>
            <w:r w:rsidRPr="00BD3232">
              <w:rPr>
                <w:rFonts w:eastAsia="Calibri" w:cs="Times New Roman"/>
                <w:b/>
                <w:szCs w:val="24"/>
              </w:rPr>
              <w:t>78,1</w:t>
            </w:r>
          </w:p>
        </w:tc>
        <w:tc>
          <w:tcPr>
            <w:tcW w:w="1224" w:type="dxa"/>
          </w:tcPr>
          <w:p w:rsidR="003258D6" w:rsidRPr="00BD3232" w:rsidRDefault="003258D6" w:rsidP="00C17222">
            <w:pPr>
              <w:jc w:val="right"/>
              <w:rPr>
                <w:rFonts w:eastAsia="Calibri" w:cs="Times New Roman"/>
                <w:b/>
                <w:szCs w:val="24"/>
              </w:rPr>
            </w:pPr>
            <w:r w:rsidRPr="00BD3232">
              <w:rPr>
                <w:rFonts w:eastAsia="Calibri" w:cs="Times New Roman"/>
                <w:b/>
                <w:szCs w:val="24"/>
              </w:rPr>
              <w:t>102,5</w:t>
            </w:r>
          </w:p>
        </w:tc>
        <w:tc>
          <w:tcPr>
            <w:tcW w:w="1134" w:type="dxa"/>
          </w:tcPr>
          <w:p w:rsidR="003258D6" w:rsidRPr="00BD3232" w:rsidRDefault="003258D6" w:rsidP="00C17222">
            <w:pPr>
              <w:jc w:val="right"/>
              <w:rPr>
                <w:rFonts w:eastAsia="Calibri" w:cs="Times New Roman"/>
                <w:b/>
                <w:szCs w:val="24"/>
              </w:rPr>
            </w:pPr>
            <w:r w:rsidRPr="00BD3232">
              <w:rPr>
                <w:rFonts w:eastAsia="Calibri" w:cs="Times New Roman"/>
                <w:b/>
                <w:szCs w:val="24"/>
              </w:rPr>
              <w:t>110,9</w:t>
            </w:r>
          </w:p>
        </w:tc>
      </w:tr>
    </w:tbl>
    <w:p w:rsidR="00145C0C" w:rsidRPr="00BD3232" w:rsidRDefault="00C17222" w:rsidP="00141057">
      <w:pPr>
        <w:spacing w:after="0" w:line="240" w:lineRule="auto"/>
        <w:ind w:firstLine="709"/>
        <w:jc w:val="both"/>
        <w:rPr>
          <w:rFonts w:eastAsia="Calibri" w:cs="Times New Roman"/>
        </w:rPr>
      </w:pPr>
      <w:r w:rsidRPr="00BD3232">
        <w:rPr>
          <w:rFonts w:eastAsia="Calibri" w:cs="Times New Roman"/>
        </w:rPr>
        <w:t>Dati: Valsts ieņēmumu dienests, uz 22.05.2013.</w:t>
      </w:r>
    </w:p>
    <w:p w:rsidR="00C12388" w:rsidRPr="00BD3232" w:rsidRDefault="00C12388" w:rsidP="00C12388">
      <w:pPr>
        <w:spacing w:after="0" w:line="240" w:lineRule="auto"/>
        <w:ind w:firstLine="709"/>
        <w:jc w:val="both"/>
        <w:rPr>
          <w:rFonts w:eastAsia="Calibri" w:cs="Times New Roman"/>
        </w:rPr>
      </w:pPr>
    </w:p>
    <w:p w:rsidR="00C12388" w:rsidRPr="00BD3232" w:rsidRDefault="00C12388" w:rsidP="00C64571">
      <w:pPr>
        <w:spacing w:after="0" w:line="240" w:lineRule="auto"/>
        <w:ind w:firstLine="709"/>
        <w:jc w:val="both"/>
        <w:rPr>
          <w:rFonts w:eastAsia="Calibri" w:cs="Times New Roman"/>
        </w:rPr>
      </w:pPr>
      <w:r w:rsidRPr="00BD3232">
        <w:rPr>
          <w:rFonts w:eastAsia="Calibri" w:cs="Times New Roman"/>
        </w:rPr>
        <w:t>UIN maksājumu apjoms samazinājies no 86,8</w:t>
      </w:r>
      <w:r w:rsidR="00C64571" w:rsidRPr="00BD3232">
        <w:rPr>
          <w:rFonts w:eastAsia="Calibri" w:cs="Times New Roman"/>
        </w:rPr>
        <w:t xml:space="preserve"> milj. latu 2008.gadā līdz </w:t>
      </w:r>
      <w:r w:rsidRPr="00BD3232">
        <w:rPr>
          <w:rFonts w:eastAsia="Calibri" w:cs="Times New Roman"/>
        </w:rPr>
        <w:t xml:space="preserve"> 2012.gadā novērojama situācijas uzlabošanās, UIN maksājumam sasniedzot 9,1</w:t>
      </w:r>
      <w:r w:rsidR="00695900" w:rsidRPr="00BD3232">
        <w:rPr>
          <w:rFonts w:eastAsia="Calibri" w:cs="Times New Roman"/>
        </w:rPr>
        <w:t xml:space="preserve"> milj.</w:t>
      </w:r>
      <w:r w:rsidRPr="00BD3232">
        <w:rPr>
          <w:rFonts w:eastAsia="Calibri" w:cs="Times New Roman"/>
        </w:rPr>
        <w:t xml:space="preserve"> latu. Jāsecina, ka PVN maksājumi banku sektoram tradicionāli ir nelieli, jo finanšu pakalpojumi netiek aplikti ar PVN. </w:t>
      </w:r>
    </w:p>
    <w:p w:rsidR="00C12388" w:rsidRPr="00BD3232" w:rsidRDefault="00C12388" w:rsidP="00C12388">
      <w:pPr>
        <w:spacing w:after="0" w:line="240" w:lineRule="auto"/>
        <w:ind w:firstLine="709"/>
        <w:jc w:val="both"/>
        <w:rPr>
          <w:rFonts w:eastAsia="Calibri" w:cs="Times New Roman"/>
        </w:rPr>
      </w:pPr>
      <w:r w:rsidRPr="00BD3232">
        <w:rPr>
          <w:rFonts w:eastAsia="Calibri" w:cs="Times New Roman"/>
        </w:rPr>
        <w:t>Saskaņā ar VID informāciju, banku sektora maksājumi budžetā 2010.gadā saruka par 108,4</w:t>
      </w:r>
      <w:r w:rsidR="00695900" w:rsidRPr="00BD3232">
        <w:rPr>
          <w:rFonts w:eastAsia="Calibri" w:cs="Times New Roman"/>
        </w:rPr>
        <w:t xml:space="preserve"> milj.</w:t>
      </w:r>
      <w:r w:rsidRPr="00BD3232">
        <w:rPr>
          <w:rFonts w:eastAsia="Calibri" w:cs="Times New Roman"/>
        </w:rPr>
        <w:t xml:space="preserve"> latu, jeb 58%, salīdzinot ar 2008.gadu</w:t>
      </w:r>
      <w:r w:rsidR="003E03C1" w:rsidRPr="00BD3232">
        <w:rPr>
          <w:rFonts w:eastAsia="Calibri" w:cs="Times New Roman"/>
        </w:rPr>
        <w:t xml:space="preserve"> (3.att.)</w:t>
      </w:r>
      <w:r w:rsidRPr="00BD3232">
        <w:rPr>
          <w:rFonts w:eastAsia="Calibri" w:cs="Times New Roman"/>
        </w:rPr>
        <w:t>. Salīdzinājumam, valsts pamatbudžeta ieņēmumi 2010.gadā samazinājās par 1,5 miljardiem latu jeb 29%, salīdzinot ar 2008.gadu.</w:t>
      </w:r>
      <w:r w:rsidR="00695900" w:rsidRPr="00BD3232">
        <w:rPr>
          <w:rFonts w:eastAsia="Calibri" w:cs="Times New Roman"/>
        </w:rPr>
        <w:t xml:space="preserve"> </w:t>
      </w:r>
      <w:r w:rsidR="007C6478" w:rsidRPr="00BD3232">
        <w:rPr>
          <w:rFonts w:eastAsia="Calibri" w:cs="Times New Roman"/>
        </w:rPr>
        <w:t xml:space="preserve">Savukārt </w:t>
      </w:r>
      <w:r w:rsidR="006222AC" w:rsidRPr="00BD3232">
        <w:rPr>
          <w:rFonts w:eastAsia="Calibri" w:cs="Times New Roman"/>
        </w:rPr>
        <w:t>banku sektora veiktie nodokļu maksājumi 2012.gadā ir pieauguši par 8,4 milj. latu jeb 8%, salīdzinot ar 2011.gadu.</w:t>
      </w:r>
      <w:r w:rsidRPr="00BD3232">
        <w:rPr>
          <w:rFonts w:eastAsia="Calibri" w:cs="Times New Roman"/>
        </w:rPr>
        <w:t xml:space="preserve"> Banku sektorā bija novērojams straujāks darbības samazinājums, salīdzinot ar kopējām ekonomikas attīstības tendencēm.</w:t>
      </w:r>
    </w:p>
    <w:p w:rsidR="00B72F2C" w:rsidRPr="00BD3232" w:rsidRDefault="003E03C1" w:rsidP="005043A1">
      <w:pPr>
        <w:spacing w:after="0" w:line="240" w:lineRule="auto"/>
        <w:ind w:firstLine="709"/>
        <w:jc w:val="both"/>
        <w:rPr>
          <w:rFonts w:eastAsia="Calibri" w:cs="Times New Roman"/>
        </w:rPr>
      </w:pPr>
      <w:r w:rsidRPr="00BD3232">
        <w:rPr>
          <w:rFonts w:eastAsia="Calibri" w:cs="Times New Roman"/>
        </w:rPr>
        <w:t>FSN</w:t>
      </w:r>
      <w:r w:rsidR="00792FA1" w:rsidRPr="00BD3232">
        <w:rPr>
          <w:rFonts w:eastAsia="Calibri" w:cs="Times New Roman"/>
        </w:rPr>
        <w:t xml:space="preserve"> maksājumi par 2012</w:t>
      </w:r>
      <w:r w:rsidR="00C12388" w:rsidRPr="00BD3232">
        <w:rPr>
          <w:rFonts w:eastAsia="Calibri" w:cs="Times New Roman"/>
        </w:rPr>
        <w:t xml:space="preserve">.gada taksācijas periodu </w:t>
      </w:r>
      <w:r w:rsidR="00792FA1" w:rsidRPr="00BD3232">
        <w:rPr>
          <w:rFonts w:eastAsia="Calibri" w:cs="Times New Roman"/>
        </w:rPr>
        <w:t>4,0</w:t>
      </w:r>
      <w:r w:rsidRPr="00BD3232">
        <w:rPr>
          <w:rFonts w:eastAsia="Calibri" w:cs="Times New Roman"/>
        </w:rPr>
        <w:t>4</w:t>
      </w:r>
      <w:r w:rsidR="00C64571" w:rsidRPr="00BD3232">
        <w:rPr>
          <w:rFonts w:eastAsia="Calibri" w:cs="Times New Roman"/>
        </w:rPr>
        <w:t xml:space="preserve"> milj.</w:t>
      </w:r>
      <w:r w:rsidR="00C12388" w:rsidRPr="00BD3232">
        <w:rPr>
          <w:rFonts w:eastAsia="Calibri" w:cs="Times New Roman"/>
        </w:rPr>
        <w:t xml:space="preserve"> latu apmērā veido </w:t>
      </w:r>
      <w:r w:rsidR="00792FA1" w:rsidRPr="00BD3232">
        <w:rPr>
          <w:rFonts w:eastAsia="Calibri" w:cs="Times New Roman"/>
        </w:rPr>
        <w:t>3,6</w:t>
      </w:r>
      <w:r w:rsidR="00C12388" w:rsidRPr="00BD3232">
        <w:rPr>
          <w:rFonts w:eastAsia="Calibri" w:cs="Times New Roman"/>
        </w:rPr>
        <w:t>% no banku sektora maksājumiem</w:t>
      </w:r>
      <w:r w:rsidR="00695900" w:rsidRPr="00BD3232">
        <w:rPr>
          <w:rFonts w:eastAsia="Calibri" w:cs="Times New Roman"/>
        </w:rPr>
        <w:t xml:space="preserve"> budžetā</w:t>
      </w:r>
      <w:r w:rsidR="00C12388" w:rsidRPr="00BD3232">
        <w:rPr>
          <w:rFonts w:eastAsia="Calibri" w:cs="Times New Roman"/>
        </w:rPr>
        <w:t>.</w:t>
      </w:r>
    </w:p>
    <w:p w:rsidR="005C4F57" w:rsidRPr="00BD3232" w:rsidRDefault="005C4F57" w:rsidP="005043A1">
      <w:pPr>
        <w:spacing w:after="0" w:line="240" w:lineRule="auto"/>
        <w:ind w:firstLine="709"/>
        <w:jc w:val="both"/>
        <w:rPr>
          <w:rFonts w:eastAsia="Calibri" w:cs="Times New Roman"/>
        </w:rPr>
      </w:pPr>
    </w:p>
    <w:p w:rsidR="001C5169" w:rsidRPr="00BD3232" w:rsidRDefault="001C5169" w:rsidP="001C5169">
      <w:pPr>
        <w:spacing w:after="0" w:line="240" w:lineRule="auto"/>
        <w:jc w:val="both"/>
        <w:rPr>
          <w:rFonts w:eastAsia="Calibri" w:cs="Times New Roman"/>
        </w:rPr>
      </w:pPr>
      <w:r w:rsidRPr="00BD3232">
        <w:rPr>
          <w:noProof/>
          <w:lang w:eastAsia="lv-LV"/>
        </w:rPr>
        <w:drawing>
          <wp:inline distT="0" distB="0" distL="0" distR="0">
            <wp:extent cx="4979458"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400F0" w:rsidRPr="00BD3232" w:rsidRDefault="009400F0" w:rsidP="009400F0">
      <w:pPr>
        <w:spacing w:after="0" w:line="240" w:lineRule="auto"/>
        <w:jc w:val="both"/>
        <w:rPr>
          <w:rFonts w:eastAsia="Calibri" w:cs="Times New Roman"/>
        </w:rPr>
      </w:pPr>
      <w:r w:rsidRPr="00BD3232">
        <w:rPr>
          <w:rFonts w:eastAsia="Calibri" w:cs="Times New Roman"/>
        </w:rPr>
        <w:t>Dati: Valsts ieņēmumu dienests</w:t>
      </w:r>
    </w:p>
    <w:p w:rsidR="001C5169" w:rsidRPr="00BD3232" w:rsidRDefault="003E03C1" w:rsidP="009400F0">
      <w:pPr>
        <w:spacing w:after="0" w:line="240" w:lineRule="auto"/>
        <w:ind w:firstLine="709"/>
        <w:jc w:val="center"/>
        <w:rPr>
          <w:rFonts w:eastAsia="Calibri" w:cs="Times New Roman"/>
          <w:b/>
        </w:rPr>
      </w:pPr>
      <w:r w:rsidRPr="00BD3232">
        <w:rPr>
          <w:rFonts w:eastAsia="Calibri" w:cs="Times New Roman"/>
          <w:b/>
        </w:rPr>
        <w:t>3.</w:t>
      </w:r>
      <w:r w:rsidR="009400F0" w:rsidRPr="00BD3232">
        <w:rPr>
          <w:rFonts w:eastAsia="Calibri" w:cs="Times New Roman"/>
          <w:b/>
        </w:rPr>
        <w:t>att. „Banku sektora budžetā veiktie maksājumi, milj. Ls”</w:t>
      </w:r>
    </w:p>
    <w:p w:rsidR="009400F0" w:rsidRPr="00BD3232" w:rsidRDefault="009400F0" w:rsidP="009400F0">
      <w:pPr>
        <w:spacing w:after="0" w:line="240" w:lineRule="auto"/>
        <w:ind w:firstLine="709"/>
        <w:jc w:val="center"/>
        <w:rPr>
          <w:rFonts w:eastAsia="Calibri" w:cs="Times New Roman"/>
          <w:b/>
        </w:rPr>
      </w:pPr>
    </w:p>
    <w:p w:rsidR="001C5169" w:rsidRPr="00BD3232" w:rsidRDefault="00792FA1" w:rsidP="00792FA1">
      <w:pPr>
        <w:spacing w:after="0" w:line="240" w:lineRule="auto"/>
        <w:ind w:firstLine="709"/>
        <w:jc w:val="both"/>
        <w:rPr>
          <w:rFonts w:eastAsia="Calibri" w:cs="Times New Roman"/>
        </w:rPr>
      </w:pPr>
      <w:r w:rsidRPr="00BD3232">
        <w:rPr>
          <w:rFonts w:eastAsia="Calibri" w:cs="Times New Roman"/>
        </w:rPr>
        <w:t xml:space="preserve">Banku sektora aprēķinātie nodokļu maksājumi tiek veikti savlaicīgi un pilnā apmērā. </w:t>
      </w:r>
    </w:p>
    <w:p w:rsidR="00EC6B15" w:rsidRDefault="00792FA1" w:rsidP="000F0E6D">
      <w:pPr>
        <w:spacing w:after="0" w:line="240" w:lineRule="auto"/>
        <w:ind w:firstLine="709"/>
        <w:jc w:val="both"/>
        <w:rPr>
          <w:rFonts w:eastAsia="Calibri" w:cs="Times New Roman"/>
        </w:rPr>
      </w:pPr>
      <w:r w:rsidRPr="00BD3232">
        <w:rPr>
          <w:rFonts w:eastAsia="Calibri" w:cs="Times New Roman"/>
        </w:rPr>
        <w:t>Banku sektors sedz arī FKTK uzturēšanas izmaksas – 201</w:t>
      </w:r>
      <w:r w:rsidR="009549B3" w:rsidRPr="00BD3232">
        <w:rPr>
          <w:rFonts w:eastAsia="Calibri" w:cs="Times New Roman"/>
        </w:rPr>
        <w:t>2</w:t>
      </w:r>
      <w:r w:rsidRPr="00BD3232">
        <w:rPr>
          <w:rFonts w:eastAsia="Calibri" w:cs="Times New Roman"/>
        </w:rPr>
        <w:t>.gadā ieņēmumi uzturēšanas izmaksu segšanai bija 4 1</w:t>
      </w:r>
      <w:r w:rsidR="00AA1BCB" w:rsidRPr="00BD3232">
        <w:rPr>
          <w:rFonts w:eastAsia="Calibri" w:cs="Times New Roman"/>
        </w:rPr>
        <w:t>7</w:t>
      </w:r>
      <w:r w:rsidRPr="00BD3232">
        <w:rPr>
          <w:rFonts w:eastAsia="Calibri" w:cs="Times New Roman"/>
        </w:rPr>
        <w:t>8 tūkstoši latu, 201</w:t>
      </w:r>
      <w:r w:rsidR="009549B3" w:rsidRPr="00BD3232">
        <w:rPr>
          <w:rFonts w:eastAsia="Calibri" w:cs="Times New Roman"/>
        </w:rPr>
        <w:t>3</w:t>
      </w:r>
      <w:r w:rsidRPr="00BD3232">
        <w:rPr>
          <w:rFonts w:eastAsia="Calibri" w:cs="Times New Roman"/>
        </w:rPr>
        <w:t xml:space="preserve">.gadā paredzams palielinājums līdz 4 </w:t>
      </w:r>
      <w:r w:rsidR="00AA1BCB" w:rsidRPr="00BD3232">
        <w:rPr>
          <w:rFonts w:eastAsia="Calibri" w:cs="Times New Roman"/>
        </w:rPr>
        <w:t>937</w:t>
      </w:r>
      <w:r w:rsidRPr="00BD3232">
        <w:rPr>
          <w:rFonts w:eastAsia="Calibri" w:cs="Times New Roman"/>
        </w:rPr>
        <w:t xml:space="preserve"> tūkstošiem latu</w:t>
      </w:r>
      <w:r w:rsidR="00DC30A5" w:rsidRPr="00BD3232">
        <w:rPr>
          <w:rFonts w:eastAsia="Calibri" w:cs="Times New Roman"/>
        </w:rPr>
        <w:t>.</w:t>
      </w:r>
    </w:p>
    <w:p w:rsidR="00EC6B15" w:rsidRPr="00BD3232" w:rsidRDefault="00EC6B15" w:rsidP="00EC6B15">
      <w:pPr>
        <w:spacing w:after="0" w:line="240" w:lineRule="auto"/>
        <w:jc w:val="both"/>
        <w:rPr>
          <w:rFonts w:eastAsia="Calibri" w:cs="Times New Roman"/>
        </w:rPr>
      </w:pPr>
    </w:p>
    <w:p w:rsidR="00393A8D" w:rsidRPr="00BD3232" w:rsidRDefault="00393A8D" w:rsidP="00393A8D">
      <w:pPr>
        <w:numPr>
          <w:ilvl w:val="0"/>
          <w:numId w:val="35"/>
        </w:numPr>
        <w:spacing w:after="0" w:line="240" w:lineRule="auto"/>
        <w:contextualSpacing/>
        <w:rPr>
          <w:rFonts w:eastAsia="Calibri" w:cs="Times New Roman"/>
          <w:b/>
        </w:rPr>
      </w:pPr>
      <w:r w:rsidRPr="00BD3232">
        <w:rPr>
          <w:rFonts w:eastAsia="Calibri" w:cs="Times New Roman"/>
          <w:b/>
        </w:rPr>
        <w:t>Ekonomiskais izvērtējums – ietekme uz kapitāla pieejamību</w:t>
      </w:r>
    </w:p>
    <w:p w:rsidR="00393A8D" w:rsidRPr="00BD3232" w:rsidRDefault="00393A8D" w:rsidP="00393A8D">
      <w:pPr>
        <w:spacing w:after="0" w:line="240" w:lineRule="auto"/>
        <w:ind w:left="360"/>
        <w:contextualSpacing/>
        <w:rPr>
          <w:rFonts w:eastAsia="Calibri" w:cs="Times New Roman"/>
          <w:b/>
        </w:rPr>
      </w:pPr>
    </w:p>
    <w:p w:rsidR="00393A8D" w:rsidRPr="00BD3232" w:rsidRDefault="00393A8D" w:rsidP="00393A8D">
      <w:pPr>
        <w:numPr>
          <w:ilvl w:val="1"/>
          <w:numId w:val="35"/>
        </w:numPr>
        <w:spacing w:after="0" w:line="240" w:lineRule="auto"/>
        <w:contextualSpacing/>
        <w:rPr>
          <w:rFonts w:eastAsia="Calibri" w:cs="Times New Roman"/>
          <w:b/>
          <w:i/>
        </w:rPr>
      </w:pPr>
      <w:r w:rsidRPr="00BD3232">
        <w:rPr>
          <w:rFonts w:eastAsia="Calibri" w:cs="Times New Roman"/>
          <w:b/>
          <w:i/>
        </w:rPr>
        <w:t>Ārējo risku izvērtējums</w:t>
      </w:r>
    </w:p>
    <w:p w:rsidR="00C92768" w:rsidRPr="00BD3232" w:rsidRDefault="00C92768" w:rsidP="00C92768">
      <w:pPr>
        <w:spacing w:after="0" w:line="240" w:lineRule="auto"/>
        <w:ind w:firstLine="709"/>
        <w:jc w:val="both"/>
        <w:rPr>
          <w:rFonts w:eastAsia="Calibri" w:cs="Times New Roman"/>
        </w:rPr>
      </w:pPr>
    </w:p>
    <w:p w:rsidR="00393A8D" w:rsidRPr="00BD3232" w:rsidRDefault="00C92768" w:rsidP="00C92768">
      <w:pPr>
        <w:spacing w:after="0" w:line="240" w:lineRule="auto"/>
        <w:ind w:firstLine="709"/>
        <w:jc w:val="both"/>
        <w:rPr>
          <w:rFonts w:eastAsia="Calibri" w:cs="Times New Roman"/>
        </w:rPr>
      </w:pPr>
      <w:r w:rsidRPr="00BD3232">
        <w:rPr>
          <w:rFonts w:eastAsia="Calibri" w:cs="Times New Roman"/>
        </w:rPr>
        <w:t>Ekonomikas izaugsmei būtisks priekšnosacījums ir finanšu resursu pieejamība, lai nodrošinātu pietiekamu finansējumu uzņēmumiem un saimnieciskās darbības veicējiem investīcijām pamatlīdzekļos vai apgrozāmajiem līdzekļiem pievienotās vērtības radīšanai tautsaimniecībā. Pieejamību nosaka attiecība starp piedāvājumu un pieprasījumu raksturojošiem rādītājiem, galvenokārt tirgū esošo finanšu resursu daudzums (rezidentu un nerezidentu noguldījumi, aizdevumi) un uzņēmējdarbības, saimnieciskās darbības potenciāls un makroekonomikas attīstības prognozes. Šo faktoru mijiedarbībā veidojas finanšu resursu cena – procentu likmes.</w:t>
      </w:r>
    </w:p>
    <w:p w:rsidR="00A3627C" w:rsidRPr="00BD3232" w:rsidRDefault="00A3627C" w:rsidP="002C0A1D">
      <w:pPr>
        <w:spacing w:after="0" w:line="240" w:lineRule="auto"/>
        <w:ind w:firstLine="709"/>
        <w:jc w:val="both"/>
        <w:rPr>
          <w:rFonts w:eastAsia="Calibri" w:cs="Times New Roman"/>
        </w:rPr>
      </w:pPr>
      <w:r w:rsidRPr="00BD3232">
        <w:rPr>
          <w:rFonts w:eastAsia="Calibri" w:cs="Times New Roman"/>
        </w:rPr>
        <w:t>Refinansēšanas likme ir naudas/kredītu regulēšanas instruments, ar kura palīdzību ECB iedarbojas uz starpbanku tirgus likmēm, kā arī uz kredītu un depozītu likmēm, kuras juridiskām un fiziskām personām piedāvā kredītu organizācijas.</w:t>
      </w:r>
    </w:p>
    <w:p w:rsidR="003F51F8" w:rsidRPr="00BD3232" w:rsidRDefault="003F51F8" w:rsidP="009037F7">
      <w:pPr>
        <w:spacing w:after="0" w:line="240" w:lineRule="auto"/>
        <w:ind w:firstLine="709"/>
        <w:jc w:val="both"/>
        <w:rPr>
          <w:rFonts w:eastAsia="Calibri" w:cs="Times New Roman"/>
        </w:rPr>
      </w:pPr>
      <w:r w:rsidRPr="00BD3232">
        <w:t xml:space="preserve">ECB pārskata periodā nemainīja </w:t>
      </w:r>
      <w:r w:rsidRPr="007D66EC">
        <w:rPr>
          <w:i/>
        </w:rPr>
        <w:t>euro</w:t>
      </w:r>
      <w:r w:rsidRPr="00BD3232">
        <w:t xml:space="preserve"> refinansēšanas likmi (0,75%), </w:t>
      </w:r>
      <w:r w:rsidRPr="007D66EC">
        <w:rPr>
          <w:i/>
        </w:rPr>
        <w:t>euro</w:t>
      </w:r>
      <w:r w:rsidRPr="00BD3232">
        <w:t xml:space="preserve"> zonas inflācijas rādītājam saglabājoties tuvu ECB inflācijas mērķa līmenim un operatīvajiem tautsaimniecības datiem liecinot par </w:t>
      </w:r>
      <w:r w:rsidRPr="007D66EC">
        <w:rPr>
          <w:i/>
        </w:rPr>
        <w:t>euro</w:t>
      </w:r>
      <w:r w:rsidRPr="00BD3232">
        <w:t xml:space="preserve"> zonas kodolu veidojošo valstu tautsaimniecības attīstības atjaunošanos. No 2012.gada decembra līdz 2013.gada februārim Eiropas finanšu tirgi saskārās ar izaicinājumiem, kas saistīti ar kredītiestāžu sarežģījumiem Kiprā, taču, ņemot vērā ECB operatīvo atbildi samazinot EURIBOR, arī bezriska naudas tirgus procentu likmes pārskata periodā samazinājās. Tādējādi starpība starp nenodrošinātajām un bezriska </w:t>
      </w:r>
      <w:r w:rsidRPr="007D66EC">
        <w:rPr>
          <w:i/>
        </w:rPr>
        <w:t>euro</w:t>
      </w:r>
      <w:r w:rsidRPr="00BD3232">
        <w:t xml:space="preserve"> naudas tirgus procentu likmēm no 2012.gada decembra vidus līdz 2013.gada februārim saglabājās stabila, neliecinot par spriedzi </w:t>
      </w:r>
      <w:r w:rsidRPr="007D66EC">
        <w:rPr>
          <w:i/>
        </w:rPr>
        <w:t>euro</w:t>
      </w:r>
      <w:r w:rsidRPr="00BD3232">
        <w:t xml:space="preserve"> zonas starpbanku tirgū.</w:t>
      </w:r>
    </w:p>
    <w:p w:rsidR="002530CB" w:rsidRPr="00BD3232" w:rsidRDefault="002530CB" w:rsidP="009037F7">
      <w:pPr>
        <w:spacing w:after="0" w:line="240" w:lineRule="auto"/>
        <w:ind w:firstLine="709"/>
        <w:jc w:val="both"/>
        <w:rPr>
          <w:rFonts w:eastAsia="Calibri" w:cs="Times New Roman"/>
        </w:rPr>
      </w:pPr>
      <w:r w:rsidRPr="00BD3232">
        <w:rPr>
          <w:rFonts w:eastAsia="Calibri" w:cs="Times New Roman"/>
        </w:rPr>
        <w:t>Turklāt jāņem vērā arī iespējamā ietekme no ES līmeņa pasākumiem finanšu stabilitātes stiprināšanai (piemēram, jaunās kapitāla pietiekamības prasības, finanšu stabilitātes nodevas ieviešana u.c.) turpmākajos gados radīs bankām papildu izdevumus, tādējādi, iespējams, sadārdzinot finanšu resursu cenu.</w:t>
      </w:r>
    </w:p>
    <w:p w:rsidR="00C92768" w:rsidRPr="00BD3232" w:rsidRDefault="00C92768" w:rsidP="00C92768">
      <w:pPr>
        <w:spacing w:after="0" w:line="240" w:lineRule="auto"/>
        <w:ind w:firstLine="709"/>
        <w:jc w:val="both"/>
        <w:rPr>
          <w:rFonts w:eastAsia="Calibri" w:cs="Times New Roman"/>
        </w:rPr>
      </w:pPr>
    </w:p>
    <w:p w:rsidR="00393A8D" w:rsidRPr="00BD3232" w:rsidRDefault="00393A8D" w:rsidP="00393A8D">
      <w:pPr>
        <w:numPr>
          <w:ilvl w:val="1"/>
          <w:numId w:val="35"/>
        </w:numPr>
        <w:spacing w:after="0" w:line="240" w:lineRule="auto"/>
        <w:contextualSpacing/>
        <w:rPr>
          <w:rFonts w:eastAsia="Calibri" w:cs="Times New Roman"/>
          <w:b/>
          <w:i/>
        </w:rPr>
      </w:pPr>
      <w:r w:rsidRPr="00BD3232">
        <w:rPr>
          <w:rFonts w:eastAsia="Calibri" w:cs="Times New Roman"/>
          <w:b/>
          <w:i/>
        </w:rPr>
        <w:t>Nefinanšu sabiedrībām</w:t>
      </w:r>
    </w:p>
    <w:p w:rsidR="00393A8D" w:rsidRPr="00BD3232" w:rsidRDefault="00393A8D" w:rsidP="00611F38">
      <w:pPr>
        <w:spacing w:after="0" w:line="240" w:lineRule="auto"/>
        <w:ind w:firstLine="709"/>
        <w:rPr>
          <w:rFonts w:eastAsia="Calibri" w:cs="Times New Roman"/>
        </w:rPr>
      </w:pPr>
    </w:p>
    <w:p w:rsidR="00B72F2C" w:rsidRPr="00BD3232" w:rsidRDefault="00B72F2C" w:rsidP="00B72F2C">
      <w:pPr>
        <w:spacing w:after="0" w:line="240" w:lineRule="auto"/>
        <w:ind w:firstLine="709"/>
        <w:jc w:val="both"/>
      </w:pPr>
      <w:r w:rsidRPr="00BD3232">
        <w:t>Nefinanšu sabiedrībām novērojams saimnieciskās darbības aktivitātes pieaugums, kas sagaidāmi turpināsies arī nākamajos taksācijas periodos, tādējādi palielino</w:t>
      </w:r>
      <w:r w:rsidR="004F429E" w:rsidRPr="00BD3232">
        <w:t>t pieprasījumu pēc finanšu re</w:t>
      </w:r>
      <w:r w:rsidRPr="00BD3232">
        <w:t>sur</w:t>
      </w:r>
      <w:r w:rsidR="004F429E" w:rsidRPr="00BD3232">
        <w:t>s</w:t>
      </w:r>
      <w:r w:rsidRPr="00BD3232">
        <w:t xml:space="preserve">iem. Nefinanšu sabiedrību maksātspēju ietekmē nodokļu, izejvielu un naftas produktu cenu pieaugums. Patēriņa preču un izejvielu cenu pieauguma gadījumā iespējams </w:t>
      </w:r>
      <w:r w:rsidR="00F01581" w:rsidRPr="007D66EC">
        <w:rPr>
          <w:i/>
        </w:rPr>
        <w:t>euro</w:t>
      </w:r>
      <w:r w:rsidRPr="00BD3232">
        <w:t xml:space="preserve"> bāzes likmju palielinājums, kas atstās ietekmi uz finanšu resursu pieejamību gan nefinanšu sabiedrībām, gan mājsaimniecībām. Jāņem vērā arī virkne ārējo risku, kas potenciāli varētu samazināt Latvijas eksporta partnervalstu ekonomisko izaugsmi un tādējādi mazināt pieprasījumu pēc Latvijas eksporta precēm, mazinot arī tautsaimniecības izaugsmes noturīgumu.</w:t>
      </w:r>
    </w:p>
    <w:p w:rsidR="00601AA5" w:rsidRDefault="00B72F2C" w:rsidP="00EC6B15">
      <w:pPr>
        <w:spacing w:after="0" w:line="240" w:lineRule="auto"/>
        <w:ind w:firstLine="709"/>
        <w:jc w:val="both"/>
      </w:pPr>
      <w:r w:rsidRPr="00BD3232">
        <w:t xml:space="preserve">Pateicoties </w:t>
      </w:r>
      <w:r w:rsidR="00A2628C" w:rsidRPr="00BD3232">
        <w:t>ECB</w:t>
      </w:r>
      <w:r w:rsidRPr="00BD3232">
        <w:t xml:space="preserve"> iniciatīvai nodrošināt finanšu resursu pieejamību pēckrīzes periodā ekonomikas atveseļošanai, </w:t>
      </w:r>
      <w:r w:rsidR="00F01581" w:rsidRPr="007D66EC">
        <w:rPr>
          <w:i/>
        </w:rPr>
        <w:t>euro</w:t>
      </w:r>
      <w:r w:rsidRPr="00BD3232">
        <w:t xml:space="preserve"> aizdevumu procentu likme saglabājusies vienmērīgi zema, minimāli reaģējot uz svārstībām finanšu tirgos. Nefinanšu sabiedrībām pieejamā finanšu resursu cena latos </w:t>
      </w:r>
      <w:r w:rsidR="004F429E" w:rsidRPr="00BD3232">
        <w:t>2012</w:t>
      </w:r>
      <w:r w:rsidRPr="00BD3232">
        <w:t xml:space="preserve">.gadā bija zemāka nekā pirmskrīzes periodā, novērojams arī neliels procentu likmes </w:t>
      </w:r>
      <w:r w:rsidR="00F01581" w:rsidRPr="007D66EC">
        <w:rPr>
          <w:i/>
        </w:rPr>
        <w:t>euro</w:t>
      </w:r>
      <w:r w:rsidR="00601AA5" w:rsidRPr="00BD3232">
        <w:t xml:space="preserve"> samazinājums</w:t>
      </w:r>
      <w:r w:rsidR="00F56545" w:rsidRPr="00BD3232">
        <w:t>, tomēr kopš 2011.gada likme ir stabila</w:t>
      </w:r>
      <w:r w:rsidR="00601AA5" w:rsidRPr="00BD3232">
        <w:t xml:space="preserve"> </w:t>
      </w:r>
      <w:r w:rsidR="00A2628C" w:rsidRPr="00BD3232">
        <w:t>(4.att.)</w:t>
      </w:r>
      <w:r w:rsidRPr="00BD3232">
        <w:t>.</w:t>
      </w:r>
    </w:p>
    <w:p w:rsidR="00EC6B15" w:rsidRDefault="00EC6B15" w:rsidP="00EC6B15">
      <w:pPr>
        <w:spacing w:after="0" w:line="240" w:lineRule="auto"/>
        <w:ind w:firstLine="709"/>
        <w:jc w:val="both"/>
      </w:pPr>
    </w:p>
    <w:p w:rsidR="00EC6B15" w:rsidRPr="00BD3232" w:rsidRDefault="00EC6B15" w:rsidP="00EC6B15">
      <w:pPr>
        <w:spacing w:after="0" w:line="240" w:lineRule="auto"/>
        <w:ind w:firstLine="709"/>
        <w:jc w:val="both"/>
      </w:pPr>
    </w:p>
    <w:p w:rsidR="00B72F2C" w:rsidRPr="00BD3232" w:rsidRDefault="00A21500" w:rsidP="00B72F2C">
      <w:pPr>
        <w:spacing w:after="0" w:line="240" w:lineRule="auto"/>
        <w:jc w:val="both"/>
      </w:pPr>
      <w:r w:rsidRPr="00BD3232">
        <w:rPr>
          <w:noProof/>
          <w:lang w:eastAsia="lv-LV"/>
        </w:rPr>
        <w:drawing>
          <wp:inline distT="0" distB="0" distL="0" distR="0">
            <wp:extent cx="5276850" cy="27622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72F2C" w:rsidRPr="00BD3232" w:rsidRDefault="00B72F2C" w:rsidP="00B72F2C">
      <w:pPr>
        <w:spacing w:after="0" w:line="240" w:lineRule="auto"/>
        <w:ind w:firstLine="709"/>
        <w:jc w:val="both"/>
        <w:rPr>
          <w:szCs w:val="24"/>
        </w:rPr>
      </w:pPr>
      <w:r w:rsidRPr="00BD3232">
        <w:rPr>
          <w:szCs w:val="24"/>
        </w:rPr>
        <w:t>Dati: Latvijas Banka</w:t>
      </w:r>
    </w:p>
    <w:p w:rsidR="001C5169" w:rsidRPr="00BD3232" w:rsidRDefault="00A2628C" w:rsidP="001C5169">
      <w:pPr>
        <w:spacing w:after="0" w:line="240" w:lineRule="auto"/>
        <w:jc w:val="center"/>
        <w:rPr>
          <w:rFonts w:eastAsia="Times New Roman"/>
          <w:b/>
          <w:szCs w:val="24"/>
        </w:rPr>
      </w:pPr>
      <w:r w:rsidRPr="00BD3232">
        <w:rPr>
          <w:rFonts w:eastAsia="Times New Roman"/>
          <w:b/>
          <w:szCs w:val="24"/>
        </w:rPr>
        <w:t>4.</w:t>
      </w:r>
      <w:r w:rsidR="001C5169" w:rsidRPr="00BD3232">
        <w:rPr>
          <w:rFonts w:eastAsia="Times New Roman"/>
          <w:b/>
          <w:szCs w:val="24"/>
        </w:rPr>
        <w:t xml:space="preserve">att. Nefinanšu sabiedrībām izsniegto kredītu zem 250 tūkst. procentu likmes (jaunajiem darījumiem) </w:t>
      </w:r>
    </w:p>
    <w:p w:rsidR="001C5169" w:rsidRPr="00BD3232" w:rsidRDefault="001C5169" w:rsidP="00B72F2C">
      <w:pPr>
        <w:spacing w:after="0" w:line="240" w:lineRule="auto"/>
        <w:ind w:firstLine="709"/>
        <w:jc w:val="both"/>
      </w:pPr>
    </w:p>
    <w:p w:rsidR="00B72F2C" w:rsidRPr="00BD3232" w:rsidRDefault="00B72F2C" w:rsidP="00A2628C">
      <w:pPr>
        <w:spacing w:after="0" w:line="240" w:lineRule="auto"/>
        <w:ind w:firstLine="709"/>
        <w:jc w:val="both"/>
      </w:pPr>
      <w:r w:rsidRPr="00BD3232">
        <w:t>Nefinanšu sabiedrībām</w:t>
      </w:r>
      <w:r w:rsidR="00F56545" w:rsidRPr="00BD3232">
        <w:t xml:space="preserve"> izsniegto aizdevumu apjoms 2012</w:t>
      </w:r>
      <w:r w:rsidRPr="00BD3232">
        <w:t xml:space="preserve">.gada beigās turpina samazināties, sasniedzot kopējo summu </w:t>
      </w:r>
      <w:r w:rsidR="00F56545" w:rsidRPr="00BD3232">
        <w:t>4,8</w:t>
      </w:r>
      <w:r w:rsidRPr="00BD3232">
        <w:t xml:space="preserve"> miljardi latu</w:t>
      </w:r>
      <w:r w:rsidR="00A2628C" w:rsidRPr="00BD3232">
        <w:t xml:space="preserve"> (5.att.)</w:t>
      </w:r>
      <w:r w:rsidRPr="00BD3232">
        <w:t xml:space="preserve">. </w:t>
      </w:r>
      <w:r w:rsidR="00053D5F" w:rsidRPr="00BD3232">
        <w:t>A</w:t>
      </w:r>
      <w:r w:rsidRPr="00BD3232">
        <w:t>izdevum</w:t>
      </w:r>
      <w:r w:rsidR="00F56545" w:rsidRPr="00BD3232">
        <w:t xml:space="preserve">u procentu likme </w:t>
      </w:r>
      <w:r w:rsidR="00F56545" w:rsidRPr="007D66EC">
        <w:rPr>
          <w:i/>
        </w:rPr>
        <w:t>euro</w:t>
      </w:r>
      <w:r w:rsidR="00F56545" w:rsidRPr="00BD3232">
        <w:t xml:space="preserve"> kopš 2012</w:t>
      </w:r>
      <w:r w:rsidRPr="00BD3232">
        <w:t xml:space="preserve">.gada sākuma ir nedaudz zemāka nekā </w:t>
      </w:r>
      <w:r w:rsidR="00F56545" w:rsidRPr="00BD3232">
        <w:t>latos</w:t>
      </w:r>
      <w:r w:rsidRPr="00BD3232">
        <w:t xml:space="preserve"> vai ASV dolāros, </w:t>
      </w:r>
      <w:r w:rsidR="00053D5F" w:rsidRPr="00BD3232">
        <w:t xml:space="preserve">toties kopš 2011.gada sākuma ir </w:t>
      </w:r>
      <w:r w:rsidRPr="00BD3232">
        <w:t xml:space="preserve">novērojams izsniegto aizdevumu </w:t>
      </w:r>
      <w:r w:rsidR="00053D5F" w:rsidRPr="00BD3232">
        <w:t xml:space="preserve">latos pieaugums </w:t>
      </w:r>
      <w:r w:rsidRPr="00BD3232">
        <w:t xml:space="preserve">par </w:t>
      </w:r>
      <w:r w:rsidR="00053D5F" w:rsidRPr="00BD3232">
        <w:t>92%, 2012</w:t>
      </w:r>
      <w:r w:rsidRPr="00BD3232">
        <w:t>.gada beigās sasni</w:t>
      </w:r>
      <w:r w:rsidR="00C64571" w:rsidRPr="00BD3232">
        <w:t xml:space="preserve">edzot kopējo summu </w:t>
      </w:r>
      <w:r w:rsidR="00053D5F" w:rsidRPr="00BD3232">
        <w:t>780,3</w:t>
      </w:r>
      <w:r w:rsidR="00C64571" w:rsidRPr="00BD3232">
        <w:t xml:space="preserve"> milj.</w:t>
      </w:r>
      <w:r w:rsidRPr="00BD3232">
        <w:t xml:space="preserve"> latu. Vienlaicīgi jāatzīmē, ka aizņēmumi latos vēl aizvien veido salīdzinoši nelielu daļu no kopējā kredītu portfeļa – tikai 1</w:t>
      </w:r>
      <w:r w:rsidR="00053D5F" w:rsidRPr="00BD3232">
        <w:t>6,4%, taču kopš 2012</w:t>
      </w:r>
      <w:r w:rsidRPr="00BD3232">
        <w:t>.gada sākuma novērojams pieaugums par 4,</w:t>
      </w:r>
      <w:r w:rsidR="00053D5F" w:rsidRPr="00BD3232">
        <w:t>7</w:t>
      </w:r>
      <w:r w:rsidRPr="00BD3232">
        <w:t xml:space="preserve"> procentu punktiem. </w:t>
      </w:r>
    </w:p>
    <w:p w:rsidR="00A21500" w:rsidRPr="00BD3232" w:rsidRDefault="00A21500" w:rsidP="00B72F2C">
      <w:pPr>
        <w:spacing w:after="0" w:line="240" w:lineRule="auto"/>
        <w:jc w:val="both"/>
      </w:pPr>
      <w:r w:rsidRPr="00BD3232">
        <w:rPr>
          <w:noProof/>
          <w:lang w:eastAsia="lv-LV"/>
        </w:rPr>
        <w:drawing>
          <wp:inline distT="0" distB="0" distL="0" distR="0">
            <wp:extent cx="5210175" cy="27622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C5169" w:rsidRPr="00BD3232" w:rsidRDefault="001C5169" w:rsidP="00A21500">
      <w:pPr>
        <w:spacing w:after="0" w:line="240" w:lineRule="auto"/>
        <w:ind w:firstLine="709"/>
        <w:jc w:val="both"/>
        <w:rPr>
          <w:szCs w:val="24"/>
        </w:rPr>
      </w:pPr>
      <w:r w:rsidRPr="00BD3232">
        <w:rPr>
          <w:szCs w:val="24"/>
        </w:rPr>
        <w:t>Dati: Latvijas Banka</w:t>
      </w:r>
    </w:p>
    <w:p w:rsidR="00EC6B15" w:rsidRPr="0021234E" w:rsidRDefault="00A2628C" w:rsidP="0021234E">
      <w:pPr>
        <w:spacing w:after="0" w:line="240" w:lineRule="auto"/>
        <w:jc w:val="center"/>
        <w:rPr>
          <w:rFonts w:eastAsia="Times New Roman"/>
          <w:b/>
          <w:szCs w:val="24"/>
        </w:rPr>
      </w:pPr>
      <w:r w:rsidRPr="00BD3232">
        <w:rPr>
          <w:rFonts w:eastAsia="Times New Roman"/>
          <w:b/>
          <w:szCs w:val="24"/>
        </w:rPr>
        <w:t>5.</w:t>
      </w:r>
      <w:r w:rsidR="001C5169" w:rsidRPr="00BD3232">
        <w:rPr>
          <w:rFonts w:eastAsia="Times New Roman"/>
          <w:b/>
          <w:szCs w:val="24"/>
        </w:rPr>
        <w:t>att. Nefinanšu sabiedrībām izsniegto aizdevumu apjoms, milj. Ls</w:t>
      </w:r>
    </w:p>
    <w:p w:rsidR="00393A8D" w:rsidRPr="00BD3232" w:rsidRDefault="00393A8D" w:rsidP="00393A8D">
      <w:pPr>
        <w:numPr>
          <w:ilvl w:val="1"/>
          <w:numId w:val="35"/>
        </w:numPr>
        <w:spacing w:after="0" w:line="240" w:lineRule="auto"/>
        <w:contextualSpacing/>
        <w:rPr>
          <w:rFonts w:eastAsia="Calibri" w:cs="Times New Roman"/>
          <w:b/>
          <w:i/>
        </w:rPr>
      </w:pPr>
      <w:r w:rsidRPr="00BD3232">
        <w:rPr>
          <w:rFonts w:eastAsia="Calibri" w:cs="Times New Roman"/>
          <w:b/>
          <w:i/>
        </w:rPr>
        <w:t>Mājsaimniecībām</w:t>
      </w:r>
    </w:p>
    <w:p w:rsidR="00C92768" w:rsidRPr="00BD3232" w:rsidRDefault="00C92768" w:rsidP="00C92768">
      <w:pPr>
        <w:spacing w:after="0" w:line="240" w:lineRule="auto"/>
        <w:ind w:firstLine="709"/>
        <w:jc w:val="both"/>
        <w:rPr>
          <w:rFonts w:eastAsia="Calibri" w:cs="Times New Roman"/>
        </w:rPr>
      </w:pPr>
    </w:p>
    <w:p w:rsidR="000B32D5" w:rsidRPr="00BD3232" w:rsidRDefault="000B32D5" w:rsidP="000B32D5">
      <w:pPr>
        <w:spacing w:after="0" w:line="240" w:lineRule="auto"/>
        <w:ind w:firstLine="709"/>
        <w:jc w:val="both"/>
        <w:rPr>
          <w:rFonts w:eastAsia="Times New Roman"/>
          <w:szCs w:val="24"/>
          <w:lang w:eastAsia="lv-LV"/>
        </w:rPr>
      </w:pPr>
      <w:r w:rsidRPr="00BD3232">
        <w:rPr>
          <w:rFonts w:eastAsia="Times New Roman"/>
          <w:szCs w:val="24"/>
          <w:lang w:eastAsia="lv-LV"/>
        </w:rPr>
        <w:t xml:space="preserve">Finanšu resursu pieejamība mājsaimniecībām caur pieprasījuma palielinājumu var sekmēt ekonomikas izaugsmi, taču, ņemot vērā augsto importa preču īpatsvaru </w:t>
      </w:r>
      <w:r w:rsidRPr="00BD3232">
        <w:rPr>
          <w:rFonts w:eastAsia="Times New Roman"/>
          <w:szCs w:val="24"/>
          <w:lang w:eastAsia="lv-LV"/>
        </w:rPr>
        <w:lastRenderedPageBreak/>
        <w:t>patēriņa grozā, vienlaicīgi jāvērtē arī iespējamā negatīvā ietekme uz ārējās tirdzniecības bilanci, kā arī patēriņa cenu pieaugumu. Finanšu resursu pieejamību mājsaimniecībām lielā mērā nosaka to maksātspēja, ko vēl joprojām ierobežo situācija darba tirgū – augstais bezdarba līmenis un minimāli pieaugoša reālā neto darba samaksa. Ņemot vērā pozitīvo tendenci 2012.gada beigās un valdības priekšlikumu samazināt darbaspēka nodokļu slogu, nākamajos gados iespējams reālās neto darba algas pieaugums, tādējādi stiprinot mājsaimniecību maksātspēju un kredītu pieejamību. Taču, līdzīgi kā nefinanšu institūcijām, jāpatur prātā risks, ka mājsaimniecību maksātspēju mazina arī cenu, t.sk. pasaules pārtikas un energoresursu cenu un administratīvi regulējamo cenu, pieaugums.</w:t>
      </w:r>
    </w:p>
    <w:p w:rsidR="000B32D5" w:rsidRPr="00BD3232" w:rsidRDefault="000B32D5" w:rsidP="000B32D5">
      <w:pPr>
        <w:spacing w:after="0" w:line="240" w:lineRule="auto"/>
        <w:ind w:firstLine="709"/>
        <w:jc w:val="both"/>
        <w:rPr>
          <w:rFonts w:eastAsia="Times New Roman"/>
        </w:rPr>
      </w:pPr>
      <w:r w:rsidRPr="00BD3232">
        <w:rPr>
          <w:rFonts w:eastAsia="Times New Roman"/>
          <w:szCs w:val="24"/>
          <w:lang w:eastAsia="lv-LV"/>
        </w:rPr>
        <w:t xml:space="preserve">Saskaņā ar Latvijas Bankas apkopoto informāciju par procentu likmju izmaiņām, mājsaimniecību patēriņa kredītu </w:t>
      </w:r>
      <w:r w:rsidRPr="00BD3232">
        <w:rPr>
          <w:rFonts w:eastAsia="Times New Roman"/>
        </w:rPr>
        <w:t xml:space="preserve">efektīvā gada izmaksu procentu likmes ekonomiskās krīzes rezultātā ir piedzīvojušas ievērojamas svārstības. </w:t>
      </w:r>
    </w:p>
    <w:p w:rsidR="007569C7" w:rsidRPr="00BD3232" w:rsidRDefault="007569C7" w:rsidP="007569C7">
      <w:pPr>
        <w:spacing w:after="0" w:line="240" w:lineRule="auto"/>
        <w:ind w:firstLine="709"/>
        <w:jc w:val="both"/>
        <w:rPr>
          <w:rFonts w:eastAsia="Times New Roman"/>
        </w:rPr>
      </w:pPr>
      <w:r w:rsidRPr="00BD3232">
        <w:rPr>
          <w:rFonts w:eastAsia="Times New Roman"/>
        </w:rPr>
        <w:t xml:space="preserve">Jāsecina, ka mājsaimniecību patēriņa kredīta likme aizdevumiem latos saglabājusies vienmērīgi augsta, krīzes ietekmē piedzīvojot minimālas svārstības salīdzinājumā ar </w:t>
      </w:r>
      <w:r w:rsidRPr="007D66EC">
        <w:rPr>
          <w:rFonts w:eastAsia="Times New Roman"/>
          <w:i/>
        </w:rPr>
        <w:t>euro</w:t>
      </w:r>
      <w:r w:rsidRPr="00BD3232">
        <w:rPr>
          <w:rFonts w:eastAsia="Times New Roman"/>
        </w:rPr>
        <w:t xml:space="preserve"> un ASV dolāru. 2008.gada sākumā patēriņa kredīta likme latos bija </w:t>
      </w:r>
      <w:r w:rsidR="00103284" w:rsidRPr="00BD3232">
        <w:rPr>
          <w:rFonts w:eastAsia="Times New Roman"/>
        </w:rPr>
        <w:t>20,2</w:t>
      </w:r>
      <w:r w:rsidRPr="00BD3232">
        <w:rPr>
          <w:rFonts w:eastAsia="Times New Roman"/>
        </w:rPr>
        <w:t>%</w:t>
      </w:r>
      <w:r w:rsidR="00103284" w:rsidRPr="00BD3232">
        <w:rPr>
          <w:rFonts w:eastAsia="Times New Roman"/>
        </w:rPr>
        <w:t>, un, pakāpeniski pieaugot, 2012</w:t>
      </w:r>
      <w:r w:rsidRPr="00BD3232">
        <w:rPr>
          <w:rFonts w:eastAsia="Times New Roman"/>
        </w:rPr>
        <w:t>.gada beigās sasniedza 2</w:t>
      </w:r>
      <w:r w:rsidR="00103284" w:rsidRPr="00BD3232">
        <w:rPr>
          <w:rFonts w:eastAsia="Times New Roman"/>
        </w:rPr>
        <w:t>2,1</w:t>
      </w:r>
      <w:r w:rsidRPr="00BD3232">
        <w:rPr>
          <w:rFonts w:eastAsia="Times New Roman"/>
        </w:rPr>
        <w:t>% (6.att.).</w:t>
      </w:r>
    </w:p>
    <w:p w:rsidR="007569C7" w:rsidRPr="00BD3232" w:rsidRDefault="007569C7" w:rsidP="000B32D5">
      <w:pPr>
        <w:spacing w:after="0" w:line="240" w:lineRule="auto"/>
        <w:ind w:firstLine="709"/>
        <w:jc w:val="both"/>
        <w:rPr>
          <w:rFonts w:eastAsia="Times New Roman"/>
        </w:rPr>
      </w:pPr>
    </w:p>
    <w:p w:rsidR="000B32D5" w:rsidRPr="00BD3232" w:rsidRDefault="00F448B5" w:rsidP="00F448B5">
      <w:pPr>
        <w:spacing w:after="0" w:line="240" w:lineRule="auto"/>
        <w:jc w:val="both"/>
        <w:rPr>
          <w:rFonts w:eastAsia="Times New Roman"/>
        </w:rPr>
      </w:pPr>
      <w:r w:rsidRPr="00BD3232">
        <w:rPr>
          <w:noProof/>
          <w:lang w:eastAsia="lv-LV"/>
        </w:rPr>
        <w:drawing>
          <wp:inline distT="0" distB="0" distL="0" distR="0">
            <wp:extent cx="5267325" cy="3076575"/>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B32D5" w:rsidRPr="00BD3232" w:rsidRDefault="000B32D5" w:rsidP="001C5169">
      <w:pPr>
        <w:spacing w:after="0" w:line="240" w:lineRule="auto"/>
        <w:jc w:val="both"/>
        <w:rPr>
          <w:rFonts w:eastAsia="Times New Roman"/>
          <w:szCs w:val="24"/>
        </w:rPr>
      </w:pPr>
      <w:r w:rsidRPr="00BD3232">
        <w:rPr>
          <w:rFonts w:eastAsia="Times New Roman"/>
          <w:szCs w:val="24"/>
        </w:rPr>
        <w:t>Dati: Latvijas Banka</w:t>
      </w:r>
    </w:p>
    <w:p w:rsidR="001C5169" w:rsidRPr="00BD3232" w:rsidRDefault="00A2628C" w:rsidP="001C5169">
      <w:pPr>
        <w:spacing w:after="0" w:line="240" w:lineRule="auto"/>
        <w:jc w:val="center"/>
        <w:rPr>
          <w:rFonts w:eastAsia="Times New Roman"/>
          <w:b/>
          <w:szCs w:val="24"/>
        </w:rPr>
      </w:pPr>
      <w:r w:rsidRPr="00BD3232">
        <w:rPr>
          <w:rFonts w:eastAsia="Times New Roman"/>
          <w:b/>
          <w:szCs w:val="24"/>
        </w:rPr>
        <w:t>6.</w:t>
      </w:r>
      <w:r w:rsidR="001C5169" w:rsidRPr="00BD3232">
        <w:rPr>
          <w:rFonts w:eastAsia="Times New Roman"/>
          <w:b/>
          <w:szCs w:val="24"/>
        </w:rPr>
        <w:t>att. Mājsaimniecību patēriņa kredītu likmes,%</w:t>
      </w:r>
    </w:p>
    <w:p w:rsidR="001C5169" w:rsidRPr="00BD3232" w:rsidRDefault="001C5169" w:rsidP="00B72F2C">
      <w:pPr>
        <w:spacing w:after="0" w:line="240" w:lineRule="auto"/>
        <w:ind w:firstLine="709"/>
        <w:jc w:val="both"/>
        <w:rPr>
          <w:szCs w:val="24"/>
        </w:rPr>
      </w:pPr>
    </w:p>
    <w:p w:rsidR="006A0586" w:rsidRPr="00BD3232" w:rsidRDefault="000B32D5" w:rsidP="00B72F2C">
      <w:pPr>
        <w:spacing w:after="0" w:line="240" w:lineRule="auto"/>
        <w:ind w:firstLine="709"/>
        <w:jc w:val="both"/>
        <w:rPr>
          <w:rFonts w:eastAsia="Times New Roman"/>
          <w:szCs w:val="24"/>
        </w:rPr>
      </w:pPr>
      <w:r w:rsidRPr="00BD3232">
        <w:rPr>
          <w:szCs w:val="24"/>
        </w:rPr>
        <w:t xml:space="preserve">Kopš 2008.gada </w:t>
      </w:r>
      <w:r w:rsidR="007B148F" w:rsidRPr="00BD3232">
        <w:rPr>
          <w:szCs w:val="24"/>
        </w:rPr>
        <w:t>beigām</w:t>
      </w:r>
      <w:r w:rsidRPr="00BD3232">
        <w:rPr>
          <w:rFonts w:eastAsia="Times New Roman"/>
          <w:szCs w:val="24"/>
        </w:rPr>
        <w:t xml:space="preserve"> mājsaimniecību patēriņa kreditēšanas apjomi ir sa</w:t>
      </w:r>
      <w:r w:rsidR="00C64571" w:rsidRPr="00BD3232">
        <w:rPr>
          <w:rFonts w:eastAsia="Times New Roman"/>
          <w:szCs w:val="24"/>
        </w:rPr>
        <w:t xml:space="preserve">mazinājušies par </w:t>
      </w:r>
      <w:r w:rsidR="007B148F" w:rsidRPr="00BD3232">
        <w:rPr>
          <w:rFonts w:eastAsia="Times New Roman"/>
          <w:szCs w:val="24"/>
        </w:rPr>
        <w:t>238,3</w:t>
      </w:r>
      <w:r w:rsidR="00C64571" w:rsidRPr="00BD3232">
        <w:rPr>
          <w:rFonts w:eastAsia="Times New Roman"/>
          <w:szCs w:val="24"/>
        </w:rPr>
        <w:t xml:space="preserve"> milj.</w:t>
      </w:r>
      <w:r w:rsidR="0035053E" w:rsidRPr="00BD3232">
        <w:rPr>
          <w:rFonts w:eastAsia="Times New Roman"/>
          <w:szCs w:val="24"/>
        </w:rPr>
        <w:t xml:space="preserve"> latu jeb 31% salīdzinot ar 2012</w:t>
      </w:r>
      <w:r w:rsidRPr="00BD3232">
        <w:rPr>
          <w:rFonts w:eastAsia="Times New Roman"/>
          <w:szCs w:val="24"/>
        </w:rPr>
        <w:t>.gada beigām</w:t>
      </w:r>
      <w:r w:rsidR="00A95BDD" w:rsidRPr="00BD3232">
        <w:rPr>
          <w:rFonts w:eastAsia="Times New Roman"/>
          <w:szCs w:val="24"/>
        </w:rPr>
        <w:t>,</w:t>
      </w:r>
      <w:r w:rsidRPr="00BD3232">
        <w:rPr>
          <w:rFonts w:eastAsia="Times New Roman"/>
          <w:szCs w:val="24"/>
        </w:rPr>
        <w:t xml:space="preserve"> kad mājsaimniecību patēriņam bija</w:t>
      </w:r>
      <w:r w:rsidR="00C64571" w:rsidRPr="00BD3232">
        <w:rPr>
          <w:rFonts w:eastAsia="Times New Roman"/>
          <w:szCs w:val="24"/>
        </w:rPr>
        <w:t xml:space="preserve"> izsniegti kredīti </w:t>
      </w:r>
      <w:r w:rsidR="0035053E" w:rsidRPr="00BD3232">
        <w:rPr>
          <w:rFonts w:eastAsia="Times New Roman"/>
          <w:szCs w:val="24"/>
        </w:rPr>
        <w:t>546,0</w:t>
      </w:r>
      <w:r w:rsidR="00C64571" w:rsidRPr="00BD3232">
        <w:rPr>
          <w:rFonts w:eastAsia="Times New Roman"/>
          <w:szCs w:val="24"/>
        </w:rPr>
        <w:t xml:space="preserve"> milj.</w:t>
      </w:r>
      <w:r w:rsidRPr="00BD3232">
        <w:rPr>
          <w:rFonts w:eastAsia="Times New Roman"/>
          <w:szCs w:val="24"/>
        </w:rPr>
        <w:t xml:space="preserve"> latu apmērā</w:t>
      </w:r>
      <w:r w:rsidR="006A0586" w:rsidRPr="00BD3232">
        <w:rPr>
          <w:rFonts w:eastAsia="Times New Roman"/>
          <w:szCs w:val="24"/>
        </w:rPr>
        <w:t xml:space="preserve"> (8.att.)</w:t>
      </w:r>
      <w:r w:rsidRPr="00BD3232">
        <w:rPr>
          <w:rFonts w:eastAsia="Times New Roman"/>
          <w:szCs w:val="24"/>
        </w:rPr>
        <w:t>. Visstraujā</w:t>
      </w:r>
      <w:r w:rsidR="00C64571" w:rsidRPr="00BD3232">
        <w:rPr>
          <w:rFonts w:eastAsia="Times New Roman"/>
          <w:szCs w:val="24"/>
        </w:rPr>
        <w:t xml:space="preserve">kais kritums par </w:t>
      </w:r>
      <w:r w:rsidR="0035053E" w:rsidRPr="00BD3232">
        <w:rPr>
          <w:rFonts w:eastAsia="Times New Roman"/>
          <w:szCs w:val="24"/>
        </w:rPr>
        <w:t>148,4</w:t>
      </w:r>
      <w:r w:rsidR="00C64571" w:rsidRPr="00BD3232">
        <w:rPr>
          <w:rFonts w:eastAsia="Times New Roman"/>
          <w:szCs w:val="24"/>
        </w:rPr>
        <w:t xml:space="preserve"> milj.</w:t>
      </w:r>
      <w:r w:rsidRPr="00BD3232">
        <w:rPr>
          <w:rFonts w:eastAsia="Times New Roman"/>
          <w:szCs w:val="24"/>
        </w:rPr>
        <w:t xml:space="preserve"> latu jeb </w:t>
      </w:r>
      <w:r w:rsidR="002D500E" w:rsidRPr="00BD3232">
        <w:rPr>
          <w:rFonts w:eastAsia="Times New Roman"/>
          <w:szCs w:val="24"/>
        </w:rPr>
        <w:t>62</w:t>
      </w:r>
      <w:r w:rsidRPr="00BD3232">
        <w:rPr>
          <w:rFonts w:eastAsia="Times New Roman"/>
          <w:szCs w:val="24"/>
        </w:rPr>
        <w:t>% bija novērojams patēriņa kredītiem ar atmaksas termiņ</w:t>
      </w:r>
      <w:r w:rsidR="006A0586" w:rsidRPr="00BD3232">
        <w:rPr>
          <w:rFonts w:eastAsia="Times New Roman"/>
          <w:szCs w:val="24"/>
        </w:rPr>
        <w:t>u no viena līdz pieciem gadiem.</w:t>
      </w:r>
    </w:p>
    <w:p w:rsidR="00D7601D" w:rsidRPr="00BD3232" w:rsidRDefault="00D7601D" w:rsidP="00D7601D">
      <w:pPr>
        <w:spacing w:after="0" w:line="240" w:lineRule="auto"/>
        <w:ind w:firstLine="709"/>
        <w:jc w:val="both"/>
        <w:rPr>
          <w:rFonts w:eastAsia="Times New Roman"/>
          <w:szCs w:val="24"/>
        </w:rPr>
      </w:pPr>
      <w:r w:rsidRPr="00BD3232">
        <w:rPr>
          <w:rFonts w:eastAsia="Times New Roman"/>
          <w:szCs w:val="24"/>
        </w:rPr>
        <w:t>Jāatzīmē arī procentu likmju ievērojamās atšķirības, ņemot vērā patēriņa mērķi – finanšu resursu, kas nodrošināti ar nekustamā īpašuma ķīlu, cena ir trīs līdz četras reizes zemāka nekā patēriņa kredītiem (7.att.).</w:t>
      </w:r>
    </w:p>
    <w:p w:rsidR="000B32D5" w:rsidRPr="00BD3232" w:rsidRDefault="00F448B5" w:rsidP="000B32D5">
      <w:pPr>
        <w:spacing w:after="0" w:line="240" w:lineRule="auto"/>
        <w:jc w:val="both"/>
        <w:rPr>
          <w:rFonts w:eastAsia="Times New Roman"/>
          <w:szCs w:val="24"/>
        </w:rPr>
      </w:pPr>
      <w:r w:rsidRPr="00BD3232">
        <w:rPr>
          <w:noProof/>
          <w:lang w:eastAsia="lv-LV"/>
        </w:rPr>
        <w:lastRenderedPageBreak/>
        <w:drawing>
          <wp:inline distT="0" distB="0" distL="0" distR="0">
            <wp:extent cx="5438775" cy="302895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B32D5" w:rsidRPr="00BD3232" w:rsidRDefault="000B32D5" w:rsidP="000B32D5">
      <w:pPr>
        <w:spacing w:after="0" w:line="240" w:lineRule="auto"/>
        <w:jc w:val="both"/>
        <w:rPr>
          <w:rFonts w:eastAsia="Times New Roman"/>
          <w:szCs w:val="24"/>
        </w:rPr>
      </w:pPr>
      <w:r w:rsidRPr="00BD3232">
        <w:rPr>
          <w:rFonts w:eastAsia="Times New Roman"/>
          <w:szCs w:val="24"/>
        </w:rPr>
        <w:t>Dati: Latvijas Banka</w:t>
      </w:r>
    </w:p>
    <w:p w:rsidR="005043A1" w:rsidRPr="00BD3232" w:rsidRDefault="00A2628C" w:rsidP="005043A1">
      <w:pPr>
        <w:spacing w:after="0" w:line="240" w:lineRule="auto"/>
        <w:jc w:val="center"/>
        <w:rPr>
          <w:rFonts w:eastAsia="Times New Roman"/>
          <w:b/>
          <w:szCs w:val="24"/>
        </w:rPr>
      </w:pPr>
      <w:r w:rsidRPr="00BD3232">
        <w:rPr>
          <w:rFonts w:eastAsia="Times New Roman"/>
          <w:b/>
          <w:szCs w:val="24"/>
        </w:rPr>
        <w:t>7.</w:t>
      </w:r>
      <w:r w:rsidR="005043A1" w:rsidRPr="00BD3232">
        <w:rPr>
          <w:rFonts w:eastAsia="Times New Roman"/>
          <w:b/>
          <w:szCs w:val="24"/>
        </w:rPr>
        <w:t>att. Kredīti mājsaimniecībām mājokļa iegādei, efektīvā gada izmaksu procentu likme</w:t>
      </w:r>
    </w:p>
    <w:p w:rsidR="00601AA5" w:rsidRPr="00BD3232" w:rsidRDefault="00601AA5" w:rsidP="006A0586">
      <w:pPr>
        <w:spacing w:after="0" w:line="240" w:lineRule="auto"/>
        <w:jc w:val="both"/>
        <w:rPr>
          <w:rFonts w:eastAsia="Times New Roman"/>
          <w:szCs w:val="24"/>
        </w:rPr>
      </w:pPr>
    </w:p>
    <w:p w:rsidR="005043A1" w:rsidRPr="00BD3232" w:rsidRDefault="00601AA5" w:rsidP="000B32D5">
      <w:pPr>
        <w:spacing w:after="0" w:line="240" w:lineRule="auto"/>
        <w:jc w:val="both"/>
        <w:rPr>
          <w:rFonts w:eastAsia="Times New Roman"/>
          <w:szCs w:val="24"/>
        </w:rPr>
      </w:pPr>
      <w:r w:rsidRPr="00BD3232">
        <w:rPr>
          <w:noProof/>
          <w:lang w:eastAsia="lv-LV"/>
        </w:rPr>
        <w:drawing>
          <wp:inline distT="0" distB="0" distL="0" distR="0">
            <wp:extent cx="5448300" cy="292417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B32D5" w:rsidRPr="00BD3232" w:rsidRDefault="000B32D5" w:rsidP="000B32D5">
      <w:pPr>
        <w:spacing w:after="0" w:line="240" w:lineRule="auto"/>
        <w:jc w:val="both"/>
        <w:rPr>
          <w:rFonts w:eastAsia="Times New Roman"/>
          <w:szCs w:val="24"/>
        </w:rPr>
      </w:pPr>
      <w:r w:rsidRPr="00BD3232">
        <w:rPr>
          <w:rFonts w:eastAsia="Times New Roman"/>
          <w:szCs w:val="24"/>
        </w:rPr>
        <w:t>Dati: Latvijas Banka</w:t>
      </w:r>
    </w:p>
    <w:p w:rsidR="000B32D5" w:rsidRPr="00BD3232" w:rsidRDefault="00A2628C" w:rsidP="005043A1">
      <w:pPr>
        <w:spacing w:after="0" w:line="240" w:lineRule="auto"/>
        <w:jc w:val="center"/>
        <w:rPr>
          <w:rFonts w:eastAsia="Times New Roman"/>
          <w:b/>
          <w:szCs w:val="24"/>
        </w:rPr>
      </w:pPr>
      <w:r w:rsidRPr="00BD3232">
        <w:rPr>
          <w:rFonts w:eastAsia="Times New Roman"/>
          <w:b/>
          <w:szCs w:val="24"/>
        </w:rPr>
        <w:t>8.</w:t>
      </w:r>
      <w:r w:rsidR="005043A1" w:rsidRPr="00BD3232">
        <w:rPr>
          <w:rFonts w:eastAsia="Times New Roman"/>
          <w:b/>
          <w:szCs w:val="24"/>
        </w:rPr>
        <w:t>att. Mājsaimniecībām izsniegtie kredīti, milj. Ls</w:t>
      </w:r>
    </w:p>
    <w:p w:rsidR="005043A1" w:rsidRPr="00BD3232" w:rsidRDefault="005043A1" w:rsidP="000B32D5">
      <w:pPr>
        <w:spacing w:after="0" w:line="240" w:lineRule="auto"/>
        <w:ind w:firstLine="709"/>
        <w:jc w:val="both"/>
        <w:rPr>
          <w:rFonts w:eastAsia="Times New Roman"/>
          <w:szCs w:val="24"/>
        </w:rPr>
      </w:pPr>
    </w:p>
    <w:p w:rsidR="000B32D5" w:rsidRPr="00BD3232" w:rsidRDefault="000B32D5" w:rsidP="000B32D5">
      <w:pPr>
        <w:spacing w:after="0" w:line="240" w:lineRule="auto"/>
        <w:ind w:firstLine="709"/>
        <w:jc w:val="both"/>
        <w:rPr>
          <w:rFonts w:eastAsia="Times New Roman"/>
          <w:szCs w:val="24"/>
        </w:rPr>
      </w:pPr>
      <w:r w:rsidRPr="00BD3232">
        <w:rPr>
          <w:rFonts w:eastAsia="Times New Roman"/>
          <w:szCs w:val="24"/>
        </w:rPr>
        <w:t xml:space="preserve">Mājsaimniecībām izsniegtie kredīti nekustamā īpašuma iegādei kopš </w:t>
      </w:r>
      <w:r w:rsidRPr="00BD3232">
        <w:rPr>
          <w:szCs w:val="24"/>
        </w:rPr>
        <w:t xml:space="preserve">2008.gada </w:t>
      </w:r>
      <w:r w:rsidRPr="00BD3232">
        <w:rPr>
          <w:rFonts w:eastAsia="Times New Roman"/>
          <w:szCs w:val="24"/>
        </w:rPr>
        <w:t>sa</w:t>
      </w:r>
      <w:r w:rsidR="00C64571" w:rsidRPr="00BD3232">
        <w:rPr>
          <w:rFonts w:eastAsia="Times New Roman"/>
          <w:szCs w:val="24"/>
        </w:rPr>
        <w:t xml:space="preserve">mazinājušies par </w:t>
      </w:r>
      <w:r w:rsidR="00D7601D" w:rsidRPr="00BD3232">
        <w:rPr>
          <w:rFonts w:eastAsia="Times New Roman"/>
          <w:szCs w:val="24"/>
        </w:rPr>
        <w:t>1 305,6</w:t>
      </w:r>
      <w:r w:rsidR="00C64571" w:rsidRPr="00BD3232">
        <w:rPr>
          <w:rFonts w:eastAsia="Times New Roman"/>
          <w:szCs w:val="24"/>
        </w:rPr>
        <w:t xml:space="preserve"> milj.</w:t>
      </w:r>
      <w:r w:rsidRPr="00BD3232">
        <w:rPr>
          <w:rFonts w:eastAsia="Times New Roman"/>
          <w:szCs w:val="24"/>
        </w:rPr>
        <w:t xml:space="preserve"> </w:t>
      </w:r>
      <w:r w:rsidR="00D7601D" w:rsidRPr="00BD3232">
        <w:rPr>
          <w:rFonts w:eastAsia="Times New Roman"/>
          <w:szCs w:val="24"/>
        </w:rPr>
        <w:t>latu jeb 26%, salīdzinot ar 2012</w:t>
      </w:r>
      <w:r w:rsidRPr="00BD3232">
        <w:rPr>
          <w:rFonts w:eastAsia="Times New Roman"/>
          <w:szCs w:val="24"/>
        </w:rPr>
        <w:t>.gada beigām</w:t>
      </w:r>
      <w:r w:rsidR="00A2628C" w:rsidRPr="00BD3232">
        <w:rPr>
          <w:rFonts w:eastAsia="Times New Roman"/>
          <w:szCs w:val="24"/>
        </w:rPr>
        <w:t xml:space="preserve"> (8.att.)</w:t>
      </w:r>
      <w:r w:rsidRPr="00BD3232">
        <w:rPr>
          <w:rFonts w:eastAsia="Times New Roman"/>
          <w:szCs w:val="24"/>
        </w:rPr>
        <w:t xml:space="preserve">. Visstraujākais samazinājums novērojams </w:t>
      </w:r>
      <w:r w:rsidR="006A0586" w:rsidRPr="00BD3232">
        <w:rPr>
          <w:rFonts w:eastAsia="Times New Roman"/>
          <w:szCs w:val="24"/>
        </w:rPr>
        <w:t>kredītiem mājokļa iegādei</w:t>
      </w:r>
      <w:r w:rsidRPr="00BD3232">
        <w:rPr>
          <w:rFonts w:eastAsia="Times New Roman"/>
          <w:szCs w:val="24"/>
        </w:rPr>
        <w:t xml:space="preserve"> ar atmaksas termiņu no viena līdz pieciem gadiem par </w:t>
      </w:r>
      <w:r w:rsidR="006A0586" w:rsidRPr="00BD3232">
        <w:rPr>
          <w:rFonts w:eastAsia="Times New Roman"/>
          <w:szCs w:val="24"/>
        </w:rPr>
        <w:t>225,1</w:t>
      </w:r>
      <w:r w:rsidRPr="00BD3232">
        <w:rPr>
          <w:rFonts w:eastAsia="Times New Roman"/>
          <w:szCs w:val="24"/>
        </w:rPr>
        <w:t xml:space="preserve"> </w:t>
      </w:r>
      <w:r w:rsidR="00C64571" w:rsidRPr="00BD3232">
        <w:rPr>
          <w:rFonts w:eastAsia="Times New Roman"/>
          <w:szCs w:val="24"/>
        </w:rPr>
        <w:t>milj.</w:t>
      </w:r>
      <w:r w:rsidRPr="00BD3232">
        <w:rPr>
          <w:rFonts w:eastAsia="Times New Roman"/>
          <w:szCs w:val="24"/>
        </w:rPr>
        <w:t xml:space="preserve"> latu jeb </w:t>
      </w:r>
      <w:r w:rsidR="006A0586" w:rsidRPr="00BD3232">
        <w:rPr>
          <w:rFonts w:eastAsia="Times New Roman"/>
          <w:szCs w:val="24"/>
        </w:rPr>
        <w:t>59</w:t>
      </w:r>
      <w:r w:rsidRPr="00BD3232">
        <w:rPr>
          <w:rFonts w:eastAsia="Times New Roman"/>
          <w:szCs w:val="24"/>
        </w:rPr>
        <w:t>%, kas varētu norādīt uz tirgus jūtīgumu un neskaidrību par attīstības prognozēm vidējā termiņā.</w:t>
      </w:r>
      <w:r w:rsidR="00E1743E" w:rsidRPr="00BD3232">
        <w:rPr>
          <w:rFonts w:eastAsia="Times New Roman"/>
          <w:szCs w:val="24"/>
        </w:rPr>
        <w:t xml:space="preserve"> K</w:t>
      </w:r>
      <w:r w:rsidR="006A0586" w:rsidRPr="00BD3232">
        <w:rPr>
          <w:rFonts w:eastAsia="Times New Roman"/>
          <w:szCs w:val="24"/>
        </w:rPr>
        <w:t>redītu grupā ar atmaksas termiņu līdz vienam gadam novērojams palielinājums</w:t>
      </w:r>
      <w:r w:rsidR="003F51F8" w:rsidRPr="00BD3232">
        <w:rPr>
          <w:rFonts w:eastAsia="Times New Roman"/>
          <w:szCs w:val="24"/>
        </w:rPr>
        <w:t xml:space="preserve"> par 96% jeb 83,7 milj. latu</w:t>
      </w:r>
      <w:r w:rsidR="00E1743E" w:rsidRPr="00BD3232">
        <w:rPr>
          <w:rFonts w:eastAsia="Times New Roman"/>
          <w:szCs w:val="24"/>
        </w:rPr>
        <w:t>. Savukārt salīdzinot 2012.gada beigas ar 2011.gada beigām</w:t>
      </w:r>
      <w:r w:rsidR="003F51F8" w:rsidRPr="00BD3232">
        <w:rPr>
          <w:rFonts w:eastAsia="Times New Roman"/>
          <w:szCs w:val="24"/>
        </w:rPr>
        <w:t xml:space="preserve"> atmaks</w:t>
      </w:r>
      <w:r w:rsidR="00E1743E" w:rsidRPr="00BD3232">
        <w:rPr>
          <w:rFonts w:eastAsia="Times New Roman"/>
          <w:szCs w:val="24"/>
        </w:rPr>
        <w:t>as samazinājās par 21,4 milj. latu.</w:t>
      </w:r>
    </w:p>
    <w:p w:rsidR="006A0586" w:rsidRPr="00BD3232" w:rsidRDefault="006A0586" w:rsidP="006A0586">
      <w:pPr>
        <w:spacing w:after="0" w:line="240" w:lineRule="auto"/>
        <w:ind w:firstLine="709"/>
        <w:jc w:val="both"/>
        <w:rPr>
          <w:rFonts w:eastAsia="Times New Roman"/>
          <w:szCs w:val="24"/>
        </w:rPr>
      </w:pPr>
      <w:r w:rsidRPr="00BD3232">
        <w:rPr>
          <w:rFonts w:eastAsia="Times New Roman"/>
          <w:szCs w:val="24"/>
        </w:rPr>
        <w:lastRenderedPageBreak/>
        <w:t>Jāatdzīst, ka kopējais mājsaimniecībām izsniegto kredītu portfelis ir samazinājies par 1,</w:t>
      </w:r>
      <w:r w:rsidR="00347817" w:rsidRPr="00BD3232">
        <w:rPr>
          <w:rFonts w:eastAsia="Times New Roman"/>
          <w:szCs w:val="24"/>
        </w:rPr>
        <w:t>7 miljardiem latu (9.att.),</w:t>
      </w:r>
      <w:r w:rsidRPr="00BD3232">
        <w:rPr>
          <w:rFonts w:eastAsia="Times New Roman"/>
          <w:szCs w:val="24"/>
        </w:rPr>
        <w:t xml:space="preserve"> skaitliski vislielākais samazinājums novērojams kredītu grupā mājokļa iegādei, taču procentuāli visvairāk samazinājies</w:t>
      </w:r>
      <w:r w:rsidR="00347817" w:rsidRPr="00BD3232">
        <w:rPr>
          <w:rFonts w:eastAsia="Times New Roman"/>
          <w:szCs w:val="24"/>
        </w:rPr>
        <w:t xml:space="preserve"> pārējo kredītu īpatsvars 2012</w:t>
      </w:r>
      <w:r w:rsidRPr="00BD3232">
        <w:rPr>
          <w:rFonts w:eastAsia="Times New Roman"/>
          <w:szCs w:val="24"/>
        </w:rPr>
        <w:t xml:space="preserve">.gada beigās sasniedzot </w:t>
      </w:r>
      <w:r w:rsidR="00347817" w:rsidRPr="00BD3232">
        <w:rPr>
          <w:rFonts w:eastAsia="Times New Roman"/>
          <w:szCs w:val="24"/>
        </w:rPr>
        <w:t>7,3</w:t>
      </w:r>
      <w:r w:rsidRPr="00BD3232">
        <w:rPr>
          <w:rFonts w:eastAsia="Times New Roman"/>
          <w:szCs w:val="24"/>
        </w:rPr>
        <w:t>% kopējā kredītu portfelī.</w:t>
      </w:r>
    </w:p>
    <w:p w:rsidR="006A0586" w:rsidRPr="00BD3232" w:rsidRDefault="006A0586" w:rsidP="000B32D5">
      <w:pPr>
        <w:spacing w:after="0" w:line="240" w:lineRule="auto"/>
        <w:ind w:firstLine="709"/>
        <w:jc w:val="both"/>
        <w:rPr>
          <w:rFonts w:eastAsia="Times New Roman"/>
          <w:szCs w:val="24"/>
        </w:rPr>
      </w:pPr>
    </w:p>
    <w:p w:rsidR="000B32D5" w:rsidRPr="00BD3232" w:rsidRDefault="00F448B5" w:rsidP="000B32D5">
      <w:pPr>
        <w:spacing w:after="0" w:line="240" w:lineRule="auto"/>
        <w:jc w:val="both"/>
        <w:rPr>
          <w:rFonts w:eastAsia="Times New Roman"/>
          <w:szCs w:val="24"/>
        </w:rPr>
      </w:pPr>
      <w:r w:rsidRPr="00BD3232">
        <w:rPr>
          <w:noProof/>
          <w:lang w:eastAsia="lv-LV"/>
        </w:rPr>
        <w:drawing>
          <wp:inline distT="0" distB="0" distL="0" distR="0">
            <wp:extent cx="5276850" cy="276225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B32D5" w:rsidRPr="00BD3232" w:rsidRDefault="000B32D5" w:rsidP="000B32D5">
      <w:pPr>
        <w:spacing w:after="0" w:line="240" w:lineRule="auto"/>
        <w:jc w:val="both"/>
        <w:rPr>
          <w:rFonts w:eastAsia="Times New Roman"/>
          <w:szCs w:val="24"/>
        </w:rPr>
      </w:pPr>
      <w:r w:rsidRPr="00BD3232">
        <w:rPr>
          <w:rFonts w:eastAsia="Times New Roman"/>
          <w:szCs w:val="24"/>
        </w:rPr>
        <w:t>Dati: Latvijas Banka</w:t>
      </w:r>
    </w:p>
    <w:p w:rsidR="005043A1" w:rsidRPr="00BD3232" w:rsidRDefault="00A2628C" w:rsidP="005043A1">
      <w:pPr>
        <w:spacing w:after="0" w:line="240" w:lineRule="auto"/>
        <w:jc w:val="center"/>
        <w:rPr>
          <w:rFonts w:eastAsia="Times New Roman"/>
          <w:b/>
          <w:szCs w:val="24"/>
        </w:rPr>
      </w:pPr>
      <w:r w:rsidRPr="00BD3232">
        <w:rPr>
          <w:rFonts w:eastAsia="Times New Roman"/>
          <w:b/>
          <w:szCs w:val="24"/>
        </w:rPr>
        <w:t>9.</w:t>
      </w:r>
      <w:r w:rsidR="005043A1" w:rsidRPr="00BD3232">
        <w:rPr>
          <w:rFonts w:eastAsia="Times New Roman"/>
          <w:b/>
          <w:szCs w:val="24"/>
        </w:rPr>
        <w:t>att. Mājsaimniecībām izsniegto aizdevumu apjoms, milj. Ls</w:t>
      </w:r>
    </w:p>
    <w:p w:rsidR="00EC6B15" w:rsidRDefault="00EC6B15" w:rsidP="002845E5">
      <w:pPr>
        <w:spacing w:after="0" w:line="240" w:lineRule="auto"/>
        <w:ind w:firstLine="709"/>
        <w:jc w:val="both"/>
        <w:rPr>
          <w:rFonts w:eastAsia="Calibri" w:cs="Times New Roman"/>
        </w:rPr>
      </w:pPr>
    </w:p>
    <w:p w:rsidR="002845E5" w:rsidRPr="00BD3232" w:rsidRDefault="002845E5" w:rsidP="002845E5">
      <w:pPr>
        <w:spacing w:after="0" w:line="240" w:lineRule="auto"/>
        <w:ind w:firstLine="709"/>
        <w:jc w:val="both"/>
        <w:rPr>
          <w:rFonts w:eastAsia="Calibri" w:cs="Times New Roman"/>
        </w:rPr>
      </w:pPr>
      <w:r w:rsidRPr="00BD3232">
        <w:rPr>
          <w:rFonts w:eastAsia="Calibri" w:cs="Times New Roman"/>
        </w:rPr>
        <w:t>Vienlaicīgi jāatzīmē, ka atšķirībā no nefinanšu sabiedrībām mājsaimniecībām izsniegto kredītu procenta likmes latos vēl aizvien pārsniedz</w:t>
      </w:r>
      <w:r w:rsidRPr="007D66EC">
        <w:rPr>
          <w:rFonts w:eastAsia="Calibri" w:cs="Times New Roman"/>
          <w:i/>
        </w:rPr>
        <w:t xml:space="preserve"> euro </w:t>
      </w:r>
      <w:r w:rsidRPr="00BD3232">
        <w:rPr>
          <w:rFonts w:eastAsia="Calibri" w:cs="Times New Roman"/>
        </w:rPr>
        <w:t>un ASV dolāra likmes. Izsniegto kredītu apjoms turpina samazināties – 2008.gada beigās no 808,2 milj. latu līdz 497,5 milj. latu 2012.gada beigās, kas ir samazinājums no 12,6% līdz 10,7% no kopējā mājsaimniecību aizdevumu portfeļa.</w:t>
      </w:r>
    </w:p>
    <w:p w:rsidR="00C92768" w:rsidRPr="00BD3232" w:rsidRDefault="00C92768" w:rsidP="00103284">
      <w:pPr>
        <w:spacing w:after="0" w:line="240" w:lineRule="auto"/>
        <w:jc w:val="both"/>
        <w:rPr>
          <w:rFonts w:eastAsia="Calibri" w:cs="Times New Roman"/>
        </w:rPr>
      </w:pPr>
    </w:p>
    <w:p w:rsidR="00393A8D" w:rsidRPr="00BD3232" w:rsidRDefault="00393A8D" w:rsidP="00393A8D">
      <w:pPr>
        <w:numPr>
          <w:ilvl w:val="1"/>
          <w:numId w:val="35"/>
        </w:numPr>
        <w:spacing w:after="0" w:line="240" w:lineRule="auto"/>
        <w:contextualSpacing/>
        <w:rPr>
          <w:rFonts w:eastAsia="Calibri" w:cs="Times New Roman"/>
          <w:b/>
          <w:i/>
        </w:rPr>
      </w:pPr>
      <w:r w:rsidRPr="00BD3232">
        <w:rPr>
          <w:rFonts w:eastAsia="Calibri" w:cs="Times New Roman"/>
          <w:b/>
          <w:i/>
        </w:rPr>
        <w:t>Noguldījumi</w:t>
      </w:r>
    </w:p>
    <w:p w:rsidR="009B044F" w:rsidRPr="00BD3232" w:rsidRDefault="009B044F" w:rsidP="009B044F">
      <w:pPr>
        <w:spacing w:after="0" w:line="240" w:lineRule="auto"/>
        <w:ind w:firstLine="709"/>
        <w:jc w:val="both"/>
        <w:rPr>
          <w:rFonts w:eastAsia="Calibri" w:cs="Times New Roman"/>
        </w:rPr>
      </w:pPr>
    </w:p>
    <w:p w:rsidR="009B044F" w:rsidRPr="00BD3232" w:rsidRDefault="00C0463C" w:rsidP="009B044F">
      <w:pPr>
        <w:spacing w:after="0" w:line="240" w:lineRule="auto"/>
        <w:ind w:firstLine="709"/>
        <w:jc w:val="both"/>
        <w:rPr>
          <w:rFonts w:eastAsia="Calibri" w:cs="Times New Roman"/>
        </w:rPr>
      </w:pPr>
      <w:r w:rsidRPr="00BD3232">
        <w:rPr>
          <w:rFonts w:eastAsia="Calibri" w:cs="Times New Roman"/>
        </w:rPr>
        <w:t>2012.</w:t>
      </w:r>
      <w:r w:rsidR="00985914" w:rsidRPr="00BD3232">
        <w:rPr>
          <w:rFonts w:eastAsia="Calibri" w:cs="Times New Roman"/>
        </w:rPr>
        <w:t xml:space="preserve">gada decembra beigās </w:t>
      </w:r>
      <w:r w:rsidRPr="00BD3232">
        <w:rPr>
          <w:rFonts w:eastAsia="Calibri" w:cs="Times New Roman"/>
        </w:rPr>
        <w:t>noguldījumu apjoms sasniedza 12,</w:t>
      </w:r>
      <w:r w:rsidR="00985914" w:rsidRPr="00BD3232">
        <w:rPr>
          <w:rFonts w:eastAsia="Calibri" w:cs="Times New Roman"/>
        </w:rPr>
        <w:t>5 mljrd. latu</w:t>
      </w:r>
      <w:r w:rsidRPr="00BD3232">
        <w:rPr>
          <w:rFonts w:eastAsia="Calibri" w:cs="Times New Roman"/>
        </w:rPr>
        <w:t>, gada laikā pieaugot par 1,4 mljrd. latu jeb 12,</w:t>
      </w:r>
      <w:r w:rsidR="00985914" w:rsidRPr="00BD3232">
        <w:rPr>
          <w:rFonts w:eastAsia="Calibri" w:cs="Times New Roman"/>
        </w:rPr>
        <w:t>7% (izslēdzot problēmbanku rādī</w:t>
      </w:r>
      <w:r w:rsidRPr="00BD3232">
        <w:rPr>
          <w:rFonts w:eastAsia="Calibri" w:cs="Times New Roman"/>
        </w:rPr>
        <w:t>tājus noguldījumi pieauga par 1,6 mljrd. latu jeb 15,</w:t>
      </w:r>
      <w:r w:rsidR="00985914" w:rsidRPr="00BD3232">
        <w:rPr>
          <w:rFonts w:eastAsia="Calibri" w:cs="Times New Roman"/>
        </w:rPr>
        <w:t>8%), tai skaitā rezidentu noguldījumi par 530 milj. latu (galvenokārt valdības, nefinanšu sabiedrību un mājsaimniecību noguldījumi), savukārt nerezidentu noguldījumi palielinājās par 876 milj. latu. Rezidentu noguldījumi gada laikā bija samērā nemainīgi un pieaugoša noguldījumu tendence bija vērojama tikai gada pēdējā ceturksnī. Savukārt nerezidentu noguldījumu straujāks pieaugums bija vērojams gada pirmajā pusē, bet gada otrajā pusē, ASV dolāra vērtībai sarūkot, nerezidentu noguldījumu pieauguma tempi sāka mazināties.</w:t>
      </w:r>
    </w:p>
    <w:p w:rsidR="009B044F" w:rsidRPr="00BD3232" w:rsidRDefault="00A95BDD" w:rsidP="009B044F">
      <w:pPr>
        <w:spacing w:after="0" w:line="240" w:lineRule="auto"/>
        <w:ind w:firstLine="709"/>
        <w:jc w:val="both"/>
        <w:rPr>
          <w:rFonts w:eastAsia="Calibri" w:cs="Times New Roman"/>
        </w:rPr>
      </w:pPr>
      <w:r w:rsidRPr="00BD3232">
        <w:rPr>
          <w:rFonts w:eastAsia="Calibri" w:cs="Times New Roman"/>
        </w:rPr>
        <w:t xml:space="preserve">Saskaņā ar </w:t>
      </w:r>
      <w:r w:rsidR="00D813CC" w:rsidRPr="00BD3232">
        <w:rPr>
          <w:rFonts w:eastAsia="Calibri" w:cs="Times New Roman"/>
        </w:rPr>
        <w:t>FKTK pārskat</w:t>
      </w:r>
      <w:r w:rsidRPr="00BD3232">
        <w:rPr>
          <w:rFonts w:eastAsia="Calibri" w:cs="Times New Roman"/>
        </w:rPr>
        <w:t>ā</w:t>
      </w:r>
      <w:r w:rsidR="00D813CC" w:rsidRPr="00BD3232">
        <w:rPr>
          <w:rFonts w:eastAsia="Calibri" w:cs="Times New Roman"/>
        </w:rPr>
        <w:t xml:space="preserve"> „Par finanšu un kapitāla tirgu 2012.gadā” </w:t>
      </w:r>
      <w:r w:rsidRPr="00BD3232">
        <w:rPr>
          <w:rFonts w:eastAsia="Calibri" w:cs="Times New Roman"/>
        </w:rPr>
        <w:t xml:space="preserve">sniegto </w:t>
      </w:r>
      <w:r w:rsidR="005D7F19" w:rsidRPr="00BD3232">
        <w:rPr>
          <w:rFonts w:eastAsia="Calibri" w:cs="Times New Roman"/>
        </w:rPr>
        <w:t>informācij</w:t>
      </w:r>
      <w:r w:rsidRPr="00BD3232">
        <w:rPr>
          <w:rFonts w:eastAsia="Calibri" w:cs="Times New Roman"/>
        </w:rPr>
        <w:t>u</w:t>
      </w:r>
      <w:r w:rsidR="008244FB" w:rsidRPr="00BD3232">
        <w:rPr>
          <w:rFonts w:eastAsia="Calibri" w:cs="Times New Roman"/>
        </w:rPr>
        <w:t xml:space="preserve">, </w:t>
      </w:r>
      <w:r w:rsidR="00C0463C" w:rsidRPr="00BD3232">
        <w:rPr>
          <w:rFonts w:eastAsia="Calibri" w:cs="Times New Roman"/>
        </w:rPr>
        <w:t>2012.</w:t>
      </w:r>
      <w:r w:rsidR="00985914" w:rsidRPr="00BD3232">
        <w:rPr>
          <w:rFonts w:eastAsia="Calibri" w:cs="Times New Roman"/>
        </w:rPr>
        <w:t>gadā apstrādes rūpniecības straujā izaugsme (salīdzināmajās cenās kāpum</w:t>
      </w:r>
      <w:r w:rsidR="00C0463C" w:rsidRPr="00BD3232">
        <w:rPr>
          <w:rFonts w:eastAsia="Calibri" w:cs="Times New Roman"/>
        </w:rPr>
        <w:t>s par 9,</w:t>
      </w:r>
      <w:r w:rsidR="00985914" w:rsidRPr="00BD3232">
        <w:rPr>
          <w:rFonts w:eastAsia="Calibri" w:cs="Times New Roman"/>
        </w:rPr>
        <w:t>3%) veicinājusi arī noguldījumu pieaugumu rezidentu privāto nefinanšu sabiedrību sektorā, no</w:t>
      </w:r>
      <w:r w:rsidR="00C0463C" w:rsidRPr="00BD3232">
        <w:rPr>
          <w:rFonts w:eastAsia="Calibri" w:cs="Times New Roman"/>
        </w:rPr>
        <w:t>guldījumiem palielinoties par 7,</w:t>
      </w:r>
      <w:r w:rsidR="00985914" w:rsidRPr="00BD3232">
        <w:rPr>
          <w:rFonts w:eastAsia="Calibri" w:cs="Times New Roman"/>
        </w:rPr>
        <w:t xml:space="preserve">9%. Neskatoties uz samērā straujo mājsaimniecību </w:t>
      </w:r>
      <w:r w:rsidR="00C0463C" w:rsidRPr="00BD3232">
        <w:rPr>
          <w:rFonts w:eastAsia="Calibri" w:cs="Times New Roman"/>
        </w:rPr>
        <w:t>patēriņa</w:t>
      </w:r>
      <w:r w:rsidR="00985914" w:rsidRPr="00BD3232">
        <w:rPr>
          <w:rFonts w:eastAsia="Calibri" w:cs="Times New Roman"/>
        </w:rPr>
        <w:t xml:space="preserve"> kāpumu, rezidentu mājsaimn</w:t>
      </w:r>
      <w:r w:rsidR="00C0463C" w:rsidRPr="00BD3232">
        <w:rPr>
          <w:rFonts w:eastAsia="Calibri" w:cs="Times New Roman"/>
        </w:rPr>
        <w:t>iecību noguldījumu kāpums 2012.</w:t>
      </w:r>
      <w:r w:rsidR="00985914" w:rsidRPr="00BD3232">
        <w:rPr>
          <w:rFonts w:eastAsia="Calibri" w:cs="Times New Roman"/>
        </w:rPr>
        <w:t>gadā par</w:t>
      </w:r>
      <w:r w:rsidR="00C0463C" w:rsidRPr="00BD3232">
        <w:rPr>
          <w:rFonts w:eastAsia="Calibri" w:cs="Times New Roman"/>
        </w:rPr>
        <w:t xml:space="preserve"> 2,</w:t>
      </w:r>
      <w:r w:rsidR="00985914" w:rsidRPr="00BD3232">
        <w:rPr>
          <w:rFonts w:eastAsia="Calibri" w:cs="Times New Roman"/>
        </w:rPr>
        <w:t>1% bijis nedaudz lielāks nekā reālais neto darba samaksas pieaugu</w:t>
      </w:r>
      <w:r w:rsidR="00C0463C" w:rsidRPr="00BD3232">
        <w:rPr>
          <w:rFonts w:eastAsia="Calibri" w:cs="Times New Roman"/>
        </w:rPr>
        <w:t>ms vidēji tautsaimniecībā par 1,</w:t>
      </w:r>
      <w:r w:rsidR="00985914" w:rsidRPr="00BD3232">
        <w:rPr>
          <w:rFonts w:eastAsia="Calibri" w:cs="Times New Roman"/>
        </w:rPr>
        <w:t>6%.</w:t>
      </w:r>
    </w:p>
    <w:p w:rsidR="000B5909" w:rsidRPr="00BD3232" w:rsidRDefault="00C0463C" w:rsidP="009B044F">
      <w:pPr>
        <w:spacing w:after="0" w:line="240" w:lineRule="auto"/>
        <w:ind w:firstLine="709"/>
        <w:jc w:val="both"/>
        <w:rPr>
          <w:sz w:val="23"/>
          <w:szCs w:val="23"/>
        </w:rPr>
      </w:pPr>
      <w:r w:rsidRPr="00BD3232">
        <w:rPr>
          <w:rFonts w:eastAsia="Calibri" w:cs="Times New Roman"/>
        </w:rPr>
        <w:t>2012.</w:t>
      </w:r>
      <w:r w:rsidR="00985914" w:rsidRPr="00BD3232">
        <w:rPr>
          <w:rFonts w:eastAsia="Calibri" w:cs="Times New Roman"/>
        </w:rPr>
        <w:t>gad</w:t>
      </w:r>
      <w:r w:rsidRPr="00BD3232">
        <w:rPr>
          <w:rFonts w:eastAsia="Calibri" w:cs="Times New Roman"/>
        </w:rPr>
        <w:t xml:space="preserve">ā straujāk pieaugot rezidentu </w:t>
      </w:r>
      <w:r w:rsidR="00F01581" w:rsidRPr="007D66EC">
        <w:rPr>
          <w:rFonts w:eastAsia="Calibri" w:cs="Times New Roman"/>
          <w:i/>
        </w:rPr>
        <w:t>euro</w:t>
      </w:r>
      <w:r w:rsidR="00985914" w:rsidRPr="00BD3232">
        <w:rPr>
          <w:rFonts w:eastAsia="Calibri" w:cs="Times New Roman"/>
        </w:rPr>
        <w:t xml:space="preserve"> noguldījumiem – par 403 milj. latu, to īpatsvars atkal pārsniedza latu noguldījumu īpatsvaru, kopējos rezid</w:t>
      </w:r>
      <w:r w:rsidRPr="00BD3232">
        <w:rPr>
          <w:rFonts w:eastAsia="Calibri" w:cs="Times New Roman"/>
        </w:rPr>
        <w:t xml:space="preserve">entu </w:t>
      </w:r>
      <w:r w:rsidRPr="00BD3232">
        <w:rPr>
          <w:rFonts w:eastAsia="Calibri" w:cs="Times New Roman"/>
        </w:rPr>
        <w:lastRenderedPageBreak/>
        <w:t>noguldījumos sasniedzot 45,6% (2011.gada beigās – 42,</w:t>
      </w:r>
      <w:r w:rsidR="00985914" w:rsidRPr="00BD3232">
        <w:rPr>
          <w:rFonts w:eastAsia="Calibri" w:cs="Times New Roman"/>
        </w:rPr>
        <w:t>9%). Gada pirmajā pusē bija vērojams latu noguldījumu kritums, tomēr pēdējā ceturksnī latu noguldījumi atkal pieauga, gada laikā veidojot kāpumu par 19 milj. latu. Lai arī nerezidentu nogul</w:t>
      </w:r>
      <w:r w:rsidRPr="00BD3232">
        <w:rPr>
          <w:rFonts w:eastAsia="Calibri" w:cs="Times New Roman"/>
        </w:rPr>
        <w:t xml:space="preserve">dījumos turpināja pieaugt arī </w:t>
      </w:r>
      <w:r w:rsidR="00F01581" w:rsidRPr="007D66EC">
        <w:rPr>
          <w:rFonts w:eastAsia="Calibri" w:cs="Times New Roman"/>
          <w:i/>
        </w:rPr>
        <w:t>euro</w:t>
      </w:r>
      <w:r w:rsidR="00985914" w:rsidRPr="00BD3232">
        <w:rPr>
          <w:rFonts w:eastAsia="Calibri" w:cs="Times New Roman"/>
        </w:rPr>
        <w:t xml:space="preserve"> noguldījumi, tomēr galvenokārt pieauga ASV dolāru noguldījumi, to īpatsvaram g</w:t>
      </w:r>
      <w:r w:rsidR="00D813CC" w:rsidRPr="00BD3232">
        <w:rPr>
          <w:rFonts w:eastAsia="Calibri" w:cs="Times New Roman"/>
        </w:rPr>
        <w:t>ada laikā palielinoties līdz 63,9% (2011.gada beigās – 58,</w:t>
      </w:r>
      <w:r w:rsidR="00985914" w:rsidRPr="00BD3232">
        <w:rPr>
          <w:rFonts w:eastAsia="Calibri" w:cs="Times New Roman"/>
        </w:rPr>
        <w:t>8%).</w:t>
      </w:r>
      <w:r w:rsidRPr="00BD3232">
        <w:rPr>
          <w:sz w:val="23"/>
          <w:szCs w:val="23"/>
        </w:rPr>
        <w:t xml:space="preserve"> </w:t>
      </w:r>
    </w:p>
    <w:p w:rsidR="00985914" w:rsidRPr="00BD3232" w:rsidRDefault="00C0463C" w:rsidP="009B044F">
      <w:pPr>
        <w:spacing w:after="0" w:line="240" w:lineRule="auto"/>
        <w:ind w:firstLine="709"/>
        <w:jc w:val="both"/>
        <w:rPr>
          <w:rFonts w:eastAsia="Calibri" w:cs="Times New Roman"/>
        </w:rPr>
      </w:pPr>
      <w:r w:rsidRPr="00BD3232">
        <w:rPr>
          <w:szCs w:val="24"/>
        </w:rPr>
        <w:t>Straujais rezidentu noguldījumu pieaugums gada otrajā pusē bijis uz pieprasījuma noguldījumu pieauguma rēķina, palielinot arī to daļu kopējos noguldījumos lī</w:t>
      </w:r>
      <w:r w:rsidR="000B5909" w:rsidRPr="00BD3232">
        <w:rPr>
          <w:szCs w:val="24"/>
        </w:rPr>
        <w:t>dz 60,7% (2011.</w:t>
      </w:r>
      <w:r w:rsidRPr="00BD3232">
        <w:rPr>
          <w:szCs w:val="24"/>
        </w:rPr>
        <w:t>gada beigā</w:t>
      </w:r>
      <w:r w:rsidR="000B5909" w:rsidRPr="00BD3232">
        <w:rPr>
          <w:szCs w:val="24"/>
        </w:rPr>
        <w:t>s – 56,</w:t>
      </w:r>
      <w:r w:rsidRPr="00BD3232">
        <w:rPr>
          <w:szCs w:val="24"/>
        </w:rPr>
        <w:t xml:space="preserve">3%). Rezidentu </w:t>
      </w:r>
      <w:r w:rsidR="000B5909" w:rsidRPr="00BD3232">
        <w:rPr>
          <w:szCs w:val="24"/>
        </w:rPr>
        <w:t>termiņnoguldījumu</w:t>
      </w:r>
      <w:r w:rsidRPr="00BD3232">
        <w:rPr>
          <w:szCs w:val="24"/>
        </w:rPr>
        <w:t xml:space="preserve"> daļa atgriezusies vēsturiski zemākajā līmenī kopš</w:t>
      </w:r>
      <w:r w:rsidR="000B5909" w:rsidRPr="00BD3232">
        <w:rPr>
          <w:szCs w:val="24"/>
        </w:rPr>
        <w:t xml:space="preserve"> 2002.</w:t>
      </w:r>
      <w:r w:rsidRPr="00BD3232">
        <w:rPr>
          <w:szCs w:val="24"/>
        </w:rPr>
        <w:t xml:space="preserve">gada. Augstāks rezidentu </w:t>
      </w:r>
      <w:r w:rsidR="000B5909" w:rsidRPr="00BD3232">
        <w:rPr>
          <w:szCs w:val="24"/>
        </w:rPr>
        <w:t>termiņnoguldījumu</w:t>
      </w:r>
      <w:r w:rsidRPr="00BD3232">
        <w:rPr>
          <w:szCs w:val="24"/>
        </w:rPr>
        <w:t xml:space="preserve"> īpatsvars novērots tikai laika periodā</w:t>
      </w:r>
      <w:r w:rsidR="000B5909" w:rsidRPr="00BD3232">
        <w:rPr>
          <w:szCs w:val="24"/>
        </w:rPr>
        <w:t xml:space="preserve"> no 2008.</w:t>
      </w:r>
      <w:r w:rsidRPr="00BD3232">
        <w:rPr>
          <w:szCs w:val="24"/>
        </w:rPr>
        <w:t>gada lī</w:t>
      </w:r>
      <w:r w:rsidR="000B5909" w:rsidRPr="00BD3232">
        <w:rPr>
          <w:szCs w:val="24"/>
        </w:rPr>
        <w:t>dz 2010.</w:t>
      </w:r>
      <w:r w:rsidRPr="00BD3232">
        <w:rPr>
          <w:szCs w:val="24"/>
        </w:rPr>
        <w:t>gada beigām, kad bija vērojamas augstākas noguldījumu procentu likmes. Savukārt nerezidentu noguldījumos jau vēsturiski novērota augstāka pieprasījuma noguldījumu daļa, sasniedzot pat 87% īpatsvaru kopējos noguldījumos laika periodā</w:t>
      </w:r>
      <w:r w:rsidR="000B5909" w:rsidRPr="00BD3232">
        <w:rPr>
          <w:szCs w:val="24"/>
        </w:rPr>
        <w:t xml:space="preserve"> no 2003.</w:t>
      </w:r>
      <w:r w:rsidRPr="00BD3232">
        <w:rPr>
          <w:szCs w:val="24"/>
        </w:rPr>
        <w:t>gada lī</w:t>
      </w:r>
      <w:r w:rsidR="000B5909" w:rsidRPr="00BD3232">
        <w:rPr>
          <w:szCs w:val="24"/>
        </w:rPr>
        <w:t>dz 2005.</w:t>
      </w:r>
      <w:r w:rsidRPr="00BD3232">
        <w:rPr>
          <w:szCs w:val="24"/>
        </w:rPr>
        <w:t>gadam.</w:t>
      </w:r>
      <w:r w:rsidR="000B5909" w:rsidRPr="00BD3232">
        <w:rPr>
          <w:szCs w:val="24"/>
        </w:rPr>
        <w:t xml:space="preserve"> 2012.</w:t>
      </w:r>
      <w:r w:rsidRPr="00BD3232">
        <w:rPr>
          <w:szCs w:val="24"/>
        </w:rPr>
        <w:t>gada beigās nerezidentu noguldījumos pieprasījuma noguldījumu ī</w:t>
      </w:r>
      <w:r w:rsidR="000B5909" w:rsidRPr="00BD3232">
        <w:rPr>
          <w:szCs w:val="24"/>
        </w:rPr>
        <w:t>patsvars sasniedza 82,8% (2011.</w:t>
      </w:r>
      <w:r w:rsidRPr="00BD3232">
        <w:rPr>
          <w:szCs w:val="24"/>
        </w:rPr>
        <w:t>gada beigā</w:t>
      </w:r>
      <w:r w:rsidR="000B5909" w:rsidRPr="00BD3232">
        <w:rPr>
          <w:szCs w:val="24"/>
        </w:rPr>
        <w:t>s – 70,</w:t>
      </w:r>
      <w:r w:rsidRPr="00BD3232">
        <w:rPr>
          <w:szCs w:val="24"/>
        </w:rPr>
        <w:t>8%).</w:t>
      </w:r>
      <w:r w:rsidR="00CC76D8" w:rsidRPr="00BD3232">
        <w:rPr>
          <w:szCs w:val="24"/>
        </w:rPr>
        <w:t xml:space="preserve"> </w:t>
      </w:r>
    </w:p>
    <w:p w:rsidR="00B72F2C" w:rsidRDefault="00B72F2C" w:rsidP="009400F0">
      <w:pPr>
        <w:spacing w:after="0" w:line="240" w:lineRule="auto"/>
        <w:jc w:val="both"/>
        <w:rPr>
          <w:rFonts w:eastAsia="Calibri" w:cs="Times New Roman"/>
        </w:rPr>
      </w:pPr>
    </w:p>
    <w:p w:rsidR="00EC6B15" w:rsidRPr="00BD3232" w:rsidRDefault="00EC6B15" w:rsidP="009400F0">
      <w:pPr>
        <w:spacing w:after="0" w:line="240" w:lineRule="auto"/>
        <w:jc w:val="both"/>
        <w:rPr>
          <w:rFonts w:eastAsia="Calibri" w:cs="Times New Roman"/>
        </w:rPr>
      </w:pPr>
    </w:p>
    <w:p w:rsidR="00393A8D" w:rsidRPr="00BD3232" w:rsidRDefault="00393A8D" w:rsidP="00393A8D">
      <w:pPr>
        <w:numPr>
          <w:ilvl w:val="0"/>
          <w:numId w:val="35"/>
        </w:numPr>
        <w:spacing w:after="0" w:line="240" w:lineRule="auto"/>
        <w:contextualSpacing/>
        <w:rPr>
          <w:rFonts w:eastAsia="Calibri" w:cs="Times New Roman"/>
          <w:b/>
        </w:rPr>
      </w:pPr>
      <w:r w:rsidRPr="00BD3232">
        <w:rPr>
          <w:rFonts w:eastAsia="Calibri" w:cs="Times New Roman"/>
          <w:b/>
        </w:rPr>
        <w:t xml:space="preserve">FSN </w:t>
      </w:r>
      <w:r w:rsidR="00607249" w:rsidRPr="00BD3232">
        <w:rPr>
          <w:rFonts w:eastAsia="Calibri" w:cs="Times New Roman"/>
          <w:b/>
        </w:rPr>
        <w:t xml:space="preserve">apmērs </w:t>
      </w:r>
    </w:p>
    <w:p w:rsidR="00401533" w:rsidRPr="00BD3232" w:rsidRDefault="00401533" w:rsidP="00401533">
      <w:pPr>
        <w:spacing w:after="0" w:line="240" w:lineRule="auto"/>
        <w:ind w:left="360"/>
        <w:contextualSpacing/>
        <w:rPr>
          <w:rFonts w:eastAsia="Calibri" w:cs="Times New Roman"/>
        </w:rPr>
      </w:pPr>
    </w:p>
    <w:p w:rsidR="00401533" w:rsidRPr="00BD3232" w:rsidRDefault="001814AD" w:rsidP="00B97C26">
      <w:pPr>
        <w:spacing w:after="0" w:line="240" w:lineRule="auto"/>
        <w:ind w:firstLine="709"/>
        <w:contextualSpacing/>
        <w:jc w:val="both"/>
        <w:rPr>
          <w:rFonts w:eastAsia="Calibri" w:cs="Times New Roman"/>
        </w:rPr>
      </w:pPr>
      <w:r w:rsidRPr="00BD3232">
        <w:rPr>
          <w:rFonts w:eastAsia="Calibri" w:cs="Times New Roman"/>
        </w:rPr>
        <w:t>Pieņemot lēmumu par FSN ieviešanu, tika plānoti papildus ieņēmumi budžetā 3</w:t>
      </w:r>
      <w:r w:rsidR="00B97C26" w:rsidRPr="00BD3232">
        <w:rPr>
          <w:rFonts w:eastAsia="Calibri" w:cs="Times New Roman"/>
        </w:rPr>
        <w:t> </w:t>
      </w:r>
      <w:r w:rsidRPr="00BD3232">
        <w:rPr>
          <w:rFonts w:eastAsia="Calibri" w:cs="Times New Roman"/>
        </w:rPr>
        <w:t>018</w:t>
      </w:r>
      <w:r w:rsidR="00B97C26" w:rsidRPr="00BD3232">
        <w:rPr>
          <w:rFonts w:eastAsia="Calibri" w:cs="Times New Roman"/>
        </w:rPr>
        <w:t xml:space="preserve"> tūkstošu latu apmērā 2011.gadam un 4 024 tūkstoši latu 2012. un 2013.gadam</w:t>
      </w:r>
      <w:r w:rsidR="00D813CC" w:rsidRPr="00BD3232">
        <w:rPr>
          <w:rFonts w:eastAsia="Calibri" w:cs="Times New Roman"/>
        </w:rPr>
        <w:t xml:space="preserve"> (4.</w:t>
      </w:r>
      <w:r w:rsidR="006A5F80" w:rsidRPr="00BD3232">
        <w:rPr>
          <w:rFonts w:eastAsia="Calibri" w:cs="Times New Roman"/>
        </w:rPr>
        <w:t>tab.)</w:t>
      </w:r>
      <w:r w:rsidR="00B97C26" w:rsidRPr="00BD3232">
        <w:rPr>
          <w:rFonts w:eastAsia="Calibri" w:cs="Times New Roman"/>
        </w:rPr>
        <w:t xml:space="preserve">. </w:t>
      </w:r>
    </w:p>
    <w:p w:rsidR="004810A0" w:rsidRPr="00BD3232" w:rsidRDefault="004810A0" w:rsidP="00B97C26">
      <w:pPr>
        <w:spacing w:after="0" w:line="240" w:lineRule="auto"/>
        <w:ind w:firstLine="709"/>
        <w:contextualSpacing/>
        <w:jc w:val="both"/>
        <w:rPr>
          <w:rFonts w:eastAsia="Calibri" w:cs="Times New Roman"/>
        </w:rPr>
      </w:pPr>
    </w:p>
    <w:p w:rsidR="00393A8D" w:rsidRPr="00BD3232" w:rsidRDefault="00D813CC" w:rsidP="00393A8D">
      <w:pPr>
        <w:spacing w:after="0" w:line="240" w:lineRule="auto"/>
        <w:rPr>
          <w:rFonts w:eastAsia="Calibri" w:cs="Times New Roman"/>
          <w:b/>
        </w:rPr>
      </w:pPr>
      <w:r w:rsidRPr="00BD3232">
        <w:rPr>
          <w:rFonts w:eastAsia="Calibri" w:cs="Times New Roman"/>
          <w:b/>
        </w:rPr>
        <w:t>4</w:t>
      </w:r>
      <w:r w:rsidR="004810A0" w:rsidRPr="00BD3232">
        <w:rPr>
          <w:rFonts w:eastAsia="Calibri" w:cs="Times New Roman"/>
          <w:b/>
        </w:rPr>
        <w:t xml:space="preserve">.tabula „FSN </w:t>
      </w:r>
      <w:r w:rsidR="00607249" w:rsidRPr="00BD3232">
        <w:rPr>
          <w:rFonts w:eastAsia="Calibri" w:cs="Times New Roman"/>
          <w:b/>
        </w:rPr>
        <w:t xml:space="preserve">deklarācijas kopsavilkums par 2011. un </w:t>
      </w:r>
      <w:r w:rsidR="00325D39" w:rsidRPr="00BD3232">
        <w:rPr>
          <w:rFonts w:eastAsia="Calibri" w:cs="Times New Roman"/>
          <w:b/>
        </w:rPr>
        <w:t>2012.gadu (</w:t>
      </w:r>
      <w:r w:rsidRPr="00BD3232">
        <w:rPr>
          <w:rFonts w:eastAsia="Calibri" w:cs="Times New Roman"/>
          <w:b/>
        </w:rPr>
        <w:t>Ls</w:t>
      </w:r>
      <w:r w:rsidR="00325D39" w:rsidRPr="00BD3232">
        <w:rPr>
          <w:rFonts w:eastAsia="Calibri" w:cs="Times New Roman"/>
          <w:b/>
        </w:rPr>
        <w:t>)</w:t>
      </w:r>
      <w:r w:rsidR="004810A0" w:rsidRPr="00BD3232">
        <w:rPr>
          <w:rFonts w:eastAsia="Calibri" w:cs="Times New Roman"/>
          <w:b/>
        </w:rPr>
        <w:t>”</w:t>
      </w:r>
    </w:p>
    <w:tbl>
      <w:tblPr>
        <w:tblStyle w:val="TableGrid"/>
        <w:tblW w:w="0" w:type="auto"/>
        <w:tblLook w:val="04A0" w:firstRow="1" w:lastRow="0" w:firstColumn="1" w:lastColumn="0" w:noHBand="0" w:noVBand="1"/>
      </w:tblPr>
      <w:tblGrid>
        <w:gridCol w:w="5070"/>
        <w:gridCol w:w="1701"/>
        <w:gridCol w:w="1701"/>
      </w:tblGrid>
      <w:tr w:rsidR="00BD3232" w:rsidRPr="00455ABC" w:rsidTr="00C16FF9">
        <w:tc>
          <w:tcPr>
            <w:tcW w:w="5070" w:type="dxa"/>
          </w:tcPr>
          <w:p w:rsidR="00350AAE" w:rsidRPr="00455ABC" w:rsidRDefault="00350AAE" w:rsidP="00350AAE">
            <w:pPr>
              <w:jc w:val="center"/>
              <w:rPr>
                <w:rFonts w:ascii="Times New Roman" w:eastAsia="Calibri" w:hAnsi="Times New Roman" w:cs="Times New Roman"/>
                <w:b/>
                <w:sz w:val="24"/>
                <w:szCs w:val="24"/>
              </w:rPr>
            </w:pPr>
            <w:r w:rsidRPr="00455ABC">
              <w:rPr>
                <w:rFonts w:ascii="Times New Roman" w:eastAsia="Calibri" w:hAnsi="Times New Roman" w:cs="Times New Roman"/>
                <w:b/>
                <w:sz w:val="24"/>
                <w:szCs w:val="24"/>
              </w:rPr>
              <w:t>Pozīcijas nosaukums</w:t>
            </w:r>
          </w:p>
        </w:tc>
        <w:tc>
          <w:tcPr>
            <w:tcW w:w="1701" w:type="dxa"/>
          </w:tcPr>
          <w:p w:rsidR="00350AAE" w:rsidRPr="00455ABC" w:rsidRDefault="00350AAE" w:rsidP="00350AAE">
            <w:pPr>
              <w:jc w:val="center"/>
              <w:rPr>
                <w:rFonts w:ascii="Times New Roman" w:eastAsia="Calibri" w:hAnsi="Times New Roman" w:cs="Times New Roman"/>
                <w:b/>
                <w:sz w:val="24"/>
                <w:szCs w:val="24"/>
              </w:rPr>
            </w:pPr>
            <w:r w:rsidRPr="00455ABC">
              <w:rPr>
                <w:rFonts w:ascii="Times New Roman" w:eastAsia="Calibri" w:hAnsi="Times New Roman" w:cs="Times New Roman"/>
                <w:b/>
                <w:sz w:val="24"/>
                <w:szCs w:val="24"/>
              </w:rPr>
              <w:t>2011.gads</w:t>
            </w:r>
          </w:p>
        </w:tc>
        <w:tc>
          <w:tcPr>
            <w:tcW w:w="1701" w:type="dxa"/>
          </w:tcPr>
          <w:p w:rsidR="00350AAE" w:rsidRPr="00455ABC" w:rsidRDefault="00350AAE" w:rsidP="00350AAE">
            <w:pPr>
              <w:jc w:val="center"/>
              <w:rPr>
                <w:rFonts w:ascii="Times New Roman" w:eastAsia="Calibri" w:hAnsi="Times New Roman" w:cs="Times New Roman"/>
                <w:b/>
                <w:sz w:val="24"/>
                <w:szCs w:val="24"/>
              </w:rPr>
            </w:pPr>
            <w:r w:rsidRPr="00455ABC">
              <w:rPr>
                <w:rFonts w:ascii="Times New Roman" w:eastAsia="Calibri" w:hAnsi="Times New Roman" w:cs="Times New Roman"/>
                <w:b/>
                <w:sz w:val="24"/>
                <w:szCs w:val="24"/>
              </w:rPr>
              <w:t>2012.gads</w:t>
            </w:r>
          </w:p>
        </w:tc>
      </w:tr>
      <w:tr w:rsidR="00BD3232" w:rsidRPr="00455ABC" w:rsidTr="00325D39">
        <w:tc>
          <w:tcPr>
            <w:tcW w:w="5070" w:type="dxa"/>
            <w:tcBorders>
              <w:bottom w:val="single" w:sz="12" w:space="0" w:color="auto"/>
            </w:tcBorders>
          </w:tcPr>
          <w:p w:rsidR="00350AAE" w:rsidRPr="00455ABC" w:rsidRDefault="00350AAE" w:rsidP="00393A8D">
            <w:pPr>
              <w:rPr>
                <w:rFonts w:ascii="Times New Roman" w:eastAsia="Calibri" w:hAnsi="Times New Roman" w:cs="Times New Roman"/>
                <w:i/>
                <w:sz w:val="24"/>
                <w:szCs w:val="24"/>
              </w:rPr>
            </w:pPr>
            <w:r w:rsidRPr="00455ABC">
              <w:rPr>
                <w:rFonts w:ascii="Times New Roman" w:eastAsia="Calibri" w:hAnsi="Times New Roman" w:cs="Times New Roman"/>
                <w:i/>
                <w:sz w:val="24"/>
                <w:szCs w:val="24"/>
              </w:rPr>
              <w:t>Plānotie budžeta ieņēmumi</w:t>
            </w:r>
          </w:p>
        </w:tc>
        <w:tc>
          <w:tcPr>
            <w:tcW w:w="1701" w:type="dxa"/>
            <w:tcBorders>
              <w:bottom w:val="single" w:sz="12" w:space="0" w:color="auto"/>
            </w:tcBorders>
          </w:tcPr>
          <w:p w:rsidR="00350AAE" w:rsidRPr="00455ABC" w:rsidRDefault="00F23B42" w:rsidP="004810A0">
            <w:pPr>
              <w:jc w:val="center"/>
              <w:rPr>
                <w:rFonts w:ascii="Times New Roman" w:eastAsia="Calibri" w:hAnsi="Times New Roman" w:cs="Times New Roman"/>
                <w:i/>
                <w:sz w:val="24"/>
                <w:szCs w:val="24"/>
              </w:rPr>
            </w:pPr>
            <w:r w:rsidRPr="00455ABC">
              <w:rPr>
                <w:rFonts w:ascii="Times New Roman" w:eastAsia="Calibri" w:hAnsi="Times New Roman" w:cs="Times New Roman"/>
                <w:i/>
                <w:sz w:val="24"/>
                <w:szCs w:val="24"/>
              </w:rPr>
              <w:t>3</w:t>
            </w:r>
            <w:r w:rsidR="00C16FF9" w:rsidRPr="00455ABC">
              <w:rPr>
                <w:rFonts w:ascii="Times New Roman" w:eastAsia="Calibri" w:hAnsi="Times New Roman" w:cs="Times New Roman"/>
                <w:i/>
                <w:sz w:val="24"/>
                <w:szCs w:val="24"/>
              </w:rPr>
              <w:t> </w:t>
            </w:r>
            <w:r w:rsidRPr="00455ABC">
              <w:rPr>
                <w:rFonts w:ascii="Times New Roman" w:eastAsia="Calibri" w:hAnsi="Times New Roman" w:cs="Times New Roman"/>
                <w:i/>
                <w:sz w:val="24"/>
                <w:szCs w:val="24"/>
              </w:rPr>
              <w:t>018</w:t>
            </w:r>
            <w:r w:rsidR="00C16FF9" w:rsidRPr="00455ABC">
              <w:rPr>
                <w:rFonts w:ascii="Times New Roman" w:eastAsia="Calibri" w:hAnsi="Times New Roman" w:cs="Times New Roman"/>
                <w:i/>
                <w:sz w:val="24"/>
                <w:szCs w:val="24"/>
              </w:rPr>
              <w:t xml:space="preserve"> 000</w:t>
            </w:r>
          </w:p>
        </w:tc>
        <w:tc>
          <w:tcPr>
            <w:tcW w:w="1701" w:type="dxa"/>
            <w:tcBorders>
              <w:bottom w:val="single" w:sz="12" w:space="0" w:color="auto"/>
            </w:tcBorders>
          </w:tcPr>
          <w:p w:rsidR="00350AAE" w:rsidRPr="00455ABC" w:rsidRDefault="00F23B42" w:rsidP="004810A0">
            <w:pPr>
              <w:jc w:val="center"/>
              <w:rPr>
                <w:rFonts w:ascii="Times New Roman" w:eastAsia="Calibri" w:hAnsi="Times New Roman" w:cs="Times New Roman"/>
                <w:i/>
                <w:sz w:val="24"/>
                <w:szCs w:val="24"/>
              </w:rPr>
            </w:pPr>
            <w:r w:rsidRPr="00455ABC">
              <w:rPr>
                <w:rFonts w:ascii="Times New Roman" w:eastAsia="Calibri" w:hAnsi="Times New Roman" w:cs="Times New Roman"/>
                <w:i/>
                <w:sz w:val="24"/>
                <w:szCs w:val="24"/>
              </w:rPr>
              <w:t>4</w:t>
            </w:r>
            <w:r w:rsidR="00C16FF9" w:rsidRPr="00455ABC">
              <w:rPr>
                <w:rFonts w:ascii="Times New Roman" w:eastAsia="Calibri" w:hAnsi="Times New Roman" w:cs="Times New Roman"/>
                <w:i/>
                <w:sz w:val="24"/>
                <w:szCs w:val="24"/>
              </w:rPr>
              <w:t> </w:t>
            </w:r>
            <w:r w:rsidRPr="00455ABC">
              <w:rPr>
                <w:rFonts w:ascii="Times New Roman" w:eastAsia="Calibri" w:hAnsi="Times New Roman" w:cs="Times New Roman"/>
                <w:i/>
                <w:sz w:val="24"/>
                <w:szCs w:val="24"/>
              </w:rPr>
              <w:t>024</w:t>
            </w:r>
            <w:r w:rsidR="00C16FF9" w:rsidRPr="00455ABC">
              <w:rPr>
                <w:rFonts w:ascii="Times New Roman" w:eastAsia="Calibri" w:hAnsi="Times New Roman" w:cs="Times New Roman"/>
                <w:i/>
                <w:sz w:val="24"/>
                <w:szCs w:val="24"/>
              </w:rPr>
              <w:t xml:space="preserve"> 000</w:t>
            </w:r>
          </w:p>
        </w:tc>
      </w:tr>
      <w:tr w:rsidR="00BD3232" w:rsidRPr="00455ABC" w:rsidTr="00325D39">
        <w:tc>
          <w:tcPr>
            <w:tcW w:w="5070" w:type="dxa"/>
            <w:tcBorders>
              <w:top w:val="single" w:sz="12" w:space="0" w:color="auto"/>
            </w:tcBorders>
          </w:tcPr>
          <w:p w:rsidR="00350AAE" w:rsidRPr="00455ABC" w:rsidRDefault="00C16FF9" w:rsidP="00393A8D">
            <w:pPr>
              <w:rPr>
                <w:rFonts w:ascii="Times New Roman" w:eastAsia="Calibri" w:hAnsi="Times New Roman" w:cs="Times New Roman"/>
                <w:sz w:val="24"/>
                <w:szCs w:val="24"/>
              </w:rPr>
            </w:pPr>
            <w:r w:rsidRPr="00455ABC">
              <w:rPr>
                <w:rFonts w:ascii="Times New Roman" w:eastAsia="Calibri" w:hAnsi="Times New Roman" w:cs="Times New Roman"/>
                <w:sz w:val="24"/>
                <w:szCs w:val="24"/>
              </w:rPr>
              <w:t>Nodevas objekts</w:t>
            </w:r>
          </w:p>
        </w:tc>
        <w:tc>
          <w:tcPr>
            <w:tcW w:w="1701" w:type="dxa"/>
            <w:tcBorders>
              <w:top w:val="single" w:sz="12" w:space="0" w:color="auto"/>
            </w:tcBorders>
          </w:tcPr>
          <w:p w:rsidR="00350AAE" w:rsidRPr="00455ABC" w:rsidRDefault="00C16FF9" w:rsidP="004810A0">
            <w:pPr>
              <w:jc w:val="center"/>
              <w:rPr>
                <w:rFonts w:ascii="Times New Roman" w:eastAsia="Calibri" w:hAnsi="Times New Roman" w:cs="Times New Roman"/>
                <w:sz w:val="24"/>
                <w:szCs w:val="24"/>
              </w:rPr>
            </w:pPr>
            <w:r w:rsidRPr="00455ABC">
              <w:rPr>
                <w:rFonts w:ascii="Times New Roman" w:eastAsia="Calibri" w:hAnsi="Times New Roman" w:cs="Times New Roman"/>
                <w:sz w:val="24"/>
                <w:szCs w:val="24"/>
              </w:rPr>
              <w:t>6 627 050 100</w:t>
            </w:r>
          </w:p>
        </w:tc>
        <w:tc>
          <w:tcPr>
            <w:tcW w:w="1701" w:type="dxa"/>
            <w:tcBorders>
              <w:top w:val="single" w:sz="12" w:space="0" w:color="auto"/>
            </w:tcBorders>
          </w:tcPr>
          <w:p w:rsidR="00350AAE" w:rsidRPr="00455ABC" w:rsidRDefault="00C16FF9" w:rsidP="004810A0">
            <w:pPr>
              <w:jc w:val="center"/>
              <w:rPr>
                <w:rFonts w:ascii="Times New Roman" w:eastAsia="Calibri" w:hAnsi="Times New Roman" w:cs="Times New Roman"/>
                <w:sz w:val="24"/>
                <w:szCs w:val="24"/>
              </w:rPr>
            </w:pPr>
            <w:r w:rsidRPr="00455ABC">
              <w:rPr>
                <w:rFonts w:ascii="Times New Roman" w:eastAsia="Calibri" w:hAnsi="Times New Roman" w:cs="Times New Roman"/>
                <w:sz w:val="24"/>
                <w:szCs w:val="24"/>
              </w:rPr>
              <w:t>5 606 257 719</w:t>
            </w:r>
          </w:p>
        </w:tc>
      </w:tr>
      <w:tr w:rsidR="00BD3232" w:rsidRPr="00455ABC" w:rsidTr="00C16FF9">
        <w:tc>
          <w:tcPr>
            <w:tcW w:w="5070" w:type="dxa"/>
          </w:tcPr>
          <w:p w:rsidR="00350AAE" w:rsidRPr="00455ABC" w:rsidRDefault="00C16FF9" w:rsidP="00393A8D">
            <w:pPr>
              <w:rPr>
                <w:rFonts w:ascii="Times New Roman" w:eastAsia="Calibri" w:hAnsi="Times New Roman" w:cs="Times New Roman"/>
                <w:sz w:val="24"/>
                <w:szCs w:val="24"/>
              </w:rPr>
            </w:pPr>
            <w:r w:rsidRPr="00455ABC">
              <w:rPr>
                <w:rFonts w:ascii="Times New Roman" w:eastAsia="Calibri" w:hAnsi="Times New Roman" w:cs="Times New Roman"/>
                <w:sz w:val="24"/>
                <w:szCs w:val="24"/>
              </w:rPr>
              <w:t>Nodevas apmērs</w:t>
            </w:r>
          </w:p>
        </w:tc>
        <w:tc>
          <w:tcPr>
            <w:tcW w:w="1701" w:type="dxa"/>
          </w:tcPr>
          <w:p w:rsidR="00350AAE" w:rsidRPr="00455ABC" w:rsidRDefault="00C16FF9" w:rsidP="004810A0">
            <w:pPr>
              <w:jc w:val="center"/>
              <w:rPr>
                <w:rFonts w:ascii="Times New Roman" w:eastAsia="Calibri" w:hAnsi="Times New Roman" w:cs="Times New Roman"/>
                <w:sz w:val="24"/>
                <w:szCs w:val="24"/>
              </w:rPr>
            </w:pPr>
            <w:r w:rsidRPr="00455ABC">
              <w:rPr>
                <w:rFonts w:ascii="Times New Roman" w:eastAsia="Calibri" w:hAnsi="Times New Roman" w:cs="Times New Roman"/>
                <w:sz w:val="24"/>
                <w:szCs w:val="24"/>
              </w:rPr>
              <w:t>2 383 937</w:t>
            </w:r>
          </w:p>
        </w:tc>
        <w:tc>
          <w:tcPr>
            <w:tcW w:w="1701" w:type="dxa"/>
          </w:tcPr>
          <w:p w:rsidR="00350AAE" w:rsidRPr="00455ABC" w:rsidRDefault="00C16FF9" w:rsidP="004810A0">
            <w:pPr>
              <w:jc w:val="center"/>
              <w:rPr>
                <w:rFonts w:ascii="Times New Roman" w:eastAsia="Calibri" w:hAnsi="Times New Roman" w:cs="Times New Roman"/>
                <w:sz w:val="24"/>
                <w:szCs w:val="24"/>
              </w:rPr>
            </w:pPr>
            <w:r w:rsidRPr="00455ABC">
              <w:rPr>
                <w:rFonts w:ascii="Times New Roman" w:eastAsia="Calibri" w:hAnsi="Times New Roman" w:cs="Times New Roman"/>
                <w:sz w:val="24"/>
                <w:szCs w:val="24"/>
              </w:rPr>
              <w:t>4 036 325</w:t>
            </w:r>
          </w:p>
        </w:tc>
      </w:tr>
      <w:tr w:rsidR="00BD3232" w:rsidRPr="00455ABC" w:rsidTr="00C16FF9">
        <w:tc>
          <w:tcPr>
            <w:tcW w:w="5070" w:type="dxa"/>
          </w:tcPr>
          <w:p w:rsidR="00350AAE" w:rsidRPr="00455ABC" w:rsidRDefault="00325D39" w:rsidP="00393A8D">
            <w:pPr>
              <w:rPr>
                <w:rFonts w:ascii="Times New Roman" w:eastAsia="Calibri" w:hAnsi="Times New Roman" w:cs="Times New Roman"/>
                <w:sz w:val="24"/>
                <w:szCs w:val="24"/>
              </w:rPr>
            </w:pPr>
            <w:r w:rsidRPr="00455ABC">
              <w:rPr>
                <w:rFonts w:ascii="Times New Roman" w:eastAsia="Calibri" w:hAnsi="Times New Roman" w:cs="Times New Roman"/>
                <w:sz w:val="24"/>
                <w:szCs w:val="24"/>
              </w:rPr>
              <w:t>Par taksācijas periodu samaksātā nodevas summa</w:t>
            </w:r>
          </w:p>
        </w:tc>
        <w:tc>
          <w:tcPr>
            <w:tcW w:w="1701" w:type="dxa"/>
          </w:tcPr>
          <w:p w:rsidR="00350AAE" w:rsidRPr="00455ABC" w:rsidRDefault="006A5F80" w:rsidP="004810A0">
            <w:pPr>
              <w:jc w:val="center"/>
              <w:rPr>
                <w:rFonts w:ascii="Times New Roman" w:eastAsia="Calibri" w:hAnsi="Times New Roman" w:cs="Times New Roman"/>
                <w:sz w:val="24"/>
                <w:szCs w:val="24"/>
              </w:rPr>
            </w:pPr>
            <w:r w:rsidRPr="00455ABC">
              <w:rPr>
                <w:rFonts w:ascii="Times New Roman" w:eastAsia="Calibri" w:hAnsi="Times New Roman" w:cs="Times New Roman"/>
                <w:sz w:val="24"/>
                <w:szCs w:val="24"/>
              </w:rPr>
              <w:t>3 171 725</w:t>
            </w:r>
          </w:p>
        </w:tc>
        <w:tc>
          <w:tcPr>
            <w:tcW w:w="1701" w:type="dxa"/>
          </w:tcPr>
          <w:p w:rsidR="00350AAE" w:rsidRPr="00455ABC" w:rsidRDefault="00325D39" w:rsidP="004810A0">
            <w:pPr>
              <w:jc w:val="center"/>
              <w:rPr>
                <w:rFonts w:ascii="Times New Roman" w:eastAsia="Calibri" w:hAnsi="Times New Roman" w:cs="Times New Roman"/>
                <w:sz w:val="24"/>
                <w:szCs w:val="24"/>
              </w:rPr>
            </w:pPr>
            <w:r w:rsidRPr="00455ABC">
              <w:rPr>
                <w:rFonts w:ascii="Times New Roman" w:eastAsia="Calibri" w:hAnsi="Times New Roman" w:cs="Times New Roman"/>
                <w:sz w:val="24"/>
                <w:szCs w:val="24"/>
              </w:rPr>
              <w:t>3 565 022</w:t>
            </w:r>
          </w:p>
        </w:tc>
      </w:tr>
      <w:tr w:rsidR="00BD3232" w:rsidRPr="00455ABC" w:rsidTr="00C16FF9">
        <w:tc>
          <w:tcPr>
            <w:tcW w:w="5070" w:type="dxa"/>
          </w:tcPr>
          <w:p w:rsidR="00350AAE" w:rsidRPr="00455ABC" w:rsidRDefault="00325D39" w:rsidP="00393A8D">
            <w:pPr>
              <w:rPr>
                <w:rFonts w:ascii="Times New Roman" w:eastAsia="Calibri" w:hAnsi="Times New Roman" w:cs="Times New Roman"/>
                <w:sz w:val="24"/>
                <w:szCs w:val="24"/>
              </w:rPr>
            </w:pPr>
            <w:r w:rsidRPr="00455ABC">
              <w:rPr>
                <w:rFonts w:ascii="Times New Roman" w:eastAsia="Calibri" w:hAnsi="Times New Roman" w:cs="Times New Roman"/>
                <w:sz w:val="24"/>
                <w:szCs w:val="24"/>
              </w:rPr>
              <w:t>Iepriekšējā taksācijas perioda pārmaksa</w:t>
            </w:r>
          </w:p>
        </w:tc>
        <w:tc>
          <w:tcPr>
            <w:tcW w:w="1701" w:type="dxa"/>
          </w:tcPr>
          <w:p w:rsidR="00350AAE" w:rsidRPr="00455ABC" w:rsidRDefault="006A5F80" w:rsidP="004810A0">
            <w:pPr>
              <w:jc w:val="center"/>
              <w:rPr>
                <w:rFonts w:ascii="Times New Roman" w:eastAsia="Calibri" w:hAnsi="Times New Roman" w:cs="Times New Roman"/>
                <w:sz w:val="24"/>
                <w:szCs w:val="24"/>
              </w:rPr>
            </w:pPr>
            <w:r w:rsidRPr="00455ABC">
              <w:rPr>
                <w:rFonts w:ascii="Times New Roman" w:eastAsia="Calibri" w:hAnsi="Times New Roman" w:cs="Times New Roman"/>
                <w:sz w:val="24"/>
                <w:szCs w:val="24"/>
              </w:rPr>
              <w:t>864 962</w:t>
            </w:r>
          </w:p>
        </w:tc>
        <w:tc>
          <w:tcPr>
            <w:tcW w:w="1701" w:type="dxa"/>
          </w:tcPr>
          <w:p w:rsidR="00350AAE" w:rsidRPr="00455ABC" w:rsidRDefault="00325D39" w:rsidP="004810A0">
            <w:pPr>
              <w:jc w:val="center"/>
              <w:rPr>
                <w:rFonts w:ascii="Times New Roman" w:eastAsia="Calibri" w:hAnsi="Times New Roman" w:cs="Times New Roman"/>
                <w:sz w:val="24"/>
                <w:szCs w:val="24"/>
              </w:rPr>
            </w:pPr>
            <w:r w:rsidRPr="00455ABC">
              <w:rPr>
                <w:rFonts w:ascii="Times New Roman" w:eastAsia="Calibri" w:hAnsi="Times New Roman" w:cs="Times New Roman"/>
                <w:sz w:val="24"/>
                <w:szCs w:val="24"/>
              </w:rPr>
              <w:t>779 121</w:t>
            </w:r>
          </w:p>
        </w:tc>
      </w:tr>
      <w:tr w:rsidR="00BD3232" w:rsidRPr="00455ABC" w:rsidTr="00C16FF9">
        <w:tc>
          <w:tcPr>
            <w:tcW w:w="5070" w:type="dxa"/>
          </w:tcPr>
          <w:p w:rsidR="00350AAE" w:rsidRPr="00455ABC" w:rsidRDefault="00325D39" w:rsidP="00393A8D">
            <w:pPr>
              <w:rPr>
                <w:rFonts w:ascii="Times New Roman" w:eastAsia="Calibri" w:hAnsi="Times New Roman" w:cs="Times New Roman"/>
                <w:sz w:val="24"/>
                <w:szCs w:val="24"/>
              </w:rPr>
            </w:pPr>
            <w:r w:rsidRPr="00455ABC">
              <w:rPr>
                <w:rFonts w:ascii="Times New Roman" w:eastAsia="Calibri" w:hAnsi="Times New Roman" w:cs="Times New Roman"/>
                <w:sz w:val="24"/>
                <w:szCs w:val="24"/>
              </w:rPr>
              <w:t>Samaksātā summa</w:t>
            </w:r>
          </w:p>
        </w:tc>
        <w:tc>
          <w:tcPr>
            <w:tcW w:w="1701" w:type="dxa"/>
          </w:tcPr>
          <w:p w:rsidR="00350AAE" w:rsidRPr="00455ABC" w:rsidRDefault="006A5F80" w:rsidP="004810A0">
            <w:pPr>
              <w:jc w:val="center"/>
              <w:rPr>
                <w:rFonts w:ascii="Times New Roman" w:eastAsia="Calibri" w:hAnsi="Times New Roman" w:cs="Times New Roman"/>
                <w:sz w:val="24"/>
                <w:szCs w:val="24"/>
              </w:rPr>
            </w:pPr>
            <w:r w:rsidRPr="00455ABC">
              <w:rPr>
                <w:rFonts w:ascii="Times New Roman" w:eastAsia="Calibri" w:hAnsi="Times New Roman" w:cs="Times New Roman"/>
                <w:sz w:val="24"/>
                <w:szCs w:val="24"/>
              </w:rPr>
              <w:t>3 171 725</w:t>
            </w:r>
          </w:p>
        </w:tc>
        <w:tc>
          <w:tcPr>
            <w:tcW w:w="1701" w:type="dxa"/>
          </w:tcPr>
          <w:p w:rsidR="00350AAE" w:rsidRPr="00455ABC" w:rsidRDefault="00325D39" w:rsidP="004810A0">
            <w:pPr>
              <w:jc w:val="center"/>
              <w:rPr>
                <w:rFonts w:ascii="Times New Roman" w:eastAsia="Calibri" w:hAnsi="Times New Roman" w:cs="Times New Roman"/>
                <w:sz w:val="24"/>
                <w:szCs w:val="24"/>
              </w:rPr>
            </w:pPr>
            <w:r w:rsidRPr="00455ABC">
              <w:rPr>
                <w:rFonts w:ascii="Times New Roman" w:eastAsia="Calibri" w:hAnsi="Times New Roman" w:cs="Times New Roman"/>
                <w:sz w:val="24"/>
                <w:szCs w:val="24"/>
              </w:rPr>
              <w:t>3 605 397</w:t>
            </w:r>
          </w:p>
        </w:tc>
      </w:tr>
      <w:tr w:rsidR="00BD3232" w:rsidRPr="00455ABC" w:rsidTr="00C16FF9">
        <w:tc>
          <w:tcPr>
            <w:tcW w:w="5070" w:type="dxa"/>
          </w:tcPr>
          <w:p w:rsidR="00350AAE" w:rsidRPr="00455ABC" w:rsidRDefault="00325D39" w:rsidP="00393A8D">
            <w:pPr>
              <w:rPr>
                <w:rFonts w:ascii="Times New Roman" w:eastAsia="Calibri" w:hAnsi="Times New Roman" w:cs="Times New Roman"/>
                <w:sz w:val="24"/>
                <w:szCs w:val="24"/>
              </w:rPr>
            </w:pPr>
            <w:r w:rsidRPr="00455ABC">
              <w:rPr>
                <w:rFonts w:ascii="Times New Roman" w:eastAsia="Calibri" w:hAnsi="Times New Roman" w:cs="Times New Roman"/>
                <w:sz w:val="24"/>
                <w:szCs w:val="24"/>
              </w:rPr>
              <w:t>Faktiskā nodevas korekcija</w:t>
            </w:r>
          </w:p>
        </w:tc>
        <w:tc>
          <w:tcPr>
            <w:tcW w:w="1701" w:type="dxa"/>
          </w:tcPr>
          <w:p w:rsidR="00350AAE" w:rsidRPr="00455ABC" w:rsidRDefault="006A5F80" w:rsidP="004810A0">
            <w:pPr>
              <w:jc w:val="center"/>
              <w:rPr>
                <w:rFonts w:ascii="Times New Roman" w:eastAsia="Calibri" w:hAnsi="Times New Roman" w:cs="Times New Roman"/>
                <w:sz w:val="24"/>
                <w:szCs w:val="24"/>
              </w:rPr>
            </w:pPr>
            <w:r w:rsidRPr="00455ABC">
              <w:rPr>
                <w:rFonts w:ascii="Times New Roman" w:eastAsia="Calibri" w:hAnsi="Times New Roman" w:cs="Times New Roman"/>
                <w:sz w:val="24"/>
                <w:szCs w:val="24"/>
              </w:rPr>
              <w:t>-781 290</w:t>
            </w:r>
          </w:p>
        </w:tc>
        <w:tc>
          <w:tcPr>
            <w:tcW w:w="1701" w:type="dxa"/>
          </w:tcPr>
          <w:p w:rsidR="00350AAE" w:rsidRPr="00455ABC" w:rsidRDefault="00325D39" w:rsidP="004810A0">
            <w:pPr>
              <w:jc w:val="center"/>
              <w:rPr>
                <w:rFonts w:ascii="Times New Roman" w:eastAsia="Calibri" w:hAnsi="Times New Roman" w:cs="Times New Roman"/>
                <w:sz w:val="24"/>
                <w:szCs w:val="24"/>
              </w:rPr>
            </w:pPr>
            <w:r w:rsidRPr="00455ABC">
              <w:rPr>
                <w:rFonts w:ascii="Times New Roman" w:eastAsia="Calibri" w:hAnsi="Times New Roman" w:cs="Times New Roman"/>
                <w:sz w:val="24"/>
                <w:szCs w:val="24"/>
              </w:rPr>
              <w:t>-307 818</w:t>
            </w:r>
          </w:p>
        </w:tc>
      </w:tr>
      <w:tr w:rsidR="00BD3232" w:rsidRPr="00455ABC" w:rsidTr="00325D39">
        <w:tc>
          <w:tcPr>
            <w:tcW w:w="5070" w:type="dxa"/>
          </w:tcPr>
          <w:p w:rsidR="00325D39" w:rsidRPr="00455ABC" w:rsidRDefault="00325D39" w:rsidP="00393A8D">
            <w:pPr>
              <w:rPr>
                <w:rFonts w:ascii="Times New Roman" w:eastAsia="Calibri" w:hAnsi="Times New Roman" w:cs="Times New Roman"/>
                <w:b/>
                <w:i/>
                <w:sz w:val="24"/>
                <w:szCs w:val="24"/>
              </w:rPr>
            </w:pPr>
            <w:r w:rsidRPr="00455ABC">
              <w:rPr>
                <w:rFonts w:ascii="Times New Roman" w:eastAsia="Calibri" w:hAnsi="Times New Roman" w:cs="Times New Roman"/>
                <w:b/>
                <w:i/>
                <w:sz w:val="24"/>
                <w:szCs w:val="24"/>
              </w:rPr>
              <w:t xml:space="preserve">Nodevas (avansa) maksājuma apmērs nākamajam taksācijas periodam </w:t>
            </w:r>
          </w:p>
        </w:tc>
        <w:tc>
          <w:tcPr>
            <w:tcW w:w="1701" w:type="dxa"/>
            <w:vAlign w:val="center"/>
          </w:tcPr>
          <w:p w:rsidR="00325D39" w:rsidRPr="00455ABC" w:rsidRDefault="006A5F80" w:rsidP="00325D39">
            <w:pPr>
              <w:jc w:val="center"/>
              <w:rPr>
                <w:rFonts w:ascii="Times New Roman" w:eastAsia="Calibri" w:hAnsi="Times New Roman" w:cs="Times New Roman"/>
                <w:b/>
                <w:i/>
                <w:sz w:val="24"/>
                <w:szCs w:val="24"/>
              </w:rPr>
            </w:pPr>
            <w:r w:rsidRPr="00455ABC">
              <w:rPr>
                <w:rFonts w:ascii="Times New Roman" w:eastAsia="Calibri" w:hAnsi="Times New Roman" w:cs="Times New Roman"/>
                <w:b/>
                <w:i/>
                <w:sz w:val="24"/>
                <w:szCs w:val="24"/>
              </w:rPr>
              <w:t>3 962 445</w:t>
            </w:r>
          </w:p>
        </w:tc>
        <w:tc>
          <w:tcPr>
            <w:tcW w:w="1701" w:type="dxa"/>
            <w:vAlign w:val="center"/>
          </w:tcPr>
          <w:p w:rsidR="00325D39" w:rsidRPr="00455ABC" w:rsidRDefault="00325D39" w:rsidP="00325D39">
            <w:pPr>
              <w:jc w:val="center"/>
              <w:rPr>
                <w:rFonts w:ascii="Times New Roman" w:eastAsia="Calibri" w:hAnsi="Times New Roman" w:cs="Times New Roman"/>
                <w:b/>
                <w:i/>
                <w:sz w:val="24"/>
                <w:szCs w:val="24"/>
              </w:rPr>
            </w:pPr>
            <w:r w:rsidRPr="00455ABC">
              <w:rPr>
                <w:rFonts w:ascii="Times New Roman" w:eastAsia="Calibri" w:hAnsi="Times New Roman" w:cs="Times New Roman"/>
                <w:b/>
                <w:i/>
                <w:sz w:val="24"/>
                <w:szCs w:val="24"/>
              </w:rPr>
              <w:t>3 583 834</w:t>
            </w:r>
          </w:p>
        </w:tc>
      </w:tr>
    </w:tbl>
    <w:p w:rsidR="006639DE" w:rsidRPr="00BD3232" w:rsidRDefault="004810A0" w:rsidP="00393A8D">
      <w:pPr>
        <w:spacing w:after="0" w:line="240" w:lineRule="auto"/>
        <w:rPr>
          <w:rFonts w:eastAsia="Calibri" w:cs="Times New Roman"/>
        </w:rPr>
      </w:pPr>
      <w:r w:rsidRPr="00BD3232">
        <w:rPr>
          <w:rFonts w:eastAsia="Calibri" w:cs="Times New Roman"/>
        </w:rPr>
        <w:t>Dati: FKTK</w:t>
      </w:r>
    </w:p>
    <w:p w:rsidR="006A5F80" w:rsidRPr="00BD3232" w:rsidRDefault="00607249" w:rsidP="00F14F8D">
      <w:pPr>
        <w:spacing w:after="0" w:line="240" w:lineRule="auto"/>
        <w:ind w:firstLine="709"/>
        <w:jc w:val="both"/>
        <w:rPr>
          <w:rFonts w:eastAsia="Times New Roman" w:cs="Times New Roman"/>
          <w:szCs w:val="24"/>
          <w:lang w:eastAsia="lv-LV"/>
        </w:rPr>
      </w:pPr>
      <w:r w:rsidRPr="00BD3232">
        <w:rPr>
          <w:rFonts w:eastAsia="Times New Roman" w:cs="Times New Roman"/>
          <w:szCs w:val="24"/>
          <w:lang w:eastAsia="lv-LV"/>
        </w:rPr>
        <w:t>Saskaņā ar FSN maksātāju deklarācijām par 2012.gadu nodevas maksājumi bija jāveic 4 036 </w:t>
      </w:r>
      <w:r w:rsidR="00F14F8D" w:rsidRPr="00BD3232">
        <w:rPr>
          <w:rFonts w:eastAsia="Times New Roman" w:cs="Times New Roman"/>
          <w:szCs w:val="24"/>
          <w:lang w:eastAsia="lv-LV"/>
        </w:rPr>
        <w:t>tūkstoši</w:t>
      </w:r>
      <w:r w:rsidRPr="00BD3232">
        <w:rPr>
          <w:rFonts w:eastAsia="Times New Roman" w:cs="Times New Roman"/>
          <w:szCs w:val="24"/>
          <w:lang w:eastAsia="lv-LV"/>
        </w:rPr>
        <w:t xml:space="preserve"> latu apmērā. Pārmaksa iepriekšējā taksācijas perioda sākumā bija 779</w:t>
      </w:r>
      <w:r w:rsidR="00F14F8D" w:rsidRPr="00BD3232">
        <w:rPr>
          <w:rFonts w:eastAsia="Times New Roman" w:cs="Times New Roman"/>
          <w:szCs w:val="24"/>
          <w:lang w:eastAsia="lv-LV"/>
        </w:rPr>
        <w:t>,1 tūkstoši</w:t>
      </w:r>
      <w:r w:rsidRPr="00BD3232">
        <w:rPr>
          <w:rFonts w:eastAsia="Times New Roman" w:cs="Times New Roman"/>
          <w:szCs w:val="24"/>
          <w:lang w:eastAsia="lv-LV"/>
        </w:rPr>
        <w:t xml:space="preserve"> </w:t>
      </w:r>
      <w:r w:rsidR="00F14F8D" w:rsidRPr="00BD3232">
        <w:rPr>
          <w:rFonts w:eastAsia="Times New Roman" w:cs="Times New Roman"/>
          <w:szCs w:val="24"/>
          <w:lang w:eastAsia="lv-LV"/>
        </w:rPr>
        <w:t>latu</w:t>
      </w:r>
      <w:r w:rsidRPr="00BD3232">
        <w:rPr>
          <w:rFonts w:eastAsia="Times New Roman" w:cs="Times New Roman"/>
          <w:szCs w:val="24"/>
          <w:lang w:eastAsia="lv-LV"/>
        </w:rPr>
        <w:t>. Savukārt avansa maksājumu veidā nodevu iemaksas par 2012.gadu samaksāts 3 565 </w:t>
      </w:r>
      <w:r w:rsidR="00F14F8D" w:rsidRPr="00BD3232">
        <w:rPr>
          <w:rFonts w:eastAsia="Times New Roman" w:cs="Times New Roman"/>
          <w:szCs w:val="24"/>
          <w:lang w:eastAsia="lv-LV"/>
        </w:rPr>
        <w:t>tūkstoši</w:t>
      </w:r>
      <w:r w:rsidRPr="00BD3232">
        <w:rPr>
          <w:rFonts w:eastAsia="Times New Roman" w:cs="Times New Roman"/>
          <w:szCs w:val="24"/>
          <w:lang w:eastAsia="lv-LV"/>
        </w:rPr>
        <w:t xml:space="preserve"> latu apmērā. </w:t>
      </w:r>
    </w:p>
    <w:p w:rsidR="00C92768" w:rsidRPr="00BD3232" w:rsidRDefault="00607249" w:rsidP="00F14F8D">
      <w:pPr>
        <w:spacing w:after="0" w:line="240" w:lineRule="auto"/>
        <w:ind w:firstLine="709"/>
        <w:jc w:val="both"/>
        <w:rPr>
          <w:rFonts w:eastAsia="Times New Roman" w:cs="Times New Roman"/>
          <w:szCs w:val="24"/>
          <w:lang w:eastAsia="lv-LV"/>
        </w:rPr>
      </w:pPr>
      <w:r w:rsidRPr="00BD3232">
        <w:rPr>
          <w:rFonts w:eastAsia="Times New Roman" w:cs="Times New Roman"/>
          <w:szCs w:val="24"/>
          <w:lang w:eastAsia="lv-LV"/>
        </w:rPr>
        <w:t xml:space="preserve">Salīdzinot faktisko FSN apmēru par 2011.gada taksācijas periodu un uz avansa aprēķina pamata veikto iemaksu summu, konstatēta </w:t>
      </w:r>
      <w:r w:rsidR="00F14F8D" w:rsidRPr="00BD3232">
        <w:rPr>
          <w:rFonts w:eastAsia="Times New Roman" w:cs="Times New Roman"/>
          <w:szCs w:val="24"/>
          <w:lang w:eastAsia="lv-LV"/>
        </w:rPr>
        <w:t xml:space="preserve">307,8 tūkstoši </w:t>
      </w:r>
      <w:r w:rsidRPr="00BD3232">
        <w:rPr>
          <w:rFonts w:eastAsia="Times New Roman" w:cs="Times New Roman"/>
          <w:szCs w:val="24"/>
          <w:lang w:eastAsia="lv-LV"/>
        </w:rPr>
        <w:t>latu pārmaksa, kas tiks novirzīta nākamo taksācijas periodu avansa maksājumu segšanai.</w:t>
      </w:r>
    </w:p>
    <w:p w:rsidR="0030020C" w:rsidRPr="00BD3232" w:rsidRDefault="0030020C" w:rsidP="0030020C">
      <w:pPr>
        <w:spacing w:after="0" w:line="240" w:lineRule="auto"/>
        <w:ind w:firstLine="709"/>
        <w:jc w:val="both"/>
        <w:rPr>
          <w:rFonts w:eastAsia="Times New Roman" w:cs="Times New Roman"/>
          <w:szCs w:val="24"/>
          <w:lang w:eastAsia="lv-LV"/>
        </w:rPr>
      </w:pPr>
      <w:r w:rsidRPr="00BD3232">
        <w:rPr>
          <w:rFonts w:eastAsia="Times New Roman" w:cs="Times New Roman"/>
          <w:szCs w:val="24"/>
          <w:lang w:eastAsia="lv-LV"/>
        </w:rPr>
        <w:t>FKTK apkopotās deklarācijas par 201</w:t>
      </w:r>
      <w:r w:rsidR="00F14F8D" w:rsidRPr="00BD3232">
        <w:rPr>
          <w:rFonts w:eastAsia="Times New Roman" w:cs="Times New Roman"/>
          <w:szCs w:val="24"/>
          <w:lang w:eastAsia="lv-LV"/>
        </w:rPr>
        <w:t>2</w:t>
      </w:r>
      <w:r w:rsidRPr="00BD3232">
        <w:rPr>
          <w:rFonts w:eastAsia="Times New Roman" w:cs="Times New Roman"/>
          <w:szCs w:val="24"/>
          <w:lang w:eastAsia="lv-LV"/>
        </w:rPr>
        <w:t>.gadu liecina, ka, salīdzinot ar FSN avansa aprēķinu 201</w:t>
      </w:r>
      <w:r w:rsidR="00F14F8D" w:rsidRPr="00BD3232">
        <w:rPr>
          <w:rFonts w:eastAsia="Times New Roman" w:cs="Times New Roman"/>
          <w:szCs w:val="24"/>
          <w:lang w:eastAsia="lv-LV"/>
        </w:rPr>
        <w:t>2</w:t>
      </w:r>
      <w:r w:rsidRPr="00BD3232">
        <w:rPr>
          <w:rFonts w:eastAsia="Times New Roman" w:cs="Times New Roman"/>
          <w:szCs w:val="24"/>
          <w:lang w:eastAsia="lv-LV"/>
        </w:rPr>
        <w:t>.gadam, kas tika balstīts uz 201</w:t>
      </w:r>
      <w:r w:rsidR="00F14F8D" w:rsidRPr="00BD3232">
        <w:rPr>
          <w:rFonts w:eastAsia="Times New Roman" w:cs="Times New Roman"/>
          <w:szCs w:val="24"/>
          <w:lang w:eastAsia="lv-LV"/>
        </w:rPr>
        <w:t>1</w:t>
      </w:r>
      <w:r w:rsidRPr="00BD3232">
        <w:rPr>
          <w:rFonts w:eastAsia="Times New Roman" w:cs="Times New Roman"/>
          <w:szCs w:val="24"/>
          <w:lang w:eastAsia="lv-LV"/>
        </w:rPr>
        <w:t>.gada pārskata datiem, nodevas objekts 201</w:t>
      </w:r>
      <w:r w:rsidR="00F14F8D" w:rsidRPr="00BD3232">
        <w:rPr>
          <w:rFonts w:eastAsia="Times New Roman" w:cs="Times New Roman"/>
          <w:szCs w:val="24"/>
          <w:lang w:eastAsia="lv-LV"/>
        </w:rPr>
        <w:t>2</w:t>
      </w:r>
      <w:r w:rsidRPr="00BD3232">
        <w:rPr>
          <w:rFonts w:eastAsia="Times New Roman" w:cs="Times New Roman"/>
          <w:szCs w:val="24"/>
          <w:lang w:eastAsia="lv-LV"/>
        </w:rPr>
        <w:t xml:space="preserve">.gadā faktiski ir samazinājies par </w:t>
      </w:r>
      <w:r w:rsidR="00F14F8D" w:rsidRPr="00BD3232">
        <w:rPr>
          <w:rFonts w:eastAsia="Times New Roman" w:cs="Times New Roman"/>
          <w:szCs w:val="24"/>
          <w:lang w:eastAsia="lv-LV"/>
        </w:rPr>
        <w:t>1 021</w:t>
      </w:r>
      <w:r w:rsidR="00C64571" w:rsidRPr="00BD3232">
        <w:rPr>
          <w:rFonts w:eastAsia="Times New Roman" w:cs="Times New Roman"/>
          <w:szCs w:val="24"/>
          <w:lang w:eastAsia="lv-LV"/>
        </w:rPr>
        <w:t xml:space="preserve"> milj.</w:t>
      </w:r>
      <w:r w:rsidRPr="00BD3232">
        <w:rPr>
          <w:rFonts w:eastAsia="Times New Roman" w:cs="Times New Roman"/>
          <w:szCs w:val="24"/>
          <w:lang w:eastAsia="lv-LV"/>
        </w:rPr>
        <w:t xml:space="preserve"> latu un 201</w:t>
      </w:r>
      <w:r w:rsidR="00F14F8D" w:rsidRPr="00BD3232">
        <w:rPr>
          <w:rFonts w:eastAsia="Times New Roman" w:cs="Times New Roman"/>
          <w:szCs w:val="24"/>
          <w:lang w:eastAsia="lv-LV"/>
        </w:rPr>
        <w:t>2</w:t>
      </w:r>
      <w:r w:rsidRPr="00BD3232">
        <w:rPr>
          <w:rFonts w:eastAsia="Times New Roman" w:cs="Times New Roman"/>
          <w:szCs w:val="24"/>
          <w:lang w:eastAsia="lv-LV"/>
        </w:rPr>
        <w:t xml:space="preserve">.gada taksācijas perioda beigās sasniedza </w:t>
      </w:r>
      <w:r w:rsidR="00F14F8D" w:rsidRPr="00BD3232">
        <w:rPr>
          <w:rFonts w:eastAsia="Times New Roman" w:cs="Times New Roman"/>
          <w:szCs w:val="24"/>
          <w:lang w:eastAsia="lv-LV"/>
        </w:rPr>
        <w:t>5 606</w:t>
      </w:r>
      <w:r w:rsidR="00C64571" w:rsidRPr="00BD3232">
        <w:rPr>
          <w:rFonts w:eastAsia="Times New Roman" w:cs="Times New Roman"/>
          <w:szCs w:val="24"/>
          <w:lang w:eastAsia="lv-LV"/>
        </w:rPr>
        <w:t xml:space="preserve"> milj.</w:t>
      </w:r>
      <w:r w:rsidRPr="00BD3232">
        <w:rPr>
          <w:rFonts w:eastAsia="Times New Roman" w:cs="Times New Roman"/>
          <w:szCs w:val="24"/>
          <w:lang w:eastAsia="lv-LV"/>
        </w:rPr>
        <w:t xml:space="preserve"> latu.</w:t>
      </w:r>
    </w:p>
    <w:p w:rsidR="00494A1D" w:rsidRPr="00BD3232" w:rsidRDefault="0030020C" w:rsidP="00E1743E">
      <w:pPr>
        <w:spacing w:after="0" w:line="240" w:lineRule="auto"/>
        <w:ind w:firstLine="709"/>
        <w:jc w:val="both"/>
        <w:rPr>
          <w:rFonts w:eastAsia="Times New Roman" w:cs="Times New Roman"/>
          <w:szCs w:val="24"/>
          <w:lang w:eastAsia="lv-LV"/>
        </w:rPr>
      </w:pPr>
      <w:r w:rsidRPr="00BD3232">
        <w:rPr>
          <w:rFonts w:eastAsia="Times New Roman" w:cs="Times New Roman"/>
          <w:szCs w:val="24"/>
          <w:lang w:eastAsia="lv-LV"/>
        </w:rPr>
        <w:t>Kopējais bank</w:t>
      </w:r>
      <w:r w:rsidR="002A3291" w:rsidRPr="00BD3232">
        <w:rPr>
          <w:rFonts w:eastAsia="Times New Roman" w:cs="Times New Roman"/>
          <w:szCs w:val="24"/>
          <w:lang w:eastAsia="lv-LV"/>
        </w:rPr>
        <w:t>u sektora FSN maksājums par 2013</w:t>
      </w:r>
      <w:r w:rsidRPr="00BD3232">
        <w:rPr>
          <w:rFonts w:eastAsia="Times New Roman" w:cs="Times New Roman"/>
          <w:szCs w:val="24"/>
          <w:lang w:eastAsia="lv-LV"/>
        </w:rPr>
        <w:t xml:space="preserve">.gada taksācijas periodu būtu </w:t>
      </w:r>
      <w:r w:rsidR="002A3291" w:rsidRPr="00BD3232">
        <w:rPr>
          <w:rFonts w:eastAsia="Times New Roman" w:cs="Times New Roman"/>
          <w:szCs w:val="24"/>
          <w:lang w:eastAsia="lv-LV"/>
        </w:rPr>
        <w:t>3 584</w:t>
      </w:r>
      <w:r w:rsidRPr="00BD3232">
        <w:rPr>
          <w:rFonts w:eastAsia="Times New Roman" w:cs="Times New Roman"/>
          <w:szCs w:val="24"/>
          <w:lang w:eastAsia="lv-LV"/>
        </w:rPr>
        <w:t xml:space="preserve"> tūkstoši latu, ņemot vērā, ka </w:t>
      </w:r>
      <w:r w:rsidR="00D82333" w:rsidRPr="00BD3232">
        <w:rPr>
          <w:rFonts w:eastAsia="Times New Roman" w:cs="Times New Roman"/>
          <w:szCs w:val="24"/>
          <w:lang w:eastAsia="lv-LV"/>
        </w:rPr>
        <w:t xml:space="preserve">avansa maksājumos </w:t>
      </w:r>
      <w:r w:rsidRPr="00BD3232">
        <w:rPr>
          <w:rFonts w:eastAsia="Times New Roman" w:cs="Times New Roman"/>
          <w:szCs w:val="24"/>
          <w:lang w:eastAsia="lv-LV"/>
        </w:rPr>
        <w:t>par 201</w:t>
      </w:r>
      <w:r w:rsidR="002A3291" w:rsidRPr="00BD3232">
        <w:rPr>
          <w:rFonts w:eastAsia="Times New Roman" w:cs="Times New Roman"/>
          <w:szCs w:val="24"/>
          <w:lang w:eastAsia="lv-LV"/>
        </w:rPr>
        <w:t>2.</w:t>
      </w:r>
      <w:r w:rsidRPr="00BD3232">
        <w:rPr>
          <w:rFonts w:eastAsia="Times New Roman" w:cs="Times New Roman"/>
          <w:szCs w:val="24"/>
          <w:lang w:eastAsia="lv-LV"/>
        </w:rPr>
        <w:t xml:space="preserve">gadu </w:t>
      </w:r>
      <w:r w:rsidR="002A3291" w:rsidRPr="00BD3232">
        <w:rPr>
          <w:rFonts w:eastAsia="Times New Roman" w:cs="Times New Roman"/>
          <w:szCs w:val="24"/>
          <w:lang w:eastAsia="lv-LV"/>
        </w:rPr>
        <w:t>ir konstatētā pārmaksa</w:t>
      </w:r>
      <w:r w:rsidRPr="00BD3232">
        <w:rPr>
          <w:rFonts w:eastAsia="Times New Roman" w:cs="Times New Roman"/>
          <w:szCs w:val="24"/>
          <w:lang w:eastAsia="lv-LV"/>
        </w:rPr>
        <w:t>.</w:t>
      </w:r>
    </w:p>
    <w:p w:rsidR="00E1743E" w:rsidRPr="00BD3232" w:rsidRDefault="00E1743E" w:rsidP="00E1743E">
      <w:pPr>
        <w:spacing w:after="0" w:line="240" w:lineRule="auto"/>
        <w:ind w:firstLine="709"/>
        <w:jc w:val="both"/>
        <w:rPr>
          <w:rFonts w:eastAsia="Times New Roman" w:cs="Times New Roman"/>
          <w:szCs w:val="24"/>
          <w:lang w:eastAsia="lv-LV"/>
        </w:rPr>
      </w:pPr>
    </w:p>
    <w:p w:rsidR="00393A8D" w:rsidRPr="00BD3232" w:rsidRDefault="00393A8D" w:rsidP="00393A8D">
      <w:pPr>
        <w:numPr>
          <w:ilvl w:val="0"/>
          <w:numId w:val="35"/>
        </w:numPr>
        <w:spacing w:after="0" w:line="240" w:lineRule="auto"/>
        <w:contextualSpacing/>
        <w:rPr>
          <w:rFonts w:eastAsia="Calibri" w:cs="Times New Roman"/>
          <w:b/>
        </w:rPr>
      </w:pPr>
      <w:r w:rsidRPr="00BD3232">
        <w:rPr>
          <w:rFonts w:eastAsia="Calibri" w:cs="Times New Roman"/>
          <w:b/>
        </w:rPr>
        <w:t>Kopsavilkums un priekšlikumi turpmākai rīcībai</w:t>
      </w:r>
    </w:p>
    <w:p w:rsidR="00393A8D" w:rsidRPr="00BD3232" w:rsidRDefault="00393A8D" w:rsidP="00393A8D">
      <w:pPr>
        <w:spacing w:after="0" w:line="240" w:lineRule="auto"/>
        <w:jc w:val="both"/>
        <w:rPr>
          <w:rFonts w:eastAsia="Calibri" w:cs="Times New Roman"/>
          <w:szCs w:val="24"/>
          <w:lang w:eastAsia="lv-LV"/>
        </w:rPr>
      </w:pPr>
    </w:p>
    <w:p w:rsidR="0030020C" w:rsidRPr="00BD3232" w:rsidRDefault="0030020C" w:rsidP="00331A34">
      <w:pPr>
        <w:pStyle w:val="ListParagraph"/>
        <w:numPr>
          <w:ilvl w:val="0"/>
          <w:numId w:val="36"/>
        </w:numPr>
        <w:spacing w:after="0" w:line="240" w:lineRule="auto"/>
        <w:ind w:left="426"/>
        <w:jc w:val="both"/>
        <w:rPr>
          <w:szCs w:val="24"/>
          <w:lang w:eastAsia="lv-LV"/>
        </w:rPr>
      </w:pPr>
      <w:r w:rsidRPr="00BD3232">
        <w:rPr>
          <w:rFonts w:eastAsia="Times New Roman" w:cs="Times New Roman"/>
        </w:rPr>
        <w:t>Informatīvajā ziņojumā ir apskatīti iespējamie instrumenti finanšu sektora stabilitātes veicināšanai, analizēta finanšu stabilitātes nodevas ietekme uz finanšu sektoru un ekonomiku kopumā, apkopota citu valstu pieredze, analizēti nodevas objekti un informācija par banku sektora veiktajiem obligātaj</w:t>
      </w:r>
      <w:r w:rsidR="00331A34" w:rsidRPr="00BD3232">
        <w:rPr>
          <w:rFonts w:eastAsia="Times New Roman" w:cs="Times New Roman"/>
        </w:rPr>
        <w:t>iem maksājumiem valsts budžetā.</w:t>
      </w:r>
    </w:p>
    <w:p w:rsidR="0030020C" w:rsidRPr="00BD3232" w:rsidRDefault="0030020C" w:rsidP="0030020C">
      <w:pPr>
        <w:pStyle w:val="ListParagraph"/>
        <w:numPr>
          <w:ilvl w:val="0"/>
          <w:numId w:val="36"/>
        </w:numPr>
        <w:spacing w:after="0" w:line="240" w:lineRule="auto"/>
        <w:ind w:left="426"/>
        <w:jc w:val="both"/>
        <w:rPr>
          <w:szCs w:val="24"/>
          <w:lang w:eastAsia="lv-LV"/>
        </w:rPr>
      </w:pPr>
      <w:r w:rsidRPr="00BD3232">
        <w:rPr>
          <w:szCs w:val="24"/>
          <w:lang w:eastAsia="lv-LV"/>
        </w:rPr>
        <w:t>Finanšu stabilitātes nodeva tiek piemērota no 2011.gada taksācijas periodā, un</w:t>
      </w:r>
      <w:r w:rsidR="00A033C7">
        <w:rPr>
          <w:szCs w:val="24"/>
          <w:lang w:eastAsia="lv-LV"/>
        </w:rPr>
        <w:t>,</w:t>
      </w:r>
      <w:r w:rsidRPr="00BD3232">
        <w:rPr>
          <w:szCs w:val="24"/>
          <w:lang w:eastAsia="lv-LV"/>
        </w:rPr>
        <w:t xml:space="preserve"> sākot ar 2012.gadu</w:t>
      </w:r>
      <w:r w:rsidR="00A033C7">
        <w:rPr>
          <w:szCs w:val="24"/>
          <w:lang w:eastAsia="lv-LV"/>
        </w:rPr>
        <w:t>,</w:t>
      </w:r>
      <w:r w:rsidRPr="00BD3232">
        <w:rPr>
          <w:szCs w:val="24"/>
          <w:lang w:eastAsia="lv-LV"/>
        </w:rPr>
        <w:t xml:space="preserve"> ir dubultota nodevas likme. Pastāvošais regulējums ir analizēts no divu galveno aspektu viedokļa, sniegtā atbalsta izmaksu apjoma atgūšana un nākotnē iespējamās krīzes ietekmes mazināšana. Kopš 2008.gada novembra banku sektors ir saņēmis ievērojamu atbalstu no valsts stabilitātes nodrošināšanai. Arī citur pasaulē valdības ir realizējušas dažādus pasākumus finanšu stabilitātes nodrošināšanai un ilgtermiņā – nākotnes krīzes seku mazināšanai.</w:t>
      </w:r>
    </w:p>
    <w:p w:rsidR="00145992" w:rsidRPr="00BD3232" w:rsidRDefault="00145992" w:rsidP="00145992">
      <w:pPr>
        <w:pStyle w:val="ListParagraph"/>
        <w:numPr>
          <w:ilvl w:val="0"/>
          <w:numId w:val="36"/>
        </w:numPr>
        <w:spacing w:after="0" w:line="240" w:lineRule="auto"/>
        <w:ind w:left="426"/>
        <w:jc w:val="both"/>
        <w:rPr>
          <w:szCs w:val="24"/>
          <w:lang w:eastAsia="lv-LV"/>
        </w:rPr>
      </w:pPr>
      <w:r w:rsidRPr="00BD3232">
        <w:rPr>
          <w:szCs w:val="24"/>
          <w:lang w:eastAsia="lv-LV"/>
        </w:rPr>
        <w:t>Ziņojumā apskatīti banku sektora darbības rezultāti. Banku sektorā 2012.gadā ir novērojama darbības rezultātu uzlabošanās, no jauna uzrādot peļņu un pakāpeniski notiek kredītportfeļa struktūras uzlabošanās. Kreditēšanas apjomu Latvijā šobrīd nosaka galvenokārt pieprasījums pēc finanšu resursiem un piedāvātā nodrošinājuma kvalitāte. Kopš 2010.gada sākuma no jauna izsniegto kredītu procentu likmēs vērojams kritums. Tādējādi jāsecina, ka nozīmīgāku ietekmi uz finanšu resursu tirgus attīstīb</w:t>
      </w:r>
      <w:r w:rsidR="004F429E" w:rsidRPr="00BD3232">
        <w:rPr>
          <w:szCs w:val="24"/>
          <w:lang w:eastAsia="lv-LV"/>
        </w:rPr>
        <w:t xml:space="preserve">u Latvijā rada procesi </w:t>
      </w:r>
      <w:r w:rsidR="00F01581" w:rsidRPr="00BD3232">
        <w:rPr>
          <w:szCs w:val="24"/>
          <w:lang w:eastAsia="lv-LV"/>
        </w:rPr>
        <w:t>E</w:t>
      </w:r>
      <w:r w:rsidR="00E02EBD" w:rsidRPr="00BD3232">
        <w:rPr>
          <w:szCs w:val="24"/>
          <w:lang w:eastAsia="lv-LV"/>
        </w:rPr>
        <w:t>i</w:t>
      </w:r>
      <w:r w:rsidR="00F01581" w:rsidRPr="00BD3232">
        <w:rPr>
          <w:szCs w:val="24"/>
          <w:lang w:eastAsia="lv-LV"/>
        </w:rPr>
        <w:t>ro</w:t>
      </w:r>
      <w:r w:rsidR="004F429E" w:rsidRPr="00BD3232">
        <w:rPr>
          <w:szCs w:val="24"/>
          <w:lang w:eastAsia="lv-LV"/>
        </w:rPr>
        <w:t>pas S</w:t>
      </w:r>
      <w:r w:rsidRPr="00BD3232">
        <w:rPr>
          <w:szCs w:val="24"/>
          <w:lang w:eastAsia="lv-LV"/>
        </w:rPr>
        <w:t>avienībā un pasaules finanšu tirgos, finanšu stabilitātes nodevai minimāli ietekmējot finanšu resursu pieejamību tirgū.</w:t>
      </w:r>
    </w:p>
    <w:p w:rsidR="00E1743E" w:rsidRPr="00BD3232" w:rsidRDefault="0049517F" w:rsidP="00E1743E">
      <w:pPr>
        <w:pStyle w:val="ListParagraph"/>
        <w:numPr>
          <w:ilvl w:val="0"/>
          <w:numId w:val="36"/>
        </w:numPr>
        <w:spacing w:after="0" w:line="240" w:lineRule="auto"/>
        <w:ind w:left="426"/>
        <w:jc w:val="both"/>
        <w:rPr>
          <w:szCs w:val="24"/>
          <w:lang w:eastAsia="lv-LV"/>
        </w:rPr>
      </w:pPr>
      <w:r w:rsidRPr="00BD3232">
        <w:rPr>
          <w:szCs w:val="24"/>
          <w:lang w:eastAsia="lv-LV"/>
        </w:rPr>
        <w:t>Banku sektora veiktie nodokļu maksājumi 2012.gadā ir pieauguši par 8,4 milj. latu, salīdzinot ar 2011.gadu, taču vēl nav sasnieguši pirmskrīzes perioda līmeni, šobrīd pamatā tos veido darbaspēka nodokļi. Pozitīvi vērtējams, ka</w:t>
      </w:r>
      <w:r w:rsidR="00E02EBD" w:rsidRPr="00BD3232">
        <w:rPr>
          <w:szCs w:val="24"/>
          <w:lang w:eastAsia="lv-LV"/>
        </w:rPr>
        <w:t>,</w:t>
      </w:r>
      <w:r w:rsidRPr="00BD3232">
        <w:rPr>
          <w:szCs w:val="24"/>
          <w:lang w:eastAsia="lv-LV"/>
        </w:rPr>
        <w:t xml:space="preserve"> neskatoties uz iepriekšējo periodu zaudējumiem, kas samazina UIN apliekamo ienākumu, UIN maksājumi budžetā 2012.gada laikā pieauguši par 3,1 milj. latu</w:t>
      </w:r>
      <w:r w:rsidR="00E02EBD" w:rsidRPr="00BD3232">
        <w:rPr>
          <w:szCs w:val="24"/>
          <w:lang w:eastAsia="lv-LV"/>
        </w:rPr>
        <w:t>.</w:t>
      </w:r>
    </w:p>
    <w:p w:rsidR="00E1743E" w:rsidRPr="00BD3232" w:rsidRDefault="00E1743E" w:rsidP="00E1743E">
      <w:pPr>
        <w:pStyle w:val="ListParagraph"/>
        <w:numPr>
          <w:ilvl w:val="0"/>
          <w:numId w:val="36"/>
        </w:numPr>
        <w:spacing w:after="0" w:line="240" w:lineRule="auto"/>
        <w:ind w:left="426"/>
        <w:jc w:val="both"/>
        <w:rPr>
          <w:szCs w:val="24"/>
          <w:lang w:eastAsia="lv-LV"/>
        </w:rPr>
      </w:pPr>
      <w:r w:rsidRPr="00BD3232">
        <w:rPr>
          <w:szCs w:val="24"/>
          <w:lang w:eastAsia="lv-LV"/>
        </w:rPr>
        <w:t>Esošā kārtība paredz finanšu stabilitātes nodevas ieņēmumu novirzīšanu valsts pamatbudžetā. Ņemot vērā ziņojumā izvērtētās iniciatīvas finanšu tirg</w:t>
      </w:r>
      <w:r w:rsidR="00655F58" w:rsidRPr="00BD3232">
        <w:rPr>
          <w:szCs w:val="24"/>
          <w:lang w:eastAsia="lv-LV"/>
        </w:rPr>
        <w:t>u vienotam regulējumam Eiropas S</w:t>
      </w:r>
      <w:r w:rsidRPr="00BD3232">
        <w:rPr>
          <w:szCs w:val="24"/>
          <w:lang w:eastAsia="lv-LV"/>
        </w:rPr>
        <w:t>avienī</w:t>
      </w:r>
      <w:r w:rsidR="00655F58" w:rsidRPr="00BD3232">
        <w:rPr>
          <w:szCs w:val="24"/>
          <w:lang w:eastAsia="lv-LV"/>
        </w:rPr>
        <w:t>bas līmenī, (Eiropas Komisijas N</w:t>
      </w:r>
      <w:r w:rsidRPr="00BD3232">
        <w:rPr>
          <w:szCs w:val="24"/>
          <w:lang w:eastAsia="lv-LV"/>
        </w:rPr>
        <w:t xml:space="preserve">oguldījumu garantiju sistēmu direktīvas projekts, </w:t>
      </w:r>
      <w:r w:rsidR="00655F58" w:rsidRPr="00BD3232">
        <w:rPr>
          <w:szCs w:val="24"/>
          <w:lang w:eastAsia="lv-LV"/>
        </w:rPr>
        <w:t xml:space="preserve">Banku sanācijas un noregulējuma direktīvas projekts, Vienota Noregulējuma mehānisma </w:t>
      </w:r>
      <w:r w:rsidRPr="00BD3232">
        <w:rPr>
          <w:szCs w:val="24"/>
          <w:lang w:eastAsia="lv-LV"/>
        </w:rPr>
        <w:t>priekšlikums par vienotu Eiropas līmeņa regulējumu kredītiestāžu un ieguldījumu sabiedrību atveseļošanas un fi</w:t>
      </w:r>
      <w:r w:rsidR="00655F58" w:rsidRPr="00BD3232">
        <w:rPr>
          <w:szCs w:val="24"/>
          <w:lang w:eastAsia="lv-LV"/>
        </w:rPr>
        <w:t>nanšu krīžu risināšanas ietvaru</w:t>
      </w:r>
      <w:r w:rsidRPr="00BD3232">
        <w:rPr>
          <w:szCs w:val="24"/>
          <w:lang w:eastAsia="lv-LV"/>
        </w:rPr>
        <w:t>) – izsakām priekšlikumu šobrīd saglabāt esošo kārtību, ieņēmumus no finanšu stabilitātes nodevas ieskaitot valsts pamatbudžeta kopējos ieņēmumos.</w:t>
      </w:r>
    </w:p>
    <w:p w:rsidR="00C17185" w:rsidRPr="00BD3232" w:rsidRDefault="00C17185" w:rsidP="0030020C">
      <w:pPr>
        <w:spacing w:after="0" w:line="240" w:lineRule="auto"/>
        <w:ind w:left="426"/>
        <w:contextualSpacing/>
        <w:jc w:val="both"/>
        <w:rPr>
          <w:rFonts w:eastAsia="Calibri" w:cs="Times New Roman"/>
          <w:lang w:eastAsia="lv-LV"/>
        </w:rPr>
      </w:pPr>
    </w:p>
    <w:p w:rsidR="00393A8D" w:rsidRPr="00BD3232" w:rsidRDefault="00393A8D" w:rsidP="00393A8D">
      <w:pPr>
        <w:spacing w:after="0" w:line="240" w:lineRule="auto"/>
        <w:rPr>
          <w:rFonts w:eastAsia="Calibri" w:cs="Times New Roman"/>
          <w:sz w:val="20"/>
          <w:szCs w:val="20"/>
        </w:rPr>
      </w:pPr>
    </w:p>
    <w:p w:rsidR="00393A8D" w:rsidRPr="00BD3232" w:rsidRDefault="00393A8D" w:rsidP="00393A8D">
      <w:pPr>
        <w:spacing w:after="0" w:line="240" w:lineRule="auto"/>
        <w:rPr>
          <w:rFonts w:eastAsia="Calibri" w:cs="Times New Roman"/>
          <w:sz w:val="20"/>
          <w:szCs w:val="20"/>
        </w:rPr>
      </w:pPr>
    </w:p>
    <w:p w:rsidR="00393A8D" w:rsidRPr="00BD3232" w:rsidRDefault="00393A8D" w:rsidP="00393A8D">
      <w:pPr>
        <w:spacing w:after="0" w:line="240" w:lineRule="auto"/>
        <w:rPr>
          <w:rFonts w:eastAsia="Calibri" w:cs="Times New Roman"/>
          <w:sz w:val="20"/>
          <w:szCs w:val="20"/>
        </w:rPr>
      </w:pPr>
    </w:p>
    <w:p w:rsidR="004A45B1" w:rsidRDefault="004A45B1" w:rsidP="00393A8D">
      <w:pPr>
        <w:tabs>
          <w:tab w:val="right" w:pos="8222"/>
        </w:tabs>
        <w:spacing w:after="0" w:line="240" w:lineRule="auto"/>
        <w:rPr>
          <w:rFonts w:eastAsia="Calibri" w:cs="Times New Roman"/>
          <w:szCs w:val="24"/>
        </w:rPr>
      </w:pPr>
      <w:r>
        <w:rPr>
          <w:rFonts w:eastAsia="Calibri" w:cs="Times New Roman"/>
          <w:szCs w:val="24"/>
        </w:rPr>
        <w:t xml:space="preserve">Finanšu ministra vietā – </w:t>
      </w:r>
    </w:p>
    <w:p w:rsidR="00393A8D" w:rsidRPr="00BD3232" w:rsidRDefault="004A45B1" w:rsidP="00393A8D">
      <w:pPr>
        <w:tabs>
          <w:tab w:val="right" w:pos="8222"/>
        </w:tabs>
        <w:spacing w:after="0" w:line="240" w:lineRule="auto"/>
        <w:rPr>
          <w:rFonts w:eastAsia="Calibri" w:cs="Times New Roman"/>
          <w:szCs w:val="24"/>
        </w:rPr>
      </w:pPr>
      <w:r>
        <w:rPr>
          <w:rFonts w:eastAsia="Calibri" w:cs="Times New Roman"/>
          <w:szCs w:val="24"/>
        </w:rPr>
        <w:t>aizsardzības ministrs</w:t>
      </w:r>
      <w:r w:rsidR="00393A8D" w:rsidRPr="00BD3232">
        <w:rPr>
          <w:rFonts w:eastAsia="Calibri" w:cs="Times New Roman"/>
          <w:szCs w:val="24"/>
        </w:rPr>
        <w:tab/>
        <w:t>A.</w:t>
      </w:r>
      <w:r>
        <w:rPr>
          <w:rFonts w:eastAsia="Calibri" w:cs="Times New Roman"/>
          <w:szCs w:val="24"/>
        </w:rPr>
        <w:t>Pabriks</w:t>
      </w:r>
    </w:p>
    <w:p w:rsidR="00393A8D" w:rsidRPr="00BD3232" w:rsidRDefault="00393A8D" w:rsidP="00393A8D">
      <w:pPr>
        <w:spacing w:after="0" w:line="240" w:lineRule="auto"/>
        <w:rPr>
          <w:rFonts w:eastAsia="Calibri" w:cs="Times New Roman"/>
          <w:sz w:val="20"/>
          <w:szCs w:val="20"/>
        </w:rPr>
      </w:pPr>
    </w:p>
    <w:p w:rsidR="00393A8D" w:rsidRPr="00BD3232" w:rsidRDefault="00393A8D" w:rsidP="00393A8D">
      <w:pPr>
        <w:spacing w:after="0" w:line="240" w:lineRule="auto"/>
        <w:rPr>
          <w:rFonts w:eastAsia="Calibri" w:cs="Times New Roman"/>
          <w:sz w:val="20"/>
          <w:szCs w:val="20"/>
        </w:rPr>
      </w:pPr>
    </w:p>
    <w:p w:rsidR="00494A1D" w:rsidRPr="00BD3232" w:rsidRDefault="00494A1D" w:rsidP="00393A8D">
      <w:pPr>
        <w:spacing w:after="0" w:line="240" w:lineRule="auto"/>
        <w:rPr>
          <w:rFonts w:eastAsia="Calibri" w:cs="Times New Roman"/>
          <w:sz w:val="20"/>
          <w:szCs w:val="20"/>
        </w:rPr>
      </w:pPr>
    </w:p>
    <w:p w:rsidR="00E1743E" w:rsidRPr="00BD3232" w:rsidRDefault="004A45B1" w:rsidP="00393A8D">
      <w:pPr>
        <w:spacing w:after="0" w:line="240" w:lineRule="auto"/>
        <w:rPr>
          <w:rFonts w:eastAsia="Calibri" w:cs="Times New Roman"/>
          <w:sz w:val="20"/>
          <w:szCs w:val="20"/>
        </w:rPr>
      </w:pPr>
      <w:r>
        <w:rPr>
          <w:rFonts w:eastAsia="Calibri" w:cs="Times New Roman"/>
          <w:sz w:val="20"/>
          <w:szCs w:val="20"/>
        </w:rPr>
        <w:t>2013.09.03. 13:40</w:t>
      </w:r>
    </w:p>
    <w:p w:rsidR="00393A8D" w:rsidRPr="00BD3232" w:rsidRDefault="00C00550" w:rsidP="00393A8D">
      <w:pPr>
        <w:spacing w:after="0" w:line="240" w:lineRule="auto"/>
        <w:rPr>
          <w:rFonts w:eastAsia="Calibri" w:cs="Times New Roman"/>
          <w:sz w:val="20"/>
          <w:szCs w:val="20"/>
        </w:rPr>
      </w:pPr>
      <w:r w:rsidRPr="00BD3232">
        <w:rPr>
          <w:rFonts w:eastAsia="Calibri" w:cs="Times New Roman"/>
          <w:sz w:val="20"/>
          <w:szCs w:val="20"/>
        </w:rPr>
        <w:fldChar w:fldCharType="begin"/>
      </w:r>
      <w:r w:rsidR="00393A8D" w:rsidRPr="00BD3232">
        <w:rPr>
          <w:rFonts w:eastAsia="Calibri" w:cs="Times New Roman"/>
          <w:sz w:val="20"/>
          <w:szCs w:val="20"/>
        </w:rPr>
        <w:instrText xml:space="preserve"> NUMWORDS  </w:instrText>
      </w:r>
      <w:r w:rsidRPr="00BD3232">
        <w:rPr>
          <w:rFonts w:eastAsia="Calibri" w:cs="Times New Roman"/>
          <w:sz w:val="20"/>
          <w:szCs w:val="20"/>
        </w:rPr>
        <w:fldChar w:fldCharType="separate"/>
      </w:r>
      <w:r w:rsidR="00BE74CF">
        <w:rPr>
          <w:rFonts w:eastAsia="Calibri" w:cs="Times New Roman"/>
          <w:noProof/>
          <w:sz w:val="20"/>
          <w:szCs w:val="20"/>
        </w:rPr>
        <w:t>7863</w:t>
      </w:r>
      <w:r w:rsidRPr="00BD3232">
        <w:rPr>
          <w:rFonts w:eastAsia="Calibri" w:cs="Times New Roman"/>
          <w:sz w:val="20"/>
          <w:szCs w:val="20"/>
        </w:rPr>
        <w:fldChar w:fldCharType="end"/>
      </w:r>
    </w:p>
    <w:p w:rsidR="00393A8D" w:rsidRPr="00BD3232" w:rsidRDefault="0054114D" w:rsidP="00393A8D">
      <w:pPr>
        <w:spacing w:after="0" w:line="240" w:lineRule="auto"/>
        <w:rPr>
          <w:rFonts w:eastAsia="Calibri" w:cs="Times New Roman"/>
          <w:sz w:val="20"/>
          <w:szCs w:val="20"/>
        </w:rPr>
      </w:pPr>
      <w:r>
        <w:rPr>
          <w:rFonts w:eastAsia="Calibri" w:cs="Times New Roman"/>
          <w:sz w:val="20"/>
          <w:szCs w:val="20"/>
        </w:rPr>
        <w:t>L.Kiseļova</w:t>
      </w:r>
      <w:r w:rsidR="00393A8D" w:rsidRPr="00BD3232">
        <w:rPr>
          <w:rFonts w:eastAsia="Calibri" w:cs="Times New Roman"/>
          <w:sz w:val="20"/>
          <w:szCs w:val="20"/>
        </w:rPr>
        <w:t>,</w:t>
      </w:r>
    </w:p>
    <w:p w:rsidR="00670095" w:rsidRPr="00BD3232" w:rsidRDefault="0054114D" w:rsidP="00393A8D">
      <w:pPr>
        <w:spacing w:after="0" w:line="240" w:lineRule="auto"/>
        <w:rPr>
          <w:rFonts w:eastAsia="Calibri" w:cs="Times New Roman"/>
          <w:sz w:val="20"/>
          <w:szCs w:val="20"/>
          <w:u w:val="single"/>
        </w:rPr>
      </w:pPr>
      <w:bookmarkStart w:id="0" w:name="_GoBack"/>
      <w:r>
        <w:rPr>
          <w:rFonts w:eastAsia="Calibri" w:cs="Times New Roman"/>
          <w:sz w:val="20"/>
          <w:szCs w:val="20"/>
        </w:rPr>
        <w:t>67083920; Laura.Kiseļova</w:t>
      </w:r>
      <w:r w:rsidR="00393A8D" w:rsidRPr="00BD3232">
        <w:rPr>
          <w:rFonts w:eastAsia="Calibri" w:cs="Times New Roman"/>
          <w:sz w:val="20"/>
          <w:szCs w:val="20"/>
        </w:rPr>
        <w:t>@fm.gov.lv</w:t>
      </w:r>
      <w:bookmarkEnd w:id="0"/>
    </w:p>
    <w:sectPr w:rsidR="00670095" w:rsidRPr="00BD3232" w:rsidSect="00632E1E">
      <w:headerReference w:type="default" r:id="rId17"/>
      <w:footerReference w:type="default" r:id="rId18"/>
      <w:pgSz w:w="11906" w:h="16838"/>
      <w:pgMar w:top="1157" w:right="1797" w:bottom="1157"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6E62" w:rsidRDefault="00946E62" w:rsidP="00D3002A">
      <w:pPr>
        <w:spacing w:after="0" w:line="240" w:lineRule="auto"/>
      </w:pPr>
      <w:r>
        <w:separator/>
      </w:r>
    </w:p>
  </w:endnote>
  <w:endnote w:type="continuationSeparator" w:id="0">
    <w:p w:rsidR="00946E62" w:rsidRDefault="00946E62" w:rsidP="00D30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BA"/>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Cronos Pro">
    <w:altName w:val="Arial"/>
    <w:panose1 w:val="00000000000000000000"/>
    <w:charset w:val="EE"/>
    <w:family w:val="swiss"/>
    <w:notTrueType/>
    <w:pitch w:val="default"/>
    <w:sig w:usb0="00000005" w:usb1="00000000" w:usb2="00000000" w:usb3="00000000" w:csb0="00000002"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7884465"/>
      <w:docPartObj>
        <w:docPartGallery w:val="Page Numbers (Bottom of Page)"/>
        <w:docPartUnique/>
      </w:docPartObj>
    </w:sdtPr>
    <w:sdtEndPr>
      <w:rPr>
        <w:noProof/>
      </w:rPr>
    </w:sdtEndPr>
    <w:sdtContent>
      <w:p w:rsidR="0035053E" w:rsidRPr="007A1DC3" w:rsidRDefault="00C00550" w:rsidP="007A1DC3">
        <w:pPr>
          <w:pStyle w:val="Footer"/>
          <w:jc w:val="both"/>
          <w:rPr>
            <w:sz w:val="20"/>
            <w:szCs w:val="20"/>
          </w:rPr>
        </w:pPr>
        <w:r>
          <w:fldChar w:fldCharType="begin"/>
        </w:r>
        <w:r w:rsidR="004E593B">
          <w:instrText xml:space="preserve"> FILENAME   \* MERGEFORMAT </w:instrText>
        </w:r>
        <w:r>
          <w:fldChar w:fldCharType="separate"/>
        </w:r>
        <w:r w:rsidR="003D4D6F" w:rsidRPr="003D4D6F">
          <w:rPr>
            <w:noProof/>
            <w:sz w:val="20"/>
            <w:szCs w:val="20"/>
          </w:rPr>
          <w:t>FMinfo_FSN_03092013</w:t>
        </w:r>
        <w:r>
          <w:rPr>
            <w:noProof/>
            <w:sz w:val="20"/>
            <w:szCs w:val="20"/>
          </w:rPr>
          <w:fldChar w:fldCharType="end"/>
        </w:r>
        <w:r w:rsidR="0035053E" w:rsidRPr="007A1DC3">
          <w:rPr>
            <w:noProof/>
            <w:sz w:val="20"/>
            <w:szCs w:val="20"/>
          </w:rPr>
          <w:t xml:space="preserve">; </w:t>
        </w:r>
        <w:r w:rsidR="0035053E">
          <w:rPr>
            <w:noProof/>
            <w:sz w:val="20"/>
            <w:szCs w:val="20"/>
          </w:rPr>
          <w:t>I</w:t>
        </w:r>
        <w:r w:rsidR="0035053E" w:rsidRPr="007A1DC3">
          <w:rPr>
            <w:noProof/>
            <w:sz w:val="20"/>
            <w:szCs w:val="20"/>
          </w:rPr>
          <w:t>nformatīva</w:t>
        </w:r>
        <w:r w:rsidR="0035053E">
          <w:rPr>
            <w:noProof/>
            <w:sz w:val="20"/>
            <w:szCs w:val="20"/>
          </w:rPr>
          <w:t>is</w:t>
        </w:r>
        <w:r w:rsidR="0035053E" w:rsidRPr="007A1DC3">
          <w:rPr>
            <w:sz w:val="20"/>
            <w:szCs w:val="20"/>
          </w:rPr>
          <w:t xml:space="preserve"> ziņojum</w:t>
        </w:r>
        <w:r w:rsidR="0035053E">
          <w:rPr>
            <w:sz w:val="20"/>
            <w:szCs w:val="20"/>
          </w:rPr>
          <w:t>s „Par finanšu stabilitātes nodevas ietekmi, apmēru un priekšlikumiem turpmākai rīcībai”</w:t>
        </w:r>
        <w:r w:rsidR="0035053E" w:rsidRPr="007A1DC3">
          <w:rPr>
            <w:sz w:val="20"/>
            <w:szCs w:val="20"/>
          </w:rPr>
          <w:t>.</w:t>
        </w:r>
      </w:p>
      <w:p w:rsidR="0035053E" w:rsidRDefault="00C00550">
        <w:pPr>
          <w:pStyle w:val="Footer"/>
          <w:jc w:val="center"/>
        </w:pPr>
        <w:r>
          <w:fldChar w:fldCharType="begin"/>
        </w:r>
        <w:r w:rsidR="0035053E">
          <w:instrText xml:space="preserve"> PAGE   \* MERGEFORMAT </w:instrText>
        </w:r>
        <w:r>
          <w:fldChar w:fldCharType="separate"/>
        </w:r>
        <w:r w:rsidR="00681122">
          <w:rPr>
            <w:noProof/>
          </w:rPr>
          <w:t>23</w:t>
        </w:r>
        <w:r>
          <w:rPr>
            <w:noProof/>
          </w:rPr>
          <w:fldChar w:fldCharType="end"/>
        </w:r>
      </w:p>
    </w:sdtContent>
  </w:sdt>
  <w:p w:rsidR="0035053E" w:rsidRDefault="003505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6E62" w:rsidRDefault="00946E62" w:rsidP="00D3002A">
      <w:pPr>
        <w:spacing w:after="0" w:line="240" w:lineRule="auto"/>
      </w:pPr>
      <w:r>
        <w:separator/>
      </w:r>
    </w:p>
  </w:footnote>
  <w:footnote w:type="continuationSeparator" w:id="0">
    <w:p w:rsidR="00946E62" w:rsidRDefault="00946E62" w:rsidP="00D3002A">
      <w:pPr>
        <w:spacing w:after="0" w:line="240" w:lineRule="auto"/>
      </w:pPr>
      <w:r>
        <w:continuationSeparator/>
      </w:r>
    </w:p>
  </w:footnote>
  <w:footnote w:id="1">
    <w:p w:rsidR="0035053E" w:rsidRDefault="0035053E" w:rsidP="00393A8D">
      <w:pPr>
        <w:pStyle w:val="FootnoteText"/>
      </w:pPr>
      <w:r>
        <w:rPr>
          <w:rStyle w:val="FootnoteReference"/>
        </w:rPr>
        <w:footnoteRef/>
      </w:r>
      <w:r>
        <w:t xml:space="preserve"> </w:t>
      </w:r>
      <w:r w:rsidRPr="005203D9">
        <w:rPr>
          <w:i/>
        </w:rPr>
        <w:t xml:space="preserve">Starptautiskais valūtas fonds, 2010.gada jūnijs, „Godīgs un būtisks finanšu sektora ieguldījums – gala ziņojums G-20 valstīm” („A fair and substantial contribution by the financial sector, final report for the </w:t>
      </w:r>
      <w:r w:rsidRPr="00D064E3">
        <w:rPr>
          <w:i/>
        </w:rPr>
        <w:t>G-20</w:t>
      </w:r>
      <w:r>
        <w:rPr>
          <w:i/>
        </w:rPr>
        <w:t>”</w:t>
      </w:r>
      <w:r w:rsidRPr="005203D9">
        <w:rPr>
          <w:i/>
        </w:rPr>
        <w:t>)</w:t>
      </w:r>
    </w:p>
  </w:footnote>
  <w:footnote w:id="2">
    <w:p w:rsidR="0035053E" w:rsidRDefault="0035053E" w:rsidP="00393A8D">
      <w:pPr>
        <w:pStyle w:val="FootnoteText"/>
        <w:jc w:val="both"/>
      </w:pPr>
      <w:r w:rsidRPr="005203D9">
        <w:rPr>
          <w:i/>
          <w:vertAlign w:val="superscript"/>
        </w:rPr>
        <w:footnoteRef/>
      </w:r>
      <w:r w:rsidRPr="005203D9">
        <w:rPr>
          <w:i/>
        </w:rPr>
        <w:t xml:space="preserve"> Starptautiskais valūtas fonds, 2010.gada jūnijs, „Godīgs un būtisks finanšu sektora ieguldījums – gala ziņojums G-20 valstīm” („A fair and substantial contribution by the financial sector, final report for the </w:t>
      </w:r>
      <w:r w:rsidRPr="00D064E3">
        <w:rPr>
          <w:i/>
        </w:rPr>
        <w:t>G-20</w:t>
      </w:r>
      <w:r>
        <w:rPr>
          <w:i/>
        </w:rPr>
        <w:t>”</w:t>
      </w:r>
      <w:r w:rsidRPr="005203D9">
        <w:rPr>
          <w:i/>
        </w:rPr>
        <w:t>)</w:t>
      </w:r>
    </w:p>
  </w:footnote>
  <w:footnote w:id="3">
    <w:p w:rsidR="0035053E" w:rsidRDefault="0035053E" w:rsidP="00393A8D">
      <w:pPr>
        <w:pStyle w:val="FootnoteText"/>
      </w:pPr>
      <w:r>
        <w:rPr>
          <w:rStyle w:val="FootnoteReference"/>
        </w:rPr>
        <w:footnoteRef/>
      </w:r>
      <w:r>
        <w:t xml:space="preserve"> KPMG, </w:t>
      </w:r>
      <w:r w:rsidRPr="00627140">
        <w:t>2010.gada septembris</w:t>
      </w:r>
      <w:r>
        <w:t>, „Ieteiktās banku nodevas – salīdzinājums starp jurisdikcijām”, Šveice</w:t>
      </w:r>
    </w:p>
  </w:footnote>
  <w:footnote w:id="4">
    <w:p w:rsidR="0035053E" w:rsidRDefault="0035053E">
      <w:pPr>
        <w:pStyle w:val="FootnoteText"/>
      </w:pPr>
      <w:r>
        <w:rPr>
          <w:rStyle w:val="FootnoteReference"/>
        </w:rPr>
        <w:footnoteRef/>
      </w:r>
      <w:r>
        <w:t xml:space="preserve"> Problēmbankas – AS „Parex banka” un AS „Latvijas Krājbanka”</w:t>
      </w:r>
    </w:p>
  </w:footnote>
  <w:footnote w:id="5">
    <w:p w:rsidR="0035053E" w:rsidRDefault="0035053E" w:rsidP="006353AD">
      <w:pPr>
        <w:pStyle w:val="FootnoteText"/>
      </w:pPr>
      <w:r>
        <w:rPr>
          <w:rStyle w:val="FootnoteReference"/>
        </w:rPr>
        <w:footnoteRef/>
      </w:r>
      <w:r>
        <w:t xml:space="preserve"> ROE – peļņas/ zaudējumu attiecība pret kapitālu un rezervēm.</w:t>
      </w:r>
    </w:p>
  </w:footnote>
  <w:footnote w:id="6">
    <w:p w:rsidR="0035053E" w:rsidRDefault="0035053E" w:rsidP="006353AD">
      <w:pPr>
        <w:pStyle w:val="FootnoteText"/>
      </w:pPr>
      <w:r>
        <w:rPr>
          <w:rStyle w:val="FootnoteReference"/>
        </w:rPr>
        <w:footnoteRef/>
      </w:r>
      <w:r>
        <w:t xml:space="preserve"> ROA – peļņas/zaudējumu attiecība pret aktīviem.</w:t>
      </w:r>
    </w:p>
  </w:footnote>
  <w:footnote w:id="7">
    <w:p w:rsidR="0035053E" w:rsidRDefault="0035053E" w:rsidP="006353AD">
      <w:pPr>
        <w:pStyle w:val="FootnoteText"/>
      </w:pPr>
      <w:r>
        <w:rPr>
          <w:rStyle w:val="FootnoteReference"/>
        </w:rPr>
        <w:footnoteRef/>
      </w:r>
      <w:r>
        <w:t xml:space="preserve"> Pirmā līmeņa kapitālā iekļauj tikai augstākās kvalitātes kapitāla elementus: apmaksāto pamatkapitālu, akciju emisijas uzcenojumu, rezerves, kā arī iepriekšējo gadu nesadalīto peļņu vai zaudējumus.  </w:t>
      </w:r>
    </w:p>
  </w:footnote>
  <w:footnote w:id="8">
    <w:p w:rsidR="0035053E" w:rsidRDefault="0035053E">
      <w:pPr>
        <w:pStyle w:val="FootnoteText"/>
      </w:pPr>
      <w:r>
        <w:rPr>
          <w:rStyle w:val="FootnoteReference"/>
        </w:rPr>
        <w:footnoteRef/>
      </w:r>
      <w:r>
        <w:t xml:space="preserve"> Informācija uz 04.03.2013.</w:t>
      </w:r>
    </w:p>
  </w:footnote>
  <w:footnote w:id="9">
    <w:p w:rsidR="0035053E" w:rsidRDefault="0035053E">
      <w:pPr>
        <w:pStyle w:val="FootnoteText"/>
      </w:pPr>
      <w:r>
        <w:rPr>
          <w:rStyle w:val="FootnoteReference"/>
        </w:rPr>
        <w:footnoteRef/>
      </w:r>
      <w:r>
        <w:t xml:space="preserve"> Izņemot Nekustamā īpašuma nodokļa maksājumus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53E" w:rsidRDefault="00467DD7" w:rsidP="00393A8D">
    <w:pPr>
      <w:pStyle w:val="Header"/>
      <w:jc w:val="right"/>
    </w:pPr>
    <w:r>
      <w:t xml:space="preserve">Projekts </w:t>
    </w:r>
    <w:r w:rsidR="00C66D6F">
      <w:t>03</w:t>
    </w:r>
    <w:r w:rsidR="00497512">
      <w:t>.09</w:t>
    </w:r>
    <w:r w:rsidR="0035053E">
      <w:t>.2013.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67D38"/>
    <w:multiLevelType w:val="hybridMultilevel"/>
    <w:tmpl w:val="581EF7C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4624D44"/>
    <w:multiLevelType w:val="hybridMultilevel"/>
    <w:tmpl w:val="840E861E"/>
    <w:lvl w:ilvl="0" w:tplc="E65E22A6">
      <w:start w:val="1"/>
      <w:numFmt w:val="decimal"/>
      <w:lvlText w:val="%1."/>
      <w:lvlJc w:val="left"/>
      <w:pPr>
        <w:ind w:left="502" w:hanging="360"/>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2">
    <w:nsid w:val="0A191C1C"/>
    <w:multiLevelType w:val="hybridMultilevel"/>
    <w:tmpl w:val="09881214"/>
    <w:lvl w:ilvl="0" w:tplc="FA1E079A">
      <w:start w:val="15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8C26ED"/>
    <w:multiLevelType w:val="hybridMultilevel"/>
    <w:tmpl w:val="4DB6D508"/>
    <w:lvl w:ilvl="0" w:tplc="44DC1248">
      <w:start w:val="10"/>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0D1F0201"/>
    <w:multiLevelType w:val="hybridMultilevel"/>
    <w:tmpl w:val="8820D13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
    <w:nsid w:val="0D7D2DFA"/>
    <w:multiLevelType w:val="hybridMultilevel"/>
    <w:tmpl w:val="587E6A08"/>
    <w:lvl w:ilvl="0" w:tplc="2216E6AA">
      <w:start w:val="1"/>
      <w:numFmt w:val="bullet"/>
      <w:lvlText w:val=""/>
      <w:lvlJc w:val="left"/>
      <w:pPr>
        <w:ind w:left="786" w:hanging="360"/>
      </w:pPr>
      <w:rPr>
        <w:rFonts w:ascii="Symbol" w:hAnsi="Symbol" w:hint="default"/>
        <w:sz w:val="24"/>
        <w:szCs w:val="24"/>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6">
    <w:nsid w:val="0E78522D"/>
    <w:multiLevelType w:val="hybridMultilevel"/>
    <w:tmpl w:val="40AEA7DC"/>
    <w:lvl w:ilvl="0" w:tplc="59E40A88">
      <w:start w:val="1"/>
      <w:numFmt w:val="decimal"/>
      <w:lvlText w:val="%1."/>
      <w:lvlJc w:val="left"/>
      <w:pPr>
        <w:ind w:left="426" w:hanging="360"/>
      </w:pPr>
      <w:rPr>
        <w:rFonts w:hint="default"/>
      </w:rPr>
    </w:lvl>
    <w:lvl w:ilvl="1" w:tplc="04260019">
      <w:start w:val="1"/>
      <w:numFmt w:val="lowerLetter"/>
      <w:lvlText w:val="%2."/>
      <w:lvlJc w:val="left"/>
      <w:pPr>
        <w:ind w:left="1146" w:hanging="360"/>
      </w:pPr>
    </w:lvl>
    <w:lvl w:ilvl="2" w:tplc="0426001B" w:tentative="1">
      <w:start w:val="1"/>
      <w:numFmt w:val="lowerRoman"/>
      <w:lvlText w:val="%3."/>
      <w:lvlJc w:val="right"/>
      <w:pPr>
        <w:ind w:left="1866" w:hanging="180"/>
      </w:pPr>
    </w:lvl>
    <w:lvl w:ilvl="3" w:tplc="0426000F" w:tentative="1">
      <w:start w:val="1"/>
      <w:numFmt w:val="decimal"/>
      <w:lvlText w:val="%4."/>
      <w:lvlJc w:val="left"/>
      <w:pPr>
        <w:ind w:left="2586" w:hanging="360"/>
      </w:pPr>
    </w:lvl>
    <w:lvl w:ilvl="4" w:tplc="04260019" w:tentative="1">
      <w:start w:val="1"/>
      <w:numFmt w:val="lowerLetter"/>
      <w:lvlText w:val="%5."/>
      <w:lvlJc w:val="left"/>
      <w:pPr>
        <w:ind w:left="3306" w:hanging="360"/>
      </w:pPr>
    </w:lvl>
    <w:lvl w:ilvl="5" w:tplc="0426001B" w:tentative="1">
      <w:start w:val="1"/>
      <w:numFmt w:val="lowerRoman"/>
      <w:lvlText w:val="%6."/>
      <w:lvlJc w:val="right"/>
      <w:pPr>
        <w:ind w:left="4026" w:hanging="180"/>
      </w:pPr>
    </w:lvl>
    <w:lvl w:ilvl="6" w:tplc="0426000F" w:tentative="1">
      <w:start w:val="1"/>
      <w:numFmt w:val="decimal"/>
      <w:lvlText w:val="%7."/>
      <w:lvlJc w:val="left"/>
      <w:pPr>
        <w:ind w:left="4746" w:hanging="360"/>
      </w:pPr>
    </w:lvl>
    <w:lvl w:ilvl="7" w:tplc="04260019" w:tentative="1">
      <w:start w:val="1"/>
      <w:numFmt w:val="lowerLetter"/>
      <w:lvlText w:val="%8."/>
      <w:lvlJc w:val="left"/>
      <w:pPr>
        <w:ind w:left="5466" w:hanging="360"/>
      </w:pPr>
    </w:lvl>
    <w:lvl w:ilvl="8" w:tplc="0426001B" w:tentative="1">
      <w:start w:val="1"/>
      <w:numFmt w:val="lowerRoman"/>
      <w:lvlText w:val="%9."/>
      <w:lvlJc w:val="right"/>
      <w:pPr>
        <w:ind w:left="6186" w:hanging="180"/>
      </w:pPr>
    </w:lvl>
  </w:abstractNum>
  <w:abstractNum w:abstractNumId="7">
    <w:nsid w:val="0F363137"/>
    <w:multiLevelType w:val="hybridMultilevel"/>
    <w:tmpl w:val="F6908D82"/>
    <w:lvl w:ilvl="0" w:tplc="04260001">
      <w:start w:val="1"/>
      <w:numFmt w:val="bullet"/>
      <w:lvlText w:val=""/>
      <w:lvlJc w:val="left"/>
      <w:pPr>
        <w:ind w:left="1353"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11A64F8D"/>
    <w:multiLevelType w:val="multilevel"/>
    <w:tmpl w:val="97482C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E778D1"/>
    <w:multiLevelType w:val="hybridMultilevel"/>
    <w:tmpl w:val="0764FF76"/>
    <w:lvl w:ilvl="0" w:tplc="02E45166">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0">
    <w:nsid w:val="12226228"/>
    <w:multiLevelType w:val="hybridMultilevel"/>
    <w:tmpl w:val="D59C4AC8"/>
    <w:lvl w:ilvl="0" w:tplc="04260011">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C010DB58">
      <w:start w:val="1"/>
      <w:numFmt w:val="lowerRoman"/>
      <w:lvlText w:val="%3."/>
      <w:lvlJc w:val="right"/>
      <w:pPr>
        <w:ind w:left="2160" w:hanging="180"/>
      </w:pPr>
      <w:rPr>
        <w:rFonts w:hint="default"/>
      </w:rPr>
    </w:lvl>
    <w:lvl w:ilvl="3" w:tplc="6D5821F6">
      <w:start w:val="1"/>
      <w:numFmt w:val="decimal"/>
      <w:lvlText w:val="%4."/>
      <w:lvlJc w:val="left"/>
      <w:pPr>
        <w:ind w:left="2880" w:hanging="3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1B606286"/>
    <w:multiLevelType w:val="hybridMultilevel"/>
    <w:tmpl w:val="E93EA1E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
    <w:nsid w:val="1C8126FB"/>
    <w:multiLevelType w:val="hybridMultilevel"/>
    <w:tmpl w:val="07CC59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22A725FF"/>
    <w:multiLevelType w:val="hybridMultilevel"/>
    <w:tmpl w:val="3C840000"/>
    <w:lvl w:ilvl="0" w:tplc="686C8358">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29212370"/>
    <w:multiLevelType w:val="hybridMultilevel"/>
    <w:tmpl w:val="1B48E62E"/>
    <w:lvl w:ilvl="0" w:tplc="0426000F">
      <w:start w:val="1"/>
      <w:numFmt w:val="decimal"/>
      <w:lvlText w:val="%1."/>
      <w:lvlJc w:val="left"/>
      <w:pPr>
        <w:ind w:left="720" w:hanging="72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5">
    <w:nsid w:val="2ACB6147"/>
    <w:multiLevelType w:val="hybridMultilevel"/>
    <w:tmpl w:val="37726C2C"/>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6">
    <w:nsid w:val="2CD055C7"/>
    <w:multiLevelType w:val="hybridMultilevel"/>
    <w:tmpl w:val="F4BC9816"/>
    <w:lvl w:ilvl="0" w:tplc="0426000F">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17">
    <w:nsid w:val="2D1425C6"/>
    <w:multiLevelType w:val="hybridMultilevel"/>
    <w:tmpl w:val="3558DF20"/>
    <w:lvl w:ilvl="0" w:tplc="E354B17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2DB65D80"/>
    <w:multiLevelType w:val="hybridMultilevel"/>
    <w:tmpl w:val="CE9CD402"/>
    <w:lvl w:ilvl="0" w:tplc="DD06C4EA">
      <w:start w:val="1"/>
      <w:numFmt w:val="decimal"/>
      <w:lvlText w:val="%1."/>
      <w:lvlJc w:val="left"/>
      <w:pPr>
        <w:ind w:left="720" w:hanging="360"/>
      </w:pPr>
      <w:rPr>
        <w:rFonts w:hint="default"/>
        <w: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2F797BAD"/>
    <w:multiLevelType w:val="hybridMultilevel"/>
    <w:tmpl w:val="E6363234"/>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0">
    <w:nsid w:val="33767D74"/>
    <w:multiLevelType w:val="hybridMultilevel"/>
    <w:tmpl w:val="190679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6D950AF"/>
    <w:multiLevelType w:val="hybridMultilevel"/>
    <w:tmpl w:val="017086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37014E70"/>
    <w:multiLevelType w:val="hybridMultilevel"/>
    <w:tmpl w:val="07CC59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3DE42431"/>
    <w:multiLevelType w:val="hybridMultilevel"/>
    <w:tmpl w:val="1966C648"/>
    <w:lvl w:ilvl="0" w:tplc="F196C166">
      <w:start w:val="14"/>
      <w:numFmt w:val="bullet"/>
      <w:lvlText w:val="-"/>
      <w:lvlJc w:val="left"/>
      <w:pPr>
        <w:ind w:left="420" w:hanging="360"/>
      </w:pPr>
      <w:rPr>
        <w:rFonts w:ascii="Times New Roman" w:eastAsiaTheme="minorHAnsi" w:hAnsi="Times New Roman" w:cs="Times New Roman"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24">
    <w:nsid w:val="3FBC418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B314CC8"/>
    <w:multiLevelType w:val="hybridMultilevel"/>
    <w:tmpl w:val="54CA2DB2"/>
    <w:lvl w:ilvl="0" w:tplc="0426000F">
      <w:start w:val="1"/>
      <w:numFmt w:val="decimal"/>
      <w:lvlText w:val="%1."/>
      <w:lvlJc w:val="left"/>
      <w:pPr>
        <w:ind w:left="1429" w:hanging="360"/>
      </w:pPr>
      <w:rPr>
        <w:rFonts w:hint="default"/>
        <w:sz w:val="24"/>
        <w:szCs w:val="24"/>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6">
    <w:nsid w:val="50D83002"/>
    <w:multiLevelType w:val="hybridMultilevel"/>
    <w:tmpl w:val="10B0883E"/>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7">
    <w:nsid w:val="57093620"/>
    <w:multiLevelType w:val="hybridMultilevel"/>
    <w:tmpl w:val="4D1A5864"/>
    <w:lvl w:ilvl="0" w:tplc="E354B17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nsid w:val="596E164D"/>
    <w:multiLevelType w:val="hybridMultilevel"/>
    <w:tmpl w:val="5EE28B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60B423E3"/>
    <w:multiLevelType w:val="hybridMultilevel"/>
    <w:tmpl w:val="AC1AEF8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nsid w:val="61D8744C"/>
    <w:multiLevelType w:val="hybridMultilevel"/>
    <w:tmpl w:val="C2F014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61E54758"/>
    <w:multiLevelType w:val="hybridMultilevel"/>
    <w:tmpl w:val="62BAD51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2">
    <w:nsid w:val="64F25355"/>
    <w:multiLevelType w:val="hybridMultilevel"/>
    <w:tmpl w:val="5CB8523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3">
    <w:nsid w:val="64F972BA"/>
    <w:multiLevelType w:val="hybridMultilevel"/>
    <w:tmpl w:val="39D04326"/>
    <w:lvl w:ilvl="0" w:tplc="04260005">
      <w:start w:val="1"/>
      <w:numFmt w:val="bullet"/>
      <w:lvlText w:val=""/>
      <w:lvlJc w:val="left"/>
      <w:pPr>
        <w:ind w:left="1429" w:hanging="360"/>
      </w:pPr>
      <w:rPr>
        <w:rFonts w:ascii="Wingdings" w:hAnsi="Wingding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4">
    <w:nsid w:val="6B8B0F25"/>
    <w:multiLevelType w:val="hybridMultilevel"/>
    <w:tmpl w:val="63460CF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nsid w:val="6C024569"/>
    <w:multiLevelType w:val="hybridMultilevel"/>
    <w:tmpl w:val="3502DC5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nsid w:val="6C572085"/>
    <w:multiLevelType w:val="hybridMultilevel"/>
    <w:tmpl w:val="66342DC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nsid w:val="731F4028"/>
    <w:multiLevelType w:val="hybridMultilevel"/>
    <w:tmpl w:val="1B2A9A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nsid w:val="7406563C"/>
    <w:multiLevelType w:val="hybridMultilevel"/>
    <w:tmpl w:val="85D0E52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nsid w:val="77401DA1"/>
    <w:multiLevelType w:val="hybridMultilevel"/>
    <w:tmpl w:val="10142D9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nsid w:val="78812F41"/>
    <w:multiLevelType w:val="hybridMultilevel"/>
    <w:tmpl w:val="7AC41870"/>
    <w:lvl w:ilvl="0" w:tplc="DDA218C4">
      <w:start w:val="1"/>
      <w:numFmt w:val="decimal"/>
      <w:lvlText w:val="%1."/>
      <w:lvlJc w:val="left"/>
      <w:pPr>
        <w:ind w:left="720" w:hanging="360"/>
      </w:pPr>
      <w:rPr>
        <w:b/>
        <w:sz w:val="24"/>
        <w:szCs w:val="24"/>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1"/>
  </w:num>
  <w:num w:numId="2">
    <w:abstractNumId w:val="18"/>
  </w:num>
  <w:num w:numId="3">
    <w:abstractNumId w:val="30"/>
  </w:num>
  <w:num w:numId="4">
    <w:abstractNumId w:val="6"/>
  </w:num>
  <w:num w:numId="5">
    <w:abstractNumId w:val="35"/>
  </w:num>
  <w:num w:numId="6">
    <w:abstractNumId w:val="38"/>
  </w:num>
  <w:num w:numId="7">
    <w:abstractNumId w:val="13"/>
  </w:num>
  <w:num w:numId="8">
    <w:abstractNumId w:val="14"/>
  </w:num>
  <w:num w:numId="9">
    <w:abstractNumId w:val="12"/>
  </w:num>
  <w:num w:numId="10">
    <w:abstractNumId w:val="3"/>
  </w:num>
  <w:num w:numId="11">
    <w:abstractNumId w:val="22"/>
  </w:num>
  <w:num w:numId="12">
    <w:abstractNumId w:val="28"/>
  </w:num>
  <w:num w:numId="13">
    <w:abstractNumId w:val="7"/>
  </w:num>
  <w:num w:numId="14">
    <w:abstractNumId w:val="25"/>
  </w:num>
  <w:num w:numId="15">
    <w:abstractNumId w:val="34"/>
  </w:num>
  <w:num w:numId="16">
    <w:abstractNumId w:val="5"/>
  </w:num>
  <w:num w:numId="17">
    <w:abstractNumId w:val="40"/>
  </w:num>
  <w:num w:numId="18">
    <w:abstractNumId w:val="26"/>
  </w:num>
  <w:num w:numId="19">
    <w:abstractNumId w:val="37"/>
  </w:num>
  <w:num w:numId="20">
    <w:abstractNumId w:val="19"/>
  </w:num>
  <w:num w:numId="21">
    <w:abstractNumId w:val="15"/>
  </w:num>
  <w:num w:numId="22">
    <w:abstractNumId w:val="10"/>
  </w:num>
  <w:num w:numId="23">
    <w:abstractNumId w:val="29"/>
  </w:num>
  <w:num w:numId="24">
    <w:abstractNumId w:val="27"/>
  </w:num>
  <w:num w:numId="25">
    <w:abstractNumId w:val="17"/>
  </w:num>
  <w:num w:numId="26">
    <w:abstractNumId w:val="1"/>
  </w:num>
  <w:num w:numId="27">
    <w:abstractNumId w:val="8"/>
  </w:num>
  <w:num w:numId="28">
    <w:abstractNumId w:val="39"/>
  </w:num>
  <w:num w:numId="29">
    <w:abstractNumId w:val="31"/>
  </w:num>
  <w:num w:numId="30">
    <w:abstractNumId w:val="20"/>
  </w:num>
  <w:num w:numId="31">
    <w:abstractNumId w:val="23"/>
  </w:num>
  <w:num w:numId="32">
    <w:abstractNumId w:val="11"/>
  </w:num>
  <w:num w:numId="33">
    <w:abstractNumId w:val="0"/>
  </w:num>
  <w:num w:numId="34">
    <w:abstractNumId w:val="32"/>
  </w:num>
  <w:num w:numId="35">
    <w:abstractNumId w:val="24"/>
  </w:num>
  <w:num w:numId="36">
    <w:abstractNumId w:val="16"/>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num>
  <w:num w:numId="39">
    <w:abstractNumId w:val="2"/>
  </w:num>
  <w:num w:numId="40">
    <w:abstractNumId w:val="36"/>
  </w:num>
  <w:num w:numId="41">
    <w:abstractNumId w:val="9"/>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0D4"/>
    <w:rsid w:val="000016AC"/>
    <w:rsid w:val="00002780"/>
    <w:rsid w:val="00007ED9"/>
    <w:rsid w:val="00010FB4"/>
    <w:rsid w:val="00012162"/>
    <w:rsid w:val="000122AD"/>
    <w:rsid w:val="000148BC"/>
    <w:rsid w:val="000212D4"/>
    <w:rsid w:val="00021593"/>
    <w:rsid w:val="00024903"/>
    <w:rsid w:val="00025E33"/>
    <w:rsid w:val="00027965"/>
    <w:rsid w:val="0003018B"/>
    <w:rsid w:val="00030DEE"/>
    <w:rsid w:val="00031611"/>
    <w:rsid w:val="00032827"/>
    <w:rsid w:val="00036CF6"/>
    <w:rsid w:val="00037505"/>
    <w:rsid w:val="000467B9"/>
    <w:rsid w:val="000474AB"/>
    <w:rsid w:val="00052F3C"/>
    <w:rsid w:val="00053D5F"/>
    <w:rsid w:val="00054100"/>
    <w:rsid w:val="00054CBB"/>
    <w:rsid w:val="0005725A"/>
    <w:rsid w:val="00057A7C"/>
    <w:rsid w:val="00060D2B"/>
    <w:rsid w:val="00062634"/>
    <w:rsid w:val="0006327B"/>
    <w:rsid w:val="00064D4D"/>
    <w:rsid w:val="00067526"/>
    <w:rsid w:val="000713D3"/>
    <w:rsid w:val="00074E46"/>
    <w:rsid w:val="00076765"/>
    <w:rsid w:val="00082FBA"/>
    <w:rsid w:val="000840F3"/>
    <w:rsid w:val="00086CDC"/>
    <w:rsid w:val="00090822"/>
    <w:rsid w:val="00091203"/>
    <w:rsid w:val="00091800"/>
    <w:rsid w:val="000921E3"/>
    <w:rsid w:val="00092531"/>
    <w:rsid w:val="00093823"/>
    <w:rsid w:val="000A0EE8"/>
    <w:rsid w:val="000A706F"/>
    <w:rsid w:val="000A7C17"/>
    <w:rsid w:val="000B0B3C"/>
    <w:rsid w:val="000B2C47"/>
    <w:rsid w:val="000B32D5"/>
    <w:rsid w:val="000B3412"/>
    <w:rsid w:val="000B403B"/>
    <w:rsid w:val="000B41D8"/>
    <w:rsid w:val="000B4441"/>
    <w:rsid w:val="000B49DB"/>
    <w:rsid w:val="000B5909"/>
    <w:rsid w:val="000B5CC4"/>
    <w:rsid w:val="000C1FAC"/>
    <w:rsid w:val="000C37F8"/>
    <w:rsid w:val="000C3E20"/>
    <w:rsid w:val="000C484A"/>
    <w:rsid w:val="000D2091"/>
    <w:rsid w:val="000D5259"/>
    <w:rsid w:val="000D630F"/>
    <w:rsid w:val="000D6CC2"/>
    <w:rsid w:val="000E0E8F"/>
    <w:rsid w:val="000E11F7"/>
    <w:rsid w:val="000E21C6"/>
    <w:rsid w:val="000E235F"/>
    <w:rsid w:val="000F0332"/>
    <w:rsid w:val="000F06F6"/>
    <w:rsid w:val="000F0E6D"/>
    <w:rsid w:val="000F2CBE"/>
    <w:rsid w:val="00100BDE"/>
    <w:rsid w:val="00103284"/>
    <w:rsid w:val="0010616D"/>
    <w:rsid w:val="001165B8"/>
    <w:rsid w:val="001206AA"/>
    <w:rsid w:val="001318F9"/>
    <w:rsid w:val="00133C63"/>
    <w:rsid w:val="00137EFF"/>
    <w:rsid w:val="00141057"/>
    <w:rsid w:val="00141E50"/>
    <w:rsid w:val="001443C7"/>
    <w:rsid w:val="00145992"/>
    <w:rsid w:val="00145C0C"/>
    <w:rsid w:val="00150352"/>
    <w:rsid w:val="00154BFE"/>
    <w:rsid w:val="00157AA2"/>
    <w:rsid w:val="001602B1"/>
    <w:rsid w:val="00161254"/>
    <w:rsid w:val="00162BDF"/>
    <w:rsid w:val="0016376D"/>
    <w:rsid w:val="0016581F"/>
    <w:rsid w:val="001664D0"/>
    <w:rsid w:val="001710CE"/>
    <w:rsid w:val="00173525"/>
    <w:rsid w:val="00174AF9"/>
    <w:rsid w:val="00176691"/>
    <w:rsid w:val="001774D2"/>
    <w:rsid w:val="00180ADD"/>
    <w:rsid w:val="001814AD"/>
    <w:rsid w:val="00181CE2"/>
    <w:rsid w:val="00182158"/>
    <w:rsid w:val="001915DD"/>
    <w:rsid w:val="00191EBC"/>
    <w:rsid w:val="00196341"/>
    <w:rsid w:val="00197126"/>
    <w:rsid w:val="00197593"/>
    <w:rsid w:val="001A07A2"/>
    <w:rsid w:val="001A4E44"/>
    <w:rsid w:val="001A6C81"/>
    <w:rsid w:val="001B22DA"/>
    <w:rsid w:val="001B6197"/>
    <w:rsid w:val="001C25E0"/>
    <w:rsid w:val="001C2826"/>
    <w:rsid w:val="001C3332"/>
    <w:rsid w:val="001C5169"/>
    <w:rsid w:val="001C5B18"/>
    <w:rsid w:val="001C6550"/>
    <w:rsid w:val="001D04D4"/>
    <w:rsid w:val="001D0AA5"/>
    <w:rsid w:val="001D3AD8"/>
    <w:rsid w:val="001D42A6"/>
    <w:rsid w:val="001D4620"/>
    <w:rsid w:val="001D570A"/>
    <w:rsid w:val="001D574B"/>
    <w:rsid w:val="001E0BB9"/>
    <w:rsid w:val="001E0F10"/>
    <w:rsid w:val="001E47DA"/>
    <w:rsid w:val="001F4AEE"/>
    <w:rsid w:val="001F7C53"/>
    <w:rsid w:val="00205493"/>
    <w:rsid w:val="00210C86"/>
    <w:rsid w:val="002114D9"/>
    <w:rsid w:val="0021234E"/>
    <w:rsid w:val="00216CA2"/>
    <w:rsid w:val="00217A32"/>
    <w:rsid w:val="00221643"/>
    <w:rsid w:val="002241D5"/>
    <w:rsid w:val="00224282"/>
    <w:rsid w:val="00226467"/>
    <w:rsid w:val="00230B61"/>
    <w:rsid w:val="00233CE4"/>
    <w:rsid w:val="00235748"/>
    <w:rsid w:val="00236EE1"/>
    <w:rsid w:val="00244935"/>
    <w:rsid w:val="002530CB"/>
    <w:rsid w:val="00257151"/>
    <w:rsid w:val="00257A74"/>
    <w:rsid w:val="00260BAD"/>
    <w:rsid w:val="002611CA"/>
    <w:rsid w:val="00261372"/>
    <w:rsid w:val="002634E5"/>
    <w:rsid w:val="002703C3"/>
    <w:rsid w:val="00272CCC"/>
    <w:rsid w:val="002769F4"/>
    <w:rsid w:val="00280053"/>
    <w:rsid w:val="0028229D"/>
    <w:rsid w:val="00282CE4"/>
    <w:rsid w:val="002845E5"/>
    <w:rsid w:val="0028483D"/>
    <w:rsid w:val="0028548D"/>
    <w:rsid w:val="00291320"/>
    <w:rsid w:val="00291BA1"/>
    <w:rsid w:val="00292E6A"/>
    <w:rsid w:val="00293437"/>
    <w:rsid w:val="00293594"/>
    <w:rsid w:val="00294E29"/>
    <w:rsid w:val="002A156E"/>
    <w:rsid w:val="002A3291"/>
    <w:rsid w:val="002A6FE1"/>
    <w:rsid w:val="002B06B6"/>
    <w:rsid w:val="002B249C"/>
    <w:rsid w:val="002B6F3A"/>
    <w:rsid w:val="002B76C2"/>
    <w:rsid w:val="002C0A1D"/>
    <w:rsid w:val="002C0EAD"/>
    <w:rsid w:val="002C1304"/>
    <w:rsid w:val="002C17A4"/>
    <w:rsid w:val="002C2FC3"/>
    <w:rsid w:val="002C42A4"/>
    <w:rsid w:val="002C4B99"/>
    <w:rsid w:val="002D500E"/>
    <w:rsid w:val="002D6E53"/>
    <w:rsid w:val="002E04A9"/>
    <w:rsid w:val="002E5C00"/>
    <w:rsid w:val="002E72F9"/>
    <w:rsid w:val="002E7378"/>
    <w:rsid w:val="002E7410"/>
    <w:rsid w:val="002F094C"/>
    <w:rsid w:val="002F1788"/>
    <w:rsid w:val="002F4D8E"/>
    <w:rsid w:val="002F678B"/>
    <w:rsid w:val="002F689F"/>
    <w:rsid w:val="002F6A62"/>
    <w:rsid w:val="0030020C"/>
    <w:rsid w:val="003027B0"/>
    <w:rsid w:val="0030294E"/>
    <w:rsid w:val="0030393A"/>
    <w:rsid w:val="00303CB4"/>
    <w:rsid w:val="00305A95"/>
    <w:rsid w:val="00306650"/>
    <w:rsid w:val="00306725"/>
    <w:rsid w:val="0031594D"/>
    <w:rsid w:val="00316AFB"/>
    <w:rsid w:val="00317D12"/>
    <w:rsid w:val="00317D7C"/>
    <w:rsid w:val="00320E78"/>
    <w:rsid w:val="00321AFD"/>
    <w:rsid w:val="00322749"/>
    <w:rsid w:val="00324A8C"/>
    <w:rsid w:val="00325835"/>
    <w:rsid w:val="003258D6"/>
    <w:rsid w:val="00325D39"/>
    <w:rsid w:val="00326C3E"/>
    <w:rsid w:val="00330C53"/>
    <w:rsid w:val="003312E8"/>
    <w:rsid w:val="00331A34"/>
    <w:rsid w:val="00331F33"/>
    <w:rsid w:val="003326C2"/>
    <w:rsid w:val="00340979"/>
    <w:rsid w:val="0034231D"/>
    <w:rsid w:val="00342E35"/>
    <w:rsid w:val="00345712"/>
    <w:rsid w:val="00346460"/>
    <w:rsid w:val="0034771F"/>
    <w:rsid w:val="00347817"/>
    <w:rsid w:val="0035053E"/>
    <w:rsid w:val="00350AAE"/>
    <w:rsid w:val="0035233D"/>
    <w:rsid w:val="003534BC"/>
    <w:rsid w:val="00356E86"/>
    <w:rsid w:val="00356F86"/>
    <w:rsid w:val="00357842"/>
    <w:rsid w:val="003607F6"/>
    <w:rsid w:val="0036393A"/>
    <w:rsid w:val="00364E60"/>
    <w:rsid w:val="00371572"/>
    <w:rsid w:val="00371FF5"/>
    <w:rsid w:val="00376091"/>
    <w:rsid w:val="00377A54"/>
    <w:rsid w:val="00381D93"/>
    <w:rsid w:val="003820D4"/>
    <w:rsid w:val="0038764A"/>
    <w:rsid w:val="0039318D"/>
    <w:rsid w:val="00393663"/>
    <w:rsid w:val="00393A8D"/>
    <w:rsid w:val="00393EAB"/>
    <w:rsid w:val="003961DE"/>
    <w:rsid w:val="003974EE"/>
    <w:rsid w:val="003A4D1A"/>
    <w:rsid w:val="003A4F71"/>
    <w:rsid w:val="003B0569"/>
    <w:rsid w:val="003B0EC2"/>
    <w:rsid w:val="003B4314"/>
    <w:rsid w:val="003B4E6F"/>
    <w:rsid w:val="003B67F3"/>
    <w:rsid w:val="003C00B8"/>
    <w:rsid w:val="003C10CA"/>
    <w:rsid w:val="003C123B"/>
    <w:rsid w:val="003C3046"/>
    <w:rsid w:val="003C3614"/>
    <w:rsid w:val="003C3CAE"/>
    <w:rsid w:val="003C48BF"/>
    <w:rsid w:val="003C672F"/>
    <w:rsid w:val="003C7E0F"/>
    <w:rsid w:val="003D24BB"/>
    <w:rsid w:val="003D3622"/>
    <w:rsid w:val="003D3F93"/>
    <w:rsid w:val="003D4D6F"/>
    <w:rsid w:val="003E03C1"/>
    <w:rsid w:val="003E29E4"/>
    <w:rsid w:val="003E5631"/>
    <w:rsid w:val="003F068E"/>
    <w:rsid w:val="003F5036"/>
    <w:rsid w:val="003F51F8"/>
    <w:rsid w:val="00401533"/>
    <w:rsid w:val="00401F25"/>
    <w:rsid w:val="004032B8"/>
    <w:rsid w:val="00404D0C"/>
    <w:rsid w:val="00405159"/>
    <w:rsid w:val="004055A1"/>
    <w:rsid w:val="00407510"/>
    <w:rsid w:val="00410415"/>
    <w:rsid w:val="00410CA4"/>
    <w:rsid w:val="00411FD0"/>
    <w:rsid w:val="00413A87"/>
    <w:rsid w:val="00416B32"/>
    <w:rsid w:val="00425969"/>
    <w:rsid w:val="00425BE2"/>
    <w:rsid w:val="00426923"/>
    <w:rsid w:val="004301D2"/>
    <w:rsid w:val="00430626"/>
    <w:rsid w:val="004307B1"/>
    <w:rsid w:val="00441BF3"/>
    <w:rsid w:val="00442BAE"/>
    <w:rsid w:val="00442C20"/>
    <w:rsid w:val="0044497A"/>
    <w:rsid w:val="00444EEE"/>
    <w:rsid w:val="004452D1"/>
    <w:rsid w:val="004463D2"/>
    <w:rsid w:val="0044654F"/>
    <w:rsid w:val="0045185D"/>
    <w:rsid w:val="00454B62"/>
    <w:rsid w:val="00455ABC"/>
    <w:rsid w:val="0046167B"/>
    <w:rsid w:val="00461A44"/>
    <w:rsid w:val="00463221"/>
    <w:rsid w:val="00466BE4"/>
    <w:rsid w:val="00466F56"/>
    <w:rsid w:val="00466F62"/>
    <w:rsid w:val="00467DD7"/>
    <w:rsid w:val="00470235"/>
    <w:rsid w:val="00473FB8"/>
    <w:rsid w:val="00474B29"/>
    <w:rsid w:val="00477814"/>
    <w:rsid w:val="00480D90"/>
    <w:rsid w:val="00481086"/>
    <w:rsid w:val="004810A0"/>
    <w:rsid w:val="00481422"/>
    <w:rsid w:val="00485D76"/>
    <w:rsid w:val="00487611"/>
    <w:rsid w:val="00490A03"/>
    <w:rsid w:val="00494616"/>
    <w:rsid w:val="00494A1D"/>
    <w:rsid w:val="00494F0F"/>
    <w:rsid w:val="0049517F"/>
    <w:rsid w:val="00495D84"/>
    <w:rsid w:val="00497512"/>
    <w:rsid w:val="004A263B"/>
    <w:rsid w:val="004A45B1"/>
    <w:rsid w:val="004A49DA"/>
    <w:rsid w:val="004B0492"/>
    <w:rsid w:val="004B0DA6"/>
    <w:rsid w:val="004B6BBC"/>
    <w:rsid w:val="004C1AAB"/>
    <w:rsid w:val="004C1DE1"/>
    <w:rsid w:val="004C3C6C"/>
    <w:rsid w:val="004C729B"/>
    <w:rsid w:val="004D0372"/>
    <w:rsid w:val="004D16A9"/>
    <w:rsid w:val="004D2135"/>
    <w:rsid w:val="004D3EC7"/>
    <w:rsid w:val="004D4384"/>
    <w:rsid w:val="004D4A12"/>
    <w:rsid w:val="004D56A3"/>
    <w:rsid w:val="004D7177"/>
    <w:rsid w:val="004E0A62"/>
    <w:rsid w:val="004E0D10"/>
    <w:rsid w:val="004E593B"/>
    <w:rsid w:val="004E5E19"/>
    <w:rsid w:val="004F16A9"/>
    <w:rsid w:val="004F429E"/>
    <w:rsid w:val="004F53E7"/>
    <w:rsid w:val="004F55A9"/>
    <w:rsid w:val="00500C15"/>
    <w:rsid w:val="00501918"/>
    <w:rsid w:val="00503B3F"/>
    <w:rsid w:val="005043A1"/>
    <w:rsid w:val="00511A09"/>
    <w:rsid w:val="00513CA7"/>
    <w:rsid w:val="005172C2"/>
    <w:rsid w:val="005179DB"/>
    <w:rsid w:val="005230AF"/>
    <w:rsid w:val="00524D3C"/>
    <w:rsid w:val="00527556"/>
    <w:rsid w:val="005306E3"/>
    <w:rsid w:val="0053197B"/>
    <w:rsid w:val="00533D62"/>
    <w:rsid w:val="00533F32"/>
    <w:rsid w:val="00534D2E"/>
    <w:rsid w:val="00534DB7"/>
    <w:rsid w:val="00536A1A"/>
    <w:rsid w:val="00540B8D"/>
    <w:rsid w:val="0054114D"/>
    <w:rsid w:val="00541A87"/>
    <w:rsid w:val="00545347"/>
    <w:rsid w:val="00545DB7"/>
    <w:rsid w:val="00547E5C"/>
    <w:rsid w:val="00550356"/>
    <w:rsid w:val="00551A85"/>
    <w:rsid w:val="0055659E"/>
    <w:rsid w:val="00562F60"/>
    <w:rsid w:val="005650EE"/>
    <w:rsid w:val="00565F68"/>
    <w:rsid w:val="00581668"/>
    <w:rsid w:val="00582D39"/>
    <w:rsid w:val="00584819"/>
    <w:rsid w:val="005910FA"/>
    <w:rsid w:val="0059339B"/>
    <w:rsid w:val="0059772A"/>
    <w:rsid w:val="005A3E94"/>
    <w:rsid w:val="005A6A4C"/>
    <w:rsid w:val="005A728E"/>
    <w:rsid w:val="005A76B9"/>
    <w:rsid w:val="005B0407"/>
    <w:rsid w:val="005B3B9D"/>
    <w:rsid w:val="005B3C47"/>
    <w:rsid w:val="005B5A7F"/>
    <w:rsid w:val="005B5AA4"/>
    <w:rsid w:val="005B7992"/>
    <w:rsid w:val="005C0B59"/>
    <w:rsid w:val="005C1A17"/>
    <w:rsid w:val="005C1C05"/>
    <w:rsid w:val="005C4F57"/>
    <w:rsid w:val="005C7913"/>
    <w:rsid w:val="005D085A"/>
    <w:rsid w:val="005D10F7"/>
    <w:rsid w:val="005D1995"/>
    <w:rsid w:val="005D4590"/>
    <w:rsid w:val="005D7F19"/>
    <w:rsid w:val="005E10FD"/>
    <w:rsid w:val="005E2F25"/>
    <w:rsid w:val="005E68FC"/>
    <w:rsid w:val="005E6A49"/>
    <w:rsid w:val="005F6627"/>
    <w:rsid w:val="005F7B64"/>
    <w:rsid w:val="0060037F"/>
    <w:rsid w:val="00601725"/>
    <w:rsid w:val="00601AA5"/>
    <w:rsid w:val="0060341F"/>
    <w:rsid w:val="00603CA1"/>
    <w:rsid w:val="00603EAF"/>
    <w:rsid w:val="00607249"/>
    <w:rsid w:val="00607CF4"/>
    <w:rsid w:val="00611F38"/>
    <w:rsid w:val="00613822"/>
    <w:rsid w:val="006143FF"/>
    <w:rsid w:val="00615BBE"/>
    <w:rsid w:val="00616533"/>
    <w:rsid w:val="00617D87"/>
    <w:rsid w:val="00621EC7"/>
    <w:rsid w:val="00621F58"/>
    <w:rsid w:val="006222AC"/>
    <w:rsid w:val="00622590"/>
    <w:rsid w:val="0062260C"/>
    <w:rsid w:val="006232D9"/>
    <w:rsid w:val="00627502"/>
    <w:rsid w:val="00630CA7"/>
    <w:rsid w:val="006312C8"/>
    <w:rsid w:val="00632E1E"/>
    <w:rsid w:val="006353AD"/>
    <w:rsid w:val="00637A5D"/>
    <w:rsid w:val="0064193B"/>
    <w:rsid w:val="00641EF6"/>
    <w:rsid w:val="0064257D"/>
    <w:rsid w:val="0064519A"/>
    <w:rsid w:val="00655038"/>
    <w:rsid w:val="00655F58"/>
    <w:rsid w:val="00661850"/>
    <w:rsid w:val="00661F33"/>
    <w:rsid w:val="006639DE"/>
    <w:rsid w:val="0066568C"/>
    <w:rsid w:val="00666819"/>
    <w:rsid w:val="00666B3B"/>
    <w:rsid w:val="006676E3"/>
    <w:rsid w:val="00670095"/>
    <w:rsid w:val="0067108E"/>
    <w:rsid w:val="00673593"/>
    <w:rsid w:val="00676B57"/>
    <w:rsid w:val="00676D49"/>
    <w:rsid w:val="00681122"/>
    <w:rsid w:val="006823ED"/>
    <w:rsid w:val="00685F29"/>
    <w:rsid w:val="006876F7"/>
    <w:rsid w:val="00693F13"/>
    <w:rsid w:val="00695900"/>
    <w:rsid w:val="00695ABB"/>
    <w:rsid w:val="00696201"/>
    <w:rsid w:val="006965EA"/>
    <w:rsid w:val="0069669D"/>
    <w:rsid w:val="006976E4"/>
    <w:rsid w:val="006A0586"/>
    <w:rsid w:val="006A11AB"/>
    <w:rsid w:val="006A3779"/>
    <w:rsid w:val="006A37E8"/>
    <w:rsid w:val="006A3AF3"/>
    <w:rsid w:val="006A462E"/>
    <w:rsid w:val="006A4AFA"/>
    <w:rsid w:val="006A5D26"/>
    <w:rsid w:val="006A5F80"/>
    <w:rsid w:val="006B248F"/>
    <w:rsid w:val="006B2979"/>
    <w:rsid w:val="006B3459"/>
    <w:rsid w:val="006B3FD9"/>
    <w:rsid w:val="006B660A"/>
    <w:rsid w:val="006C65B0"/>
    <w:rsid w:val="006C6E84"/>
    <w:rsid w:val="006C7CD4"/>
    <w:rsid w:val="006D634A"/>
    <w:rsid w:val="006E17A9"/>
    <w:rsid w:val="006E697C"/>
    <w:rsid w:val="006E6E9D"/>
    <w:rsid w:val="006E6ED0"/>
    <w:rsid w:val="006F17ED"/>
    <w:rsid w:val="006F2BE4"/>
    <w:rsid w:val="006F7067"/>
    <w:rsid w:val="00715308"/>
    <w:rsid w:val="00715822"/>
    <w:rsid w:val="00720038"/>
    <w:rsid w:val="007212E8"/>
    <w:rsid w:val="007264C6"/>
    <w:rsid w:val="0073166F"/>
    <w:rsid w:val="00735018"/>
    <w:rsid w:val="007357BD"/>
    <w:rsid w:val="00740D6E"/>
    <w:rsid w:val="0074378B"/>
    <w:rsid w:val="007453C0"/>
    <w:rsid w:val="007473B6"/>
    <w:rsid w:val="00747882"/>
    <w:rsid w:val="007479E0"/>
    <w:rsid w:val="007502DF"/>
    <w:rsid w:val="00750415"/>
    <w:rsid w:val="007534DB"/>
    <w:rsid w:val="007569C7"/>
    <w:rsid w:val="00760E4A"/>
    <w:rsid w:val="007635EE"/>
    <w:rsid w:val="00763826"/>
    <w:rsid w:val="00772A15"/>
    <w:rsid w:val="00773199"/>
    <w:rsid w:val="00773EA4"/>
    <w:rsid w:val="00775675"/>
    <w:rsid w:val="00780E90"/>
    <w:rsid w:val="00783164"/>
    <w:rsid w:val="00786461"/>
    <w:rsid w:val="00792EA8"/>
    <w:rsid w:val="00792FA1"/>
    <w:rsid w:val="007951A9"/>
    <w:rsid w:val="00795319"/>
    <w:rsid w:val="00795372"/>
    <w:rsid w:val="007A15EF"/>
    <w:rsid w:val="007A1DC3"/>
    <w:rsid w:val="007A2190"/>
    <w:rsid w:val="007A34BF"/>
    <w:rsid w:val="007A5E2A"/>
    <w:rsid w:val="007A71F8"/>
    <w:rsid w:val="007B125F"/>
    <w:rsid w:val="007B148F"/>
    <w:rsid w:val="007B26BC"/>
    <w:rsid w:val="007B56B0"/>
    <w:rsid w:val="007B65C3"/>
    <w:rsid w:val="007C1B77"/>
    <w:rsid w:val="007C29DF"/>
    <w:rsid w:val="007C35AA"/>
    <w:rsid w:val="007C48E5"/>
    <w:rsid w:val="007C4AA5"/>
    <w:rsid w:val="007C6478"/>
    <w:rsid w:val="007C6EB4"/>
    <w:rsid w:val="007D0431"/>
    <w:rsid w:val="007D0799"/>
    <w:rsid w:val="007D114D"/>
    <w:rsid w:val="007D1521"/>
    <w:rsid w:val="007D645B"/>
    <w:rsid w:val="007D66EC"/>
    <w:rsid w:val="007D6F51"/>
    <w:rsid w:val="007E2FA3"/>
    <w:rsid w:val="007E4924"/>
    <w:rsid w:val="007E5F73"/>
    <w:rsid w:val="007F06D3"/>
    <w:rsid w:val="007F1057"/>
    <w:rsid w:val="007F10CA"/>
    <w:rsid w:val="007F440A"/>
    <w:rsid w:val="007F48BE"/>
    <w:rsid w:val="007F7A05"/>
    <w:rsid w:val="00804EDF"/>
    <w:rsid w:val="00805B4F"/>
    <w:rsid w:val="008112A6"/>
    <w:rsid w:val="00814B7C"/>
    <w:rsid w:val="00821FEE"/>
    <w:rsid w:val="008244FB"/>
    <w:rsid w:val="00824784"/>
    <w:rsid w:val="00826958"/>
    <w:rsid w:val="00830C4F"/>
    <w:rsid w:val="00834559"/>
    <w:rsid w:val="0083567F"/>
    <w:rsid w:val="008368EC"/>
    <w:rsid w:val="00837523"/>
    <w:rsid w:val="00842067"/>
    <w:rsid w:val="008437D6"/>
    <w:rsid w:val="00854925"/>
    <w:rsid w:val="00857AAC"/>
    <w:rsid w:val="00857B1F"/>
    <w:rsid w:val="008644E9"/>
    <w:rsid w:val="00870353"/>
    <w:rsid w:val="00872DC5"/>
    <w:rsid w:val="0087561E"/>
    <w:rsid w:val="00876D2D"/>
    <w:rsid w:val="00880711"/>
    <w:rsid w:val="008820B3"/>
    <w:rsid w:val="00882109"/>
    <w:rsid w:val="00882258"/>
    <w:rsid w:val="00883C0A"/>
    <w:rsid w:val="00884499"/>
    <w:rsid w:val="00886DB2"/>
    <w:rsid w:val="00891E3C"/>
    <w:rsid w:val="00895E5E"/>
    <w:rsid w:val="008966E7"/>
    <w:rsid w:val="008A0F3D"/>
    <w:rsid w:val="008A165B"/>
    <w:rsid w:val="008A55D0"/>
    <w:rsid w:val="008A617B"/>
    <w:rsid w:val="008B2A08"/>
    <w:rsid w:val="008B323D"/>
    <w:rsid w:val="008B70EC"/>
    <w:rsid w:val="008C17BB"/>
    <w:rsid w:val="008C2457"/>
    <w:rsid w:val="008C54E0"/>
    <w:rsid w:val="008C591E"/>
    <w:rsid w:val="008C7BC8"/>
    <w:rsid w:val="008D2515"/>
    <w:rsid w:val="008D7AAF"/>
    <w:rsid w:val="008E28A2"/>
    <w:rsid w:val="008E4807"/>
    <w:rsid w:val="008E63A8"/>
    <w:rsid w:val="008E71D2"/>
    <w:rsid w:val="008F0DAC"/>
    <w:rsid w:val="008F2709"/>
    <w:rsid w:val="008F2B2E"/>
    <w:rsid w:val="008F3183"/>
    <w:rsid w:val="008F4B54"/>
    <w:rsid w:val="008F5F50"/>
    <w:rsid w:val="008F658D"/>
    <w:rsid w:val="008F6FFC"/>
    <w:rsid w:val="0090071E"/>
    <w:rsid w:val="0090277C"/>
    <w:rsid w:val="009037F7"/>
    <w:rsid w:val="00906387"/>
    <w:rsid w:val="009073BC"/>
    <w:rsid w:val="00907FBC"/>
    <w:rsid w:val="009110ED"/>
    <w:rsid w:val="00911873"/>
    <w:rsid w:val="009127D1"/>
    <w:rsid w:val="009141C0"/>
    <w:rsid w:val="0092042B"/>
    <w:rsid w:val="00920863"/>
    <w:rsid w:val="009214D7"/>
    <w:rsid w:val="00921BC8"/>
    <w:rsid w:val="00924122"/>
    <w:rsid w:val="0092461E"/>
    <w:rsid w:val="00926252"/>
    <w:rsid w:val="00930004"/>
    <w:rsid w:val="009400F0"/>
    <w:rsid w:val="00941AC5"/>
    <w:rsid w:val="00943F42"/>
    <w:rsid w:val="00946E62"/>
    <w:rsid w:val="00952D65"/>
    <w:rsid w:val="009549B3"/>
    <w:rsid w:val="009561A0"/>
    <w:rsid w:val="00956849"/>
    <w:rsid w:val="00957592"/>
    <w:rsid w:val="009602A0"/>
    <w:rsid w:val="00961FE6"/>
    <w:rsid w:val="009623FB"/>
    <w:rsid w:val="00962D22"/>
    <w:rsid w:val="0097003B"/>
    <w:rsid w:val="00973FD0"/>
    <w:rsid w:val="00977DD7"/>
    <w:rsid w:val="0098229D"/>
    <w:rsid w:val="00982340"/>
    <w:rsid w:val="00982609"/>
    <w:rsid w:val="009837A7"/>
    <w:rsid w:val="00984469"/>
    <w:rsid w:val="009857F4"/>
    <w:rsid w:val="00985914"/>
    <w:rsid w:val="009949D7"/>
    <w:rsid w:val="00994F47"/>
    <w:rsid w:val="00996227"/>
    <w:rsid w:val="009A5514"/>
    <w:rsid w:val="009A5AA7"/>
    <w:rsid w:val="009A66E4"/>
    <w:rsid w:val="009A690F"/>
    <w:rsid w:val="009A71C8"/>
    <w:rsid w:val="009B044F"/>
    <w:rsid w:val="009B6465"/>
    <w:rsid w:val="009B7988"/>
    <w:rsid w:val="009C1110"/>
    <w:rsid w:val="009C162F"/>
    <w:rsid w:val="009C1DE9"/>
    <w:rsid w:val="009C249E"/>
    <w:rsid w:val="009C3461"/>
    <w:rsid w:val="009C43D9"/>
    <w:rsid w:val="009C53E9"/>
    <w:rsid w:val="009C545F"/>
    <w:rsid w:val="009C581B"/>
    <w:rsid w:val="009D1DFC"/>
    <w:rsid w:val="009D2448"/>
    <w:rsid w:val="009D4AC1"/>
    <w:rsid w:val="009D50D3"/>
    <w:rsid w:val="009D5AE6"/>
    <w:rsid w:val="009E101D"/>
    <w:rsid w:val="009E2830"/>
    <w:rsid w:val="009E58A7"/>
    <w:rsid w:val="009E65C4"/>
    <w:rsid w:val="009F061C"/>
    <w:rsid w:val="009F26DD"/>
    <w:rsid w:val="00A00124"/>
    <w:rsid w:val="00A0081F"/>
    <w:rsid w:val="00A02FFB"/>
    <w:rsid w:val="00A033C7"/>
    <w:rsid w:val="00A03D73"/>
    <w:rsid w:val="00A0557B"/>
    <w:rsid w:val="00A114BC"/>
    <w:rsid w:val="00A13A79"/>
    <w:rsid w:val="00A15DB7"/>
    <w:rsid w:val="00A16804"/>
    <w:rsid w:val="00A17A01"/>
    <w:rsid w:val="00A21500"/>
    <w:rsid w:val="00A24B1F"/>
    <w:rsid w:val="00A252F3"/>
    <w:rsid w:val="00A2597B"/>
    <w:rsid w:val="00A2628C"/>
    <w:rsid w:val="00A3094D"/>
    <w:rsid w:val="00A352F1"/>
    <w:rsid w:val="00A35477"/>
    <w:rsid w:val="00A3627C"/>
    <w:rsid w:val="00A400F7"/>
    <w:rsid w:val="00A40519"/>
    <w:rsid w:val="00A42DF8"/>
    <w:rsid w:val="00A47184"/>
    <w:rsid w:val="00A561DF"/>
    <w:rsid w:val="00A619FC"/>
    <w:rsid w:val="00A802AC"/>
    <w:rsid w:val="00A825C8"/>
    <w:rsid w:val="00A85038"/>
    <w:rsid w:val="00A9126C"/>
    <w:rsid w:val="00A91F47"/>
    <w:rsid w:val="00A93BC9"/>
    <w:rsid w:val="00A95BDD"/>
    <w:rsid w:val="00AA0895"/>
    <w:rsid w:val="00AA0FFB"/>
    <w:rsid w:val="00AA158C"/>
    <w:rsid w:val="00AA1BCB"/>
    <w:rsid w:val="00AA2831"/>
    <w:rsid w:val="00AA3ECA"/>
    <w:rsid w:val="00AA4472"/>
    <w:rsid w:val="00AA6861"/>
    <w:rsid w:val="00AA72D4"/>
    <w:rsid w:val="00AA7DD4"/>
    <w:rsid w:val="00AB0560"/>
    <w:rsid w:val="00AB40A8"/>
    <w:rsid w:val="00AB5AF8"/>
    <w:rsid w:val="00AC0169"/>
    <w:rsid w:val="00AC091A"/>
    <w:rsid w:val="00AD2CB1"/>
    <w:rsid w:val="00AD30DC"/>
    <w:rsid w:val="00AD4618"/>
    <w:rsid w:val="00AE2854"/>
    <w:rsid w:val="00AE47BE"/>
    <w:rsid w:val="00AE4B43"/>
    <w:rsid w:val="00AE4FD4"/>
    <w:rsid w:val="00AF0533"/>
    <w:rsid w:val="00AF0A5E"/>
    <w:rsid w:val="00AF0A6D"/>
    <w:rsid w:val="00AF1A70"/>
    <w:rsid w:val="00AF26DD"/>
    <w:rsid w:val="00AF6E90"/>
    <w:rsid w:val="00AF7979"/>
    <w:rsid w:val="00B0067C"/>
    <w:rsid w:val="00B02B60"/>
    <w:rsid w:val="00B10B72"/>
    <w:rsid w:val="00B14B24"/>
    <w:rsid w:val="00B14F7A"/>
    <w:rsid w:val="00B17AAF"/>
    <w:rsid w:val="00B206D4"/>
    <w:rsid w:val="00B22532"/>
    <w:rsid w:val="00B22FFF"/>
    <w:rsid w:val="00B241F5"/>
    <w:rsid w:val="00B2455C"/>
    <w:rsid w:val="00B26295"/>
    <w:rsid w:val="00B31987"/>
    <w:rsid w:val="00B320AA"/>
    <w:rsid w:val="00B37250"/>
    <w:rsid w:val="00B407C3"/>
    <w:rsid w:val="00B41571"/>
    <w:rsid w:val="00B43B73"/>
    <w:rsid w:val="00B45AC5"/>
    <w:rsid w:val="00B462A9"/>
    <w:rsid w:val="00B47F88"/>
    <w:rsid w:val="00B52ACD"/>
    <w:rsid w:val="00B55644"/>
    <w:rsid w:val="00B55D46"/>
    <w:rsid w:val="00B61225"/>
    <w:rsid w:val="00B659FA"/>
    <w:rsid w:val="00B6716D"/>
    <w:rsid w:val="00B70B88"/>
    <w:rsid w:val="00B72F2C"/>
    <w:rsid w:val="00B77107"/>
    <w:rsid w:val="00B80875"/>
    <w:rsid w:val="00B82DD6"/>
    <w:rsid w:val="00B831F2"/>
    <w:rsid w:val="00B86447"/>
    <w:rsid w:val="00B87EC3"/>
    <w:rsid w:val="00B90756"/>
    <w:rsid w:val="00B93BFD"/>
    <w:rsid w:val="00B97C26"/>
    <w:rsid w:val="00BA49D0"/>
    <w:rsid w:val="00BB2171"/>
    <w:rsid w:val="00BB2826"/>
    <w:rsid w:val="00BB30AE"/>
    <w:rsid w:val="00BB5555"/>
    <w:rsid w:val="00BB7172"/>
    <w:rsid w:val="00BB7898"/>
    <w:rsid w:val="00BC0DF8"/>
    <w:rsid w:val="00BC28AB"/>
    <w:rsid w:val="00BC3205"/>
    <w:rsid w:val="00BC59DE"/>
    <w:rsid w:val="00BC6E8F"/>
    <w:rsid w:val="00BD0A30"/>
    <w:rsid w:val="00BD280D"/>
    <w:rsid w:val="00BD3232"/>
    <w:rsid w:val="00BD5280"/>
    <w:rsid w:val="00BD6600"/>
    <w:rsid w:val="00BE16FB"/>
    <w:rsid w:val="00BE193E"/>
    <w:rsid w:val="00BE4E0C"/>
    <w:rsid w:val="00BE70F1"/>
    <w:rsid w:val="00BE74CF"/>
    <w:rsid w:val="00BE7E75"/>
    <w:rsid w:val="00BF3466"/>
    <w:rsid w:val="00BF53C2"/>
    <w:rsid w:val="00BF6714"/>
    <w:rsid w:val="00BF7054"/>
    <w:rsid w:val="00C00550"/>
    <w:rsid w:val="00C01ADB"/>
    <w:rsid w:val="00C0213C"/>
    <w:rsid w:val="00C0463C"/>
    <w:rsid w:val="00C0710C"/>
    <w:rsid w:val="00C102FF"/>
    <w:rsid w:val="00C10A9C"/>
    <w:rsid w:val="00C10BBD"/>
    <w:rsid w:val="00C1187E"/>
    <w:rsid w:val="00C12388"/>
    <w:rsid w:val="00C12C0D"/>
    <w:rsid w:val="00C16FF9"/>
    <w:rsid w:val="00C17185"/>
    <w:rsid w:val="00C17222"/>
    <w:rsid w:val="00C23A2C"/>
    <w:rsid w:val="00C26959"/>
    <w:rsid w:val="00C313B5"/>
    <w:rsid w:val="00C31FC6"/>
    <w:rsid w:val="00C32A7A"/>
    <w:rsid w:val="00C32CD0"/>
    <w:rsid w:val="00C34BA7"/>
    <w:rsid w:val="00C34C66"/>
    <w:rsid w:val="00C376C5"/>
    <w:rsid w:val="00C47565"/>
    <w:rsid w:val="00C52B19"/>
    <w:rsid w:val="00C57773"/>
    <w:rsid w:val="00C624E0"/>
    <w:rsid w:val="00C63B11"/>
    <w:rsid w:val="00C64571"/>
    <w:rsid w:val="00C65911"/>
    <w:rsid w:val="00C66D6F"/>
    <w:rsid w:val="00C67E34"/>
    <w:rsid w:val="00C708F8"/>
    <w:rsid w:val="00C71240"/>
    <w:rsid w:val="00C72792"/>
    <w:rsid w:val="00C75A96"/>
    <w:rsid w:val="00C771B8"/>
    <w:rsid w:val="00C8121F"/>
    <w:rsid w:val="00C8165B"/>
    <w:rsid w:val="00C81F61"/>
    <w:rsid w:val="00C85E4B"/>
    <w:rsid w:val="00C86DDE"/>
    <w:rsid w:val="00C87F36"/>
    <w:rsid w:val="00C909A7"/>
    <w:rsid w:val="00C913A5"/>
    <w:rsid w:val="00C9204D"/>
    <w:rsid w:val="00C92768"/>
    <w:rsid w:val="00C93725"/>
    <w:rsid w:val="00C94385"/>
    <w:rsid w:val="00C960AE"/>
    <w:rsid w:val="00C96E58"/>
    <w:rsid w:val="00CA0766"/>
    <w:rsid w:val="00CA7DED"/>
    <w:rsid w:val="00CB1AC1"/>
    <w:rsid w:val="00CB1DA6"/>
    <w:rsid w:val="00CB1F44"/>
    <w:rsid w:val="00CB2D9F"/>
    <w:rsid w:val="00CB75BD"/>
    <w:rsid w:val="00CC1B85"/>
    <w:rsid w:val="00CC3923"/>
    <w:rsid w:val="00CC76D8"/>
    <w:rsid w:val="00CD42BB"/>
    <w:rsid w:val="00CD7243"/>
    <w:rsid w:val="00CE08D1"/>
    <w:rsid w:val="00CE2E5E"/>
    <w:rsid w:val="00CE3624"/>
    <w:rsid w:val="00CE4CB4"/>
    <w:rsid w:val="00CE5B56"/>
    <w:rsid w:val="00CE6DA4"/>
    <w:rsid w:val="00CF07E2"/>
    <w:rsid w:val="00CF1FAB"/>
    <w:rsid w:val="00CF24BF"/>
    <w:rsid w:val="00CF6DAE"/>
    <w:rsid w:val="00CF7386"/>
    <w:rsid w:val="00D0414F"/>
    <w:rsid w:val="00D139DC"/>
    <w:rsid w:val="00D15427"/>
    <w:rsid w:val="00D16881"/>
    <w:rsid w:val="00D20BE6"/>
    <w:rsid w:val="00D23F18"/>
    <w:rsid w:val="00D265AD"/>
    <w:rsid w:val="00D26EA5"/>
    <w:rsid w:val="00D27558"/>
    <w:rsid w:val="00D27D2D"/>
    <w:rsid w:val="00D3002A"/>
    <w:rsid w:val="00D316C7"/>
    <w:rsid w:val="00D31D6A"/>
    <w:rsid w:val="00D3400A"/>
    <w:rsid w:val="00D40B90"/>
    <w:rsid w:val="00D41410"/>
    <w:rsid w:val="00D41A54"/>
    <w:rsid w:val="00D426CB"/>
    <w:rsid w:val="00D428FF"/>
    <w:rsid w:val="00D43AA0"/>
    <w:rsid w:val="00D447FA"/>
    <w:rsid w:val="00D46C47"/>
    <w:rsid w:val="00D5216C"/>
    <w:rsid w:val="00D527FA"/>
    <w:rsid w:val="00D568E0"/>
    <w:rsid w:val="00D60CAD"/>
    <w:rsid w:val="00D618C8"/>
    <w:rsid w:val="00D62B87"/>
    <w:rsid w:val="00D630E9"/>
    <w:rsid w:val="00D63968"/>
    <w:rsid w:val="00D66D15"/>
    <w:rsid w:val="00D67813"/>
    <w:rsid w:val="00D70EE0"/>
    <w:rsid w:val="00D71D8D"/>
    <w:rsid w:val="00D731BB"/>
    <w:rsid w:val="00D746B2"/>
    <w:rsid w:val="00D7601D"/>
    <w:rsid w:val="00D7619A"/>
    <w:rsid w:val="00D76AE4"/>
    <w:rsid w:val="00D77614"/>
    <w:rsid w:val="00D80026"/>
    <w:rsid w:val="00D80056"/>
    <w:rsid w:val="00D8103B"/>
    <w:rsid w:val="00D813CC"/>
    <w:rsid w:val="00D82333"/>
    <w:rsid w:val="00D82C89"/>
    <w:rsid w:val="00D83205"/>
    <w:rsid w:val="00D8393D"/>
    <w:rsid w:val="00D923F0"/>
    <w:rsid w:val="00D93CDF"/>
    <w:rsid w:val="00D97988"/>
    <w:rsid w:val="00DA519B"/>
    <w:rsid w:val="00DA7401"/>
    <w:rsid w:val="00DB089B"/>
    <w:rsid w:val="00DB2D63"/>
    <w:rsid w:val="00DB3B99"/>
    <w:rsid w:val="00DB6B61"/>
    <w:rsid w:val="00DC13B5"/>
    <w:rsid w:val="00DC15F6"/>
    <w:rsid w:val="00DC30A5"/>
    <w:rsid w:val="00DC6CE8"/>
    <w:rsid w:val="00DC7F0D"/>
    <w:rsid w:val="00DD346F"/>
    <w:rsid w:val="00DD39E1"/>
    <w:rsid w:val="00DD740F"/>
    <w:rsid w:val="00DE41A3"/>
    <w:rsid w:val="00DE588D"/>
    <w:rsid w:val="00DE7B4B"/>
    <w:rsid w:val="00DF3F98"/>
    <w:rsid w:val="00DF68FD"/>
    <w:rsid w:val="00E00257"/>
    <w:rsid w:val="00E02EBD"/>
    <w:rsid w:val="00E03B7F"/>
    <w:rsid w:val="00E04AF9"/>
    <w:rsid w:val="00E062CC"/>
    <w:rsid w:val="00E07583"/>
    <w:rsid w:val="00E110C4"/>
    <w:rsid w:val="00E11C11"/>
    <w:rsid w:val="00E1379D"/>
    <w:rsid w:val="00E1743E"/>
    <w:rsid w:val="00E20E8B"/>
    <w:rsid w:val="00E23280"/>
    <w:rsid w:val="00E23502"/>
    <w:rsid w:val="00E24901"/>
    <w:rsid w:val="00E25926"/>
    <w:rsid w:val="00E25BF4"/>
    <w:rsid w:val="00E3407E"/>
    <w:rsid w:val="00E35975"/>
    <w:rsid w:val="00E41161"/>
    <w:rsid w:val="00E449AE"/>
    <w:rsid w:val="00E46A34"/>
    <w:rsid w:val="00E47727"/>
    <w:rsid w:val="00E47A22"/>
    <w:rsid w:val="00E52B60"/>
    <w:rsid w:val="00E55B5F"/>
    <w:rsid w:val="00E6229C"/>
    <w:rsid w:val="00E6266E"/>
    <w:rsid w:val="00E627C9"/>
    <w:rsid w:val="00E65B24"/>
    <w:rsid w:val="00E70DBC"/>
    <w:rsid w:val="00E72624"/>
    <w:rsid w:val="00E72636"/>
    <w:rsid w:val="00E81727"/>
    <w:rsid w:val="00E81D30"/>
    <w:rsid w:val="00E82B4E"/>
    <w:rsid w:val="00E82FF8"/>
    <w:rsid w:val="00E85C4E"/>
    <w:rsid w:val="00E9364F"/>
    <w:rsid w:val="00E93B6C"/>
    <w:rsid w:val="00E95E28"/>
    <w:rsid w:val="00EA0348"/>
    <w:rsid w:val="00EA1DE4"/>
    <w:rsid w:val="00EA6C03"/>
    <w:rsid w:val="00EB23D8"/>
    <w:rsid w:val="00EB2E5B"/>
    <w:rsid w:val="00EB4135"/>
    <w:rsid w:val="00EB49B5"/>
    <w:rsid w:val="00EB5859"/>
    <w:rsid w:val="00EB6A29"/>
    <w:rsid w:val="00EC08F2"/>
    <w:rsid w:val="00EC1EBB"/>
    <w:rsid w:val="00EC2F9A"/>
    <w:rsid w:val="00EC3A02"/>
    <w:rsid w:val="00EC444B"/>
    <w:rsid w:val="00EC6B15"/>
    <w:rsid w:val="00EC7D96"/>
    <w:rsid w:val="00ED1D6D"/>
    <w:rsid w:val="00ED432B"/>
    <w:rsid w:val="00ED551B"/>
    <w:rsid w:val="00EE4539"/>
    <w:rsid w:val="00EE4F0A"/>
    <w:rsid w:val="00EF1462"/>
    <w:rsid w:val="00EF1ED7"/>
    <w:rsid w:val="00EF2195"/>
    <w:rsid w:val="00EF27B6"/>
    <w:rsid w:val="00EF4314"/>
    <w:rsid w:val="00F00A6B"/>
    <w:rsid w:val="00F01581"/>
    <w:rsid w:val="00F03106"/>
    <w:rsid w:val="00F05CFC"/>
    <w:rsid w:val="00F06EB8"/>
    <w:rsid w:val="00F07028"/>
    <w:rsid w:val="00F10197"/>
    <w:rsid w:val="00F14F8D"/>
    <w:rsid w:val="00F155E2"/>
    <w:rsid w:val="00F17FB1"/>
    <w:rsid w:val="00F2186C"/>
    <w:rsid w:val="00F23B42"/>
    <w:rsid w:val="00F27BE0"/>
    <w:rsid w:val="00F32D74"/>
    <w:rsid w:val="00F36CF9"/>
    <w:rsid w:val="00F36D1C"/>
    <w:rsid w:val="00F4059E"/>
    <w:rsid w:val="00F4180E"/>
    <w:rsid w:val="00F438CA"/>
    <w:rsid w:val="00F44279"/>
    <w:rsid w:val="00F4462D"/>
    <w:rsid w:val="00F448B5"/>
    <w:rsid w:val="00F45856"/>
    <w:rsid w:val="00F502BC"/>
    <w:rsid w:val="00F53834"/>
    <w:rsid w:val="00F53F37"/>
    <w:rsid w:val="00F54C88"/>
    <w:rsid w:val="00F54D91"/>
    <w:rsid w:val="00F56151"/>
    <w:rsid w:val="00F56545"/>
    <w:rsid w:val="00F62525"/>
    <w:rsid w:val="00F63AAB"/>
    <w:rsid w:val="00F63DF7"/>
    <w:rsid w:val="00F63EF4"/>
    <w:rsid w:val="00F662A5"/>
    <w:rsid w:val="00F6687A"/>
    <w:rsid w:val="00F72487"/>
    <w:rsid w:val="00F73FDC"/>
    <w:rsid w:val="00F815A2"/>
    <w:rsid w:val="00F8218F"/>
    <w:rsid w:val="00F82DE8"/>
    <w:rsid w:val="00F84E2F"/>
    <w:rsid w:val="00F86016"/>
    <w:rsid w:val="00F87226"/>
    <w:rsid w:val="00F911B3"/>
    <w:rsid w:val="00F927D2"/>
    <w:rsid w:val="00F94024"/>
    <w:rsid w:val="00F95AEC"/>
    <w:rsid w:val="00F967C6"/>
    <w:rsid w:val="00F97540"/>
    <w:rsid w:val="00F97BF2"/>
    <w:rsid w:val="00FA002E"/>
    <w:rsid w:val="00FA358E"/>
    <w:rsid w:val="00FA3BDF"/>
    <w:rsid w:val="00FA4D58"/>
    <w:rsid w:val="00FA7348"/>
    <w:rsid w:val="00FB03FA"/>
    <w:rsid w:val="00FB3BBD"/>
    <w:rsid w:val="00FC51D6"/>
    <w:rsid w:val="00FC69CB"/>
    <w:rsid w:val="00FC6BEF"/>
    <w:rsid w:val="00FC6E17"/>
    <w:rsid w:val="00FC7624"/>
    <w:rsid w:val="00FC7994"/>
    <w:rsid w:val="00FD192F"/>
    <w:rsid w:val="00FD212A"/>
    <w:rsid w:val="00FD30D9"/>
    <w:rsid w:val="00FD3683"/>
    <w:rsid w:val="00FD37E4"/>
    <w:rsid w:val="00FD7322"/>
    <w:rsid w:val="00FF1A76"/>
    <w:rsid w:val="00FF1E03"/>
    <w:rsid w:val="00FF3ADC"/>
    <w:rsid w:val="00FF5479"/>
    <w:rsid w:val="00FF554B"/>
    <w:rsid w:val="00FF63D2"/>
    <w:rsid w:val="00FF7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42BFD09-6943-4AC2-AC2C-64B8F5BF0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2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20D4"/>
    <w:pPr>
      <w:ind w:left="720"/>
      <w:contextualSpacing/>
    </w:pPr>
  </w:style>
  <w:style w:type="paragraph" w:styleId="FootnoteText">
    <w:name w:val="footnote text"/>
    <w:basedOn w:val="Normal"/>
    <w:link w:val="FootnoteTextChar"/>
    <w:uiPriority w:val="99"/>
    <w:semiHidden/>
    <w:unhideWhenUsed/>
    <w:rsid w:val="00D300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002A"/>
    <w:rPr>
      <w:sz w:val="20"/>
      <w:szCs w:val="20"/>
    </w:rPr>
  </w:style>
  <w:style w:type="character" w:styleId="FootnoteReference">
    <w:name w:val="footnote reference"/>
    <w:basedOn w:val="DefaultParagraphFont"/>
    <w:uiPriority w:val="99"/>
    <w:semiHidden/>
    <w:unhideWhenUsed/>
    <w:rsid w:val="00D3002A"/>
    <w:rPr>
      <w:vertAlign w:val="superscript"/>
    </w:rPr>
  </w:style>
  <w:style w:type="paragraph" w:styleId="BalloonText">
    <w:name w:val="Balloon Text"/>
    <w:basedOn w:val="Normal"/>
    <w:link w:val="BalloonTextChar"/>
    <w:uiPriority w:val="99"/>
    <w:semiHidden/>
    <w:unhideWhenUsed/>
    <w:rsid w:val="00D300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02A"/>
    <w:rPr>
      <w:rFonts w:ascii="Tahoma" w:hAnsi="Tahoma" w:cs="Tahoma"/>
      <w:sz w:val="16"/>
      <w:szCs w:val="16"/>
    </w:rPr>
  </w:style>
  <w:style w:type="paragraph" w:customStyle="1" w:styleId="naisf">
    <w:name w:val="naisf"/>
    <w:basedOn w:val="Normal"/>
    <w:rsid w:val="005B3B9D"/>
    <w:pPr>
      <w:spacing w:before="100" w:beforeAutospacing="1" w:after="100" w:afterAutospacing="1" w:line="240" w:lineRule="auto"/>
      <w:jc w:val="both"/>
    </w:pPr>
    <w:rPr>
      <w:rFonts w:ascii="Arial Unicode MS" w:eastAsia="Arial Unicode MS" w:hAnsi="Arial Unicode MS" w:cs="Arial Unicode MS"/>
      <w:szCs w:val="24"/>
      <w:lang w:val="en-GB"/>
    </w:rPr>
  </w:style>
  <w:style w:type="paragraph" w:styleId="Header">
    <w:name w:val="header"/>
    <w:basedOn w:val="Normal"/>
    <w:link w:val="HeaderChar"/>
    <w:uiPriority w:val="99"/>
    <w:unhideWhenUsed/>
    <w:rsid w:val="004301D2"/>
    <w:pPr>
      <w:tabs>
        <w:tab w:val="center" w:pos="4153"/>
        <w:tab w:val="right" w:pos="8306"/>
      </w:tabs>
      <w:spacing w:after="0" w:line="240" w:lineRule="auto"/>
    </w:pPr>
  </w:style>
  <w:style w:type="character" w:customStyle="1" w:styleId="HeaderChar">
    <w:name w:val="Header Char"/>
    <w:basedOn w:val="DefaultParagraphFont"/>
    <w:link w:val="Header"/>
    <w:uiPriority w:val="99"/>
    <w:rsid w:val="004301D2"/>
  </w:style>
  <w:style w:type="paragraph" w:styleId="Footer">
    <w:name w:val="footer"/>
    <w:basedOn w:val="Normal"/>
    <w:link w:val="FooterChar"/>
    <w:unhideWhenUsed/>
    <w:rsid w:val="004301D2"/>
    <w:pPr>
      <w:tabs>
        <w:tab w:val="center" w:pos="4153"/>
        <w:tab w:val="right" w:pos="8306"/>
      </w:tabs>
      <w:spacing w:after="0" w:line="240" w:lineRule="auto"/>
    </w:pPr>
  </w:style>
  <w:style w:type="character" w:customStyle="1" w:styleId="FooterChar">
    <w:name w:val="Footer Char"/>
    <w:basedOn w:val="DefaultParagraphFont"/>
    <w:link w:val="Footer"/>
    <w:rsid w:val="004301D2"/>
  </w:style>
  <w:style w:type="table" w:styleId="TableGrid">
    <w:name w:val="Table Grid"/>
    <w:basedOn w:val="TableNormal"/>
    <w:uiPriority w:val="59"/>
    <w:rsid w:val="004452D1"/>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AB5AF8"/>
    <w:rPr>
      <w:color w:val="0000FF"/>
      <w:u w:val="single"/>
    </w:rPr>
  </w:style>
  <w:style w:type="character" w:styleId="CommentReference">
    <w:name w:val="annotation reference"/>
    <w:basedOn w:val="DefaultParagraphFont"/>
    <w:semiHidden/>
    <w:unhideWhenUsed/>
    <w:rsid w:val="004E0D10"/>
    <w:rPr>
      <w:sz w:val="16"/>
      <w:szCs w:val="16"/>
    </w:rPr>
  </w:style>
  <w:style w:type="paragraph" w:styleId="CommentText">
    <w:name w:val="annotation text"/>
    <w:basedOn w:val="Normal"/>
    <w:link w:val="CommentTextChar"/>
    <w:uiPriority w:val="99"/>
    <w:semiHidden/>
    <w:unhideWhenUsed/>
    <w:rsid w:val="004E0D10"/>
    <w:pPr>
      <w:spacing w:line="240" w:lineRule="auto"/>
    </w:pPr>
    <w:rPr>
      <w:sz w:val="20"/>
      <w:szCs w:val="20"/>
    </w:rPr>
  </w:style>
  <w:style w:type="character" w:customStyle="1" w:styleId="CommentTextChar">
    <w:name w:val="Comment Text Char"/>
    <w:basedOn w:val="DefaultParagraphFont"/>
    <w:link w:val="CommentText"/>
    <w:uiPriority w:val="99"/>
    <w:semiHidden/>
    <w:rsid w:val="004E0D10"/>
    <w:rPr>
      <w:sz w:val="20"/>
      <w:szCs w:val="20"/>
    </w:rPr>
  </w:style>
  <w:style w:type="paragraph" w:styleId="CommentSubject">
    <w:name w:val="annotation subject"/>
    <w:basedOn w:val="CommentText"/>
    <w:next w:val="CommentText"/>
    <w:link w:val="CommentSubjectChar"/>
    <w:uiPriority w:val="99"/>
    <w:semiHidden/>
    <w:unhideWhenUsed/>
    <w:rsid w:val="004E0D10"/>
    <w:rPr>
      <w:b/>
      <w:bCs/>
    </w:rPr>
  </w:style>
  <w:style w:type="character" w:customStyle="1" w:styleId="CommentSubjectChar">
    <w:name w:val="Comment Subject Char"/>
    <w:basedOn w:val="CommentTextChar"/>
    <w:link w:val="CommentSubject"/>
    <w:uiPriority w:val="99"/>
    <w:semiHidden/>
    <w:rsid w:val="004E0D10"/>
    <w:rPr>
      <w:b/>
      <w:bCs/>
      <w:sz w:val="20"/>
      <w:szCs w:val="20"/>
    </w:rPr>
  </w:style>
  <w:style w:type="paragraph" w:customStyle="1" w:styleId="9pirmstab3">
    <w:name w:val="9_pirms_tab_3"/>
    <w:basedOn w:val="Normal"/>
    <w:rsid w:val="00613822"/>
    <w:pPr>
      <w:tabs>
        <w:tab w:val="left" w:pos="3259"/>
        <w:tab w:val="left" w:pos="4200"/>
        <w:tab w:val="left" w:pos="5141"/>
        <w:tab w:val="left" w:pos="6082"/>
        <w:tab w:val="left" w:pos="7022"/>
        <w:tab w:val="left" w:pos="7963"/>
        <w:tab w:val="left" w:pos="8870"/>
        <w:tab w:val="left" w:pos="9794"/>
        <w:tab w:val="left" w:pos="10718"/>
        <w:tab w:val="left" w:pos="11659"/>
        <w:tab w:val="left" w:pos="13171"/>
      </w:tabs>
      <w:spacing w:after="60" w:line="240" w:lineRule="auto"/>
      <w:jc w:val="center"/>
    </w:pPr>
    <w:rPr>
      <w:rFonts w:eastAsia="Times New Roman" w:cs="Times New Roman"/>
      <w:color w:val="000000"/>
      <w:sz w:val="18"/>
      <w:szCs w:val="20"/>
    </w:rPr>
  </w:style>
  <w:style w:type="paragraph" w:customStyle="1" w:styleId="Default">
    <w:name w:val="Default"/>
    <w:rsid w:val="00826958"/>
    <w:pPr>
      <w:autoSpaceDE w:val="0"/>
      <w:autoSpaceDN w:val="0"/>
      <w:adjustRightInd w:val="0"/>
      <w:spacing w:after="0" w:line="240" w:lineRule="auto"/>
    </w:pPr>
    <w:rPr>
      <w:rFonts w:ascii="Garamond" w:hAnsi="Garamond" w:cs="Garamond"/>
      <w:color w:val="000000"/>
      <w:szCs w:val="24"/>
    </w:rPr>
  </w:style>
  <w:style w:type="character" w:styleId="Strong">
    <w:name w:val="Strong"/>
    <w:basedOn w:val="DefaultParagraphFont"/>
    <w:uiPriority w:val="22"/>
    <w:qFormat/>
    <w:rsid w:val="002A156E"/>
    <w:rPr>
      <w:b/>
      <w:bCs/>
    </w:rPr>
  </w:style>
  <w:style w:type="character" w:styleId="Emphasis">
    <w:name w:val="Emphasis"/>
    <w:basedOn w:val="DefaultParagraphFont"/>
    <w:uiPriority w:val="20"/>
    <w:qFormat/>
    <w:rsid w:val="002A156E"/>
    <w:rPr>
      <w:i/>
      <w:iCs/>
    </w:rPr>
  </w:style>
  <w:style w:type="paragraph" w:styleId="PlainText">
    <w:name w:val="Plain Text"/>
    <w:basedOn w:val="Normal"/>
    <w:link w:val="PlainTextChar"/>
    <w:uiPriority w:val="99"/>
    <w:semiHidden/>
    <w:unhideWhenUsed/>
    <w:rsid w:val="00F32D74"/>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F32D74"/>
    <w:rPr>
      <w:rFonts w:ascii="Calibr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29025">
      <w:bodyDiv w:val="1"/>
      <w:marLeft w:val="0"/>
      <w:marRight w:val="0"/>
      <w:marTop w:val="0"/>
      <w:marBottom w:val="0"/>
      <w:divBdr>
        <w:top w:val="none" w:sz="0" w:space="0" w:color="auto"/>
        <w:left w:val="none" w:sz="0" w:space="0" w:color="auto"/>
        <w:bottom w:val="none" w:sz="0" w:space="0" w:color="auto"/>
        <w:right w:val="none" w:sz="0" w:space="0" w:color="auto"/>
      </w:divBdr>
      <w:divsChild>
        <w:div w:id="1390224964">
          <w:marLeft w:val="0"/>
          <w:marRight w:val="0"/>
          <w:marTop w:val="0"/>
          <w:marBottom w:val="0"/>
          <w:divBdr>
            <w:top w:val="none" w:sz="0" w:space="0" w:color="auto"/>
            <w:left w:val="none" w:sz="0" w:space="0" w:color="auto"/>
            <w:bottom w:val="none" w:sz="0" w:space="0" w:color="auto"/>
            <w:right w:val="none" w:sz="0" w:space="0" w:color="auto"/>
          </w:divBdr>
          <w:divsChild>
            <w:div w:id="1377242312">
              <w:marLeft w:val="0"/>
              <w:marRight w:val="0"/>
              <w:marTop w:val="0"/>
              <w:marBottom w:val="0"/>
              <w:divBdr>
                <w:top w:val="none" w:sz="0" w:space="0" w:color="auto"/>
                <w:left w:val="none" w:sz="0" w:space="0" w:color="auto"/>
                <w:bottom w:val="none" w:sz="0" w:space="0" w:color="auto"/>
                <w:right w:val="none" w:sz="0" w:space="0" w:color="auto"/>
              </w:divBdr>
              <w:divsChild>
                <w:div w:id="726104134">
                  <w:marLeft w:val="0"/>
                  <w:marRight w:val="0"/>
                  <w:marTop w:val="0"/>
                  <w:marBottom w:val="0"/>
                  <w:divBdr>
                    <w:top w:val="none" w:sz="0" w:space="0" w:color="auto"/>
                    <w:left w:val="none" w:sz="0" w:space="0" w:color="auto"/>
                    <w:bottom w:val="none" w:sz="0" w:space="0" w:color="auto"/>
                    <w:right w:val="none" w:sz="0" w:space="0" w:color="auto"/>
                  </w:divBdr>
                  <w:divsChild>
                    <w:div w:id="1133446526">
                      <w:marLeft w:val="2742"/>
                      <w:marRight w:val="0"/>
                      <w:marTop w:val="0"/>
                      <w:marBottom w:val="0"/>
                      <w:divBdr>
                        <w:top w:val="none" w:sz="0" w:space="0" w:color="auto"/>
                        <w:left w:val="none" w:sz="0" w:space="0" w:color="auto"/>
                        <w:bottom w:val="none" w:sz="0" w:space="0" w:color="auto"/>
                        <w:right w:val="none" w:sz="0" w:space="0" w:color="auto"/>
                      </w:divBdr>
                      <w:divsChild>
                        <w:div w:id="1151291239">
                          <w:marLeft w:val="0"/>
                          <w:marRight w:val="0"/>
                          <w:marTop w:val="0"/>
                          <w:marBottom w:val="0"/>
                          <w:divBdr>
                            <w:top w:val="none" w:sz="0" w:space="0" w:color="auto"/>
                            <w:left w:val="none" w:sz="0" w:space="0" w:color="auto"/>
                            <w:bottom w:val="none" w:sz="0" w:space="0" w:color="auto"/>
                            <w:right w:val="none" w:sz="0" w:space="0" w:color="auto"/>
                          </w:divBdr>
                          <w:divsChild>
                            <w:div w:id="20703471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32417">
      <w:bodyDiv w:val="1"/>
      <w:marLeft w:val="0"/>
      <w:marRight w:val="0"/>
      <w:marTop w:val="0"/>
      <w:marBottom w:val="0"/>
      <w:divBdr>
        <w:top w:val="none" w:sz="0" w:space="0" w:color="auto"/>
        <w:left w:val="none" w:sz="0" w:space="0" w:color="auto"/>
        <w:bottom w:val="none" w:sz="0" w:space="0" w:color="auto"/>
        <w:right w:val="none" w:sz="0" w:space="0" w:color="auto"/>
      </w:divBdr>
    </w:div>
    <w:div w:id="76362422">
      <w:bodyDiv w:val="1"/>
      <w:marLeft w:val="0"/>
      <w:marRight w:val="0"/>
      <w:marTop w:val="0"/>
      <w:marBottom w:val="0"/>
      <w:divBdr>
        <w:top w:val="none" w:sz="0" w:space="0" w:color="auto"/>
        <w:left w:val="none" w:sz="0" w:space="0" w:color="auto"/>
        <w:bottom w:val="none" w:sz="0" w:space="0" w:color="auto"/>
        <w:right w:val="none" w:sz="0" w:space="0" w:color="auto"/>
      </w:divBdr>
    </w:div>
    <w:div w:id="98380251">
      <w:bodyDiv w:val="1"/>
      <w:marLeft w:val="0"/>
      <w:marRight w:val="0"/>
      <w:marTop w:val="0"/>
      <w:marBottom w:val="0"/>
      <w:divBdr>
        <w:top w:val="none" w:sz="0" w:space="0" w:color="auto"/>
        <w:left w:val="none" w:sz="0" w:space="0" w:color="auto"/>
        <w:bottom w:val="none" w:sz="0" w:space="0" w:color="auto"/>
        <w:right w:val="none" w:sz="0" w:space="0" w:color="auto"/>
      </w:divBdr>
    </w:div>
    <w:div w:id="450827032">
      <w:bodyDiv w:val="1"/>
      <w:marLeft w:val="0"/>
      <w:marRight w:val="0"/>
      <w:marTop w:val="0"/>
      <w:marBottom w:val="0"/>
      <w:divBdr>
        <w:top w:val="none" w:sz="0" w:space="0" w:color="auto"/>
        <w:left w:val="none" w:sz="0" w:space="0" w:color="auto"/>
        <w:bottom w:val="none" w:sz="0" w:space="0" w:color="auto"/>
        <w:right w:val="none" w:sz="0" w:space="0" w:color="auto"/>
      </w:divBdr>
    </w:div>
    <w:div w:id="527833624">
      <w:bodyDiv w:val="1"/>
      <w:marLeft w:val="0"/>
      <w:marRight w:val="0"/>
      <w:marTop w:val="0"/>
      <w:marBottom w:val="0"/>
      <w:divBdr>
        <w:top w:val="none" w:sz="0" w:space="0" w:color="auto"/>
        <w:left w:val="none" w:sz="0" w:space="0" w:color="auto"/>
        <w:bottom w:val="none" w:sz="0" w:space="0" w:color="auto"/>
        <w:right w:val="none" w:sz="0" w:space="0" w:color="auto"/>
      </w:divBdr>
    </w:div>
    <w:div w:id="677389587">
      <w:bodyDiv w:val="1"/>
      <w:marLeft w:val="0"/>
      <w:marRight w:val="0"/>
      <w:marTop w:val="0"/>
      <w:marBottom w:val="0"/>
      <w:divBdr>
        <w:top w:val="none" w:sz="0" w:space="0" w:color="auto"/>
        <w:left w:val="none" w:sz="0" w:space="0" w:color="auto"/>
        <w:bottom w:val="none" w:sz="0" w:space="0" w:color="auto"/>
        <w:right w:val="none" w:sz="0" w:space="0" w:color="auto"/>
      </w:divBdr>
    </w:div>
    <w:div w:id="691614316">
      <w:bodyDiv w:val="1"/>
      <w:marLeft w:val="0"/>
      <w:marRight w:val="0"/>
      <w:marTop w:val="0"/>
      <w:marBottom w:val="0"/>
      <w:divBdr>
        <w:top w:val="none" w:sz="0" w:space="0" w:color="auto"/>
        <w:left w:val="none" w:sz="0" w:space="0" w:color="auto"/>
        <w:bottom w:val="none" w:sz="0" w:space="0" w:color="auto"/>
        <w:right w:val="none" w:sz="0" w:space="0" w:color="auto"/>
      </w:divBdr>
    </w:div>
    <w:div w:id="773552457">
      <w:bodyDiv w:val="1"/>
      <w:marLeft w:val="0"/>
      <w:marRight w:val="0"/>
      <w:marTop w:val="0"/>
      <w:marBottom w:val="0"/>
      <w:divBdr>
        <w:top w:val="none" w:sz="0" w:space="0" w:color="auto"/>
        <w:left w:val="none" w:sz="0" w:space="0" w:color="auto"/>
        <w:bottom w:val="none" w:sz="0" w:space="0" w:color="auto"/>
        <w:right w:val="none" w:sz="0" w:space="0" w:color="auto"/>
      </w:divBdr>
    </w:div>
    <w:div w:id="918372905">
      <w:bodyDiv w:val="1"/>
      <w:marLeft w:val="0"/>
      <w:marRight w:val="0"/>
      <w:marTop w:val="0"/>
      <w:marBottom w:val="0"/>
      <w:divBdr>
        <w:top w:val="none" w:sz="0" w:space="0" w:color="auto"/>
        <w:left w:val="none" w:sz="0" w:space="0" w:color="auto"/>
        <w:bottom w:val="none" w:sz="0" w:space="0" w:color="auto"/>
        <w:right w:val="none" w:sz="0" w:space="0" w:color="auto"/>
      </w:divBdr>
    </w:div>
    <w:div w:id="964896642">
      <w:bodyDiv w:val="1"/>
      <w:marLeft w:val="0"/>
      <w:marRight w:val="0"/>
      <w:marTop w:val="0"/>
      <w:marBottom w:val="0"/>
      <w:divBdr>
        <w:top w:val="none" w:sz="0" w:space="0" w:color="auto"/>
        <w:left w:val="none" w:sz="0" w:space="0" w:color="auto"/>
        <w:bottom w:val="none" w:sz="0" w:space="0" w:color="auto"/>
        <w:right w:val="none" w:sz="0" w:space="0" w:color="auto"/>
      </w:divBdr>
    </w:div>
    <w:div w:id="990214577">
      <w:bodyDiv w:val="1"/>
      <w:marLeft w:val="0"/>
      <w:marRight w:val="0"/>
      <w:marTop w:val="0"/>
      <w:marBottom w:val="0"/>
      <w:divBdr>
        <w:top w:val="none" w:sz="0" w:space="0" w:color="auto"/>
        <w:left w:val="none" w:sz="0" w:space="0" w:color="auto"/>
        <w:bottom w:val="none" w:sz="0" w:space="0" w:color="auto"/>
        <w:right w:val="none" w:sz="0" w:space="0" w:color="auto"/>
      </w:divBdr>
    </w:div>
    <w:div w:id="1167667928">
      <w:bodyDiv w:val="1"/>
      <w:marLeft w:val="0"/>
      <w:marRight w:val="0"/>
      <w:marTop w:val="0"/>
      <w:marBottom w:val="0"/>
      <w:divBdr>
        <w:top w:val="none" w:sz="0" w:space="0" w:color="auto"/>
        <w:left w:val="none" w:sz="0" w:space="0" w:color="auto"/>
        <w:bottom w:val="none" w:sz="0" w:space="0" w:color="auto"/>
        <w:right w:val="none" w:sz="0" w:space="0" w:color="auto"/>
      </w:divBdr>
    </w:div>
    <w:div w:id="1234120241">
      <w:bodyDiv w:val="1"/>
      <w:marLeft w:val="0"/>
      <w:marRight w:val="0"/>
      <w:marTop w:val="0"/>
      <w:marBottom w:val="0"/>
      <w:divBdr>
        <w:top w:val="none" w:sz="0" w:space="0" w:color="auto"/>
        <w:left w:val="none" w:sz="0" w:space="0" w:color="auto"/>
        <w:bottom w:val="none" w:sz="0" w:space="0" w:color="auto"/>
        <w:right w:val="none" w:sz="0" w:space="0" w:color="auto"/>
      </w:divBdr>
      <w:divsChild>
        <w:div w:id="1308392986">
          <w:marLeft w:val="0"/>
          <w:marRight w:val="0"/>
          <w:marTop w:val="0"/>
          <w:marBottom w:val="0"/>
          <w:divBdr>
            <w:top w:val="none" w:sz="0" w:space="0" w:color="auto"/>
            <w:left w:val="none" w:sz="0" w:space="0" w:color="auto"/>
            <w:bottom w:val="none" w:sz="0" w:space="0" w:color="auto"/>
            <w:right w:val="none" w:sz="0" w:space="0" w:color="auto"/>
          </w:divBdr>
          <w:divsChild>
            <w:div w:id="1934196403">
              <w:marLeft w:val="0"/>
              <w:marRight w:val="0"/>
              <w:marTop w:val="0"/>
              <w:marBottom w:val="0"/>
              <w:divBdr>
                <w:top w:val="none" w:sz="0" w:space="0" w:color="auto"/>
                <w:left w:val="none" w:sz="0" w:space="0" w:color="auto"/>
                <w:bottom w:val="none" w:sz="0" w:space="0" w:color="auto"/>
                <w:right w:val="none" w:sz="0" w:space="0" w:color="auto"/>
              </w:divBdr>
              <w:divsChild>
                <w:div w:id="1705905316">
                  <w:marLeft w:val="0"/>
                  <w:marRight w:val="0"/>
                  <w:marTop w:val="0"/>
                  <w:marBottom w:val="0"/>
                  <w:divBdr>
                    <w:top w:val="none" w:sz="0" w:space="0" w:color="auto"/>
                    <w:left w:val="none" w:sz="0" w:space="0" w:color="auto"/>
                    <w:bottom w:val="none" w:sz="0" w:space="0" w:color="auto"/>
                    <w:right w:val="none" w:sz="0" w:space="0" w:color="auto"/>
                  </w:divBdr>
                  <w:divsChild>
                    <w:div w:id="100807649">
                      <w:marLeft w:val="2975"/>
                      <w:marRight w:val="0"/>
                      <w:marTop w:val="0"/>
                      <w:marBottom w:val="0"/>
                      <w:divBdr>
                        <w:top w:val="none" w:sz="0" w:space="0" w:color="auto"/>
                        <w:left w:val="none" w:sz="0" w:space="0" w:color="auto"/>
                        <w:bottom w:val="none" w:sz="0" w:space="0" w:color="auto"/>
                        <w:right w:val="none" w:sz="0" w:space="0" w:color="auto"/>
                      </w:divBdr>
                      <w:divsChild>
                        <w:div w:id="39012544">
                          <w:marLeft w:val="0"/>
                          <w:marRight w:val="0"/>
                          <w:marTop w:val="0"/>
                          <w:marBottom w:val="0"/>
                          <w:divBdr>
                            <w:top w:val="none" w:sz="0" w:space="0" w:color="auto"/>
                            <w:left w:val="none" w:sz="0" w:space="0" w:color="auto"/>
                            <w:bottom w:val="none" w:sz="0" w:space="0" w:color="auto"/>
                            <w:right w:val="none" w:sz="0" w:space="0" w:color="auto"/>
                          </w:divBdr>
                          <w:divsChild>
                            <w:div w:id="1751928113">
                              <w:marLeft w:val="163"/>
                              <w:marRight w:val="16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273497">
      <w:bodyDiv w:val="1"/>
      <w:marLeft w:val="0"/>
      <w:marRight w:val="0"/>
      <w:marTop w:val="0"/>
      <w:marBottom w:val="0"/>
      <w:divBdr>
        <w:top w:val="none" w:sz="0" w:space="0" w:color="auto"/>
        <w:left w:val="none" w:sz="0" w:space="0" w:color="auto"/>
        <w:bottom w:val="none" w:sz="0" w:space="0" w:color="auto"/>
        <w:right w:val="none" w:sz="0" w:space="0" w:color="auto"/>
      </w:divBdr>
    </w:div>
    <w:div w:id="1577013056">
      <w:bodyDiv w:val="1"/>
      <w:marLeft w:val="0"/>
      <w:marRight w:val="0"/>
      <w:marTop w:val="0"/>
      <w:marBottom w:val="0"/>
      <w:divBdr>
        <w:top w:val="none" w:sz="0" w:space="0" w:color="auto"/>
        <w:left w:val="none" w:sz="0" w:space="0" w:color="auto"/>
        <w:bottom w:val="none" w:sz="0" w:space="0" w:color="auto"/>
        <w:right w:val="none" w:sz="0" w:space="0" w:color="auto"/>
      </w:divBdr>
    </w:div>
    <w:div w:id="1682976894">
      <w:bodyDiv w:val="1"/>
      <w:marLeft w:val="0"/>
      <w:marRight w:val="0"/>
      <w:marTop w:val="0"/>
      <w:marBottom w:val="0"/>
      <w:divBdr>
        <w:top w:val="none" w:sz="0" w:space="0" w:color="auto"/>
        <w:left w:val="none" w:sz="0" w:space="0" w:color="auto"/>
        <w:bottom w:val="none" w:sz="0" w:space="0" w:color="auto"/>
        <w:right w:val="none" w:sz="0" w:space="0" w:color="auto"/>
      </w:divBdr>
    </w:div>
    <w:div w:id="1805193237">
      <w:bodyDiv w:val="1"/>
      <w:marLeft w:val="0"/>
      <w:marRight w:val="0"/>
      <w:marTop w:val="0"/>
      <w:marBottom w:val="0"/>
      <w:divBdr>
        <w:top w:val="none" w:sz="0" w:space="0" w:color="auto"/>
        <w:left w:val="none" w:sz="0" w:space="0" w:color="auto"/>
        <w:bottom w:val="none" w:sz="0" w:space="0" w:color="auto"/>
        <w:right w:val="none" w:sz="0" w:space="0" w:color="auto"/>
      </w:divBdr>
    </w:div>
    <w:div w:id="1810245656">
      <w:bodyDiv w:val="1"/>
      <w:marLeft w:val="0"/>
      <w:marRight w:val="0"/>
      <w:marTop w:val="0"/>
      <w:marBottom w:val="0"/>
      <w:divBdr>
        <w:top w:val="none" w:sz="0" w:space="0" w:color="auto"/>
        <w:left w:val="none" w:sz="0" w:space="0" w:color="auto"/>
        <w:bottom w:val="none" w:sz="0" w:space="0" w:color="auto"/>
        <w:right w:val="none" w:sz="0" w:space="0" w:color="auto"/>
      </w:divBdr>
    </w:div>
    <w:div w:id="1920602983">
      <w:bodyDiv w:val="1"/>
      <w:marLeft w:val="0"/>
      <w:marRight w:val="0"/>
      <w:marTop w:val="0"/>
      <w:marBottom w:val="0"/>
      <w:divBdr>
        <w:top w:val="none" w:sz="0" w:space="0" w:color="auto"/>
        <w:left w:val="none" w:sz="0" w:space="0" w:color="auto"/>
        <w:bottom w:val="none" w:sz="0" w:space="0" w:color="auto"/>
        <w:right w:val="none" w:sz="0" w:space="0" w:color="auto"/>
      </w:divBdr>
    </w:div>
    <w:div w:id="2012680171">
      <w:bodyDiv w:val="1"/>
      <w:marLeft w:val="0"/>
      <w:marRight w:val="0"/>
      <w:marTop w:val="0"/>
      <w:marBottom w:val="0"/>
      <w:divBdr>
        <w:top w:val="none" w:sz="0" w:space="0" w:color="auto"/>
        <w:left w:val="none" w:sz="0" w:space="0" w:color="auto"/>
        <w:bottom w:val="none" w:sz="0" w:space="0" w:color="auto"/>
        <w:right w:val="none" w:sz="0" w:space="0" w:color="auto"/>
      </w:divBdr>
    </w:div>
    <w:div w:id="2042632843">
      <w:bodyDiv w:val="1"/>
      <w:marLeft w:val="0"/>
      <w:marRight w:val="0"/>
      <w:marTop w:val="0"/>
      <w:marBottom w:val="0"/>
      <w:divBdr>
        <w:top w:val="none" w:sz="0" w:space="0" w:color="auto"/>
        <w:left w:val="none" w:sz="0" w:space="0" w:color="auto"/>
        <w:bottom w:val="none" w:sz="0" w:space="0" w:color="auto"/>
        <w:right w:val="none" w:sz="0" w:space="0" w:color="auto"/>
      </w:divBdr>
      <w:divsChild>
        <w:div w:id="1897861014">
          <w:marLeft w:val="0"/>
          <w:marRight w:val="0"/>
          <w:marTop w:val="0"/>
          <w:marBottom w:val="0"/>
          <w:divBdr>
            <w:top w:val="none" w:sz="0" w:space="0" w:color="auto"/>
            <w:left w:val="single" w:sz="6" w:space="0" w:color="C1C1C1"/>
            <w:bottom w:val="single" w:sz="6" w:space="0" w:color="C1C1C1"/>
            <w:right w:val="single" w:sz="6" w:space="0" w:color="C1C1C1"/>
          </w:divBdr>
          <w:divsChild>
            <w:div w:id="1086538089">
              <w:marLeft w:val="0"/>
              <w:marRight w:val="0"/>
              <w:marTop w:val="0"/>
              <w:marBottom w:val="0"/>
              <w:divBdr>
                <w:top w:val="none" w:sz="0" w:space="0" w:color="auto"/>
                <w:left w:val="none" w:sz="0" w:space="0" w:color="auto"/>
                <w:bottom w:val="none" w:sz="0" w:space="0" w:color="auto"/>
                <w:right w:val="none" w:sz="0" w:space="0" w:color="auto"/>
              </w:divBdr>
              <w:divsChild>
                <w:div w:id="1274824647">
                  <w:marLeft w:val="0"/>
                  <w:marRight w:val="0"/>
                  <w:marTop w:val="0"/>
                  <w:marBottom w:val="0"/>
                  <w:divBdr>
                    <w:top w:val="none" w:sz="0" w:space="0" w:color="auto"/>
                    <w:left w:val="none" w:sz="0" w:space="0" w:color="auto"/>
                    <w:bottom w:val="none" w:sz="0" w:space="0" w:color="auto"/>
                    <w:right w:val="none" w:sz="0" w:space="0" w:color="auto"/>
                  </w:divBdr>
                  <w:divsChild>
                    <w:div w:id="137811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629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invertIfNegative val="0"/>
          <c:dPt>
            <c:idx val="0"/>
            <c:invertIfNegative val="0"/>
            <c:bubble3D val="0"/>
            <c:spPr>
              <a:solidFill>
                <a:srgbClr val="00B050"/>
              </a:solidFill>
            </c:spPr>
          </c:dPt>
          <c:dPt>
            <c:idx val="1"/>
            <c:invertIfNegative val="0"/>
            <c:bubble3D val="0"/>
            <c:spPr>
              <a:solidFill>
                <a:schemeClr val="tx2">
                  <a:lumMod val="60000"/>
                  <a:lumOff val="40000"/>
                </a:schemeClr>
              </a:solidFill>
            </c:spPr>
          </c:dPt>
          <c:dPt>
            <c:idx val="2"/>
            <c:invertIfNegative val="0"/>
            <c:bubble3D val="0"/>
            <c:spPr>
              <a:solidFill>
                <a:schemeClr val="tx2">
                  <a:lumMod val="60000"/>
                  <a:lumOff val="40000"/>
                </a:schemeClr>
              </a:solidFill>
            </c:spPr>
          </c:dPt>
          <c:dPt>
            <c:idx val="3"/>
            <c:invertIfNegative val="0"/>
            <c:bubble3D val="0"/>
            <c:spPr>
              <a:solidFill>
                <a:schemeClr val="tx2">
                  <a:lumMod val="60000"/>
                  <a:lumOff val="40000"/>
                </a:schemeClr>
              </a:solidFill>
            </c:spPr>
          </c:dPt>
          <c:dPt>
            <c:idx val="4"/>
            <c:invertIfNegative val="0"/>
            <c:bubble3D val="0"/>
            <c:spPr>
              <a:solidFill>
                <a:srgbClr val="00B050"/>
              </a:solidFill>
            </c:spPr>
          </c:dPt>
          <c:dPt>
            <c:idx val="5"/>
            <c:invertIfNegative val="0"/>
            <c:bubble3D val="0"/>
            <c:spPr>
              <a:solidFill>
                <a:srgbClr val="00B050"/>
              </a:solidFill>
            </c:spPr>
          </c:dPt>
          <c:dLbls>
            <c:dLbl>
              <c:idx val="0"/>
              <c:spPr/>
              <c:txPr>
                <a:bodyPr/>
                <a:lstStyle/>
                <a:p>
                  <a:pPr>
                    <a:defRPr sz="1200" b="1">
                      <a:solidFill>
                        <a:srgbClr val="00B050"/>
                      </a:solidFill>
                    </a:defRPr>
                  </a:pPr>
                  <a:endParaRPr lang="lv-LV"/>
                </a:p>
              </c:txPr>
              <c:showLegendKey val="0"/>
              <c:showVal val="1"/>
              <c:showCatName val="0"/>
              <c:showSerName val="0"/>
              <c:showPercent val="0"/>
              <c:showBubbleSize val="0"/>
            </c:dLbl>
            <c:dLbl>
              <c:idx val="1"/>
              <c:spPr/>
              <c:txPr>
                <a:bodyPr/>
                <a:lstStyle/>
                <a:p>
                  <a:pPr>
                    <a:defRPr sz="1200" b="1">
                      <a:solidFill>
                        <a:srgbClr val="002060"/>
                      </a:solidFill>
                    </a:defRPr>
                  </a:pPr>
                  <a:endParaRPr lang="lv-LV"/>
                </a:p>
              </c:txPr>
              <c:showLegendKey val="0"/>
              <c:showVal val="1"/>
              <c:showCatName val="0"/>
              <c:showSerName val="0"/>
              <c:showPercent val="0"/>
              <c:showBubbleSize val="0"/>
            </c:dLbl>
            <c:dLbl>
              <c:idx val="2"/>
              <c:spPr/>
              <c:txPr>
                <a:bodyPr/>
                <a:lstStyle/>
                <a:p>
                  <a:pPr>
                    <a:defRPr sz="1200" b="1">
                      <a:solidFill>
                        <a:srgbClr val="002060"/>
                      </a:solidFill>
                    </a:defRPr>
                  </a:pPr>
                  <a:endParaRPr lang="lv-LV"/>
                </a:p>
              </c:txPr>
              <c:showLegendKey val="0"/>
              <c:showVal val="1"/>
              <c:showCatName val="0"/>
              <c:showSerName val="0"/>
              <c:showPercent val="0"/>
              <c:showBubbleSize val="0"/>
            </c:dLbl>
            <c:dLbl>
              <c:idx val="3"/>
              <c:spPr/>
              <c:txPr>
                <a:bodyPr/>
                <a:lstStyle/>
                <a:p>
                  <a:pPr>
                    <a:defRPr sz="1200" b="1">
                      <a:solidFill>
                        <a:srgbClr val="002060"/>
                      </a:solidFill>
                    </a:defRPr>
                  </a:pPr>
                  <a:endParaRPr lang="lv-LV"/>
                </a:p>
              </c:txPr>
              <c:showLegendKey val="0"/>
              <c:showVal val="1"/>
              <c:showCatName val="0"/>
              <c:showSerName val="0"/>
              <c:showPercent val="0"/>
              <c:showBubbleSize val="0"/>
            </c:dLbl>
            <c:dLbl>
              <c:idx val="4"/>
              <c:spPr/>
              <c:txPr>
                <a:bodyPr/>
                <a:lstStyle/>
                <a:p>
                  <a:pPr>
                    <a:defRPr sz="1200" b="1">
                      <a:solidFill>
                        <a:srgbClr val="00B050"/>
                      </a:solidFill>
                    </a:defRPr>
                  </a:pPr>
                  <a:endParaRPr lang="lv-LV"/>
                </a:p>
              </c:txPr>
              <c:showLegendKey val="0"/>
              <c:showVal val="1"/>
              <c:showCatName val="0"/>
              <c:showSerName val="0"/>
              <c:showPercent val="0"/>
              <c:showBubbleSize val="0"/>
            </c:dLbl>
            <c:dLbl>
              <c:idx val="5"/>
              <c:spPr/>
              <c:txPr>
                <a:bodyPr/>
                <a:lstStyle/>
                <a:p>
                  <a:pPr>
                    <a:defRPr sz="1200" b="1">
                      <a:solidFill>
                        <a:srgbClr val="00B050"/>
                      </a:solidFill>
                    </a:defRPr>
                  </a:pPr>
                  <a:endParaRPr lang="lv-LV"/>
                </a:p>
              </c:txPr>
              <c:showLegendKey val="0"/>
              <c:showVal val="1"/>
              <c:showCatName val="0"/>
              <c:showSerName val="0"/>
              <c:showPercent val="0"/>
              <c:showBubbleSize val="0"/>
            </c:dLbl>
            <c:spPr>
              <a:noFill/>
              <a:ln>
                <a:noFill/>
              </a:ln>
              <a:effectLst/>
            </c:spPr>
            <c:txPr>
              <a:bodyPr/>
              <a:lstStyle/>
              <a:p>
                <a:pPr>
                  <a:defRPr sz="1200"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Sheet1!$C$10:$H$10</c:f>
              <c:strCache>
                <c:ptCount val="6"/>
                <c:pt idx="0">
                  <c:v>2008</c:v>
                </c:pt>
                <c:pt idx="1">
                  <c:v>2009</c:v>
                </c:pt>
                <c:pt idx="2">
                  <c:v>2010</c:v>
                </c:pt>
                <c:pt idx="3">
                  <c:v>2011</c:v>
                </c:pt>
                <c:pt idx="4">
                  <c:v>2011 (neiekļaujot problēmbankas)</c:v>
                </c:pt>
                <c:pt idx="5">
                  <c:v>2012</c:v>
                </c:pt>
              </c:strCache>
            </c:strRef>
          </c:cat>
          <c:val>
            <c:numRef>
              <c:f>Sheet1!$C$11:$H$11</c:f>
              <c:numCache>
                <c:formatCode>General</c:formatCode>
                <c:ptCount val="6"/>
                <c:pt idx="0">
                  <c:v>60</c:v>
                </c:pt>
                <c:pt idx="1">
                  <c:v>-773</c:v>
                </c:pt>
                <c:pt idx="2">
                  <c:v>-361</c:v>
                </c:pt>
                <c:pt idx="3">
                  <c:v>-179</c:v>
                </c:pt>
                <c:pt idx="4">
                  <c:v>97</c:v>
                </c:pt>
                <c:pt idx="5">
                  <c:v>122</c:v>
                </c:pt>
              </c:numCache>
            </c:numRef>
          </c:val>
        </c:ser>
        <c:dLbls>
          <c:showLegendKey val="0"/>
          <c:showVal val="1"/>
          <c:showCatName val="0"/>
          <c:showSerName val="0"/>
          <c:showPercent val="0"/>
          <c:showBubbleSize val="0"/>
        </c:dLbls>
        <c:gapWidth val="75"/>
        <c:axId val="241437960"/>
        <c:axId val="244102192"/>
      </c:barChart>
      <c:catAx>
        <c:axId val="241437960"/>
        <c:scaling>
          <c:orientation val="minMax"/>
        </c:scaling>
        <c:delete val="0"/>
        <c:axPos val="b"/>
        <c:numFmt formatCode="General" sourceLinked="0"/>
        <c:majorTickMark val="none"/>
        <c:minorTickMark val="none"/>
        <c:tickLblPos val="nextTo"/>
        <c:crossAx val="244102192"/>
        <c:crosses val="autoZero"/>
        <c:auto val="1"/>
        <c:lblAlgn val="ctr"/>
        <c:lblOffset val="100"/>
        <c:noMultiLvlLbl val="0"/>
      </c:catAx>
      <c:valAx>
        <c:axId val="244102192"/>
        <c:scaling>
          <c:orientation val="minMax"/>
        </c:scaling>
        <c:delete val="0"/>
        <c:axPos val="l"/>
        <c:numFmt formatCode="General" sourceLinked="1"/>
        <c:majorTickMark val="none"/>
        <c:minorTickMark val="none"/>
        <c:tickLblPos val="nextTo"/>
        <c:crossAx val="241437960"/>
        <c:crosses val="autoZero"/>
        <c:crossBetween val="between"/>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'Budžeta maksājumi'!$C$96</c:f>
              <c:strCache>
                <c:ptCount val="1"/>
                <c:pt idx="0">
                  <c:v>VID administrētie ieņēmumi (kreisā ass)</c:v>
                </c:pt>
              </c:strCache>
            </c:strRef>
          </c:tx>
          <c:marker>
            <c:symbol val="none"/>
          </c:marker>
          <c:cat>
            <c:numRef>
              <c:f>'Budžeta maksājumi'!$D$94:$H$94</c:f>
              <c:numCache>
                <c:formatCode>General</c:formatCode>
                <c:ptCount val="5"/>
                <c:pt idx="0">
                  <c:v>2008</c:v>
                </c:pt>
                <c:pt idx="1">
                  <c:v>2009</c:v>
                </c:pt>
                <c:pt idx="2">
                  <c:v>2010</c:v>
                </c:pt>
                <c:pt idx="3">
                  <c:v>2011</c:v>
                </c:pt>
                <c:pt idx="4">
                  <c:v>2012</c:v>
                </c:pt>
              </c:numCache>
            </c:numRef>
          </c:cat>
          <c:val>
            <c:numRef>
              <c:f>'Budžeta maksājumi'!$D$96:$H$96</c:f>
              <c:numCache>
                <c:formatCode>0.0</c:formatCode>
                <c:ptCount val="5"/>
                <c:pt idx="0">
                  <c:v>5345.6</c:v>
                </c:pt>
                <c:pt idx="1">
                  <c:v>4059.4</c:v>
                </c:pt>
                <c:pt idx="2">
                  <c:v>3803.3</c:v>
                </c:pt>
                <c:pt idx="3">
                  <c:v>4208.6000000000004</c:v>
                </c:pt>
                <c:pt idx="4">
                  <c:v>4584.7</c:v>
                </c:pt>
              </c:numCache>
            </c:numRef>
          </c:val>
          <c:smooth val="0"/>
        </c:ser>
        <c:dLbls>
          <c:showLegendKey val="0"/>
          <c:showVal val="0"/>
          <c:showCatName val="0"/>
          <c:showSerName val="0"/>
          <c:showPercent val="0"/>
          <c:showBubbleSize val="0"/>
        </c:dLbls>
        <c:marker val="1"/>
        <c:smooth val="0"/>
        <c:axId val="244103368"/>
        <c:axId val="244103760"/>
      </c:lineChart>
      <c:lineChart>
        <c:grouping val="standard"/>
        <c:varyColors val="0"/>
        <c:ser>
          <c:idx val="0"/>
          <c:order val="0"/>
          <c:tx>
            <c:strRef>
              <c:f>'Budžeta maksājumi'!$C$95</c:f>
              <c:strCache>
                <c:ptCount val="1"/>
                <c:pt idx="0">
                  <c:v>Banku nodokļu maksājumi (labā ass)</c:v>
                </c:pt>
              </c:strCache>
            </c:strRef>
          </c:tx>
          <c:spPr>
            <a:ln>
              <a:prstDash val="dash"/>
            </a:ln>
          </c:spPr>
          <c:marker>
            <c:symbol val="none"/>
          </c:marker>
          <c:cat>
            <c:numRef>
              <c:f>'Budžeta maksājumi'!$D$94:$H$94</c:f>
              <c:numCache>
                <c:formatCode>General</c:formatCode>
                <c:ptCount val="5"/>
                <c:pt idx="0">
                  <c:v>2008</c:v>
                </c:pt>
                <c:pt idx="1">
                  <c:v>2009</c:v>
                </c:pt>
                <c:pt idx="2">
                  <c:v>2010</c:v>
                </c:pt>
                <c:pt idx="3">
                  <c:v>2011</c:v>
                </c:pt>
                <c:pt idx="4">
                  <c:v>2012</c:v>
                </c:pt>
              </c:numCache>
            </c:numRef>
          </c:cat>
          <c:val>
            <c:numRef>
              <c:f>'Budžeta maksājumi'!$D$95:$H$95</c:f>
              <c:numCache>
                <c:formatCode>0.0</c:formatCode>
                <c:ptCount val="5"/>
                <c:pt idx="0">
                  <c:v>186.5</c:v>
                </c:pt>
                <c:pt idx="1">
                  <c:v>100.7</c:v>
                </c:pt>
                <c:pt idx="2">
                  <c:v>78.099999999999994</c:v>
                </c:pt>
                <c:pt idx="3">
                  <c:v>102.5</c:v>
                </c:pt>
                <c:pt idx="4">
                  <c:v>110.9</c:v>
                </c:pt>
              </c:numCache>
            </c:numRef>
          </c:val>
          <c:smooth val="0"/>
        </c:ser>
        <c:dLbls>
          <c:showLegendKey val="0"/>
          <c:showVal val="0"/>
          <c:showCatName val="0"/>
          <c:showSerName val="0"/>
          <c:showPercent val="0"/>
          <c:showBubbleSize val="0"/>
        </c:dLbls>
        <c:marker val="1"/>
        <c:smooth val="0"/>
        <c:axId val="244104544"/>
        <c:axId val="244104152"/>
      </c:lineChart>
      <c:catAx>
        <c:axId val="244103368"/>
        <c:scaling>
          <c:orientation val="minMax"/>
        </c:scaling>
        <c:delete val="0"/>
        <c:axPos val="b"/>
        <c:numFmt formatCode="General" sourceLinked="1"/>
        <c:majorTickMark val="out"/>
        <c:minorTickMark val="none"/>
        <c:tickLblPos val="nextTo"/>
        <c:crossAx val="244103760"/>
        <c:crosses val="autoZero"/>
        <c:auto val="1"/>
        <c:lblAlgn val="ctr"/>
        <c:lblOffset val="100"/>
        <c:noMultiLvlLbl val="0"/>
      </c:catAx>
      <c:valAx>
        <c:axId val="244103760"/>
        <c:scaling>
          <c:orientation val="minMax"/>
        </c:scaling>
        <c:delete val="0"/>
        <c:axPos val="l"/>
        <c:majorGridlines/>
        <c:numFmt formatCode="0.0" sourceLinked="1"/>
        <c:majorTickMark val="out"/>
        <c:minorTickMark val="none"/>
        <c:tickLblPos val="nextTo"/>
        <c:crossAx val="244103368"/>
        <c:crosses val="autoZero"/>
        <c:crossBetween val="between"/>
      </c:valAx>
      <c:valAx>
        <c:axId val="244104152"/>
        <c:scaling>
          <c:orientation val="minMax"/>
          <c:max val="200"/>
          <c:min val="0"/>
        </c:scaling>
        <c:delete val="0"/>
        <c:axPos val="r"/>
        <c:numFmt formatCode="0.0" sourceLinked="1"/>
        <c:majorTickMark val="out"/>
        <c:minorTickMark val="none"/>
        <c:tickLblPos val="nextTo"/>
        <c:crossAx val="244104544"/>
        <c:crosses val="max"/>
        <c:crossBetween val="between"/>
        <c:majorUnit val="50"/>
      </c:valAx>
      <c:catAx>
        <c:axId val="244104544"/>
        <c:scaling>
          <c:orientation val="minMax"/>
        </c:scaling>
        <c:delete val="1"/>
        <c:axPos val="b"/>
        <c:numFmt formatCode="General" sourceLinked="1"/>
        <c:majorTickMark val="out"/>
        <c:minorTickMark val="none"/>
        <c:tickLblPos val="none"/>
        <c:crossAx val="244104152"/>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'Report 1'!$D$60</c:f>
              <c:strCache>
                <c:ptCount val="1"/>
                <c:pt idx="0">
                  <c:v>IIN</c:v>
                </c:pt>
              </c:strCache>
            </c:strRef>
          </c:tx>
          <c:spPr>
            <a:pattFill prst="pct20">
              <a:fgClr>
                <a:schemeClr val="tx2">
                  <a:lumMod val="60000"/>
                  <a:lumOff val="40000"/>
                </a:schemeClr>
              </a:fgClr>
              <a:bgClr>
                <a:schemeClr val="bg1"/>
              </a:bgClr>
            </a:pattFill>
          </c:spPr>
          <c:invertIfNegative val="0"/>
          <c:cat>
            <c:numRef>
              <c:f>'Report 1'!$E$59:$I$59</c:f>
              <c:numCache>
                <c:formatCode>General</c:formatCode>
                <c:ptCount val="5"/>
                <c:pt idx="0">
                  <c:v>2008</c:v>
                </c:pt>
                <c:pt idx="1">
                  <c:v>2009</c:v>
                </c:pt>
                <c:pt idx="2">
                  <c:v>2010</c:v>
                </c:pt>
                <c:pt idx="3">
                  <c:v>2011</c:v>
                </c:pt>
                <c:pt idx="4">
                  <c:v>2012</c:v>
                </c:pt>
              </c:numCache>
            </c:numRef>
          </c:cat>
          <c:val>
            <c:numRef>
              <c:f>'Report 1'!$E$60:$I$60</c:f>
              <c:numCache>
                <c:formatCode>General</c:formatCode>
                <c:ptCount val="5"/>
                <c:pt idx="0">
                  <c:v>39.200000000000003</c:v>
                </c:pt>
                <c:pt idx="1">
                  <c:v>29.8</c:v>
                </c:pt>
                <c:pt idx="2">
                  <c:v>38.4</c:v>
                </c:pt>
                <c:pt idx="3">
                  <c:v>35.200000000000003</c:v>
                </c:pt>
                <c:pt idx="4">
                  <c:v>33.9</c:v>
                </c:pt>
              </c:numCache>
            </c:numRef>
          </c:val>
        </c:ser>
        <c:ser>
          <c:idx val="1"/>
          <c:order val="1"/>
          <c:tx>
            <c:strRef>
              <c:f>'Report 1'!$D$61</c:f>
              <c:strCache>
                <c:ptCount val="1"/>
                <c:pt idx="0">
                  <c:v>UIN</c:v>
                </c:pt>
              </c:strCache>
            </c:strRef>
          </c:tx>
          <c:spPr>
            <a:pattFill prst="wdDnDiag">
              <a:fgClr>
                <a:schemeClr val="tx2">
                  <a:lumMod val="60000"/>
                  <a:lumOff val="40000"/>
                </a:schemeClr>
              </a:fgClr>
              <a:bgClr>
                <a:schemeClr val="bg1"/>
              </a:bgClr>
            </a:pattFill>
          </c:spPr>
          <c:invertIfNegative val="0"/>
          <c:cat>
            <c:numRef>
              <c:f>'Report 1'!$E$59:$I$59</c:f>
              <c:numCache>
                <c:formatCode>General</c:formatCode>
                <c:ptCount val="5"/>
                <c:pt idx="0">
                  <c:v>2008</c:v>
                </c:pt>
                <c:pt idx="1">
                  <c:v>2009</c:v>
                </c:pt>
                <c:pt idx="2">
                  <c:v>2010</c:v>
                </c:pt>
                <c:pt idx="3">
                  <c:v>2011</c:v>
                </c:pt>
                <c:pt idx="4">
                  <c:v>2012</c:v>
                </c:pt>
              </c:numCache>
            </c:numRef>
          </c:cat>
          <c:val>
            <c:numRef>
              <c:f>'Report 1'!$E$61:$I$61</c:f>
              <c:numCache>
                <c:formatCode>General</c:formatCode>
                <c:ptCount val="5"/>
                <c:pt idx="0">
                  <c:v>86.8</c:v>
                </c:pt>
                <c:pt idx="1">
                  <c:v>7.1</c:v>
                </c:pt>
                <c:pt idx="2">
                  <c:v>-14.9</c:v>
                </c:pt>
                <c:pt idx="3">
                  <c:v>6</c:v>
                </c:pt>
                <c:pt idx="4">
                  <c:v>9.1</c:v>
                </c:pt>
              </c:numCache>
            </c:numRef>
          </c:val>
        </c:ser>
        <c:ser>
          <c:idx val="2"/>
          <c:order val="2"/>
          <c:tx>
            <c:strRef>
              <c:f>'Report 1'!$D$62</c:f>
              <c:strCache>
                <c:ptCount val="1"/>
                <c:pt idx="0">
                  <c:v>VSAOI</c:v>
                </c:pt>
              </c:strCache>
            </c:strRef>
          </c:tx>
          <c:spPr>
            <a:pattFill prst="lgCheck">
              <a:fgClr>
                <a:schemeClr val="tx2">
                  <a:lumMod val="60000"/>
                  <a:lumOff val="40000"/>
                </a:schemeClr>
              </a:fgClr>
              <a:bgClr>
                <a:schemeClr val="bg1"/>
              </a:bgClr>
            </a:pattFill>
          </c:spPr>
          <c:invertIfNegative val="0"/>
          <c:cat>
            <c:numRef>
              <c:f>'Report 1'!$E$59:$I$59</c:f>
              <c:numCache>
                <c:formatCode>General</c:formatCode>
                <c:ptCount val="5"/>
                <c:pt idx="0">
                  <c:v>2008</c:v>
                </c:pt>
                <c:pt idx="1">
                  <c:v>2009</c:v>
                </c:pt>
                <c:pt idx="2">
                  <c:v>2010</c:v>
                </c:pt>
                <c:pt idx="3">
                  <c:v>2011</c:v>
                </c:pt>
                <c:pt idx="4">
                  <c:v>2012</c:v>
                </c:pt>
              </c:numCache>
            </c:numRef>
          </c:cat>
          <c:val>
            <c:numRef>
              <c:f>'Report 1'!$E$62:$I$62</c:f>
              <c:numCache>
                <c:formatCode>General</c:formatCode>
                <c:ptCount val="5"/>
                <c:pt idx="0">
                  <c:v>50.9</c:v>
                </c:pt>
                <c:pt idx="1">
                  <c:v>50.2</c:v>
                </c:pt>
                <c:pt idx="2">
                  <c:v>44.8</c:v>
                </c:pt>
                <c:pt idx="3">
                  <c:v>48.3</c:v>
                </c:pt>
                <c:pt idx="4">
                  <c:v>49.4</c:v>
                </c:pt>
              </c:numCache>
            </c:numRef>
          </c:val>
        </c:ser>
        <c:ser>
          <c:idx val="3"/>
          <c:order val="3"/>
          <c:tx>
            <c:strRef>
              <c:f>'Report 1'!$D$63</c:f>
              <c:strCache>
                <c:ptCount val="1"/>
                <c:pt idx="0">
                  <c:v>PVN</c:v>
                </c:pt>
              </c:strCache>
            </c:strRef>
          </c:tx>
          <c:spPr>
            <a:pattFill prst="lgConfetti">
              <a:fgClr>
                <a:schemeClr val="tx2">
                  <a:lumMod val="60000"/>
                  <a:lumOff val="40000"/>
                </a:schemeClr>
              </a:fgClr>
              <a:bgClr>
                <a:schemeClr val="bg1"/>
              </a:bgClr>
            </a:pattFill>
          </c:spPr>
          <c:invertIfNegative val="0"/>
          <c:cat>
            <c:numRef>
              <c:f>'Report 1'!$E$59:$I$59</c:f>
              <c:numCache>
                <c:formatCode>General</c:formatCode>
                <c:ptCount val="5"/>
                <c:pt idx="0">
                  <c:v>2008</c:v>
                </c:pt>
                <c:pt idx="1">
                  <c:v>2009</c:v>
                </c:pt>
                <c:pt idx="2">
                  <c:v>2010</c:v>
                </c:pt>
                <c:pt idx="3">
                  <c:v>2011</c:v>
                </c:pt>
                <c:pt idx="4">
                  <c:v>2012</c:v>
                </c:pt>
              </c:numCache>
            </c:numRef>
          </c:cat>
          <c:val>
            <c:numRef>
              <c:f>'Report 1'!$E$63:$I$63</c:f>
              <c:numCache>
                <c:formatCode>General</c:formatCode>
                <c:ptCount val="5"/>
                <c:pt idx="0">
                  <c:v>4.5999999999999996</c:v>
                </c:pt>
                <c:pt idx="1">
                  <c:v>7</c:v>
                </c:pt>
                <c:pt idx="2">
                  <c:v>3.2</c:v>
                </c:pt>
                <c:pt idx="3">
                  <c:v>4.0999999999999996</c:v>
                </c:pt>
                <c:pt idx="4">
                  <c:v>4.5999999999999996</c:v>
                </c:pt>
              </c:numCache>
            </c:numRef>
          </c:val>
        </c:ser>
        <c:ser>
          <c:idx val="4"/>
          <c:order val="4"/>
          <c:tx>
            <c:strRef>
              <c:f>'Report 1'!$D$64</c:f>
              <c:strCache>
                <c:ptCount val="1"/>
                <c:pt idx="0">
                  <c:v>Citi maksājumi</c:v>
                </c:pt>
              </c:strCache>
            </c:strRef>
          </c:tx>
          <c:spPr>
            <a:pattFill prst="pct90">
              <a:fgClr>
                <a:schemeClr val="tx2">
                  <a:lumMod val="60000"/>
                  <a:lumOff val="40000"/>
                </a:schemeClr>
              </a:fgClr>
              <a:bgClr>
                <a:schemeClr val="bg1"/>
              </a:bgClr>
            </a:pattFill>
          </c:spPr>
          <c:invertIfNegative val="0"/>
          <c:cat>
            <c:numRef>
              <c:f>'Report 1'!$E$59:$I$59</c:f>
              <c:numCache>
                <c:formatCode>General</c:formatCode>
                <c:ptCount val="5"/>
                <c:pt idx="0">
                  <c:v>2008</c:v>
                </c:pt>
                <c:pt idx="1">
                  <c:v>2009</c:v>
                </c:pt>
                <c:pt idx="2">
                  <c:v>2010</c:v>
                </c:pt>
                <c:pt idx="3">
                  <c:v>2011</c:v>
                </c:pt>
                <c:pt idx="4">
                  <c:v>2012</c:v>
                </c:pt>
              </c:numCache>
            </c:numRef>
          </c:cat>
          <c:val>
            <c:numRef>
              <c:f>'Report 1'!$E$64:$I$64</c:f>
              <c:numCache>
                <c:formatCode>General</c:formatCode>
                <c:ptCount val="5"/>
                <c:pt idx="0">
                  <c:v>5</c:v>
                </c:pt>
                <c:pt idx="1">
                  <c:v>6.7</c:v>
                </c:pt>
                <c:pt idx="2">
                  <c:v>6.6</c:v>
                </c:pt>
                <c:pt idx="3">
                  <c:v>8.9</c:v>
                </c:pt>
                <c:pt idx="4">
                  <c:v>13.9</c:v>
                </c:pt>
              </c:numCache>
            </c:numRef>
          </c:val>
        </c:ser>
        <c:dLbls>
          <c:showLegendKey val="0"/>
          <c:showVal val="0"/>
          <c:showCatName val="0"/>
          <c:showSerName val="0"/>
          <c:showPercent val="0"/>
          <c:showBubbleSize val="0"/>
        </c:dLbls>
        <c:gapWidth val="150"/>
        <c:overlap val="100"/>
        <c:axId val="247476288"/>
        <c:axId val="247476680"/>
      </c:barChart>
      <c:catAx>
        <c:axId val="247476288"/>
        <c:scaling>
          <c:orientation val="minMax"/>
        </c:scaling>
        <c:delete val="0"/>
        <c:axPos val="b"/>
        <c:numFmt formatCode="General" sourceLinked="1"/>
        <c:majorTickMark val="out"/>
        <c:minorTickMark val="none"/>
        <c:tickLblPos val="nextTo"/>
        <c:crossAx val="247476680"/>
        <c:crosses val="autoZero"/>
        <c:auto val="1"/>
        <c:lblAlgn val="ctr"/>
        <c:lblOffset val="100"/>
        <c:noMultiLvlLbl val="0"/>
      </c:catAx>
      <c:valAx>
        <c:axId val="247476680"/>
        <c:scaling>
          <c:orientation val="minMax"/>
        </c:scaling>
        <c:delete val="0"/>
        <c:axPos val="l"/>
        <c:majorGridlines/>
        <c:numFmt formatCode="General" sourceLinked="1"/>
        <c:majorTickMark val="out"/>
        <c:minorTickMark val="none"/>
        <c:tickLblPos val="nextTo"/>
        <c:crossAx val="247476288"/>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Lapa1!$K$4</c:f>
              <c:strCache>
                <c:ptCount val="1"/>
                <c:pt idx="0">
                  <c:v>LVL</c:v>
                </c:pt>
              </c:strCache>
            </c:strRef>
          </c:tx>
          <c:spPr>
            <a:ln>
              <a:solidFill>
                <a:schemeClr val="accent1">
                  <a:shade val="95000"/>
                  <a:satMod val="105000"/>
                </a:schemeClr>
              </a:solidFill>
              <a:prstDash val="sysDot"/>
            </a:ln>
          </c:spPr>
          <c:marker>
            <c:symbol val="none"/>
          </c:marker>
          <c:cat>
            <c:multiLvlStrRef>
              <c:f>Lapa1!$A$5:$B$64</c:f>
              <c:multiLvlStrCache>
                <c:ptCount val="6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lvl>
                <c:lvl>
                  <c:pt idx="0">
                    <c:v>2008</c:v>
                  </c:pt>
                  <c:pt idx="12">
                    <c:v>2009</c:v>
                  </c:pt>
                  <c:pt idx="24">
                    <c:v>2010</c:v>
                  </c:pt>
                  <c:pt idx="36">
                    <c:v>2011</c:v>
                  </c:pt>
                  <c:pt idx="48">
                    <c:v>2012</c:v>
                  </c:pt>
                </c:lvl>
              </c:multiLvlStrCache>
            </c:multiLvlStrRef>
          </c:cat>
          <c:val>
            <c:numRef>
              <c:f>Lapa1!$K$5:$K$64</c:f>
              <c:numCache>
                <c:formatCode>General</c:formatCode>
                <c:ptCount val="60"/>
                <c:pt idx="0">
                  <c:v>14.2</c:v>
                </c:pt>
                <c:pt idx="1">
                  <c:v>14.24</c:v>
                </c:pt>
                <c:pt idx="2">
                  <c:v>13.34</c:v>
                </c:pt>
                <c:pt idx="3">
                  <c:v>11.62</c:v>
                </c:pt>
                <c:pt idx="4">
                  <c:v>10.34</c:v>
                </c:pt>
                <c:pt idx="5">
                  <c:v>10.9</c:v>
                </c:pt>
                <c:pt idx="6">
                  <c:v>10.54</c:v>
                </c:pt>
                <c:pt idx="7">
                  <c:v>10.360000000000003</c:v>
                </c:pt>
                <c:pt idx="8">
                  <c:v>11.57</c:v>
                </c:pt>
                <c:pt idx="9">
                  <c:v>14</c:v>
                </c:pt>
                <c:pt idx="10">
                  <c:v>13.49</c:v>
                </c:pt>
                <c:pt idx="11">
                  <c:v>14.3</c:v>
                </c:pt>
                <c:pt idx="12">
                  <c:v>13.19</c:v>
                </c:pt>
                <c:pt idx="13">
                  <c:v>14.41</c:v>
                </c:pt>
                <c:pt idx="14">
                  <c:v>15.59</c:v>
                </c:pt>
                <c:pt idx="15">
                  <c:v>13.5</c:v>
                </c:pt>
                <c:pt idx="16">
                  <c:v>17.420000000000002</c:v>
                </c:pt>
                <c:pt idx="17">
                  <c:v>18.97</c:v>
                </c:pt>
                <c:pt idx="18">
                  <c:v>18.559999999999999</c:v>
                </c:pt>
                <c:pt idx="19">
                  <c:v>17.309999999999999</c:v>
                </c:pt>
                <c:pt idx="20">
                  <c:v>21.130000000000006</c:v>
                </c:pt>
                <c:pt idx="21">
                  <c:v>14.28</c:v>
                </c:pt>
                <c:pt idx="22">
                  <c:v>13.01</c:v>
                </c:pt>
                <c:pt idx="23">
                  <c:v>10.74</c:v>
                </c:pt>
                <c:pt idx="24">
                  <c:v>13.43</c:v>
                </c:pt>
                <c:pt idx="25">
                  <c:v>14.75</c:v>
                </c:pt>
                <c:pt idx="26">
                  <c:v>12.98</c:v>
                </c:pt>
                <c:pt idx="27">
                  <c:v>10.78</c:v>
                </c:pt>
                <c:pt idx="28">
                  <c:v>11.370000000000003</c:v>
                </c:pt>
                <c:pt idx="29">
                  <c:v>9.25</c:v>
                </c:pt>
                <c:pt idx="30">
                  <c:v>9.17</c:v>
                </c:pt>
                <c:pt idx="31">
                  <c:v>7.54</c:v>
                </c:pt>
                <c:pt idx="32">
                  <c:v>8</c:v>
                </c:pt>
                <c:pt idx="33">
                  <c:v>6.81</c:v>
                </c:pt>
                <c:pt idx="34">
                  <c:v>6.53</c:v>
                </c:pt>
                <c:pt idx="35">
                  <c:v>8.2100000000000009</c:v>
                </c:pt>
                <c:pt idx="36">
                  <c:v>7.95</c:v>
                </c:pt>
                <c:pt idx="37">
                  <c:v>5.88</c:v>
                </c:pt>
                <c:pt idx="38">
                  <c:v>6.04</c:v>
                </c:pt>
                <c:pt idx="39">
                  <c:v>5.88</c:v>
                </c:pt>
                <c:pt idx="40">
                  <c:v>5.41</c:v>
                </c:pt>
                <c:pt idx="41">
                  <c:v>6.25</c:v>
                </c:pt>
                <c:pt idx="42">
                  <c:v>5.79</c:v>
                </c:pt>
                <c:pt idx="43">
                  <c:v>5.4300000000000015</c:v>
                </c:pt>
                <c:pt idx="44">
                  <c:v>5.03</c:v>
                </c:pt>
                <c:pt idx="45">
                  <c:v>4.5</c:v>
                </c:pt>
                <c:pt idx="46">
                  <c:v>4.6199999999999983</c:v>
                </c:pt>
                <c:pt idx="47">
                  <c:v>5.01</c:v>
                </c:pt>
                <c:pt idx="48">
                  <c:v>5.78</c:v>
                </c:pt>
                <c:pt idx="49">
                  <c:v>5.45</c:v>
                </c:pt>
                <c:pt idx="50">
                  <c:v>4.9700000000000015</c:v>
                </c:pt>
                <c:pt idx="51">
                  <c:v>5.07</c:v>
                </c:pt>
                <c:pt idx="52">
                  <c:v>4.9300000000000015</c:v>
                </c:pt>
                <c:pt idx="53">
                  <c:v>4.7300000000000004</c:v>
                </c:pt>
                <c:pt idx="54">
                  <c:v>4.58</c:v>
                </c:pt>
                <c:pt idx="55">
                  <c:v>4.33</c:v>
                </c:pt>
                <c:pt idx="56">
                  <c:v>4.55</c:v>
                </c:pt>
                <c:pt idx="57">
                  <c:v>4.34</c:v>
                </c:pt>
                <c:pt idx="58">
                  <c:v>4.58</c:v>
                </c:pt>
                <c:pt idx="59">
                  <c:v>4.8099999999999996</c:v>
                </c:pt>
              </c:numCache>
            </c:numRef>
          </c:val>
          <c:smooth val="0"/>
        </c:ser>
        <c:ser>
          <c:idx val="1"/>
          <c:order val="1"/>
          <c:tx>
            <c:strRef>
              <c:f>Lapa1!$L$4</c:f>
              <c:strCache>
                <c:ptCount val="1"/>
                <c:pt idx="0">
                  <c:v>EUR</c:v>
                </c:pt>
              </c:strCache>
            </c:strRef>
          </c:tx>
          <c:spPr>
            <a:ln>
              <a:prstDash val="sysDash"/>
            </a:ln>
          </c:spPr>
          <c:marker>
            <c:symbol val="none"/>
          </c:marker>
          <c:cat>
            <c:multiLvlStrRef>
              <c:f>Lapa1!$A$5:$B$64</c:f>
              <c:multiLvlStrCache>
                <c:ptCount val="6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lvl>
                <c:lvl>
                  <c:pt idx="0">
                    <c:v>2008</c:v>
                  </c:pt>
                  <c:pt idx="12">
                    <c:v>2009</c:v>
                  </c:pt>
                  <c:pt idx="24">
                    <c:v>2010</c:v>
                  </c:pt>
                  <c:pt idx="36">
                    <c:v>2011</c:v>
                  </c:pt>
                  <c:pt idx="48">
                    <c:v>2012</c:v>
                  </c:pt>
                </c:lvl>
              </c:multiLvlStrCache>
            </c:multiLvlStrRef>
          </c:cat>
          <c:val>
            <c:numRef>
              <c:f>Lapa1!$L$5:$L$64</c:f>
              <c:numCache>
                <c:formatCode>General</c:formatCode>
                <c:ptCount val="60"/>
                <c:pt idx="0">
                  <c:v>7.9700000000000015</c:v>
                </c:pt>
                <c:pt idx="1">
                  <c:v>7.6599999999999984</c:v>
                </c:pt>
                <c:pt idx="2">
                  <c:v>8.0500000000000007</c:v>
                </c:pt>
                <c:pt idx="3">
                  <c:v>8.2100000000000009</c:v>
                </c:pt>
                <c:pt idx="4">
                  <c:v>8.17</c:v>
                </c:pt>
                <c:pt idx="5">
                  <c:v>8.19</c:v>
                </c:pt>
                <c:pt idx="6">
                  <c:v>9.0300000000000011</c:v>
                </c:pt>
                <c:pt idx="7">
                  <c:v>8.7200000000000024</c:v>
                </c:pt>
                <c:pt idx="8">
                  <c:v>9.2200000000000024</c:v>
                </c:pt>
                <c:pt idx="9">
                  <c:v>8.9700000000000006</c:v>
                </c:pt>
                <c:pt idx="10">
                  <c:v>9.11</c:v>
                </c:pt>
                <c:pt idx="11">
                  <c:v>9.3700000000000028</c:v>
                </c:pt>
                <c:pt idx="12">
                  <c:v>8.3000000000000007</c:v>
                </c:pt>
                <c:pt idx="13">
                  <c:v>7.3199999999999985</c:v>
                </c:pt>
                <c:pt idx="14">
                  <c:v>7.03</c:v>
                </c:pt>
                <c:pt idx="15">
                  <c:v>6.8599999999999985</c:v>
                </c:pt>
                <c:pt idx="16">
                  <c:v>7.37</c:v>
                </c:pt>
                <c:pt idx="17">
                  <c:v>6.75</c:v>
                </c:pt>
                <c:pt idx="18">
                  <c:v>6.56</c:v>
                </c:pt>
                <c:pt idx="19">
                  <c:v>6.71</c:v>
                </c:pt>
                <c:pt idx="20">
                  <c:v>7.23</c:v>
                </c:pt>
                <c:pt idx="21">
                  <c:v>6.1099999999999985</c:v>
                </c:pt>
                <c:pt idx="22">
                  <c:v>7.01</c:v>
                </c:pt>
                <c:pt idx="23">
                  <c:v>6.95</c:v>
                </c:pt>
                <c:pt idx="24">
                  <c:v>6.4300000000000015</c:v>
                </c:pt>
                <c:pt idx="25">
                  <c:v>6.26</c:v>
                </c:pt>
                <c:pt idx="26">
                  <c:v>6.6099999999999985</c:v>
                </c:pt>
                <c:pt idx="27">
                  <c:v>6.91</c:v>
                </c:pt>
                <c:pt idx="28">
                  <c:v>5.9</c:v>
                </c:pt>
                <c:pt idx="29">
                  <c:v>7.1199999999999983</c:v>
                </c:pt>
                <c:pt idx="30">
                  <c:v>6.59</c:v>
                </c:pt>
                <c:pt idx="31">
                  <c:v>6.83</c:v>
                </c:pt>
                <c:pt idx="32">
                  <c:v>6.2700000000000014</c:v>
                </c:pt>
                <c:pt idx="33">
                  <c:v>5.98</c:v>
                </c:pt>
                <c:pt idx="34">
                  <c:v>6.07</c:v>
                </c:pt>
                <c:pt idx="35">
                  <c:v>5.7</c:v>
                </c:pt>
                <c:pt idx="36">
                  <c:v>5.6</c:v>
                </c:pt>
                <c:pt idx="37">
                  <c:v>6.22</c:v>
                </c:pt>
                <c:pt idx="38">
                  <c:v>5.89</c:v>
                </c:pt>
                <c:pt idx="39">
                  <c:v>6.49</c:v>
                </c:pt>
                <c:pt idx="40">
                  <c:v>5.9</c:v>
                </c:pt>
                <c:pt idx="41">
                  <c:v>6</c:v>
                </c:pt>
                <c:pt idx="42">
                  <c:v>5.95</c:v>
                </c:pt>
                <c:pt idx="43">
                  <c:v>5.95</c:v>
                </c:pt>
                <c:pt idx="44">
                  <c:v>5.26</c:v>
                </c:pt>
                <c:pt idx="45">
                  <c:v>5.4</c:v>
                </c:pt>
                <c:pt idx="46">
                  <c:v>5.53</c:v>
                </c:pt>
                <c:pt idx="47">
                  <c:v>5.53</c:v>
                </c:pt>
                <c:pt idx="48">
                  <c:v>4.7</c:v>
                </c:pt>
                <c:pt idx="49">
                  <c:v>5.08</c:v>
                </c:pt>
                <c:pt idx="50">
                  <c:v>4.8899999999999997</c:v>
                </c:pt>
                <c:pt idx="51">
                  <c:v>4.6599999999999984</c:v>
                </c:pt>
                <c:pt idx="52">
                  <c:v>4.1399999999999997</c:v>
                </c:pt>
                <c:pt idx="53">
                  <c:v>4.5199999999999996</c:v>
                </c:pt>
                <c:pt idx="54">
                  <c:v>4.79</c:v>
                </c:pt>
                <c:pt idx="55">
                  <c:v>4.2</c:v>
                </c:pt>
                <c:pt idx="56">
                  <c:v>3.61</c:v>
                </c:pt>
                <c:pt idx="57">
                  <c:v>3.9699999999999998</c:v>
                </c:pt>
                <c:pt idx="58">
                  <c:v>3.9299999999999997</c:v>
                </c:pt>
                <c:pt idx="59">
                  <c:v>3.96</c:v>
                </c:pt>
              </c:numCache>
            </c:numRef>
          </c:val>
          <c:smooth val="0"/>
        </c:ser>
        <c:ser>
          <c:idx val="2"/>
          <c:order val="2"/>
          <c:tx>
            <c:strRef>
              <c:f>Lapa1!$M$4</c:f>
              <c:strCache>
                <c:ptCount val="1"/>
                <c:pt idx="0">
                  <c:v>USD</c:v>
                </c:pt>
              </c:strCache>
            </c:strRef>
          </c:tx>
          <c:spPr>
            <a:ln>
              <a:solidFill>
                <a:srgbClr val="00B050"/>
              </a:solidFill>
            </a:ln>
          </c:spPr>
          <c:marker>
            <c:symbol val="none"/>
          </c:marker>
          <c:cat>
            <c:multiLvlStrRef>
              <c:f>Lapa1!$A$5:$B$64</c:f>
              <c:multiLvlStrCache>
                <c:ptCount val="6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lvl>
                <c:lvl>
                  <c:pt idx="0">
                    <c:v>2008</c:v>
                  </c:pt>
                  <c:pt idx="12">
                    <c:v>2009</c:v>
                  </c:pt>
                  <c:pt idx="24">
                    <c:v>2010</c:v>
                  </c:pt>
                  <c:pt idx="36">
                    <c:v>2011</c:v>
                  </c:pt>
                  <c:pt idx="48">
                    <c:v>2012</c:v>
                  </c:pt>
                </c:lvl>
              </c:multiLvlStrCache>
            </c:multiLvlStrRef>
          </c:cat>
          <c:val>
            <c:numRef>
              <c:f>Lapa1!$M$5:$M$64</c:f>
              <c:numCache>
                <c:formatCode>General</c:formatCode>
                <c:ptCount val="60"/>
                <c:pt idx="0">
                  <c:v>6.54</c:v>
                </c:pt>
                <c:pt idx="1">
                  <c:v>6.4300000000000015</c:v>
                </c:pt>
                <c:pt idx="2">
                  <c:v>5.74</c:v>
                </c:pt>
                <c:pt idx="3">
                  <c:v>5.3199999999999985</c:v>
                </c:pt>
                <c:pt idx="4">
                  <c:v>5.94</c:v>
                </c:pt>
                <c:pt idx="5">
                  <c:v>4.76</c:v>
                </c:pt>
                <c:pt idx="6">
                  <c:v>4.9000000000000004</c:v>
                </c:pt>
                <c:pt idx="7">
                  <c:v>5.72</c:v>
                </c:pt>
                <c:pt idx="8">
                  <c:v>8.07</c:v>
                </c:pt>
                <c:pt idx="9">
                  <c:v>8.8500000000000032</c:v>
                </c:pt>
                <c:pt idx="10">
                  <c:v>9.16</c:v>
                </c:pt>
                <c:pt idx="11">
                  <c:v>8.9700000000000006</c:v>
                </c:pt>
                <c:pt idx="12">
                  <c:v>17.52</c:v>
                </c:pt>
                <c:pt idx="13">
                  <c:v>6.34</c:v>
                </c:pt>
                <c:pt idx="14">
                  <c:v>13.860000000000003</c:v>
                </c:pt>
                <c:pt idx="16">
                  <c:v>11.350000000000003</c:v>
                </c:pt>
                <c:pt idx="17">
                  <c:v>10.28</c:v>
                </c:pt>
                <c:pt idx="18">
                  <c:v>11.21</c:v>
                </c:pt>
                <c:pt idx="19">
                  <c:v>8.75</c:v>
                </c:pt>
                <c:pt idx="20">
                  <c:v>9.18</c:v>
                </c:pt>
                <c:pt idx="21">
                  <c:v>7.99</c:v>
                </c:pt>
                <c:pt idx="22">
                  <c:v>6.63</c:v>
                </c:pt>
                <c:pt idx="23">
                  <c:v>3.84</c:v>
                </c:pt>
                <c:pt idx="24">
                  <c:v>3.73</c:v>
                </c:pt>
                <c:pt idx="25">
                  <c:v>5.35</c:v>
                </c:pt>
                <c:pt idx="26">
                  <c:v>6.56</c:v>
                </c:pt>
                <c:pt idx="27">
                  <c:v>6.4700000000000015</c:v>
                </c:pt>
                <c:pt idx="28">
                  <c:v>4.6099999999999985</c:v>
                </c:pt>
                <c:pt idx="29">
                  <c:v>8.41</c:v>
                </c:pt>
                <c:pt idx="34">
                  <c:v>6.8</c:v>
                </c:pt>
                <c:pt idx="35">
                  <c:v>7.1599999999999984</c:v>
                </c:pt>
                <c:pt idx="36">
                  <c:v>11.77</c:v>
                </c:pt>
                <c:pt idx="37">
                  <c:v>5.94</c:v>
                </c:pt>
                <c:pt idx="38">
                  <c:v>5.13</c:v>
                </c:pt>
                <c:pt idx="39">
                  <c:v>4.7</c:v>
                </c:pt>
                <c:pt idx="44">
                  <c:v>6.9700000000000015</c:v>
                </c:pt>
                <c:pt idx="47">
                  <c:v>9.01</c:v>
                </c:pt>
                <c:pt idx="49">
                  <c:v>5.88</c:v>
                </c:pt>
                <c:pt idx="50">
                  <c:v>4.95</c:v>
                </c:pt>
                <c:pt idx="52">
                  <c:v>2</c:v>
                </c:pt>
                <c:pt idx="53">
                  <c:v>3.04</c:v>
                </c:pt>
                <c:pt idx="55">
                  <c:v>5.3599999999999985</c:v>
                </c:pt>
              </c:numCache>
            </c:numRef>
          </c:val>
          <c:smooth val="0"/>
        </c:ser>
        <c:dLbls>
          <c:showLegendKey val="0"/>
          <c:showVal val="0"/>
          <c:showCatName val="0"/>
          <c:showSerName val="0"/>
          <c:showPercent val="0"/>
          <c:showBubbleSize val="0"/>
        </c:dLbls>
        <c:smooth val="0"/>
        <c:axId val="247477464"/>
        <c:axId val="247477856"/>
      </c:lineChart>
      <c:catAx>
        <c:axId val="247477464"/>
        <c:scaling>
          <c:orientation val="minMax"/>
        </c:scaling>
        <c:delete val="0"/>
        <c:axPos val="b"/>
        <c:numFmt formatCode="General" sourceLinked="1"/>
        <c:majorTickMark val="out"/>
        <c:minorTickMark val="none"/>
        <c:tickLblPos val="nextTo"/>
        <c:crossAx val="247477856"/>
        <c:crosses val="autoZero"/>
        <c:auto val="1"/>
        <c:lblAlgn val="ctr"/>
        <c:lblOffset val="100"/>
        <c:noMultiLvlLbl val="0"/>
      </c:catAx>
      <c:valAx>
        <c:axId val="247477856"/>
        <c:scaling>
          <c:orientation val="minMax"/>
        </c:scaling>
        <c:delete val="0"/>
        <c:axPos val="l"/>
        <c:majorGridlines/>
        <c:numFmt formatCode="General" sourceLinked="1"/>
        <c:majorTickMark val="out"/>
        <c:minorTickMark val="none"/>
        <c:tickLblPos val="nextTo"/>
        <c:crossAx val="247477464"/>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Lapa1!$O$4</c:f>
              <c:strCache>
                <c:ptCount val="1"/>
                <c:pt idx="0">
                  <c:v>Kopā</c:v>
                </c:pt>
              </c:strCache>
            </c:strRef>
          </c:tx>
          <c:marker>
            <c:symbol val="none"/>
          </c:marker>
          <c:cat>
            <c:multiLvlStrRef>
              <c:f>Lapa1!$A$5:$B$64</c:f>
              <c:multiLvlStrCache>
                <c:ptCount val="6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lvl>
                <c:lvl>
                  <c:pt idx="0">
                    <c:v>2008</c:v>
                  </c:pt>
                  <c:pt idx="12">
                    <c:v>2009</c:v>
                  </c:pt>
                  <c:pt idx="24">
                    <c:v>2010</c:v>
                  </c:pt>
                  <c:pt idx="36">
                    <c:v>2011</c:v>
                  </c:pt>
                  <c:pt idx="48">
                    <c:v>2012</c:v>
                  </c:pt>
                </c:lvl>
              </c:multiLvlStrCache>
            </c:multiLvlStrRef>
          </c:cat>
          <c:val>
            <c:numRef>
              <c:f>Lapa1!$O$5:$O$64</c:f>
              <c:numCache>
                <c:formatCode>0.0</c:formatCode>
                <c:ptCount val="60"/>
                <c:pt idx="0">
                  <c:v>6075.6</c:v>
                </c:pt>
                <c:pt idx="1">
                  <c:v>6158.5</c:v>
                </c:pt>
                <c:pt idx="2">
                  <c:v>6204.9</c:v>
                </c:pt>
                <c:pt idx="3">
                  <c:v>6290.8</c:v>
                </c:pt>
                <c:pt idx="4">
                  <c:v>6418.9</c:v>
                </c:pt>
                <c:pt idx="5">
                  <c:v>6580.7</c:v>
                </c:pt>
                <c:pt idx="6">
                  <c:v>6650.3</c:v>
                </c:pt>
                <c:pt idx="7">
                  <c:v>6769.8</c:v>
                </c:pt>
                <c:pt idx="8">
                  <c:v>6861.4</c:v>
                </c:pt>
                <c:pt idx="9">
                  <c:v>6907.9</c:v>
                </c:pt>
                <c:pt idx="10">
                  <c:v>6902.1</c:v>
                </c:pt>
                <c:pt idx="11">
                  <c:v>6896.8</c:v>
                </c:pt>
                <c:pt idx="12">
                  <c:v>6913.8</c:v>
                </c:pt>
                <c:pt idx="13">
                  <c:v>6892.8</c:v>
                </c:pt>
                <c:pt idx="14">
                  <c:v>6841</c:v>
                </c:pt>
                <c:pt idx="15">
                  <c:v>6788.7</c:v>
                </c:pt>
                <c:pt idx="16">
                  <c:v>6784.1</c:v>
                </c:pt>
                <c:pt idx="17">
                  <c:v>6760.1</c:v>
                </c:pt>
                <c:pt idx="18">
                  <c:v>6713.5</c:v>
                </c:pt>
                <c:pt idx="19">
                  <c:v>6650.1</c:v>
                </c:pt>
                <c:pt idx="20">
                  <c:v>6600.1</c:v>
                </c:pt>
                <c:pt idx="21">
                  <c:v>6566.5</c:v>
                </c:pt>
                <c:pt idx="22">
                  <c:v>6510.3</c:v>
                </c:pt>
                <c:pt idx="23">
                  <c:v>6406</c:v>
                </c:pt>
                <c:pt idx="24">
                  <c:v>6377.8</c:v>
                </c:pt>
                <c:pt idx="25">
                  <c:v>6353.4</c:v>
                </c:pt>
                <c:pt idx="26">
                  <c:v>6299</c:v>
                </c:pt>
                <c:pt idx="27">
                  <c:v>6257.1</c:v>
                </c:pt>
                <c:pt idx="28">
                  <c:v>6246.9</c:v>
                </c:pt>
                <c:pt idx="29">
                  <c:v>6178.2</c:v>
                </c:pt>
                <c:pt idx="30">
                  <c:v>6110.9</c:v>
                </c:pt>
                <c:pt idx="31">
                  <c:v>6129</c:v>
                </c:pt>
                <c:pt idx="32">
                  <c:v>6092.7</c:v>
                </c:pt>
                <c:pt idx="33">
                  <c:v>6004.2</c:v>
                </c:pt>
                <c:pt idx="34">
                  <c:v>5945.5</c:v>
                </c:pt>
                <c:pt idx="35">
                  <c:v>5772.3</c:v>
                </c:pt>
                <c:pt idx="36">
                  <c:v>5761.1</c:v>
                </c:pt>
                <c:pt idx="37">
                  <c:v>5687.8</c:v>
                </c:pt>
                <c:pt idx="38">
                  <c:v>5612</c:v>
                </c:pt>
                <c:pt idx="39">
                  <c:v>5572.4</c:v>
                </c:pt>
                <c:pt idx="40">
                  <c:v>5570</c:v>
                </c:pt>
                <c:pt idx="41">
                  <c:v>5507.8</c:v>
                </c:pt>
                <c:pt idx="42">
                  <c:v>5543.7</c:v>
                </c:pt>
                <c:pt idx="43">
                  <c:v>5551.3</c:v>
                </c:pt>
                <c:pt idx="44">
                  <c:v>5550.5</c:v>
                </c:pt>
                <c:pt idx="45">
                  <c:v>5552.9</c:v>
                </c:pt>
                <c:pt idx="46">
                  <c:v>5535.9</c:v>
                </c:pt>
                <c:pt idx="47">
                  <c:v>5333.6</c:v>
                </c:pt>
                <c:pt idx="48" formatCode="General">
                  <c:v>5305.3</c:v>
                </c:pt>
                <c:pt idx="49" formatCode="General">
                  <c:v>5280.3</c:v>
                </c:pt>
                <c:pt idx="50">
                  <c:v>4993</c:v>
                </c:pt>
                <c:pt idx="51" formatCode="General">
                  <c:v>4996.1000000000004</c:v>
                </c:pt>
                <c:pt idx="52" formatCode="General">
                  <c:v>4827.7</c:v>
                </c:pt>
                <c:pt idx="53" formatCode="General">
                  <c:v>4826.8</c:v>
                </c:pt>
                <c:pt idx="54" formatCode="General">
                  <c:v>4826.7</c:v>
                </c:pt>
                <c:pt idx="55" formatCode="General">
                  <c:v>4869.2</c:v>
                </c:pt>
                <c:pt idx="56" formatCode="General">
                  <c:v>4884.4000000000005</c:v>
                </c:pt>
                <c:pt idx="57" formatCode="General">
                  <c:v>4906.2</c:v>
                </c:pt>
                <c:pt idx="58" formatCode="General">
                  <c:v>4900.8</c:v>
                </c:pt>
                <c:pt idx="59" formatCode="General">
                  <c:v>4750.8</c:v>
                </c:pt>
              </c:numCache>
            </c:numRef>
          </c:val>
          <c:smooth val="0"/>
        </c:ser>
        <c:ser>
          <c:idx val="1"/>
          <c:order val="1"/>
          <c:tx>
            <c:strRef>
              <c:f>Lapa1!$P$4</c:f>
              <c:strCache>
                <c:ptCount val="1"/>
                <c:pt idx="0">
                  <c:v>LVL</c:v>
                </c:pt>
              </c:strCache>
            </c:strRef>
          </c:tx>
          <c:spPr>
            <a:ln>
              <a:prstDash val="dash"/>
            </a:ln>
          </c:spPr>
          <c:marker>
            <c:symbol val="none"/>
          </c:marker>
          <c:cat>
            <c:multiLvlStrRef>
              <c:f>Lapa1!$A$5:$B$64</c:f>
              <c:multiLvlStrCache>
                <c:ptCount val="6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lvl>
                <c:lvl>
                  <c:pt idx="0">
                    <c:v>2008</c:v>
                  </c:pt>
                  <c:pt idx="12">
                    <c:v>2009</c:v>
                  </c:pt>
                  <c:pt idx="24">
                    <c:v>2010</c:v>
                  </c:pt>
                  <c:pt idx="36">
                    <c:v>2011</c:v>
                  </c:pt>
                  <c:pt idx="48">
                    <c:v>2012</c:v>
                  </c:pt>
                </c:lvl>
              </c:multiLvlStrCache>
            </c:multiLvlStrRef>
          </c:cat>
          <c:val>
            <c:numRef>
              <c:f>Lapa1!$P$5:$P$64</c:f>
              <c:numCache>
                <c:formatCode>0.0</c:formatCode>
                <c:ptCount val="60"/>
                <c:pt idx="0">
                  <c:v>722.5</c:v>
                </c:pt>
                <c:pt idx="1">
                  <c:v>700.4</c:v>
                </c:pt>
                <c:pt idx="2">
                  <c:v>671</c:v>
                </c:pt>
                <c:pt idx="3">
                  <c:v>676.8</c:v>
                </c:pt>
                <c:pt idx="4">
                  <c:v>712.2</c:v>
                </c:pt>
                <c:pt idx="5">
                  <c:v>724.3</c:v>
                </c:pt>
                <c:pt idx="6">
                  <c:v>717.5</c:v>
                </c:pt>
                <c:pt idx="7">
                  <c:v>714.1</c:v>
                </c:pt>
                <c:pt idx="8">
                  <c:v>715.9</c:v>
                </c:pt>
                <c:pt idx="9">
                  <c:v>686.2</c:v>
                </c:pt>
                <c:pt idx="10">
                  <c:v>694.1</c:v>
                </c:pt>
                <c:pt idx="11">
                  <c:v>696.8</c:v>
                </c:pt>
                <c:pt idx="12">
                  <c:v>662</c:v>
                </c:pt>
                <c:pt idx="13">
                  <c:v>639.4</c:v>
                </c:pt>
                <c:pt idx="14">
                  <c:v>607.20000000000005</c:v>
                </c:pt>
                <c:pt idx="15">
                  <c:v>588.6</c:v>
                </c:pt>
                <c:pt idx="16">
                  <c:v>599</c:v>
                </c:pt>
                <c:pt idx="17">
                  <c:v>581.5</c:v>
                </c:pt>
                <c:pt idx="18">
                  <c:v>544.4</c:v>
                </c:pt>
                <c:pt idx="19">
                  <c:v>493.2</c:v>
                </c:pt>
                <c:pt idx="20">
                  <c:v>444.3</c:v>
                </c:pt>
                <c:pt idx="21">
                  <c:v>429.5</c:v>
                </c:pt>
                <c:pt idx="22">
                  <c:v>393</c:v>
                </c:pt>
                <c:pt idx="23">
                  <c:v>364.2</c:v>
                </c:pt>
                <c:pt idx="24">
                  <c:v>362.4</c:v>
                </c:pt>
                <c:pt idx="25">
                  <c:v>356.4</c:v>
                </c:pt>
                <c:pt idx="26">
                  <c:v>354.9</c:v>
                </c:pt>
                <c:pt idx="27">
                  <c:v>347.2</c:v>
                </c:pt>
                <c:pt idx="28">
                  <c:v>384.8</c:v>
                </c:pt>
                <c:pt idx="29">
                  <c:v>362.5</c:v>
                </c:pt>
                <c:pt idx="30">
                  <c:v>350.4</c:v>
                </c:pt>
                <c:pt idx="31">
                  <c:v>344</c:v>
                </c:pt>
                <c:pt idx="32">
                  <c:v>341</c:v>
                </c:pt>
                <c:pt idx="33">
                  <c:v>335.4</c:v>
                </c:pt>
                <c:pt idx="34">
                  <c:v>337.2</c:v>
                </c:pt>
                <c:pt idx="35">
                  <c:v>361.1</c:v>
                </c:pt>
                <c:pt idx="36">
                  <c:v>406.4</c:v>
                </c:pt>
                <c:pt idx="37">
                  <c:v>408.4</c:v>
                </c:pt>
                <c:pt idx="38">
                  <c:v>411.2</c:v>
                </c:pt>
                <c:pt idx="39">
                  <c:v>418.4</c:v>
                </c:pt>
                <c:pt idx="40">
                  <c:v>470.5</c:v>
                </c:pt>
                <c:pt idx="41">
                  <c:v>467.1</c:v>
                </c:pt>
                <c:pt idx="42">
                  <c:v>479.9</c:v>
                </c:pt>
                <c:pt idx="43">
                  <c:v>521.70000000000005</c:v>
                </c:pt>
                <c:pt idx="44">
                  <c:v>546.70000000000005</c:v>
                </c:pt>
                <c:pt idx="45">
                  <c:v>579.20000000000005</c:v>
                </c:pt>
                <c:pt idx="46">
                  <c:v>634</c:v>
                </c:pt>
                <c:pt idx="47">
                  <c:v>608.79999999999995</c:v>
                </c:pt>
                <c:pt idx="48" formatCode="General">
                  <c:v>623.29999999999995</c:v>
                </c:pt>
                <c:pt idx="49" formatCode="General">
                  <c:v>659</c:v>
                </c:pt>
                <c:pt idx="50" formatCode="General">
                  <c:v>629.9</c:v>
                </c:pt>
                <c:pt idx="51" formatCode="General">
                  <c:v>642.79999999999995</c:v>
                </c:pt>
                <c:pt idx="52" formatCode="General">
                  <c:v>674.8</c:v>
                </c:pt>
                <c:pt idx="53" formatCode="General">
                  <c:v>710.3</c:v>
                </c:pt>
                <c:pt idx="54" formatCode="General">
                  <c:v>721</c:v>
                </c:pt>
                <c:pt idx="55" formatCode="General">
                  <c:v>732.2</c:v>
                </c:pt>
                <c:pt idx="56" formatCode="General">
                  <c:v>750</c:v>
                </c:pt>
                <c:pt idx="57" formatCode="General">
                  <c:v>763.5</c:v>
                </c:pt>
                <c:pt idx="58" formatCode="General">
                  <c:v>777</c:v>
                </c:pt>
                <c:pt idx="59" formatCode="General">
                  <c:v>780.3</c:v>
                </c:pt>
              </c:numCache>
            </c:numRef>
          </c:val>
          <c:smooth val="0"/>
        </c:ser>
        <c:dLbls>
          <c:showLegendKey val="0"/>
          <c:showVal val="0"/>
          <c:showCatName val="0"/>
          <c:showSerName val="0"/>
          <c:showPercent val="0"/>
          <c:showBubbleSize val="0"/>
        </c:dLbls>
        <c:smooth val="0"/>
        <c:axId val="247478640"/>
        <c:axId val="247479032"/>
      </c:lineChart>
      <c:catAx>
        <c:axId val="247478640"/>
        <c:scaling>
          <c:orientation val="minMax"/>
        </c:scaling>
        <c:delete val="0"/>
        <c:axPos val="b"/>
        <c:numFmt formatCode="General" sourceLinked="1"/>
        <c:majorTickMark val="out"/>
        <c:minorTickMark val="none"/>
        <c:tickLblPos val="nextTo"/>
        <c:crossAx val="247479032"/>
        <c:crosses val="autoZero"/>
        <c:auto val="1"/>
        <c:lblAlgn val="ctr"/>
        <c:lblOffset val="100"/>
        <c:noMultiLvlLbl val="0"/>
      </c:catAx>
      <c:valAx>
        <c:axId val="247479032"/>
        <c:scaling>
          <c:orientation val="minMax"/>
        </c:scaling>
        <c:delete val="0"/>
        <c:axPos val="l"/>
        <c:majorGridlines/>
        <c:numFmt formatCode="0.0" sourceLinked="1"/>
        <c:majorTickMark val="out"/>
        <c:minorTickMark val="none"/>
        <c:tickLblPos val="nextTo"/>
        <c:crossAx val="247478640"/>
        <c:crosses val="autoZero"/>
        <c:crossBetween val="between"/>
      </c:valAx>
    </c:plotArea>
    <c:legend>
      <c:legendPos val="b"/>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Lapa1!$G$4</c:f>
              <c:strCache>
                <c:ptCount val="1"/>
                <c:pt idx="0">
                  <c:v>LVL</c:v>
                </c:pt>
              </c:strCache>
            </c:strRef>
          </c:tx>
          <c:spPr>
            <a:ln>
              <a:prstDash val="sysDot"/>
            </a:ln>
          </c:spPr>
          <c:marker>
            <c:symbol val="none"/>
          </c:marker>
          <c:cat>
            <c:multiLvlStrRef>
              <c:f>Lapa1!$A$5:$B$64</c:f>
              <c:multiLvlStrCache>
                <c:ptCount val="6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lvl>
                <c:lvl>
                  <c:pt idx="0">
                    <c:v>2008</c:v>
                  </c:pt>
                  <c:pt idx="12">
                    <c:v>2009</c:v>
                  </c:pt>
                  <c:pt idx="24">
                    <c:v>2010</c:v>
                  </c:pt>
                  <c:pt idx="36">
                    <c:v>2011</c:v>
                  </c:pt>
                  <c:pt idx="48">
                    <c:v>2012</c:v>
                  </c:pt>
                </c:lvl>
              </c:multiLvlStrCache>
            </c:multiLvlStrRef>
          </c:cat>
          <c:val>
            <c:numRef>
              <c:f>Lapa1!$G$5:$G$64</c:f>
              <c:numCache>
                <c:formatCode>General</c:formatCode>
                <c:ptCount val="60"/>
                <c:pt idx="0">
                  <c:v>20.170000000000005</c:v>
                </c:pt>
                <c:pt idx="1">
                  <c:v>19.82</c:v>
                </c:pt>
                <c:pt idx="2">
                  <c:v>19.84</c:v>
                </c:pt>
                <c:pt idx="3">
                  <c:v>19.32</c:v>
                </c:pt>
                <c:pt idx="4">
                  <c:v>18.899999999999999</c:v>
                </c:pt>
                <c:pt idx="5">
                  <c:v>19.43</c:v>
                </c:pt>
                <c:pt idx="6">
                  <c:v>19.93</c:v>
                </c:pt>
                <c:pt idx="7">
                  <c:v>18.43</c:v>
                </c:pt>
                <c:pt idx="8">
                  <c:v>19.38</c:v>
                </c:pt>
                <c:pt idx="9">
                  <c:v>19.75</c:v>
                </c:pt>
                <c:pt idx="10">
                  <c:v>19.420000000000002</c:v>
                </c:pt>
                <c:pt idx="11">
                  <c:v>18.059999999999999</c:v>
                </c:pt>
                <c:pt idx="12">
                  <c:v>22.35</c:v>
                </c:pt>
                <c:pt idx="13">
                  <c:v>21.7</c:v>
                </c:pt>
                <c:pt idx="14">
                  <c:v>22.45</c:v>
                </c:pt>
                <c:pt idx="15">
                  <c:v>22.56</c:v>
                </c:pt>
                <c:pt idx="16">
                  <c:v>21.67</c:v>
                </c:pt>
                <c:pt idx="17">
                  <c:v>22.650000000000006</c:v>
                </c:pt>
                <c:pt idx="18">
                  <c:v>23.459999999999994</c:v>
                </c:pt>
                <c:pt idx="19">
                  <c:v>23.74</c:v>
                </c:pt>
                <c:pt idx="20">
                  <c:v>23.3</c:v>
                </c:pt>
                <c:pt idx="21">
                  <c:v>23.24</c:v>
                </c:pt>
                <c:pt idx="22">
                  <c:v>19.899999999999999</c:v>
                </c:pt>
                <c:pt idx="23">
                  <c:v>16.959999999999994</c:v>
                </c:pt>
                <c:pt idx="24">
                  <c:v>21.69</c:v>
                </c:pt>
                <c:pt idx="25">
                  <c:v>20.779999999999994</c:v>
                </c:pt>
                <c:pt idx="26">
                  <c:v>22.22</c:v>
                </c:pt>
                <c:pt idx="27">
                  <c:v>22.19</c:v>
                </c:pt>
                <c:pt idx="28">
                  <c:v>22.23</c:v>
                </c:pt>
                <c:pt idx="29">
                  <c:v>19.979999999999993</c:v>
                </c:pt>
                <c:pt idx="30">
                  <c:v>19.52</c:v>
                </c:pt>
                <c:pt idx="31">
                  <c:v>19.420000000000002</c:v>
                </c:pt>
                <c:pt idx="32">
                  <c:v>19.329999999999991</c:v>
                </c:pt>
                <c:pt idx="33">
                  <c:v>23.1</c:v>
                </c:pt>
                <c:pt idx="34">
                  <c:v>22.1</c:v>
                </c:pt>
                <c:pt idx="35">
                  <c:v>21.59</c:v>
                </c:pt>
                <c:pt idx="36">
                  <c:v>22.4</c:v>
                </c:pt>
                <c:pt idx="37">
                  <c:v>22.919999999999995</c:v>
                </c:pt>
                <c:pt idx="38">
                  <c:v>24.38</c:v>
                </c:pt>
                <c:pt idx="39">
                  <c:v>22.38</c:v>
                </c:pt>
                <c:pt idx="40">
                  <c:v>22.25</c:v>
                </c:pt>
                <c:pt idx="41">
                  <c:v>21.87</c:v>
                </c:pt>
                <c:pt idx="42">
                  <c:v>20.67</c:v>
                </c:pt>
                <c:pt idx="43">
                  <c:v>22.01</c:v>
                </c:pt>
                <c:pt idx="44">
                  <c:v>21.69</c:v>
                </c:pt>
                <c:pt idx="45">
                  <c:v>21.979999999999993</c:v>
                </c:pt>
                <c:pt idx="46">
                  <c:v>22.27</c:v>
                </c:pt>
                <c:pt idx="47">
                  <c:v>22.01</c:v>
                </c:pt>
                <c:pt idx="48">
                  <c:v>22.68</c:v>
                </c:pt>
                <c:pt idx="49">
                  <c:v>22.54</c:v>
                </c:pt>
                <c:pt idx="50">
                  <c:v>21.610000000000007</c:v>
                </c:pt>
                <c:pt idx="51">
                  <c:v>22.52</c:v>
                </c:pt>
                <c:pt idx="52">
                  <c:v>22.01</c:v>
                </c:pt>
                <c:pt idx="53">
                  <c:v>22.29</c:v>
                </c:pt>
                <c:pt idx="54">
                  <c:v>22.16</c:v>
                </c:pt>
                <c:pt idx="55">
                  <c:v>21.919999999999995</c:v>
                </c:pt>
                <c:pt idx="56">
                  <c:v>22.06</c:v>
                </c:pt>
                <c:pt idx="57">
                  <c:v>21.84</c:v>
                </c:pt>
                <c:pt idx="58">
                  <c:v>21.310000000000006</c:v>
                </c:pt>
                <c:pt idx="59">
                  <c:v>22.05</c:v>
                </c:pt>
              </c:numCache>
            </c:numRef>
          </c:val>
          <c:smooth val="0"/>
        </c:ser>
        <c:ser>
          <c:idx val="1"/>
          <c:order val="1"/>
          <c:tx>
            <c:strRef>
              <c:f>Lapa1!$H$4</c:f>
              <c:strCache>
                <c:ptCount val="1"/>
                <c:pt idx="0">
                  <c:v>EUR</c:v>
                </c:pt>
              </c:strCache>
            </c:strRef>
          </c:tx>
          <c:spPr>
            <a:ln>
              <a:prstDash val="sysDash"/>
            </a:ln>
          </c:spPr>
          <c:marker>
            <c:symbol val="none"/>
          </c:marker>
          <c:cat>
            <c:multiLvlStrRef>
              <c:f>Lapa1!$A$5:$B$64</c:f>
              <c:multiLvlStrCache>
                <c:ptCount val="6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lvl>
                <c:lvl>
                  <c:pt idx="0">
                    <c:v>2008</c:v>
                  </c:pt>
                  <c:pt idx="12">
                    <c:v>2009</c:v>
                  </c:pt>
                  <c:pt idx="24">
                    <c:v>2010</c:v>
                  </c:pt>
                  <c:pt idx="36">
                    <c:v>2011</c:v>
                  </c:pt>
                  <c:pt idx="48">
                    <c:v>2012</c:v>
                  </c:pt>
                </c:lvl>
              </c:multiLvlStrCache>
            </c:multiLvlStrRef>
          </c:cat>
          <c:val>
            <c:numRef>
              <c:f>Lapa1!$H$5:$H$64</c:f>
              <c:numCache>
                <c:formatCode>General</c:formatCode>
                <c:ptCount val="60"/>
                <c:pt idx="0">
                  <c:v>7.7</c:v>
                </c:pt>
                <c:pt idx="1">
                  <c:v>7.6899999999999995</c:v>
                </c:pt>
                <c:pt idx="2">
                  <c:v>8.0500000000000007</c:v>
                </c:pt>
                <c:pt idx="3">
                  <c:v>8.3500000000000032</c:v>
                </c:pt>
                <c:pt idx="4">
                  <c:v>8.64</c:v>
                </c:pt>
                <c:pt idx="5">
                  <c:v>8.75</c:v>
                </c:pt>
                <c:pt idx="6">
                  <c:v>8.67</c:v>
                </c:pt>
                <c:pt idx="7">
                  <c:v>8.69</c:v>
                </c:pt>
                <c:pt idx="8">
                  <c:v>9.5500000000000007</c:v>
                </c:pt>
                <c:pt idx="9">
                  <c:v>9.66</c:v>
                </c:pt>
                <c:pt idx="10">
                  <c:v>10.48</c:v>
                </c:pt>
                <c:pt idx="11">
                  <c:v>12.84</c:v>
                </c:pt>
                <c:pt idx="12">
                  <c:v>14.33</c:v>
                </c:pt>
                <c:pt idx="13">
                  <c:v>14.18</c:v>
                </c:pt>
                <c:pt idx="14">
                  <c:v>22.87</c:v>
                </c:pt>
                <c:pt idx="15">
                  <c:v>22.54</c:v>
                </c:pt>
                <c:pt idx="16">
                  <c:v>17.66</c:v>
                </c:pt>
                <c:pt idx="17">
                  <c:v>24.79</c:v>
                </c:pt>
                <c:pt idx="18">
                  <c:v>24.23</c:v>
                </c:pt>
                <c:pt idx="19">
                  <c:v>24.34</c:v>
                </c:pt>
                <c:pt idx="20">
                  <c:v>22.939999999999994</c:v>
                </c:pt>
                <c:pt idx="21">
                  <c:v>23.23</c:v>
                </c:pt>
                <c:pt idx="22">
                  <c:v>23.32</c:v>
                </c:pt>
                <c:pt idx="23">
                  <c:v>13.25</c:v>
                </c:pt>
                <c:pt idx="24">
                  <c:v>23.47</c:v>
                </c:pt>
                <c:pt idx="25">
                  <c:v>19.14</c:v>
                </c:pt>
                <c:pt idx="26">
                  <c:v>23.43</c:v>
                </c:pt>
                <c:pt idx="27">
                  <c:v>21.32</c:v>
                </c:pt>
                <c:pt idx="28">
                  <c:v>22.3</c:v>
                </c:pt>
                <c:pt idx="29">
                  <c:v>25.37</c:v>
                </c:pt>
                <c:pt idx="30">
                  <c:v>24.150000000000006</c:v>
                </c:pt>
                <c:pt idx="31">
                  <c:v>28.84</c:v>
                </c:pt>
                <c:pt idx="32">
                  <c:v>25.439999999999994</c:v>
                </c:pt>
                <c:pt idx="33">
                  <c:v>17.579999999999991</c:v>
                </c:pt>
                <c:pt idx="34">
                  <c:v>16.05</c:v>
                </c:pt>
                <c:pt idx="35">
                  <c:v>18.89</c:v>
                </c:pt>
                <c:pt idx="36">
                  <c:v>15.33</c:v>
                </c:pt>
                <c:pt idx="37">
                  <c:v>18.87</c:v>
                </c:pt>
                <c:pt idx="38">
                  <c:v>19.170000000000005</c:v>
                </c:pt>
                <c:pt idx="39">
                  <c:v>16.04</c:v>
                </c:pt>
                <c:pt idx="40">
                  <c:v>20.84</c:v>
                </c:pt>
                <c:pt idx="41">
                  <c:v>16.14</c:v>
                </c:pt>
                <c:pt idx="42">
                  <c:v>17.899999999999999</c:v>
                </c:pt>
                <c:pt idx="43">
                  <c:v>19.939999999999994</c:v>
                </c:pt>
                <c:pt idx="44">
                  <c:v>16.2</c:v>
                </c:pt>
                <c:pt idx="45">
                  <c:v>15.58</c:v>
                </c:pt>
                <c:pt idx="46">
                  <c:v>17.510000000000005</c:v>
                </c:pt>
                <c:pt idx="47">
                  <c:v>21.14</c:v>
                </c:pt>
                <c:pt idx="48">
                  <c:v>16.479999999999993</c:v>
                </c:pt>
                <c:pt idx="49">
                  <c:v>18.32</c:v>
                </c:pt>
                <c:pt idx="50">
                  <c:v>18.66</c:v>
                </c:pt>
                <c:pt idx="51">
                  <c:v>18.5</c:v>
                </c:pt>
                <c:pt idx="52">
                  <c:v>19.77</c:v>
                </c:pt>
                <c:pt idx="53">
                  <c:v>18.939999999999994</c:v>
                </c:pt>
                <c:pt idx="54">
                  <c:v>18.260000000000002</c:v>
                </c:pt>
                <c:pt idx="55">
                  <c:v>18.920000000000002</c:v>
                </c:pt>
                <c:pt idx="56">
                  <c:v>17.84</c:v>
                </c:pt>
                <c:pt idx="57">
                  <c:v>17.779999999999994</c:v>
                </c:pt>
                <c:pt idx="58">
                  <c:v>18.649999999999999</c:v>
                </c:pt>
                <c:pt idx="59">
                  <c:v>18.3</c:v>
                </c:pt>
              </c:numCache>
            </c:numRef>
          </c:val>
          <c:smooth val="0"/>
        </c:ser>
        <c:ser>
          <c:idx val="2"/>
          <c:order val="2"/>
          <c:tx>
            <c:strRef>
              <c:f>Lapa1!$I$4</c:f>
              <c:strCache>
                <c:ptCount val="1"/>
                <c:pt idx="0">
                  <c:v>USD</c:v>
                </c:pt>
              </c:strCache>
            </c:strRef>
          </c:tx>
          <c:spPr>
            <a:ln>
              <a:solidFill>
                <a:srgbClr val="00B050"/>
              </a:solidFill>
            </a:ln>
          </c:spPr>
          <c:marker>
            <c:symbol val="none"/>
          </c:marker>
          <c:cat>
            <c:multiLvlStrRef>
              <c:f>Lapa1!$A$5:$B$64</c:f>
              <c:multiLvlStrCache>
                <c:ptCount val="6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lvl>
                <c:lvl>
                  <c:pt idx="0">
                    <c:v>2008</c:v>
                  </c:pt>
                  <c:pt idx="12">
                    <c:v>2009</c:v>
                  </c:pt>
                  <c:pt idx="24">
                    <c:v>2010</c:v>
                  </c:pt>
                  <c:pt idx="36">
                    <c:v>2011</c:v>
                  </c:pt>
                  <c:pt idx="48">
                    <c:v>2012</c:v>
                  </c:pt>
                </c:lvl>
              </c:multiLvlStrCache>
            </c:multiLvlStrRef>
          </c:cat>
          <c:val>
            <c:numRef>
              <c:f>Lapa1!$I$5:$I$64</c:f>
              <c:numCache>
                <c:formatCode>General</c:formatCode>
                <c:ptCount val="60"/>
                <c:pt idx="0">
                  <c:v>18.41</c:v>
                </c:pt>
                <c:pt idx="1">
                  <c:v>14.38</c:v>
                </c:pt>
                <c:pt idx="2">
                  <c:v>11.62</c:v>
                </c:pt>
                <c:pt idx="3">
                  <c:v>10.01</c:v>
                </c:pt>
                <c:pt idx="4">
                  <c:v>8.84</c:v>
                </c:pt>
                <c:pt idx="5">
                  <c:v>12.96</c:v>
                </c:pt>
                <c:pt idx="6">
                  <c:v>12.64</c:v>
                </c:pt>
                <c:pt idx="7">
                  <c:v>10.31</c:v>
                </c:pt>
                <c:pt idx="8">
                  <c:v>12.83</c:v>
                </c:pt>
                <c:pt idx="9">
                  <c:v>14.19</c:v>
                </c:pt>
                <c:pt idx="10">
                  <c:v>17.95</c:v>
                </c:pt>
                <c:pt idx="11">
                  <c:v>17.010000000000005</c:v>
                </c:pt>
                <c:pt idx="12">
                  <c:v>21.18</c:v>
                </c:pt>
                <c:pt idx="13">
                  <c:v>19.43</c:v>
                </c:pt>
                <c:pt idx="14">
                  <c:v>16.260000000000002</c:v>
                </c:pt>
                <c:pt idx="15">
                  <c:v>22.06</c:v>
                </c:pt>
                <c:pt idx="16">
                  <c:v>22.02</c:v>
                </c:pt>
                <c:pt idx="17">
                  <c:v>19.27</c:v>
                </c:pt>
                <c:pt idx="18">
                  <c:v>15.31</c:v>
                </c:pt>
                <c:pt idx="19">
                  <c:v>16.489999999999984</c:v>
                </c:pt>
                <c:pt idx="20">
                  <c:v>13.43</c:v>
                </c:pt>
                <c:pt idx="21">
                  <c:v>22.630000000000006</c:v>
                </c:pt>
                <c:pt idx="22">
                  <c:v>20.88</c:v>
                </c:pt>
                <c:pt idx="23">
                  <c:v>19.399999999999999</c:v>
                </c:pt>
                <c:pt idx="24">
                  <c:v>22.01</c:v>
                </c:pt>
                <c:pt idx="25">
                  <c:v>22.610000000000007</c:v>
                </c:pt>
                <c:pt idx="26">
                  <c:v>20.02</c:v>
                </c:pt>
                <c:pt idx="27">
                  <c:v>22.259999999999994</c:v>
                </c:pt>
                <c:pt idx="28">
                  <c:v>22.12</c:v>
                </c:pt>
                <c:pt idx="29">
                  <c:v>15.02</c:v>
                </c:pt>
                <c:pt idx="30">
                  <c:v>15.77</c:v>
                </c:pt>
                <c:pt idx="31">
                  <c:v>23.830000000000005</c:v>
                </c:pt>
                <c:pt idx="32">
                  <c:v>29.88</c:v>
                </c:pt>
                <c:pt idx="33">
                  <c:v>25.19</c:v>
                </c:pt>
                <c:pt idx="34">
                  <c:v>25.64</c:v>
                </c:pt>
                <c:pt idx="35">
                  <c:v>16.100000000000001</c:v>
                </c:pt>
                <c:pt idx="36">
                  <c:v>19.32</c:v>
                </c:pt>
                <c:pt idx="37">
                  <c:v>14.08</c:v>
                </c:pt>
                <c:pt idx="38">
                  <c:v>20.779999999999994</c:v>
                </c:pt>
                <c:pt idx="39">
                  <c:v>17.25</c:v>
                </c:pt>
                <c:pt idx="40">
                  <c:v>18.309999999999999</c:v>
                </c:pt>
                <c:pt idx="41">
                  <c:v>20.3</c:v>
                </c:pt>
                <c:pt idx="42">
                  <c:v>18.71</c:v>
                </c:pt>
                <c:pt idx="43">
                  <c:v>20.3</c:v>
                </c:pt>
                <c:pt idx="44">
                  <c:v>17.36</c:v>
                </c:pt>
                <c:pt idx="45">
                  <c:v>17.600000000000001</c:v>
                </c:pt>
                <c:pt idx="46">
                  <c:v>15.66</c:v>
                </c:pt>
                <c:pt idx="47">
                  <c:v>20.86</c:v>
                </c:pt>
                <c:pt idx="48">
                  <c:v>16.73</c:v>
                </c:pt>
                <c:pt idx="49">
                  <c:v>20.91</c:v>
                </c:pt>
                <c:pt idx="50">
                  <c:v>14.31</c:v>
                </c:pt>
                <c:pt idx="51">
                  <c:v>18.34</c:v>
                </c:pt>
                <c:pt idx="52">
                  <c:v>14.33</c:v>
                </c:pt>
                <c:pt idx="53">
                  <c:v>17.84</c:v>
                </c:pt>
                <c:pt idx="54">
                  <c:v>20.68</c:v>
                </c:pt>
                <c:pt idx="55">
                  <c:v>12.25</c:v>
                </c:pt>
                <c:pt idx="56">
                  <c:v>18.630000000000006</c:v>
                </c:pt>
                <c:pt idx="57">
                  <c:v>18.25</c:v>
                </c:pt>
                <c:pt idx="58">
                  <c:v>15</c:v>
                </c:pt>
                <c:pt idx="59">
                  <c:v>14.370000000000003</c:v>
                </c:pt>
              </c:numCache>
            </c:numRef>
          </c:val>
          <c:smooth val="0"/>
        </c:ser>
        <c:dLbls>
          <c:showLegendKey val="0"/>
          <c:showVal val="0"/>
          <c:showCatName val="0"/>
          <c:showSerName val="0"/>
          <c:showPercent val="0"/>
          <c:showBubbleSize val="0"/>
        </c:dLbls>
        <c:smooth val="0"/>
        <c:axId val="247479816"/>
        <c:axId val="247406640"/>
      </c:lineChart>
      <c:catAx>
        <c:axId val="247479816"/>
        <c:scaling>
          <c:orientation val="minMax"/>
        </c:scaling>
        <c:delete val="0"/>
        <c:axPos val="b"/>
        <c:numFmt formatCode="General" sourceLinked="1"/>
        <c:majorTickMark val="out"/>
        <c:minorTickMark val="none"/>
        <c:tickLblPos val="nextTo"/>
        <c:crossAx val="247406640"/>
        <c:crosses val="autoZero"/>
        <c:auto val="1"/>
        <c:lblAlgn val="ctr"/>
        <c:lblOffset val="100"/>
        <c:noMultiLvlLbl val="0"/>
      </c:catAx>
      <c:valAx>
        <c:axId val="247406640"/>
        <c:scaling>
          <c:orientation val="minMax"/>
        </c:scaling>
        <c:delete val="0"/>
        <c:axPos val="l"/>
        <c:majorGridlines/>
        <c:numFmt formatCode="General" sourceLinked="1"/>
        <c:majorTickMark val="out"/>
        <c:minorTickMark val="none"/>
        <c:tickLblPos val="nextTo"/>
        <c:crossAx val="247479816"/>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Lapa1!$C$4</c:f>
              <c:strCache>
                <c:ptCount val="1"/>
                <c:pt idx="0">
                  <c:v>LVL</c:v>
                </c:pt>
              </c:strCache>
            </c:strRef>
          </c:tx>
          <c:spPr>
            <a:ln>
              <a:prstDash val="sysDot"/>
            </a:ln>
          </c:spPr>
          <c:marker>
            <c:symbol val="none"/>
          </c:marker>
          <c:cat>
            <c:multiLvlStrRef>
              <c:f>Lapa1!$A$5:$B$64</c:f>
              <c:multiLvlStrCache>
                <c:ptCount val="6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lvl>
                <c:lvl>
                  <c:pt idx="0">
                    <c:v>2008</c:v>
                  </c:pt>
                  <c:pt idx="12">
                    <c:v>2009</c:v>
                  </c:pt>
                  <c:pt idx="24">
                    <c:v>2010</c:v>
                  </c:pt>
                  <c:pt idx="36">
                    <c:v>2011</c:v>
                  </c:pt>
                  <c:pt idx="48">
                    <c:v>2012</c:v>
                  </c:pt>
                </c:lvl>
              </c:multiLvlStrCache>
            </c:multiLvlStrRef>
          </c:cat>
          <c:val>
            <c:numRef>
              <c:f>Lapa1!$C$5:$C$64</c:f>
              <c:numCache>
                <c:formatCode>General</c:formatCode>
                <c:ptCount val="60"/>
                <c:pt idx="0">
                  <c:v>11.58</c:v>
                </c:pt>
                <c:pt idx="1">
                  <c:v>10.370000000000003</c:v>
                </c:pt>
                <c:pt idx="2">
                  <c:v>9.11</c:v>
                </c:pt>
                <c:pt idx="3">
                  <c:v>9.360000000000003</c:v>
                </c:pt>
                <c:pt idx="4">
                  <c:v>9.120000000000001</c:v>
                </c:pt>
                <c:pt idx="5">
                  <c:v>8.98</c:v>
                </c:pt>
                <c:pt idx="6">
                  <c:v>9.2200000000000024</c:v>
                </c:pt>
                <c:pt idx="7">
                  <c:v>9.3800000000000008</c:v>
                </c:pt>
                <c:pt idx="8">
                  <c:v>9.5400000000000009</c:v>
                </c:pt>
                <c:pt idx="9">
                  <c:v>10.99</c:v>
                </c:pt>
                <c:pt idx="10">
                  <c:v>12.06</c:v>
                </c:pt>
                <c:pt idx="11">
                  <c:v>16.32</c:v>
                </c:pt>
                <c:pt idx="12">
                  <c:v>11.4</c:v>
                </c:pt>
                <c:pt idx="13">
                  <c:v>12.63</c:v>
                </c:pt>
                <c:pt idx="14">
                  <c:v>12.24</c:v>
                </c:pt>
                <c:pt idx="15">
                  <c:v>12.350000000000003</c:v>
                </c:pt>
                <c:pt idx="16">
                  <c:v>10.57</c:v>
                </c:pt>
                <c:pt idx="17">
                  <c:v>10.51</c:v>
                </c:pt>
                <c:pt idx="18">
                  <c:v>8.51</c:v>
                </c:pt>
                <c:pt idx="19">
                  <c:v>8.51</c:v>
                </c:pt>
                <c:pt idx="20">
                  <c:v>8.74</c:v>
                </c:pt>
                <c:pt idx="21">
                  <c:v>10.66</c:v>
                </c:pt>
                <c:pt idx="22">
                  <c:v>10.040000000000001</c:v>
                </c:pt>
                <c:pt idx="23">
                  <c:v>9.25</c:v>
                </c:pt>
                <c:pt idx="24">
                  <c:v>8.3700000000000028</c:v>
                </c:pt>
                <c:pt idx="25">
                  <c:v>9.44</c:v>
                </c:pt>
                <c:pt idx="26">
                  <c:v>8.4600000000000026</c:v>
                </c:pt>
                <c:pt idx="27">
                  <c:v>9.02</c:v>
                </c:pt>
                <c:pt idx="28">
                  <c:v>7.6499999999999995</c:v>
                </c:pt>
                <c:pt idx="29">
                  <c:v>9.16</c:v>
                </c:pt>
                <c:pt idx="30">
                  <c:v>10.360000000000003</c:v>
                </c:pt>
                <c:pt idx="31">
                  <c:v>7.44</c:v>
                </c:pt>
                <c:pt idx="32">
                  <c:v>10.46</c:v>
                </c:pt>
                <c:pt idx="33">
                  <c:v>7.22</c:v>
                </c:pt>
                <c:pt idx="34">
                  <c:v>4.9300000000000015</c:v>
                </c:pt>
                <c:pt idx="35">
                  <c:v>5.81</c:v>
                </c:pt>
                <c:pt idx="36">
                  <c:v>6.02</c:v>
                </c:pt>
                <c:pt idx="37">
                  <c:v>5.83</c:v>
                </c:pt>
                <c:pt idx="38">
                  <c:v>5.8599999999999985</c:v>
                </c:pt>
                <c:pt idx="39">
                  <c:v>4.95</c:v>
                </c:pt>
                <c:pt idx="40">
                  <c:v>4.7300000000000004</c:v>
                </c:pt>
                <c:pt idx="41">
                  <c:v>4.46</c:v>
                </c:pt>
                <c:pt idx="42">
                  <c:v>4.18</c:v>
                </c:pt>
                <c:pt idx="43">
                  <c:v>4.08</c:v>
                </c:pt>
                <c:pt idx="44">
                  <c:v>3.7800000000000002</c:v>
                </c:pt>
                <c:pt idx="45">
                  <c:v>3.59</c:v>
                </c:pt>
                <c:pt idx="46">
                  <c:v>3.69</c:v>
                </c:pt>
                <c:pt idx="47">
                  <c:v>4.88</c:v>
                </c:pt>
                <c:pt idx="48" formatCode="0.00">
                  <c:v>4.5599999999999996</c:v>
                </c:pt>
                <c:pt idx="49" formatCode="0.00">
                  <c:v>4.0999999999999996</c:v>
                </c:pt>
                <c:pt idx="50" formatCode="0.00">
                  <c:v>4.4400000000000004</c:v>
                </c:pt>
                <c:pt idx="51" formatCode="0.00">
                  <c:v>3.8899999999999997</c:v>
                </c:pt>
                <c:pt idx="52" formatCode="0.00">
                  <c:v>3.73</c:v>
                </c:pt>
                <c:pt idx="53" formatCode="0.00">
                  <c:v>4.0599999999999996</c:v>
                </c:pt>
                <c:pt idx="54" formatCode="0.00">
                  <c:v>3.8699999999999997</c:v>
                </c:pt>
                <c:pt idx="55" formatCode="0.00">
                  <c:v>4.1199999999999983</c:v>
                </c:pt>
                <c:pt idx="56" formatCode="0.00">
                  <c:v>3.68</c:v>
                </c:pt>
                <c:pt idx="57" formatCode="0.00">
                  <c:v>3.2</c:v>
                </c:pt>
                <c:pt idx="58" formatCode="0.00">
                  <c:v>3.23</c:v>
                </c:pt>
                <c:pt idx="59" formatCode="0.00">
                  <c:v>3.25</c:v>
                </c:pt>
              </c:numCache>
            </c:numRef>
          </c:val>
          <c:smooth val="0"/>
        </c:ser>
        <c:ser>
          <c:idx val="1"/>
          <c:order val="1"/>
          <c:tx>
            <c:strRef>
              <c:f>Lapa1!$D$4</c:f>
              <c:strCache>
                <c:ptCount val="1"/>
                <c:pt idx="0">
                  <c:v>EUR</c:v>
                </c:pt>
              </c:strCache>
            </c:strRef>
          </c:tx>
          <c:spPr>
            <a:ln>
              <a:prstDash val="sysDash"/>
            </a:ln>
          </c:spPr>
          <c:marker>
            <c:symbol val="none"/>
          </c:marker>
          <c:cat>
            <c:multiLvlStrRef>
              <c:f>Lapa1!$A$5:$B$64</c:f>
              <c:multiLvlStrCache>
                <c:ptCount val="6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lvl>
                <c:lvl>
                  <c:pt idx="0">
                    <c:v>2008</c:v>
                  </c:pt>
                  <c:pt idx="12">
                    <c:v>2009</c:v>
                  </c:pt>
                  <c:pt idx="24">
                    <c:v>2010</c:v>
                  </c:pt>
                  <c:pt idx="36">
                    <c:v>2011</c:v>
                  </c:pt>
                  <c:pt idx="48">
                    <c:v>2012</c:v>
                  </c:pt>
                </c:lvl>
              </c:multiLvlStrCache>
            </c:multiLvlStrRef>
          </c:cat>
          <c:val>
            <c:numRef>
              <c:f>Lapa1!$D$5:$D$64</c:f>
              <c:numCache>
                <c:formatCode>General</c:formatCode>
                <c:ptCount val="60"/>
                <c:pt idx="0">
                  <c:v>6.38</c:v>
                </c:pt>
                <c:pt idx="1">
                  <c:v>6.2</c:v>
                </c:pt>
                <c:pt idx="2">
                  <c:v>6.1199999999999983</c:v>
                </c:pt>
                <c:pt idx="3">
                  <c:v>6.33</c:v>
                </c:pt>
                <c:pt idx="4">
                  <c:v>6.57</c:v>
                </c:pt>
                <c:pt idx="5">
                  <c:v>7.09</c:v>
                </c:pt>
                <c:pt idx="6">
                  <c:v>6.94</c:v>
                </c:pt>
                <c:pt idx="7">
                  <c:v>6.96</c:v>
                </c:pt>
                <c:pt idx="8">
                  <c:v>8.2900000000000009</c:v>
                </c:pt>
                <c:pt idx="9">
                  <c:v>9.6</c:v>
                </c:pt>
                <c:pt idx="10">
                  <c:v>7.1099999999999985</c:v>
                </c:pt>
                <c:pt idx="11">
                  <c:v>6.6599999999999984</c:v>
                </c:pt>
                <c:pt idx="12">
                  <c:v>6.38</c:v>
                </c:pt>
                <c:pt idx="13">
                  <c:v>6.1</c:v>
                </c:pt>
                <c:pt idx="14">
                  <c:v>5.64</c:v>
                </c:pt>
                <c:pt idx="15">
                  <c:v>5.33</c:v>
                </c:pt>
                <c:pt idx="16">
                  <c:v>5.23</c:v>
                </c:pt>
                <c:pt idx="17">
                  <c:v>4.6099999999999985</c:v>
                </c:pt>
                <c:pt idx="18">
                  <c:v>4.45</c:v>
                </c:pt>
                <c:pt idx="19">
                  <c:v>4.3599999999999985</c:v>
                </c:pt>
                <c:pt idx="20">
                  <c:v>4.3599999999999985</c:v>
                </c:pt>
                <c:pt idx="21">
                  <c:v>4.33</c:v>
                </c:pt>
                <c:pt idx="22">
                  <c:v>4.0999999999999996</c:v>
                </c:pt>
                <c:pt idx="23">
                  <c:v>4.5</c:v>
                </c:pt>
                <c:pt idx="24">
                  <c:v>4.03</c:v>
                </c:pt>
                <c:pt idx="25">
                  <c:v>3.96</c:v>
                </c:pt>
                <c:pt idx="26">
                  <c:v>4.33</c:v>
                </c:pt>
                <c:pt idx="27">
                  <c:v>4.1399999999999997</c:v>
                </c:pt>
                <c:pt idx="28">
                  <c:v>3.9499999999999997</c:v>
                </c:pt>
                <c:pt idx="29">
                  <c:v>4.46</c:v>
                </c:pt>
                <c:pt idx="30">
                  <c:v>4.53</c:v>
                </c:pt>
                <c:pt idx="31">
                  <c:v>3.8</c:v>
                </c:pt>
                <c:pt idx="32">
                  <c:v>3.88</c:v>
                </c:pt>
                <c:pt idx="33">
                  <c:v>3.9099999999999997</c:v>
                </c:pt>
                <c:pt idx="34">
                  <c:v>3.9499999999999997</c:v>
                </c:pt>
                <c:pt idx="35">
                  <c:v>4.1499999999999995</c:v>
                </c:pt>
                <c:pt idx="36">
                  <c:v>3.9899999999999998</c:v>
                </c:pt>
                <c:pt idx="37">
                  <c:v>4.28</c:v>
                </c:pt>
                <c:pt idx="38">
                  <c:v>4.0199999999999996</c:v>
                </c:pt>
                <c:pt idx="39">
                  <c:v>4.09</c:v>
                </c:pt>
                <c:pt idx="40">
                  <c:v>4.01</c:v>
                </c:pt>
                <c:pt idx="41">
                  <c:v>4.1099999999999985</c:v>
                </c:pt>
                <c:pt idx="42">
                  <c:v>4.1499999999999995</c:v>
                </c:pt>
                <c:pt idx="43">
                  <c:v>4.24</c:v>
                </c:pt>
                <c:pt idx="44">
                  <c:v>4.0999999999999996</c:v>
                </c:pt>
                <c:pt idx="45">
                  <c:v>4.0999999999999996</c:v>
                </c:pt>
                <c:pt idx="46">
                  <c:v>4.13</c:v>
                </c:pt>
                <c:pt idx="47">
                  <c:v>4.1899999999999995</c:v>
                </c:pt>
                <c:pt idx="48" formatCode="0.00">
                  <c:v>4.28</c:v>
                </c:pt>
                <c:pt idx="49" formatCode="0.00">
                  <c:v>4.0599999999999996</c:v>
                </c:pt>
                <c:pt idx="50" formatCode="0.00">
                  <c:v>3.8899999999999997</c:v>
                </c:pt>
                <c:pt idx="51" formatCode="0.00">
                  <c:v>3.9499999999999997</c:v>
                </c:pt>
                <c:pt idx="52" formatCode="0.00">
                  <c:v>3.8299999999999992</c:v>
                </c:pt>
                <c:pt idx="53" formatCode="0.00">
                  <c:v>3.7</c:v>
                </c:pt>
                <c:pt idx="54" formatCode="0.00">
                  <c:v>3.52</c:v>
                </c:pt>
                <c:pt idx="55" formatCode="0.00">
                  <c:v>3.34</c:v>
                </c:pt>
                <c:pt idx="56" formatCode="0.00">
                  <c:v>3.22</c:v>
                </c:pt>
                <c:pt idx="57" formatCode="0.00">
                  <c:v>3.4099999999999997</c:v>
                </c:pt>
                <c:pt idx="58" formatCode="0.00">
                  <c:v>3.2</c:v>
                </c:pt>
                <c:pt idx="59" formatCode="0.00">
                  <c:v>3.48</c:v>
                </c:pt>
              </c:numCache>
            </c:numRef>
          </c:val>
          <c:smooth val="0"/>
        </c:ser>
        <c:ser>
          <c:idx val="2"/>
          <c:order val="2"/>
          <c:tx>
            <c:strRef>
              <c:f>Lapa1!$E$4</c:f>
              <c:strCache>
                <c:ptCount val="1"/>
                <c:pt idx="0">
                  <c:v>USD</c:v>
                </c:pt>
              </c:strCache>
            </c:strRef>
          </c:tx>
          <c:spPr>
            <a:ln>
              <a:solidFill>
                <a:srgbClr val="00B050"/>
              </a:solidFill>
            </a:ln>
          </c:spPr>
          <c:marker>
            <c:symbol val="none"/>
          </c:marker>
          <c:cat>
            <c:multiLvlStrRef>
              <c:f>Lapa1!$A$5:$B$64</c:f>
              <c:multiLvlStrCache>
                <c:ptCount val="6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lvl>
                <c:lvl>
                  <c:pt idx="0">
                    <c:v>2008</c:v>
                  </c:pt>
                  <c:pt idx="12">
                    <c:v>2009</c:v>
                  </c:pt>
                  <c:pt idx="24">
                    <c:v>2010</c:v>
                  </c:pt>
                  <c:pt idx="36">
                    <c:v>2011</c:v>
                  </c:pt>
                  <c:pt idx="48">
                    <c:v>2012</c:v>
                  </c:pt>
                </c:lvl>
              </c:multiLvlStrCache>
            </c:multiLvlStrRef>
          </c:cat>
          <c:val>
            <c:numRef>
              <c:f>Lapa1!$E$5:$E$64</c:f>
              <c:numCache>
                <c:formatCode>General</c:formatCode>
                <c:ptCount val="60"/>
                <c:pt idx="0">
                  <c:v>7.2700000000000014</c:v>
                </c:pt>
                <c:pt idx="1">
                  <c:v>7.24</c:v>
                </c:pt>
                <c:pt idx="2">
                  <c:v>4.4400000000000004</c:v>
                </c:pt>
                <c:pt idx="3">
                  <c:v>4.45</c:v>
                </c:pt>
                <c:pt idx="4">
                  <c:v>4.6099999999999985</c:v>
                </c:pt>
                <c:pt idx="5">
                  <c:v>4.84</c:v>
                </c:pt>
                <c:pt idx="6">
                  <c:v>4.49</c:v>
                </c:pt>
                <c:pt idx="7">
                  <c:v>4.96</c:v>
                </c:pt>
                <c:pt idx="8">
                  <c:v>4.7699999999999996</c:v>
                </c:pt>
                <c:pt idx="9">
                  <c:v>5.51</c:v>
                </c:pt>
                <c:pt idx="10">
                  <c:v>5.73</c:v>
                </c:pt>
                <c:pt idx="11">
                  <c:v>5.0199999999999996</c:v>
                </c:pt>
                <c:pt idx="12">
                  <c:v>6.22</c:v>
                </c:pt>
                <c:pt idx="13">
                  <c:v>6.35</c:v>
                </c:pt>
                <c:pt idx="14">
                  <c:v>5.52</c:v>
                </c:pt>
                <c:pt idx="15">
                  <c:v>5.24</c:v>
                </c:pt>
                <c:pt idx="16">
                  <c:v>4.4800000000000004</c:v>
                </c:pt>
                <c:pt idx="17">
                  <c:v>5</c:v>
                </c:pt>
                <c:pt idx="18">
                  <c:v>4.38</c:v>
                </c:pt>
                <c:pt idx="19">
                  <c:v>4.79</c:v>
                </c:pt>
                <c:pt idx="20">
                  <c:v>5.64</c:v>
                </c:pt>
                <c:pt idx="21">
                  <c:v>3.9899999999999998</c:v>
                </c:pt>
                <c:pt idx="22">
                  <c:v>4.08</c:v>
                </c:pt>
                <c:pt idx="23">
                  <c:v>6.9</c:v>
                </c:pt>
                <c:pt idx="24">
                  <c:v>3.32</c:v>
                </c:pt>
                <c:pt idx="25">
                  <c:v>4.91</c:v>
                </c:pt>
                <c:pt idx="26">
                  <c:v>4.95</c:v>
                </c:pt>
                <c:pt idx="27">
                  <c:v>3.62</c:v>
                </c:pt>
                <c:pt idx="28">
                  <c:v>4.09</c:v>
                </c:pt>
                <c:pt idx="29">
                  <c:v>4.7699999999999996</c:v>
                </c:pt>
                <c:pt idx="30">
                  <c:v>3.71</c:v>
                </c:pt>
                <c:pt idx="31">
                  <c:v>4.04</c:v>
                </c:pt>
                <c:pt idx="32">
                  <c:v>9</c:v>
                </c:pt>
                <c:pt idx="33">
                  <c:v>4.8199999999999985</c:v>
                </c:pt>
                <c:pt idx="34">
                  <c:v>5.53</c:v>
                </c:pt>
                <c:pt idx="35">
                  <c:v>6.07</c:v>
                </c:pt>
                <c:pt idx="36">
                  <c:v>3.74</c:v>
                </c:pt>
                <c:pt idx="37">
                  <c:v>3.23</c:v>
                </c:pt>
                <c:pt idx="38">
                  <c:v>4.54</c:v>
                </c:pt>
                <c:pt idx="39">
                  <c:v>3.4099999999999997</c:v>
                </c:pt>
                <c:pt idx="40">
                  <c:v>2.52</c:v>
                </c:pt>
                <c:pt idx="41">
                  <c:v>3.34</c:v>
                </c:pt>
                <c:pt idx="42">
                  <c:v>3.27</c:v>
                </c:pt>
                <c:pt idx="43">
                  <c:v>3.79</c:v>
                </c:pt>
                <c:pt idx="44">
                  <c:v>4.5599999999999996</c:v>
                </c:pt>
                <c:pt idx="45">
                  <c:v>3.3099999999999992</c:v>
                </c:pt>
                <c:pt idx="46">
                  <c:v>3.38</c:v>
                </c:pt>
                <c:pt idx="47">
                  <c:v>2.5</c:v>
                </c:pt>
                <c:pt idx="48">
                  <c:v>3.63</c:v>
                </c:pt>
                <c:pt idx="49">
                  <c:v>3.63</c:v>
                </c:pt>
                <c:pt idx="50">
                  <c:v>3.24</c:v>
                </c:pt>
                <c:pt idx="51">
                  <c:v>2.69</c:v>
                </c:pt>
                <c:pt idx="52">
                  <c:v>3.27</c:v>
                </c:pt>
                <c:pt idx="53">
                  <c:v>3.4899999999999998</c:v>
                </c:pt>
                <c:pt idx="54">
                  <c:v>4.28</c:v>
                </c:pt>
                <c:pt idx="55">
                  <c:v>2.94</c:v>
                </c:pt>
                <c:pt idx="56">
                  <c:v>4.22</c:v>
                </c:pt>
                <c:pt idx="57">
                  <c:v>4.29</c:v>
                </c:pt>
                <c:pt idx="58">
                  <c:v>3.54</c:v>
                </c:pt>
                <c:pt idx="59">
                  <c:v>2.66</c:v>
                </c:pt>
              </c:numCache>
            </c:numRef>
          </c:val>
          <c:smooth val="0"/>
        </c:ser>
        <c:dLbls>
          <c:showLegendKey val="0"/>
          <c:showVal val="0"/>
          <c:showCatName val="0"/>
          <c:showSerName val="0"/>
          <c:showPercent val="0"/>
          <c:showBubbleSize val="0"/>
        </c:dLbls>
        <c:smooth val="0"/>
        <c:axId val="247407424"/>
        <c:axId val="247407816"/>
      </c:lineChart>
      <c:catAx>
        <c:axId val="247407424"/>
        <c:scaling>
          <c:orientation val="minMax"/>
        </c:scaling>
        <c:delete val="0"/>
        <c:axPos val="b"/>
        <c:numFmt formatCode="General" sourceLinked="1"/>
        <c:majorTickMark val="out"/>
        <c:minorTickMark val="none"/>
        <c:tickLblPos val="nextTo"/>
        <c:crossAx val="247407816"/>
        <c:crosses val="autoZero"/>
        <c:auto val="1"/>
        <c:lblAlgn val="ctr"/>
        <c:lblOffset val="100"/>
        <c:noMultiLvlLbl val="0"/>
      </c:catAx>
      <c:valAx>
        <c:axId val="247407816"/>
        <c:scaling>
          <c:orientation val="minMax"/>
        </c:scaling>
        <c:delete val="0"/>
        <c:axPos val="l"/>
        <c:majorGridlines/>
        <c:numFmt formatCode="General" sourceLinked="1"/>
        <c:majorTickMark val="out"/>
        <c:minorTickMark val="none"/>
        <c:tickLblPos val="nextTo"/>
        <c:crossAx val="247407424"/>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'16b'!$A$173</c:f>
              <c:strCache>
                <c:ptCount val="1"/>
                <c:pt idx="0">
                  <c:v>2008 XII</c:v>
                </c:pt>
              </c:strCache>
            </c:strRef>
          </c:tx>
          <c:spPr>
            <a:solidFill>
              <a:schemeClr val="accent1">
                <a:lumMod val="75000"/>
              </a:schemeClr>
            </a:solidFill>
          </c:spPr>
          <c:invertIfNegative val="0"/>
          <c:dLbls>
            <c:spPr>
              <a:noFill/>
              <a:ln>
                <a:noFill/>
              </a:ln>
              <a:effectLst/>
            </c:spPr>
            <c:txPr>
              <a:bodyPr/>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'16b'!$B$172:$D$172</c:f>
              <c:strCache>
                <c:ptCount val="3"/>
                <c:pt idx="0">
                  <c:v>Patēriņa kredīti</c:v>
                </c:pt>
                <c:pt idx="1">
                  <c:v>Kredīti mājokļa iegādei</c:v>
                </c:pt>
                <c:pt idx="2">
                  <c:v>Pārējie kredīti</c:v>
                </c:pt>
              </c:strCache>
            </c:strRef>
          </c:cat>
          <c:val>
            <c:numRef>
              <c:f>'16b'!$B$173:$D$173</c:f>
              <c:numCache>
                <c:formatCode>0.0</c:formatCode>
                <c:ptCount val="3"/>
                <c:pt idx="0">
                  <c:v>793.1</c:v>
                </c:pt>
                <c:pt idx="1">
                  <c:v>5054.5</c:v>
                </c:pt>
                <c:pt idx="2">
                  <c:v>554.79999999999995</c:v>
                </c:pt>
              </c:numCache>
            </c:numRef>
          </c:val>
        </c:ser>
        <c:ser>
          <c:idx val="2"/>
          <c:order val="1"/>
          <c:tx>
            <c:strRef>
              <c:f>'16b'!$A$175</c:f>
              <c:strCache>
                <c:ptCount val="1"/>
                <c:pt idx="0">
                  <c:v>2012 XII</c:v>
                </c:pt>
              </c:strCache>
            </c:strRef>
          </c:tx>
          <c:spPr>
            <a:solidFill>
              <a:schemeClr val="accent4">
                <a:lumMod val="40000"/>
                <a:lumOff val="60000"/>
              </a:schemeClr>
            </a:solidFill>
          </c:spPr>
          <c:invertIfNegative val="0"/>
          <c:dLbls>
            <c:spPr>
              <a:noFill/>
              <a:ln>
                <a:noFill/>
              </a:ln>
              <a:effectLst/>
            </c:spPr>
            <c:txPr>
              <a:bodyPr/>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'16b'!$B$172:$D$172</c:f>
              <c:strCache>
                <c:ptCount val="3"/>
                <c:pt idx="0">
                  <c:v>Patēriņa kredīti</c:v>
                </c:pt>
                <c:pt idx="1">
                  <c:v>Kredīti mājokļa iegādei</c:v>
                </c:pt>
                <c:pt idx="2">
                  <c:v>Pārējie kredīti</c:v>
                </c:pt>
              </c:strCache>
            </c:strRef>
          </c:cat>
          <c:val>
            <c:numRef>
              <c:f>'16b'!$B$175:$D$175</c:f>
              <c:numCache>
                <c:formatCode>General</c:formatCode>
                <c:ptCount val="3"/>
                <c:pt idx="0" formatCode="0.0">
                  <c:v>546</c:v>
                </c:pt>
                <c:pt idx="1">
                  <c:v>3748.9</c:v>
                </c:pt>
                <c:pt idx="2">
                  <c:v>338.2</c:v>
                </c:pt>
              </c:numCache>
            </c:numRef>
          </c:val>
        </c:ser>
        <c:dLbls>
          <c:showLegendKey val="0"/>
          <c:showVal val="1"/>
          <c:showCatName val="0"/>
          <c:showSerName val="0"/>
          <c:showPercent val="0"/>
          <c:showBubbleSize val="0"/>
        </c:dLbls>
        <c:gapWidth val="75"/>
        <c:axId val="247408600"/>
        <c:axId val="247408992"/>
      </c:barChart>
      <c:catAx>
        <c:axId val="247408600"/>
        <c:scaling>
          <c:orientation val="minMax"/>
        </c:scaling>
        <c:delete val="0"/>
        <c:axPos val="b"/>
        <c:numFmt formatCode="General" sourceLinked="1"/>
        <c:majorTickMark val="none"/>
        <c:minorTickMark val="none"/>
        <c:tickLblPos val="nextTo"/>
        <c:crossAx val="247408992"/>
        <c:crosses val="autoZero"/>
        <c:auto val="1"/>
        <c:lblAlgn val="ctr"/>
        <c:lblOffset val="100"/>
        <c:noMultiLvlLbl val="0"/>
      </c:catAx>
      <c:valAx>
        <c:axId val="247408992"/>
        <c:scaling>
          <c:orientation val="minMax"/>
        </c:scaling>
        <c:delete val="0"/>
        <c:axPos val="l"/>
        <c:majorGridlines/>
        <c:numFmt formatCode="0.0" sourceLinked="1"/>
        <c:majorTickMark val="none"/>
        <c:minorTickMark val="none"/>
        <c:tickLblPos val="nextTo"/>
        <c:crossAx val="247408600"/>
        <c:crosses val="autoZero"/>
        <c:crossBetween val="between"/>
      </c:valAx>
    </c:plotArea>
    <c:legend>
      <c:legendPos val="b"/>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lv-LV"/>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Lapa1!$R$4</c:f>
              <c:strCache>
                <c:ptCount val="1"/>
                <c:pt idx="0">
                  <c:v>Kopā</c:v>
                </c:pt>
              </c:strCache>
            </c:strRef>
          </c:tx>
          <c:marker>
            <c:symbol val="none"/>
          </c:marker>
          <c:cat>
            <c:multiLvlStrRef>
              <c:f>Lapa1!$A$5:$B$64</c:f>
              <c:multiLvlStrCache>
                <c:ptCount val="6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lvl>
                <c:lvl>
                  <c:pt idx="0">
                    <c:v>2008</c:v>
                  </c:pt>
                  <c:pt idx="12">
                    <c:v>2009</c:v>
                  </c:pt>
                  <c:pt idx="24">
                    <c:v>2010</c:v>
                  </c:pt>
                  <c:pt idx="36">
                    <c:v>2011</c:v>
                  </c:pt>
                  <c:pt idx="48">
                    <c:v>2012</c:v>
                  </c:pt>
                </c:lvl>
              </c:multiLvlStrCache>
            </c:multiLvlStrRef>
          </c:cat>
          <c:val>
            <c:numRef>
              <c:f>Lapa1!$R$5:$R$64</c:f>
              <c:numCache>
                <c:formatCode>0.0</c:formatCode>
                <c:ptCount val="60"/>
                <c:pt idx="0">
                  <c:v>6040.5</c:v>
                </c:pt>
                <c:pt idx="1">
                  <c:v>6120.4</c:v>
                </c:pt>
                <c:pt idx="2">
                  <c:v>6189.1</c:v>
                </c:pt>
                <c:pt idx="3">
                  <c:v>6227.5</c:v>
                </c:pt>
                <c:pt idx="4">
                  <c:v>6289.4</c:v>
                </c:pt>
                <c:pt idx="5">
                  <c:v>6293.8</c:v>
                </c:pt>
                <c:pt idx="6">
                  <c:v>6333.1</c:v>
                </c:pt>
                <c:pt idx="7">
                  <c:v>6381.2</c:v>
                </c:pt>
                <c:pt idx="8">
                  <c:v>6411.3</c:v>
                </c:pt>
                <c:pt idx="9">
                  <c:v>6432.2</c:v>
                </c:pt>
                <c:pt idx="10">
                  <c:v>6433</c:v>
                </c:pt>
                <c:pt idx="11">
                  <c:v>6402.4</c:v>
                </c:pt>
                <c:pt idx="12">
                  <c:v>6385.2</c:v>
                </c:pt>
                <c:pt idx="13">
                  <c:v>6360.2</c:v>
                </c:pt>
                <c:pt idx="14">
                  <c:v>6331.2</c:v>
                </c:pt>
                <c:pt idx="15">
                  <c:v>6306.1</c:v>
                </c:pt>
                <c:pt idx="16">
                  <c:v>6276.7</c:v>
                </c:pt>
                <c:pt idx="17">
                  <c:v>6257</c:v>
                </c:pt>
                <c:pt idx="18">
                  <c:v>6232.9</c:v>
                </c:pt>
                <c:pt idx="19">
                  <c:v>6211.8</c:v>
                </c:pt>
                <c:pt idx="20">
                  <c:v>6185.9</c:v>
                </c:pt>
                <c:pt idx="21">
                  <c:v>6153.2</c:v>
                </c:pt>
                <c:pt idx="22">
                  <c:v>6121</c:v>
                </c:pt>
                <c:pt idx="23">
                  <c:v>6088.2</c:v>
                </c:pt>
                <c:pt idx="24">
                  <c:v>6065.5</c:v>
                </c:pt>
                <c:pt idx="25">
                  <c:v>6045.3</c:v>
                </c:pt>
                <c:pt idx="26">
                  <c:v>6013.1</c:v>
                </c:pt>
                <c:pt idx="27">
                  <c:v>5987.3</c:v>
                </c:pt>
                <c:pt idx="28">
                  <c:v>5977.6</c:v>
                </c:pt>
                <c:pt idx="29">
                  <c:v>5952.1</c:v>
                </c:pt>
                <c:pt idx="30">
                  <c:v>5914.5</c:v>
                </c:pt>
                <c:pt idx="31">
                  <c:v>5893</c:v>
                </c:pt>
                <c:pt idx="32">
                  <c:v>5854.9</c:v>
                </c:pt>
                <c:pt idx="33">
                  <c:v>5798.2</c:v>
                </c:pt>
                <c:pt idx="34">
                  <c:v>5771.1</c:v>
                </c:pt>
                <c:pt idx="35">
                  <c:v>5740.9</c:v>
                </c:pt>
                <c:pt idx="36">
                  <c:v>5695.7</c:v>
                </c:pt>
                <c:pt idx="37">
                  <c:v>5654.8</c:v>
                </c:pt>
                <c:pt idx="38">
                  <c:v>5615.6</c:v>
                </c:pt>
                <c:pt idx="39">
                  <c:v>5575.4</c:v>
                </c:pt>
                <c:pt idx="40">
                  <c:v>5550.2</c:v>
                </c:pt>
                <c:pt idx="41">
                  <c:v>5511.6</c:v>
                </c:pt>
                <c:pt idx="42">
                  <c:v>5475.4</c:v>
                </c:pt>
                <c:pt idx="43">
                  <c:v>5454.4</c:v>
                </c:pt>
                <c:pt idx="44">
                  <c:v>5419.9</c:v>
                </c:pt>
                <c:pt idx="45">
                  <c:v>5382.2</c:v>
                </c:pt>
                <c:pt idx="46">
                  <c:v>5352.9</c:v>
                </c:pt>
                <c:pt idx="47">
                  <c:v>5298.7</c:v>
                </c:pt>
                <c:pt idx="48">
                  <c:v>5261.2</c:v>
                </c:pt>
                <c:pt idx="49">
                  <c:v>5222.2</c:v>
                </c:pt>
                <c:pt idx="50">
                  <c:v>5015.4000000000005</c:v>
                </c:pt>
                <c:pt idx="51">
                  <c:v>4979</c:v>
                </c:pt>
                <c:pt idx="52">
                  <c:v>4874.1000000000004</c:v>
                </c:pt>
                <c:pt idx="53">
                  <c:v>4837.5</c:v>
                </c:pt>
                <c:pt idx="54">
                  <c:v>4815.5</c:v>
                </c:pt>
                <c:pt idx="55">
                  <c:v>4785.4000000000005</c:v>
                </c:pt>
                <c:pt idx="56">
                  <c:v>4744.8</c:v>
                </c:pt>
                <c:pt idx="57">
                  <c:v>4717.7</c:v>
                </c:pt>
                <c:pt idx="58">
                  <c:v>4686</c:v>
                </c:pt>
                <c:pt idx="59">
                  <c:v>4633.1000000000004</c:v>
                </c:pt>
              </c:numCache>
            </c:numRef>
          </c:val>
          <c:smooth val="0"/>
        </c:ser>
        <c:ser>
          <c:idx val="1"/>
          <c:order val="1"/>
          <c:tx>
            <c:strRef>
              <c:f>Lapa1!$S$4</c:f>
              <c:strCache>
                <c:ptCount val="1"/>
                <c:pt idx="0">
                  <c:v>LVL</c:v>
                </c:pt>
              </c:strCache>
            </c:strRef>
          </c:tx>
          <c:spPr>
            <a:ln>
              <a:prstDash val="sysDash"/>
            </a:ln>
          </c:spPr>
          <c:marker>
            <c:symbol val="none"/>
          </c:marker>
          <c:cat>
            <c:multiLvlStrRef>
              <c:f>Lapa1!$A$5:$B$64</c:f>
              <c:multiLvlStrCache>
                <c:ptCount val="6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lvl>
                <c:lvl>
                  <c:pt idx="0">
                    <c:v>2008</c:v>
                  </c:pt>
                  <c:pt idx="12">
                    <c:v>2009</c:v>
                  </c:pt>
                  <c:pt idx="24">
                    <c:v>2010</c:v>
                  </c:pt>
                  <c:pt idx="36">
                    <c:v>2011</c:v>
                  </c:pt>
                  <c:pt idx="48">
                    <c:v>2012</c:v>
                  </c:pt>
                </c:lvl>
              </c:multiLvlStrCache>
            </c:multiLvlStrRef>
          </c:cat>
          <c:val>
            <c:numRef>
              <c:f>Lapa1!$S$5:$S$64</c:f>
              <c:numCache>
                <c:formatCode>0.0</c:formatCode>
                <c:ptCount val="60"/>
                <c:pt idx="0">
                  <c:v>840.5</c:v>
                </c:pt>
                <c:pt idx="1">
                  <c:v>827.1</c:v>
                </c:pt>
                <c:pt idx="2">
                  <c:v>824.1</c:v>
                </c:pt>
                <c:pt idx="3">
                  <c:v>823.7</c:v>
                </c:pt>
                <c:pt idx="4">
                  <c:v>828.1</c:v>
                </c:pt>
                <c:pt idx="5">
                  <c:v>823.3</c:v>
                </c:pt>
                <c:pt idx="6">
                  <c:v>823.4</c:v>
                </c:pt>
                <c:pt idx="7">
                  <c:v>828.4</c:v>
                </c:pt>
                <c:pt idx="8">
                  <c:v>829.5</c:v>
                </c:pt>
                <c:pt idx="9">
                  <c:v>826.2</c:v>
                </c:pt>
                <c:pt idx="10">
                  <c:v>818.3</c:v>
                </c:pt>
                <c:pt idx="11">
                  <c:v>808.2</c:v>
                </c:pt>
                <c:pt idx="12">
                  <c:v>791.8</c:v>
                </c:pt>
                <c:pt idx="13">
                  <c:v>772.1</c:v>
                </c:pt>
                <c:pt idx="14">
                  <c:v>758.5</c:v>
                </c:pt>
                <c:pt idx="15">
                  <c:v>741.5</c:v>
                </c:pt>
                <c:pt idx="16">
                  <c:v>735.7</c:v>
                </c:pt>
                <c:pt idx="17">
                  <c:v>719.5</c:v>
                </c:pt>
                <c:pt idx="18">
                  <c:v>695.3</c:v>
                </c:pt>
                <c:pt idx="19">
                  <c:v>677.9</c:v>
                </c:pt>
                <c:pt idx="20">
                  <c:v>661.9</c:v>
                </c:pt>
                <c:pt idx="21">
                  <c:v>646.5</c:v>
                </c:pt>
                <c:pt idx="22">
                  <c:v>632.79999999999995</c:v>
                </c:pt>
                <c:pt idx="23">
                  <c:v>614.6</c:v>
                </c:pt>
                <c:pt idx="24">
                  <c:v>606.79999999999995</c:v>
                </c:pt>
                <c:pt idx="25">
                  <c:v>596.70000000000005</c:v>
                </c:pt>
                <c:pt idx="26">
                  <c:v>590.6</c:v>
                </c:pt>
                <c:pt idx="27">
                  <c:v>582.20000000000005</c:v>
                </c:pt>
                <c:pt idx="28">
                  <c:v>579.20000000000005</c:v>
                </c:pt>
                <c:pt idx="29">
                  <c:v>570</c:v>
                </c:pt>
                <c:pt idx="30">
                  <c:v>563.20000000000005</c:v>
                </c:pt>
                <c:pt idx="31">
                  <c:v>557.6</c:v>
                </c:pt>
                <c:pt idx="32">
                  <c:v>552.79999999999995</c:v>
                </c:pt>
                <c:pt idx="33">
                  <c:v>549.9</c:v>
                </c:pt>
                <c:pt idx="34">
                  <c:v>543.79999999999995</c:v>
                </c:pt>
                <c:pt idx="35">
                  <c:v>547</c:v>
                </c:pt>
                <c:pt idx="36">
                  <c:v>544.29999999999995</c:v>
                </c:pt>
                <c:pt idx="37">
                  <c:v>538.70000000000005</c:v>
                </c:pt>
                <c:pt idx="38">
                  <c:v>539</c:v>
                </c:pt>
                <c:pt idx="39">
                  <c:v>536.29999999999995</c:v>
                </c:pt>
                <c:pt idx="40">
                  <c:v>537.29999999999995</c:v>
                </c:pt>
                <c:pt idx="41">
                  <c:v>535.4</c:v>
                </c:pt>
                <c:pt idx="42">
                  <c:v>528</c:v>
                </c:pt>
                <c:pt idx="43">
                  <c:v>531.9</c:v>
                </c:pt>
                <c:pt idx="44">
                  <c:v>534.5</c:v>
                </c:pt>
                <c:pt idx="45">
                  <c:v>537.29999999999995</c:v>
                </c:pt>
                <c:pt idx="46">
                  <c:v>539.9</c:v>
                </c:pt>
                <c:pt idx="47">
                  <c:v>529.29999999999995</c:v>
                </c:pt>
                <c:pt idx="48">
                  <c:v>528.4</c:v>
                </c:pt>
                <c:pt idx="49">
                  <c:v>524.6</c:v>
                </c:pt>
                <c:pt idx="50">
                  <c:v>513.20000000000005</c:v>
                </c:pt>
                <c:pt idx="51">
                  <c:v>509.7</c:v>
                </c:pt>
                <c:pt idx="52">
                  <c:v>490.6</c:v>
                </c:pt>
                <c:pt idx="53">
                  <c:v>488.8</c:v>
                </c:pt>
                <c:pt idx="54">
                  <c:v>490.6</c:v>
                </c:pt>
                <c:pt idx="55">
                  <c:v>494.3</c:v>
                </c:pt>
                <c:pt idx="56">
                  <c:v>495.4</c:v>
                </c:pt>
                <c:pt idx="57">
                  <c:v>499.1</c:v>
                </c:pt>
                <c:pt idx="58">
                  <c:v>499.7</c:v>
                </c:pt>
                <c:pt idx="59">
                  <c:v>497.5</c:v>
                </c:pt>
              </c:numCache>
            </c:numRef>
          </c:val>
          <c:smooth val="0"/>
        </c:ser>
        <c:dLbls>
          <c:showLegendKey val="0"/>
          <c:showVal val="0"/>
          <c:showCatName val="0"/>
          <c:showSerName val="0"/>
          <c:showPercent val="0"/>
          <c:showBubbleSize val="0"/>
        </c:dLbls>
        <c:smooth val="0"/>
        <c:axId val="247409776"/>
        <c:axId val="247410168"/>
      </c:lineChart>
      <c:catAx>
        <c:axId val="247409776"/>
        <c:scaling>
          <c:orientation val="minMax"/>
        </c:scaling>
        <c:delete val="0"/>
        <c:axPos val="b"/>
        <c:numFmt formatCode="General" sourceLinked="1"/>
        <c:majorTickMark val="out"/>
        <c:minorTickMark val="none"/>
        <c:tickLblPos val="nextTo"/>
        <c:crossAx val="247410168"/>
        <c:crosses val="autoZero"/>
        <c:auto val="1"/>
        <c:lblAlgn val="ctr"/>
        <c:lblOffset val="100"/>
        <c:noMultiLvlLbl val="0"/>
      </c:catAx>
      <c:valAx>
        <c:axId val="247410168"/>
        <c:scaling>
          <c:orientation val="minMax"/>
        </c:scaling>
        <c:delete val="0"/>
        <c:axPos val="l"/>
        <c:majorGridlines/>
        <c:numFmt formatCode="0.0" sourceLinked="1"/>
        <c:majorTickMark val="out"/>
        <c:minorTickMark val="none"/>
        <c:tickLblPos val="nextTo"/>
        <c:crossAx val="247409776"/>
        <c:crosses val="autoZero"/>
        <c:crossBetween val="between"/>
      </c:valAx>
    </c:plotArea>
    <c:legend>
      <c:legendPos val="b"/>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lv-LV"/>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E6856-1D4E-43EA-A583-2E7629395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Pages>
  <Words>39468</Words>
  <Characters>22497</Characters>
  <Application>Microsoft Office Word</Application>
  <DocSecurity>0</DocSecurity>
  <Lines>187</Lines>
  <Paragraphs>123</Paragraphs>
  <ScaleCrop>false</ScaleCrop>
  <HeadingPairs>
    <vt:vector size="2" baseType="variant">
      <vt:variant>
        <vt:lpstr>Title</vt:lpstr>
      </vt:variant>
      <vt:variant>
        <vt:i4>1</vt:i4>
      </vt:variant>
    </vt:vector>
  </HeadingPairs>
  <TitlesOfParts>
    <vt:vector size="1" baseType="lpstr">
      <vt:lpstr>Informatīvais ziņojums "Par finanšu stabilitātes nodevas ietekmi, apmēru un priekšlikumiem turpmākai rīcībai"</vt:lpstr>
    </vt:vector>
  </TitlesOfParts>
  <Company>Finanšu ministrija</Company>
  <LinksUpToDate>false</LinksUpToDate>
  <CharactersWithSpaces>61842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finanšu stabilitātes nodevas ietekmi, apmēru un priekšlikumiem turpmākai rīcībai"</dc:title>
  <dc:subject>informatīvais ziņojums</dc:subject>
  <dc:creator>L.Kiseļova</dc:creator>
  <dc:description>67083920; Laura.Kiseļova@fm.gov.lv</dc:description>
  <cp:lastModifiedBy>Sprūģe Veronika</cp:lastModifiedBy>
  <cp:revision>40</cp:revision>
  <cp:lastPrinted>2013-09-12T06:42:00Z</cp:lastPrinted>
  <dcterms:created xsi:type="dcterms:W3CDTF">2013-08-08T10:30:00Z</dcterms:created>
  <dcterms:modified xsi:type="dcterms:W3CDTF">2013-09-12T13:58:00Z</dcterms:modified>
</cp:coreProperties>
</file>