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4C5" w:rsidRDefault="007D14C5" w:rsidP="004805A7">
      <w:pPr>
        <w:autoSpaceDE w:val="0"/>
        <w:autoSpaceDN w:val="0"/>
        <w:adjustRightInd w:val="0"/>
        <w:jc w:val="left"/>
        <w:rPr>
          <w:sz w:val="26"/>
          <w:szCs w:val="26"/>
          <w:lang w:eastAsia="lv-LV"/>
        </w:rPr>
      </w:pPr>
    </w:p>
    <w:p w:rsidR="007D14C5" w:rsidRDefault="007D14C5" w:rsidP="004805A7">
      <w:pPr>
        <w:autoSpaceDE w:val="0"/>
        <w:autoSpaceDN w:val="0"/>
        <w:adjustRightInd w:val="0"/>
        <w:jc w:val="left"/>
        <w:rPr>
          <w:sz w:val="26"/>
          <w:szCs w:val="26"/>
          <w:lang w:eastAsia="lv-LV"/>
        </w:rPr>
      </w:pPr>
    </w:p>
    <w:p w:rsidR="007D14C5" w:rsidRDefault="007D14C5" w:rsidP="004805A7">
      <w:pPr>
        <w:autoSpaceDE w:val="0"/>
        <w:autoSpaceDN w:val="0"/>
        <w:adjustRightInd w:val="0"/>
        <w:jc w:val="left"/>
        <w:rPr>
          <w:sz w:val="26"/>
          <w:szCs w:val="26"/>
          <w:lang w:eastAsia="lv-LV"/>
        </w:rPr>
      </w:pPr>
    </w:p>
    <w:p w:rsidR="007D14C5" w:rsidRDefault="007D14C5" w:rsidP="004805A7">
      <w:pPr>
        <w:autoSpaceDE w:val="0"/>
        <w:autoSpaceDN w:val="0"/>
        <w:adjustRightInd w:val="0"/>
        <w:jc w:val="left"/>
        <w:rPr>
          <w:sz w:val="26"/>
          <w:szCs w:val="26"/>
          <w:lang w:eastAsia="lv-LV"/>
        </w:rPr>
      </w:pPr>
    </w:p>
    <w:p w:rsidR="007D14C5" w:rsidRDefault="007D14C5" w:rsidP="004805A7">
      <w:pPr>
        <w:autoSpaceDE w:val="0"/>
        <w:autoSpaceDN w:val="0"/>
        <w:adjustRightInd w:val="0"/>
        <w:jc w:val="left"/>
        <w:rPr>
          <w:sz w:val="26"/>
          <w:szCs w:val="26"/>
          <w:lang w:eastAsia="lv-LV"/>
        </w:rPr>
      </w:pPr>
    </w:p>
    <w:p w:rsidR="007D14C5" w:rsidRPr="00F12393" w:rsidRDefault="007D14C5" w:rsidP="00865E23">
      <w:pPr>
        <w:autoSpaceDE w:val="0"/>
        <w:autoSpaceDN w:val="0"/>
        <w:adjustRightInd w:val="0"/>
        <w:jc w:val="center"/>
        <w:rPr>
          <w:sz w:val="28"/>
          <w:szCs w:val="28"/>
          <w:lang w:eastAsia="lv-LV"/>
        </w:rPr>
      </w:pPr>
    </w:p>
    <w:p w:rsidR="007D14C5" w:rsidRPr="00F12393" w:rsidRDefault="007D14C5" w:rsidP="00865E23">
      <w:pPr>
        <w:autoSpaceDE w:val="0"/>
        <w:autoSpaceDN w:val="0"/>
        <w:adjustRightInd w:val="0"/>
        <w:jc w:val="center"/>
        <w:rPr>
          <w:sz w:val="28"/>
          <w:szCs w:val="28"/>
          <w:lang w:eastAsia="lv-LV"/>
        </w:rPr>
      </w:pPr>
    </w:p>
    <w:p w:rsidR="007D14C5" w:rsidRPr="00F12393" w:rsidRDefault="007D14C5" w:rsidP="00865E23">
      <w:pPr>
        <w:tabs>
          <w:tab w:val="center" w:pos="4536"/>
          <w:tab w:val="right" w:pos="9071"/>
        </w:tabs>
        <w:autoSpaceDE w:val="0"/>
        <w:autoSpaceDN w:val="0"/>
        <w:adjustRightInd w:val="0"/>
        <w:jc w:val="left"/>
        <w:rPr>
          <w:sz w:val="28"/>
          <w:szCs w:val="28"/>
          <w:lang w:eastAsia="lv-LV"/>
        </w:rPr>
      </w:pPr>
      <w:r w:rsidRPr="00F12393">
        <w:rPr>
          <w:sz w:val="28"/>
          <w:szCs w:val="28"/>
          <w:lang w:eastAsia="lv-LV"/>
        </w:rPr>
        <w:t xml:space="preserve">Rīgā </w:t>
      </w:r>
      <w:r w:rsidRPr="00F12393">
        <w:rPr>
          <w:sz w:val="28"/>
          <w:szCs w:val="28"/>
          <w:lang w:eastAsia="lv-LV"/>
        </w:rPr>
        <w:tab/>
        <w:t xml:space="preserve">Nr. </w:t>
      </w:r>
      <w:r w:rsidRPr="00F12393">
        <w:rPr>
          <w:sz w:val="28"/>
          <w:szCs w:val="28"/>
          <w:lang w:eastAsia="lv-LV"/>
        </w:rPr>
        <w:tab/>
        <w:t>2011.gada</w:t>
      </w:r>
      <w:r>
        <w:rPr>
          <w:sz w:val="28"/>
          <w:szCs w:val="28"/>
          <w:lang w:eastAsia="lv-LV"/>
        </w:rPr>
        <w:t>               </w:t>
      </w:r>
    </w:p>
    <w:p w:rsidR="007D14C5" w:rsidRDefault="007D14C5" w:rsidP="00865E23">
      <w:pPr>
        <w:tabs>
          <w:tab w:val="center" w:pos="4536"/>
          <w:tab w:val="right" w:pos="9071"/>
        </w:tabs>
        <w:autoSpaceDE w:val="0"/>
        <w:autoSpaceDN w:val="0"/>
        <w:adjustRightInd w:val="0"/>
        <w:jc w:val="left"/>
        <w:rPr>
          <w:sz w:val="28"/>
          <w:szCs w:val="28"/>
          <w:lang w:eastAsia="lv-LV"/>
        </w:rPr>
      </w:pPr>
    </w:p>
    <w:p w:rsidR="007D14C5" w:rsidRPr="00F12393" w:rsidRDefault="007D14C5" w:rsidP="00865E23">
      <w:pPr>
        <w:tabs>
          <w:tab w:val="center" w:pos="4536"/>
          <w:tab w:val="right" w:pos="9071"/>
        </w:tabs>
        <w:autoSpaceDE w:val="0"/>
        <w:autoSpaceDN w:val="0"/>
        <w:adjustRightInd w:val="0"/>
        <w:jc w:val="left"/>
        <w:rPr>
          <w:sz w:val="28"/>
          <w:szCs w:val="28"/>
          <w:lang w:eastAsia="lv-LV"/>
        </w:rPr>
      </w:pPr>
    </w:p>
    <w:p w:rsidR="007D14C5" w:rsidRPr="00F12393" w:rsidRDefault="007D14C5" w:rsidP="00F12393">
      <w:pPr>
        <w:tabs>
          <w:tab w:val="center" w:pos="4536"/>
          <w:tab w:val="right" w:pos="9071"/>
        </w:tabs>
        <w:autoSpaceDE w:val="0"/>
        <w:autoSpaceDN w:val="0"/>
        <w:adjustRightInd w:val="0"/>
        <w:jc w:val="center"/>
        <w:rPr>
          <w:b/>
          <w:sz w:val="28"/>
          <w:szCs w:val="28"/>
          <w:lang w:eastAsia="lv-LV"/>
        </w:rPr>
      </w:pPr>
      <w:r w:rsidRPr="00F12393">
        <w:rPr>
          <w:b/>
          <w:sz w:val="28"/>
          <w:szCs w:val="28"/>
          <w:lang w:eastAsia="lv-LV"/>
        </w:rPr>
        <w:t>.§</w:t>
      </w:r>
    </w:p>
    <w:p w:rsidR="007D14C5" w:rsidRPr="00F12393" w:rsidRDefault="007D14C5" w:rsidP="00865E23">
      <w:pPr>
        <w:autoSpaceDE w:val="0"/>
        <w:autoSpaceDN w:val="0"/>
        <w:adjustRightInd w:val="0"/>
        <w:jc w:val="left"/>
        <w:rPr>
          <w:sz w:val="28"/>
          <w:szCs w:val="28"/>
          <w:lang w:eastAsia="lv-LV"/>
        </w:rPr>
      </w:pPr>
    </w:p>
    <w:p w:rsidR="007D14C5" w:rsidRPr="0026026C" w:rsidRDefault="007D14C5" w:rsidP="0026026C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lv-LV"/>
        </w:rPr>
      </w:pPr>
      <w:r w:rsidRPr="0026026C">
        <w:rPr>
          <w:b/>
          <w:bCs/>
          <w:sz w:val="28"/>
          <w:szCs w:val="28"/>
          <w:lang w:eastAsia="lv-LV"/>
        </w:rPr>
        <w:t xml:space="preserve">Par </w:t>
      </w:r>
      <w:r w:rsidRPr="0026026C">
        <w:rPr>
          <w:b/>
          <w:sz w:val="28"/>
          <w:szCs w:val="28"/>
        </w:rPr>
        <w:t>Ministru kabineta 2011.gada 8.marta sēdes protokollēmuma</w:t>
      </w:r>
      <w:r>
        <w:rPr>
          <w:b/>
          <w:sz w:val="28"/>
          <w:szCs w:val="28"/>
        </w:rPr>
        <w:t xml:space="preserve"> </w:t>
      </w:r>
      <w:r w:rsidRPr="0026026C">
        <w:rPr>
          <w:b/>
          <w:sz w:val="28"/>
          <w:szCs w:val="28"/>
        </w:rPr>
        <w:t>(prot. Nr.14</w:t>
      </w:r>
      <w:r>
        <w:rPr>
          <w:b/>
          <w:sz w:val="28"/>
          <w:szCs w:val="28"/>
        </w:rPr>
        <w:t>  </w:t>
      </w:r>
      <w:r w:rsidRPr="0026026C">
        <w:rPr>
          <w:b/>
          <w:sz w:val="28"/>
          <w:szCs w:val="28"/>
        </w:rPr>
        <w:t>31</w:t>
      </w:r>
      <w:r>
        <w:rPr>
          <w:b/>
          <w:sz w:val="28"/>
          <w:szCs w:val="28"/>
        </w:rPr>
        <w:t>.</w:t>
      </w:r>
      <w:r w:rsidRPr="0026026C">
        <w:rPr>
          <w:b/>
          <w:sz w:val="28"/>
          <w:szCs w:val="28"/>
        </w:rPr>
        <w:t>§)</w:t>
      </w:r>
      <w:r>
        <w:rPr>
          <w:b/>
          <w:sz w:val="28"/>
          <w:szCs w:val="28"/>
        </w:rPr>
        <w:t xml:space="preserve"> "</w:t>
      </w:r>
      <w:r w:rsidRPr="0026026C">
        <w:rPr>
          <w:b/>
          <w:bCs/>
          <w:sz w:val="28"/>
          <w:szCs w:val="28"/>
        </w:rPr>
        <w:t xml:space="preserve">Informatīvais ziņojums </w:t>
      </w:r>
      <w:r>
        <w:rPr>
          <w:b/>
          <w:bCs/>
          <w:sz w:val="28"/>
          <w:szCs w:val="28"/>
        </w:rPr>
        <w:t>"</w:t>
      </w:r>
      <w:r w:rsidRPr="0026026C">
        <w:rPr>
          <w:b/>
          <w:bCs/>
          <w:sz w:val="28"/>
          <w:szCs w:val="28"/>
        </w:rPr>
        <w:t>Par vienreizēju pasākumu nokavējuma naudas un daļējas soda naudas dzēšanai tiem nodokļu maksātājiem, kas līdz noteiktam brīdim samaksā nodokļu pamatparādu</w:t>
      </w:r>
      <w:r>
        <w:rPr>
          <w:b/>
          <w:bCs/>
          <w:sz w:val="28"/>
          <w:szCs w:val="28"/>
        </w:rPr>
        <w:t>""</w:t>
      </w:r>
      <w:r w:rsidRPr="0026026C">
        <w:rPr>
          <w:b/>
          <w:sz w:val="28"/>
          <w:szCs w:val="28"/>
        </w:rPr>
        <w:t xml:space="preserve">   3.punktā un Ministru kabineta 2011.gada 3.maija sēdes protokollēmuma (prot. Nr.28</w:t>
      </w:r>
      <w:r>
        <w:rPr>
          <w:b/>
          <w:sz w:val="28"/>
          <w:szCs w:val="28"/>
        </w:rPr>
        <w:t>  </w:t>
      </w:r>
      <w:r w:rsidRPr="0026026C">
        <w:rPr>
          <w:b/>
          <w:sz w:val="28"/>
          <w:szCs w:val="28"/>
        </w:rPr>
        <w:t>34</w:t>
      </w:r>
      <w:r>
        <w:rPr>
          <w:b/>
          <w:sz w:val="28"/>
          <w:szCs w:val="28"/>
        </w:rPr>
        <w:t>.</w:t>
      </w:r>
      <w:r w:rsidRPr="0026026C">
        <w:rPr>
          <w:b/>
          <w:sz w:val="28"/>
          <w:szCs w:val="28"/>
        </w:rPr>
        <w:t xml:space="preserve">§) </w:t>
      </w:r>
      <w:r>
        <w:rPr>
          <w:b/>
          <w:sz w:val="28"/>
          <w:szCs w:val="28"/>
        </w:rPr>
        <w:t>"</w:t>
      </w:r>
      <w:r w:rsidRPr="0026026C">
        <w:rPr>
          <w:b/>
          <w:bCs/>
          <w:sz w:val="28"/>
          <w:szCs w:val="28"/>
        </w:rPr>
        <w:t xml:space="preserve">Likumprojekts </w:t>
      </w:r>
      <w:r>
        <w:rPr>
          <w:b/>
          <w:bCs/>
          <w:sz w:val="28"/>
          <w:szCs w:val="28"/>
        </w:rPr>
        <w:t>"</w:t>
      </w:r>
      <w:r w:rsidRPr="0026026C">
        <w:rPr>
          <w:b/>
          <w:bCs/>
          <w:sz w:val="28"/>
          <w:szCs w:val="28"/>
        </w:rPr>
        <w:t>Nodokļu atbalsta pasākuma likums</w:t>
      </w:r>
      <w:r>
        <w:rPr>
          <w:b/>
          <w:bCs/>
          <w:sz w:val="28"/>
          <w:szCs w:val="28"/>
        </w:rPr>
        <w:t xml:space="preserve">"" </w:t>
      </w:r>
      <w:r w:rsidRPr="0026026C">
        <w:rPr>
          <w:b/>
          <w:sz w:val="28"/>
          <w:szCs w:val="28"/>
        </w:rPr>
        <w:t xml:space="preserve"> 6.punktā dotā uzdevuma izpildi</w:t>
      </w:r>
    </w:p>
    <w:p w:rsidR="007D14C5" w:rsidRPr="00F12393" w:rsidRDefault="007D14C5" w:rsidP="00F12393">
      <w:pPr>
        <w:autoSpaceDE w:val="0"/>
        <w:autoSpaceDN w:val="0"/>
        <w:adjustRightInd w:val="0"/>
        <w:jc w:val="left"/>
        <w:rPr>
          <w:b/>
          <w:bCs/>
          <w:szCs w:val="24"/>
          <w:lang w:eastAsia="lv-LV"/>
        </w:rPr>
      </w:pPr>
      <w:r w:rsidRPr="00F12393">
        <w:rPr>
          <w:b/>
          <w:bCs/>
          <w:szCs w:val="24"/>
          <w:lang w:eastAsia="lv-LV"/>
        </w:rPr>
        <w:t>TA-2270</w:t>
      </w:r>
    </w:p>
    <w:p w:rsidR="007D14C5" w:rsidRPr="00F12393" w:rsidRDefault="007D14C5" w:rsidP="0026026C">
      <w:pPr>
        <w:autoSpaceDE w:val="0"/>
        <w:autoSpaceDN w:val="0"/>
        <w:adjustRightInd w:val="0"/>
        <w:ind w:firstLine="709"/>
        <w:jc w:val="center"/>
        <w:rPr>
          <w:szCs w:val="24"/>
        </w:rPr>
      </w:pPr>
      <w:r w:rsidRPr="00F12393">
        <w:rPr>
          <w:szCs w:val="24"/>
        </w:rPr>
        <w:t>_______________</w:t>
      </w:r>
      <w:r>
        <w:rPr>
          <w:szCs w:val="24"/>
        </w:rPr>
        <w:t>_______</w:t>
      </w:r>
      <w:r w:rsidRPr="00F12393">
        <w:rPr>
          <w:szCs w:val="24"/>
        </w:rPr>
        <w:t>________________________________</w:t>
      </w:r>
    </w:p>
    <w:p w:rsidR="007D14C5" w:rsidRPr="00F12393" w:rsidRDefault="007D14C5" w:rsidP="004805A7">
      <w:pPr>
        <w:autoSpaceDE w:val="0"/>
        <w:autoSpaceDN w:val="0"/>
        <w:adjustRightInd w:val="0"/>
        <w:ind w:firstLine="709"/>
        <w:jc w:val="center"/>
        <w:rPr>
          <w:szCs w:val="24"/>
        </w:rPr>
      </w:pPr>
      <w:r w:rsidRPr="00F12393">
        <w:rPr>
          <w:szCs w:val="24"/>
        </w:rPr>
        <w:t>(...)</w:t>
      </w:r>
    </w:p>
    <w:p w:rsidR="007D14C5" w:rsidRPr="004805A7" w:rsidRDefault="007D14C5" w:rsidP="004805A7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7D14C5" w:rsidRPr="004805A7" w:rsidRDefault="007D14C5" w:rsidP="004805A7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4805A7">
        <w:rPr>
          <w:sz w:val="28"/>
          <w:szCs w:val="28"/>
        </w:rPr>
        <w:t>1. Ņemot vērā finanšu ministra sniegto informāciju par Ministru kabineta 2011.gada 8.marta sēdes protokollēmuma (prot. Nr.14</w:t>
      </w:r>
      <w:r>
        <w:rPr>
          <w:sz w:val="28"/>
          <w:szCs w:val="28"/>
        </w:rPr>
        <w:t>  </w:t>
      </w:r>
      <w:r w:rsidRPr="004805A7">
        <w:rPr>
          <w:sz w:val="28"/>
          <w:szCs w:val="28"/>
        </w:rPr>
        <w:t>31</w:t>
      </w:r>
      <w:r>
        <w:rPr>
          <w:sz w:val="28"/>
          <w:szCs w:val="28"/>
        </w:rPr>
        <w:t>.§) "</w:t>
      </w:r>
      <w:r w:rsidRPr="004805A7">
        <w:rPr>
          <w:bCs/>
          <w:sz w:val="28"/>
          <w:szCs w:val="28"/>
        </w:rPr>
        <w:t xml:space="preserve">Informatīvais ziņojums </w:t>
      </w:r>
      <w:r>
        <w:rPr>
          <w:bCs/>
          <w:sz w:val="28"/>
          <w:szCs w:val="28"/>
        </w:rPr>
        <w:t>"</w:t>
      </w:r>
      <w:r w:rsidRPr="004805A7">
        <w:rPr>
          <w:bCs/>
          <w:sz w:val="28"/>
          <w:szCs w:val="28"/>
        </w:rPr>
        <w:t>Par vienreizēju pasākumu nokavējuma naudas un daļējas soda naudas dzēšanai tiem nodokļu maksātājiem, kas līdz noteiktam brīdim samaksā nodokļu pamatparādu</w:t>
      </w:r>
      <w:r>
        <w:rPr>
          <w:bCs/>
          <w:sz w:val="28"/>
          <w:szCs w:val="28"/>
        </w:rPr>
        <w:t>""</w:t>
      </w:r>
      <w:r w:rsidRPr="004805A7">
        <w:rPr>
          <w:sz w:val="28"/>
          <w:szCs w:val="28"/>
        </w:rPr>
        <w:t xml:space="preserve"> 3.punktā dotā uzdevuma izpildi, </w:t>
      </w:r>
      <w:r>
        <w:rPr>
          <w:sz w:val="28"/>
          <w:szCs w:val="28"/>
        </w:rPr>
        <w:t>uzdot</w:t>
      </w:r>
      <w:r w:rsidRPr="004805A7">
        <w:rPr>
          <w:sz w:val="28"/>
          <w:szCs w:val="28"/>
        </w:rPr>
        <w:t xml:space="preserve"> Finanšu ministrijai mēneša laikā pēc Nodokļu atbalsta pasākuma likuma izsludināšanas un Eiropas Komisijas lēmuma </w:t>
      </w:r>
      <w:r>
        <w:rPr>
          <w:sz w:val="28"/>
          <w:szCs w:val="28"/>
        </w:rPr>
        <w:t>"</w:t>
      </w:r>
      <w:r w:rsidRPr="004805A7">
        <w:rPr>
          <w:sz w:val="28"/>
          <w:szCs w:val="28"/>
        </w:rPr>
        <w:t>Par Nodokļu atbalsta pasākuma atbilstību komercdarbības atbalsta kontroles regulējumam</w:t>
      </w:r>
      <w:r>
        <w:rPr>
          <w:sz w:val="28"/>
          <w:szCs w:val="28"/>
        </w:rPr>
        <w:t>"</w:t>
      </w:r>
      <w:r w:rsidRPr="004805A7">
        <w:rPr>
          <w:sz w:val="28"/>
          <w:szCs w:val="28"/>
        </w:rPr>
        <w:t xml:space="preserve"> saņemšanas sagatavot un iesniegt izskatīšanai Ministru kabinetā noteikumu projektu </w:t>
      </w:r>
      <w:r>
        <w:rPr>
          <w:sz w:val="28"/>
          <w:szCs w:val="28"/>
        </w:rPr>
        <w:t>"</w:t>
      </w:r>
      <w:r w:rsidRPr="004805A7">
        <w:rPr>
          <w:sz w:val="28"/>
          <w:szCs w:val="28"/>
        </w:rPr>
        <w:t xml:space="preserve">Grozījumi Ministru kabineta 2000.gada 18.aprīļa noteikumos Nr.149 </w:t>
      </w:r>
      <w:r>
        <w:rPr>
          <w:sz w:val="28"/>
          <w:szCs w:val="28"/>
        </w:rPr>
        <w:t>"Kārtība, kādā</w:t>
      </w:r>
      <w:r w:rsidRPr="004805A7">
        <w:rPr>
          <w:sz w:val="28"/>
          <w:szCs w:val="28"/>
        </w:rPr>
        <w:t xml:space="preserve"> kārtējie nodokļu maksājumi un nokavētie nodokļu maksājumi tiek ieskaitīti budžetā</w:t>
      </w:r>
      <w:r>
        <w:rPr>
          <w:sz w:val="28"/>
          <w:szCs w:val="28"/>
        </w:rPr>
        <w:t>""</w:t>
      </w:r>
      <w:r w:rsidRPr="004805A7">
        <w:rPr>
          <w:sz w:val="28"/>
          <w:szCs w:val="28"/>
        </w:rPr>
        <w:t>, paredzot, ka nodokļu administrācija vispirms novirza nodokļu maksājumu tā parāda segšanai, kuru nodokļu maksātājs ir norādījis maksājuma uzdevum</w:t>
      </w:r>
      <w:r>
        <w:rPr>
          <w:sz w:val="28"/>
          <w:szCs w:val="28"/>
        </w:rPr>
        <w:t>ā</w:t>
      </w:r>
      <w:r w:rsidRPr="004805A7">
        <w:rPr>
          <w:sz w:val="28"/>
          <w:szCs w:val="28"/>
        </w:rPr>
        <w:t>.</w:t>
      </w:r>
    </w:p>
    <w:p w:rsidR="007D14C5" w:rsidRPr="004805A7" w:rsidRDefault="007D14C5" w:rsidP="004805A7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4805A7">
        <w:rPr>
          <w:sz w:val="28"/>
          <w:szCs w:val="28"/>
        </w:rPr>
        <w:t>2. Ņemot vērā finanšu ministra sniegto informāciju par Ministru kabineta 2011.gada 3.maija sēdes protokollēmuma (prot. Nr.28 34</w:t>
      </w:r>
      <w:r>
        <w:rPr>
          <w:sz w:val="28"/>
          <w:szCs w:val="28"/>
        </w:rPr>
        <w:t>.</w:t>
      </w:r>
      <w:r w:rsidRPr="004805A7">
        <w:rPr>
          <w:sz w:val="28"/>
          <w:szCs w:val="28"/>
        </w:rPr>
        <w:t xml:space="preserve">§) </w:t>
      </w:r>
      <w:r>
        <w:rPr>
          <w:sz w:val="28"/>
          <w:szCs w:val="28"/>
        </w:rPr>
        <w:t>"</w:t>
      </w:r>
      <w:r w:rsidRPr="004805A7">
        <w:rPr>
          <w:bCs/>
          <w:sz w:val="28"/>
          <w:szCs w:val="28"/>
        </w:rPr>
        <w:t xml:space="preserve">Likumprojekts </w:t>
      </w:r>
      <w:r>
        <w:rPr>
          <w:bCs/>
          <w:sz w:val="28"/>
          <w:szCs w:val="28"/>
        </w:rPr>
        <w:t>"</w:t>
      </w:r>
      <w:r w:rsidRPr="004805A7">
        <w:rPr>
          <w:bCs/>
          <w:sz w:val="28"/>
          <w:szCs w:val="28"/>
        </w:rPr>
        <w:t>Nodokļu atbalsta pasākuma likums</w:t>
      </w:r>
      <w:r>
        <w:rPr>
          <w:bCs/>
          <w:sz w:val="28"/>
          <w:szCs w:val="28"/>
        </w:rPr>
        <w:t>""</w:t>
      </w:r>
      <w:r>
        <w:rPr>
          <w:sz w:val="28"/>
          <w:szCs w:val="28"/>
        </w:rPr>
        <w:t xml:space="preserve"> 6.punktā dotā</w:t>
      </w:r>
      <w:r w:rsidRPr="004805A7">
        <w:rPr>
          <w:sz w:val="28"/>
          <w:szCs w:val="28"/>
        </w:rPr>
        <w:t xml:space="preserve"> uzdevuma izpildi, </w:t>
      </w:r>
      <w:r>
        <w:rPr>
          <w:sz w:val="28"/>
          <w:szCs w:val="28"/>
        </w:rPr>
        <w:t>uzdot</w:t>
      </w:r>
      <w:r w:rsidRPr="004805A7">
        <w:rPr>
          <w:sz w:val="28"/>
          <w:szCs w:val="28"/>
        </w:rPr>
        <w:t xml:space="preserve"> Finanšu ministrijai mēneša laikā pēc Nodokļu atbalsta pasākuma likuma izsludināšanas un Eiropas Komisijas lēmuma </w:t>
      </w:r>
      <w:r>
        <w:rPr>
          <w:sz w:val="28"/>
          <w:szCs w:val="28"/>
        </w:rPr>
        <w:t>"Par Nodokļu atbalsta pasākuma</w:t>
      </w:r>
      <w:r>
        <w:rPr>
          <w:sz w:val="28"/>
          <w:szCs w:val="28"/>
        </w:rPr>
        <w:br w:type="page"/>
      </w:r>
      <w:r w:rsidRPr="004805A7">
        <w:rPr>
          <w:sz w:val="28"/>
          <w:szCs w:val="28"/>
        </w:rPr>
        <w:t>atbilstību komercdarbības atbalsta kontroles regulējumam</w:t>
      </w:r>
      <w:r>
        <w:rPr>
          <w:sz w:val="28"/>
          <w:szCs w:val="28"/>
        </w:rPr>
        <w:t>"</w:t>
      </w:r>
      <w:r w:rsidRPr="004805A7">
        <w:rPr>
          <w:sz w:val="28"/>
          <w:szCs w:val="28"/>
        </w:rPr>
        <w:t xml:space="preserve"> saņemšanas sagatavot un iesniegt izskatīšanai Ministru kabinetā tiesību aktu projektus</w:t>
      </w:r>
      <w:r>
        <w:rPr>
          <w:sz w:val="28"/>
          <w:szCs w:val="28"/>
        </w:rPr>
        <w:t xml:space="preserve">, kas saistīti </w:t>
      </w:r>
      <w:r w:rsidRPr="004805A7">
        <w:rPr>
          <w:sz w:val="28"/>
          <w:szCs w:val="28"/>
        </w:rPr>
        <w:t>ar nodokļu atbalsta pasākuma īstenošanu.</w:t>
      </w:r>
    </w:p>
    <w:p w:rsidR="007D14C5" w:rsidRDefault="007D14C5" w:rsidP="00865E23">
      <w:pPr>
        <w:autoSpaceDE w:val="0"/>
        <w:autoSpaceDN w:val="0"/>
        <w:adjustRightInd w:val="0"/>
        <w:rPr>
          <w:sz w:val="28"/>
          <w:szCs w:val="28"/>
        </w:rPr>
      </w:pPr>
    </w:p>
    <w:p w:rsidR="007D14C5" w:rsidRDefault="007D14C5" w:rsidP="00865E23">
      <w:pPr>
        <w:autoSpaceDE w:val="0"/>
        <w:autoSpaceDN w:val="0"/>
        <w:adjustRightInd w:val="0"/>
        <w:rPr>
          <w:sz w:val="28"/>
          <w:szCs w:val="28"/>
        </w:rPr>
      </w:pPr>
    </w:p>
    <w:p w:rsidR="007D14C5" w:rsidRPr="00972137" w:rsidRDefault="007D14C5" w:rsidP="00865E23">
      <w:pPr>
        <w:autoSpaceDE w:val="0"/>
        <w:autoSpaceDN w:val="0"/>
        <w:adjustRightInd w:val="0"/>
        <w:rPr>
          <w:sz w:val="28"/>
          <w:szCs w:val="28"/>
        </w:rPr>
      </w:pPr>
    </w:p>
    <w:p w:rsidR="007D14C5" w:rsidRDefault="007D14C5" w:rsidP="00217A52">
      <w:pPr>
        <w:tabs>
          <w:tab w:val="left" w:pos="6840"/>
          <w:tab w:val="right" w:pos="9071"/>
        </w:tabs>
        <w:autoSpaceDE w:val="0"/>
        <w:autoSpaceDN w:val="0"/>
        <w:adjustRightInd w:val="0"/>
        <w:ind w:firstLine="720"/>
        <w:rPr>
          <w:sz w:val="28"/>
          <w:szCs w:val="28"/>
        </w:rPr>
      </w:pPr>
      <w:r>
        <w:rPr>
          <w:sz w:val="28"/>
          <w:szCs w:val="28"/>
        </w:rPr>
        <w:t>Ministru prezidents</w:t>
      </w:r>
      <w:r>
        <w:rPr>
          <w:sz w:val="28"/>
          <w:szCs w:val="28"/>
        </w:rPr>
        <w:tab/>
      </w:r>
      <w:r w:rsidRPr="00972137">
        <w:rPr>
          <w:sz w:val="28"/>
          <w:szCs w:val="28"/>
        </w:rPr>
        <w:t>V.Dombrovskis</w:t>
      </w:r>
    </w:p>
    <w:p w:rsidR="007D14C5" w:rsidRDefault="007D14C5" w:rsidP="00F12393">
      <w:pPr>
        <w:tabs>
          <w:tab w:val="left" w:pos="6840"/>
          <w:tab w:val="right" w:pos="9071"/>
        </w:tabs>
        <w:autoSpaceDE w:val="0"/>
        <w:autoSpaceDN w:val="0"/>
        <w:adjustRightInd w:val="0"/>
        <w:rPr>
          <w:sz w:val="28"/>
          <w:szCs w:val="28"/>
        </w:rPr>
      </w:pPr>
    </w:p>
    <w:p w:rsidR="007D14C5" w:rsidRDefault="007D14C5" w:rsidP="00F12393">
      <w:pPr>
        <w:tabs>
          <w:tab w:val="left" w:pos="6840"/>
          <w:tab w:val="right" w:pos="9071"/>
        </w:tabs>
        <w:autoSpaceDE w:val="0"/>
        <w:autoSpaceDN w:val="0"/>
        <w:adjustRightInd w:val="0"/>
        <w:rPr>
          <w:sz w:val="28"/>
          <w:szCs w:val="28"/>
        </w:rPr>
      </w:pPr>
    </w:p>
    <w:p w:rsidR="007D14C5" w:rsidRDefault="007D14C5" w:rsidP="00F12393">
      <w:pPr>
        <w:tabs>
          <w:tab w:val="left" w:pos="6840"/>
          <w:tab w:val="right" w:pos="907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D14C5" w:rsidRDefault="007D14C5" w:rsidP="00217A52">
      <w:pPr>
        <w:tabs>
          <w:tab w:val="left" w:pos="6840"/>
          <w:tab w:val="right" w:pos="9071"/>
        </w:tabs>
        <w:autoSpaceDE w:val="0"/>
        <w:autoSpaceDN w:val="0"/>
        <w:adjustRightInd w:val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Valsts kancelejas direktore </w:t>
      </w:r>
      <w:r>
        <w:rPr>
          <w:sz w:val="28"/>
          <w:szCs w:val="28"/>
        </w:rPr>
        <w:tab/>
        <w:t>E.Dreimane</w:t>
      </w:r>
    </w:p>
    <w:p w:rsidR="007D14C5" w:rsidRDefault="007D14C5" w:rsidP="00F12393">
      <w:pPr>
        <w:tabs>
          <w:tab w:val="left" w:pos="6840"/>
          <w:tab w:val="right" w:pos="9071"/>
        </w:tabs>
        <w:autoSpaceDE w:val="0"/>
        <w:autoSpaceDN w:val="0"/>
        <w:adjustRightInd w:val="0"/>
        <w:rPr>
          <w:sz w:val="28"/>
          <w:szCs w:val="28"/>
        </w:rPr>
      </w:pPr>
    </w:p>
    <w:sectPr w:rsidR="007D14C5" w:rsidSect="00812820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14C5" w:rsidRDefault="007D14C5" w:rsidP="00865E23">
      <w:r>
        <w:separator/>
      </w:r>
    </w:p>
  </w:endnote>
  <w:endnote w:type="continuationSeparator" w:id="0">
    <w:p w:rsidR="007D14C5" w:rsidRDefault="007D14C5" w:rsidP="00865E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4C5" w:rsidRPr="00F12393" w:rsidRDefault="007D14C5" w:rsidP="00F12393">
    <w:pPr>
      <w:pStyle w:val="Footer"/>
      <w:rPr>
        <w:sz w:val="16"/>
        <w:szCs w:val="16"/>
      </w:rPr>
    </w:pPr>
    <w:r w:rsidRPr="00F12393">
      <w:rPr>
        <w:sz w:val="16"/>
        <w:szCs w:val="16"/>
      </w:rPr>
      <w:t>2270_z1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4C5" w:rsidRPr="00F12393" w:rsidRDefault="007D14C5">
    <w:pPr>
      <w:pStyle w:val="Footer"/>
      <w:rPr>
        <w:sz w:val="16"/>
        <w:szCs w:val="16"/>
      </w:rPr>
    </w:pPr>
    <w:r w:rsidRPr="00F12393">
      <w:rPr>
        <w:sz w:val="16"/>
        <w:szCs w:val="16"/>
      </w:rPr>
      <w:t>2270_z1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14C5" w:rsidRDefault="007D14C5" w:rsidP="00865E23">
      <w:r>
        <w:separator/>
      </w:r>
    </w:p>
  </w:footnote>
  <w:footnote w:type="continuationSeparator" w:id="0">
    <w:p w:rsidR="007D14C5" w:rsidRDefault="007D14C5" w:rsidP="00865E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4C5" w:rsidRDefault="007D14C5" w:rsidP="00F1239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D14C5" w:rsidRDefault="007D14C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4C5" w:rsidRDefault="007D14C5" w:rsidP="00F12393">
    <w:pPr>
      <w:pStyle w:val="Header"/>
      <w:framePr w:wrap="around" w:vAnchor="text" w:hAnchor="margin" w:xAlign="center" w:y="1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7D14C5" w:rsidRDefault="007D14C5">
    <w:pPr>
      <w:pStyle w:val="Header"/>
      <w:framePr w:wrap="around" w:vAnchor="text" w:hAnchor="margin" w:xAlign="center" w:y="1"/>
      <w:rPr>
        <w:rStyle w:val="PageNumber"/>
      </w:rPr>
    </w:pPr>
  </w:p>
  <w:p w:rsidR="007D14C5" w:rsidRDefault="007D14C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4C5" w:rsidRPr="00F12393" w:rsidRDefault="007D14C5">
    <w:pPr>
      <w:pStyle w:val="Header"/>
      <w:pBdr>
        <w:bottom w:val="single" w:sz="4" w:space="1" w:color="auto"/>
      </w:pBdr>
      <w:jc w:val="center"/>
      <w:rPr>
        <w:sz w:val="28"/>
        <w:szCs w:val="28"/>
      </w:rPr>
    </w:pPr>
    <w:r w:rsidRPr="00F12393">
      <w:rPr>
        <w:b/>
        <w:bCs/>
        <w:sz w:val="28"/>
        <w:szCs w:val="28"/>
      </w:rPr>
      <w:t>MINISTRU KABINETA SĒDES PROTOKOLLĒMUMS</w:t>
    </w:r>
  </w:p>
  <w:p w:rsidR="007D14C5" w:rsidRPr="00F12393" w:rsidRDefault="007D14C5">
    <w:pPr>
      <w:pStyle w:val="Header"/>
      <w:rPr>
        <w:sz w:val="28"/>
        <w:szCs w:val="28"/>
      </w:rPr>
    </w:pPr>
  </w:p>
  <w:p w:rsidR="007D14C5" w:rsidRDefault="007D14C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A173A"/>
    <w:multiLevelType w:val="hybridMultilevel"/>
    <w:tmpl w:val="7D6280BE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31B062D"/>
    <w:multiLevelType w:val="hybridMultilevel"/>
    <w:tmpl w:val="F5DCA97A"/>
    <w:lvl w:ilvl="0" w:tplc="330A97A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72382B16"/>
    <w:multiLevelType w:val="hybridMultilevel"/>
    <w:tmpl w:val="6A189A0A"/>
    <w:lvl w:ilvl="0" w:tplc="FCB8E9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6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5E23"/>
    <w:rsid w:val="00045F75"/>
    <w:rsid w:val="00116BEF"/>
    <w:rsid w:val="00164D00"/>
    <w:rsid w:val="00204485"/>
    <w:rsid w:val="00217A52"/>
    <w:rsid w:val="0026026C"/>
    <w:rsid w:val="00284291"/>
    <w:rsid w:val="002B6098"/>
    <w:rsid w:val="003712A1"/>
    <w:rsid w:val="003F7257"/>
    <w:rsid w:val="00401B36"/>
    <w:rsid w:val="004272CE"/>
    <w:rsid w:val="004805A7"/>
    <w:rsid w:val="004B236E"/>
    <w:rsid w:val="00520AAB"/>
    <w:rsid w:val="0057522F"/>
    <w:rsid w:val="00601166"/>
    <w:rsid w:val="0067634E"/>
    <w:rsid w:val="00723823"/>
    <w:rsid w:val="0075539A"/>
    <w:rsid w:val="007830F0"/>
    <w:rsid w:val="007C754F"/>
    <w:rsid w:val="007D14C5"/>
    <w:rsid w:val="00812820"/>
    <w:rsid w:val="00822806"/>
    <w:rsid w:val="00865E23"/>
    <w:rsid w:val="008D6A5B"/>
    <w:rsid w:val="008D6FC1"/>
    <w:rsid w:val="00972137"/>
    <w:rsid w:val="009749DB"/>
    <w:rsid w:val="009B6F4B"/>
    <w:rsid w:val="00A664F0"/>
    <w:rsid w:val="00AC4A82"/>
    <w:rsid w:val="00AF0F70"/>
    <w:rsid w:val="00B0634B"/>
    <w:rsid w:val="00B06468"/>
    <w:rsid w:val="00EB4FD1"/>
    <w:rsid w:val="00F12393"/>
    <w:rsid w:val="00F87F86"/>
    <w:rsid w:val="00F96668"/>
    <w:rsid w:val="00FA7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E23"/>
    <w:pPr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uiPriority w:val="99"/>
    <w:rsid w:val="00865E23"/>
    <w:rPr>
      <w:rFonts w:cs="Times New Roman"/>
    </w:rPr>
  </w:style>
  <w:style w:type="paragraph" w:styleId="Header">
    <w:name w:val="header"/>
    <w:basedOn w:val="Normal"/>
    <w:link w:val="HeaderChar"/>
    <w:uiPriority w:val="99"/>
    <w:rsid w:val="00865E23"/>
    <w:pPr>
      <w:tabs>
        <w:tab w:val="center" w:pos="4153"/>
        <w:tab w:val="right" w:pos="8306"/>
      </w:tabs>
    </w:pPr>
    <w:rPr>
      <w:lang w:eastAsia="lv-LV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65E23"/>
    <w:rPr>
      <w:rFonts w:ascii="Times New Roman" w:hAnsi="Times New Roman" w:cs="Times New Roman"/>
      <w:sz w:val="20"/>
      <w:lang w:val="lv-LV"/>
    </w:rPr>
  </w:style>
  <w:style w:type="paragraph" w:styleId="Footer">
    <w:name w:val="footer"/>
    <w:basedOn w:val="Normal"/>
    <w:link w:val="FooterChar"/>
    <w:uiPriority w:val="99"/>
    <w:rsid w:val="00865E23"/>
    <w:pPr>
      <w:tabs>
        <w:tab w:val="center" w:pos="4153"/>
        <w:tab w:val="right" w:pos="8306"/>
      </w:tabs>
    </w:pPr>
    <w:rPr>
      <w:lang w:eastAsia="lv-LV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65E23"/>
    <w:rPr>
      <w:rFonts w:ascii="Times New Roman" w:hAnsi="Times New Roman" w:cs="Times New Roman"/>
      <w:sz w:val="20"/>
      <w:lang w:val="lv-LV"/>
    </w:rPr>
  </w:style>
  <w:style w:type="paragraph" w:styleId="BalloonText">
    <w:name w:val="Balloon Text"/>
    <w:basedOn w:val="Normal"/>
    <w:link w:val="BalloonTextChar"/>
    <w:uiPriority w:val="99"/>
    <w:semiHidden/>
    <w:rsid w:val="00865E23"/>
    <w:rPr>
      <w:rFonts w:ascii="Tahoma" w:hAnsi="Tahoma"/>
      <w:sz w:val="16"/>
      <w:szCs w:val="16"/>
      <w:lang w:eastAsia="lv-LV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65E23"/>
    <w:rPr>
      <w:rFonts w:ascii="Tahoma" w:hAnsi="Tahoma" w:cs="Times New Roman"/>
      <w:sz w:val="16"/>
      <w:lang w:val="lv-LV"/>
    </w:rPr>
  </w:style>
  <w:style w:type="paragraph" w:styleId="ListParagraph">
    <w:name w:val="List Paragraph"/>
    <w:basedOn w:val="Normal"/>
    <w:uiPriority w:val="99"/>
    <w:qFormat/>
    <w:rsid w:val="00116B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66</TotalTime>
  <Pages>2</Pages>
  <Words>260</Words>
  <Characters>1892</Characters>
  <Application>Microsoft Office Outlook</Application>
  <DocSecurity>0</DocSecurity>
  <Lines>0</Lines>
  <Paragraphs>0</Paragraphs>
  <ScaleCrop>false</ScaleCrop>
  <Company>Finanšu ministrija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Ministru kabineta sēžu protokollēmumu izpildi saistībā ar Nodokļu atbalsta pasākuma īstenošanas regulējuma izstrādi</dc:title>
  <dc:subject>Protokkollēmums</dc:subject>
  <dc:creator>Dace Avotiņa</dc:creator>
  <cp:keywords/>
  <dc:description>Dace.Avotina@fm.gov.lv67083920</dc:description>
  <cp:lastModifiedBy>Aija Tālmane</cp:lastModifiedBy>
  <cp:revision>13</cp:revision>
  <cp:lastPrinted>2011-10-07T12:15:00Z</cp:lastPrinted>
  <dcterms:created xsi:type="dcterms:W3CDTF">2011-09-09T13:10:00Z</dcterms:created>
  <dcterms:modified xsi:type="dcterms:W3CDTF">2011-10-07T12:16:00Z</dcterms:modified>
</cp:coreProperties>
</file>