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19" w:rsidRDefault="00B12B19">
      <w:pPr>
        <w:jc w:val="center"/>
        <w:rPr>
          <w:sz w:val="24"/>
        </w:rPr>
      </w:pPr>
      <w:r>
        <w:rPr>
          <w:sz w:val="24"/>
        </w:rPr>
        <w:t xml:space="preserve">MINISTRU KABINETA SĒDES PROTOKOLLĒMUMS </w:t>
      </w:r>
    </w:p>
    <w:p w:rsidR="00B12B19" w:rsidRDefault="00B12B19">
      <w:pPr>
        <w:rPr>
          <w:sz w:val="24"/>
        </w:rPr>
      </w:pPr>
    </w:p>
    <w:tbl>
      <w:tblPr>
        <w:tblW w:w="0" w:type="auto"/>
        <w:tblInd w:w="250" w:type="dxa"/>
        <w:tblLayout w:type="fixed"/>
        <w:tblLook w:val="0000" w:firstRow="0" w:lastRow="0" w:firstColumn="0" w:lastColumn="0" w:noHBand="0" w:noVBand="0"/>
      </w:tblPr>
      <w:tblGrid>
        <w:gridCol w:w="3967"/>
        <w:gridCol w:w="886"/>
        <w:gridCol w:w="4361"/>
      </w:tblGrid>
      <w:tr w:rsidR="00B12B19">
        <w:trPr>
          <w:cantSplit/>
        </w:trPr>
        <w:tc>
          <w:tcPr>
            <w:tcW w:w="3967" w:type="dxa"/>
          </w:tcPr>
          <w:p w:rsidR="00B12B19" w:rsidRDefault="00B12B19">
            <w:pPr>
              <w:rPr>
                <w:sz w:val="24"/>
              </w:rPr>
            </w:pPr>
            <w:r>
              <w:rPr>
                <w:sz w:val="24"/>
              </w:rPr>
              <w:t>Rīgā</w:t>
            </w:r>
          </w:p>
        </w:tc>
        <w:tc>
          <w:tcPr>
            <w:tcW w:w="886" w:type="dxa"/>
          </w:tcPr>
          <w:p w:rsidR="00B12B19" w:rsidRDefault="00B12B19">
            <w:pPr>
              <w:rPr>
                <w:sz w:val="24"/>
              </w:rPr>
            </w:pPr>
            <w:r>
              <w:rPr>
                <w:sz w:val="24"/>
              </w:rPr>
              <w:t>Nr.</w:t>
            </w:r>
          </w:p>
        </w:tc>
        <w:tc>
          <w:tcPr>
            <w:tcW w:w="4361" w:type="dxa"/>
          </w:tcPr>
          <w:p w:rsidR="00B12B19" w:rsidRDefault="00EF0A19" w:rsidP="00A41B3C">
            <w:pPr>
              <w:jc w:val="right"/>
              <w:rPr>
                <w:sz w:val="24"/>
              </w:rPr>
            </w:pPr>
            <w:r>
              <w:rPr>
                <w:sz w:val="24"/>
              </w:rPr>
              <w:t>20</w:t>
            </w:r>
            <w:r w:rsidR="00652C61">
              <w:rPr>
                <w:sz w:val="24"/>
              </w:rPr>
              <w:t>1</w:t>
            </w:r>
            <w:r w:rsidR="00A41B3C">
              <w:rPr>
                <w:sz w:val="24"/>
              </w:rPr>
              <w:t>2</w:t>
            </w:r>
            <w:r w:rsidR="00B12B19">
              <w:rPr>
                <w:sz w:val="24"/>
              </w:rPr>
              <w:t xml:space="preserve">.gada </w:t>
            </w:r>
            <w:r w:rsidR="00644DA0">
              <w:rPr>
                <w:sz w:val="24"/>
              </w:rPr>
              <w:t>__</w:t>
            </w:r>
            <w:r w:rsidR="00B12B19">
              <w:rPr>
                <w:sz w:val="24"/>
              </w:rPr>
              <w:t xml:space="preserve"> .___________</w:t>
            </w:r>
          </w:p>
        </w:tc>
      </w:tr>
    </w:tbl>
    <w:p w:rsidR="00B12B19" w:rsidRDefault="00B12B19">
      <w:pPr>
        <w:jc w:val="center"/>
        <w:rPr>
          <w:sz w:val="24"/>
        </w:rPr>
      </w:pPr>
    </w:p>
    <w:p w:rsidR="00B12B19" w:rsidRDefault="00B12B19">
      <w:pPr>
        <w:jc w:val="center"/>
        <w:rPr>
          <w:b/>
          <w:sz w:val="24"/>
        </w:rPr>
      </w:pPr>
      <w:r>
        <w:rPr>
          <w:b/>
          <w:sz w:val="24"/>
        </w:rPr>
        <w:t>.§</w:t>
      </w:r>
    </w:p>
    <w:p w:rsidR="00B12B19" w:rsidRDefault="00B12B19">
      <w:pPr>
        <w:pStyle w:val="BodyText"/>
        <w:rPr>
          <w:sz w:val="24"/>
        </w:rPr>
      </w:pPr>
    </w:p>
    <w:p w:rsidR="00B12B19" w:rsidRPr="004D633E" w:rsidRDefault="00B12B19">
      <w:pPr>
        <w:pStyle w:val="BodyText"/>
        <w:rPr>
          <w:szCs w:val="28"/>
        </w:rPr>
      </w:pPr>
      <w:r w:rsidRPr="004D633E">
        <w:rPr>
          <w:szCs w:val="28"/>
        </w:rPr>
        <w:t xml:space="preserve">Par informatīvo ziņojumu </w:t>
      </w:r>
    </w:p>
    <w:p w:rsidR="00B12B19" w:rsidRPr="00B330D9" w:rsidRDefault="00B31911" w:rsidP="00C450AD">
      <w:pPr>
        <w:jc w:val="center"/>
        <w:rPr>
          <w:b/>
          <w:szCs w:val="28"/>
        </w:rPr>
      </w:pPr>
      <w:r>
        <w:rPr>
          <w:szCs w:val="28"/>
        </w:rPr>
        <w:t>„</w:t>
      </w:r>
      <w:r w:rsidR="006F4237">
        <w:rPr>
          <w:b/>
          <w:bCs/>
          <w:szCs w:val="28"/>
        </w:rPr>
        <w:t>P</w:t>
      </w:r>
      <w:r w:rsidR="00931838">
        <w:rPr>
          <w:b/>
          <w:bCs/>
          <w:szCs w:val="28"/>
        </w:rPr>
        <w:t xml:space="preserve">ar 2011.gada pirmajā </w:t>
      </w:r>
      <w:r w:rsidR="00C450AD" w:rsidRPr="00C450AD">
        <w:rPr>
          <w:b/>
          <w:bCs/>
          <w:szCs w:val="28"/>
        </w:rPr>
        <w:t>pusgadā konstatētajiem neatbilstoši veiktajiem izdevumiem Eiropas Savienības politikas instrument</w:t>
      </w:r>
      <w:r w:rsidR="005E3C42">
        <w:rPr>
          <w:b/>
          <w:bCs/>
          <w:szCs w:val="28"/>
        </w:rPr>
        <w:t>u</w:t>
      </w:r>
      <w:r w:rsidR="00C450AD" w:rsidRPr="00C450AD">
        <w:rPr>
          <w:b/>
          <w:bCs/>
          <w:szCs w:val="28"/>
        </w:rPr>
        <w:t>, Eiropas Savienības iniciatīv</w:t>
      </w:r>
      <w:r w:rsidR="005E3C42">
        <w:rPr>
          <w:b/>
          <w:bCs/>
          <w:szCs w:val="28"/>
        </w:rPr>
        <w:t>u</w:t>
      </w:r>
      <w:r w:rsidR="00C450AD" w:rsidRPr="00C450AD">
        <w:rPr>
          <w:b/>
          <w:bCs/>
          <w:szCs w:val="28"/>
        </w:rPr>
        <w:t>s, Pirmsiestāšanās fond</w:t>
      </w:r>
      <w:r w:rsidR="005E3C42">
        <w:rPr>
          <w:b/>
          <w:bCs/>
          <w:szCs w:val="28"/>
        </w:rPr>
        <w:t>u</w:t>
      </w:r>
      <w:r w:rsidR="00C450AD" w:rsidRPr="00C450AD">
        <w:rPr>
          <w:b/>
          <w:bCs/>
          <w:szCs w:val="28"/>
        </w:rPr>
        <w:t xml:space="preserve"> </w:t>
      </w:r>
      <w:r w:rsidR="003E0D8E">
        <w:rPr>
          <w:b/>
          <w:bCs/>
          <w:szCs w:val="28"/>
        </w:rPr>
        <w:t>un</w:t>
      </w:r>
      <w:r w:rsidR="003E0D8E" w:rsidRPr="00C450AD">
        <w:rPr>
          <w:b/>
          <w:bCs/>
          <w:szCs w:val="28"/>
        </w:rPr>
        <w:t xml:space="preserve"> </w:t>
      </w:r>
      <w:r w:rsidR="00C450AD" w:rsidRPr="00C450AD">
        <w:rPr>
          <w:b/>
          <w:bCs/>
          <w:szCs w:val="28"/>
        </w:rPr>
        <w:t>Pārejas perioda palīdzības ietvaros</w:t>
      </w:r>
      <w:r w:rsidR="00B12B19" w:rsidRPr="004920DA">
        <w:rPr>
          <w:szCs w:val="28"/>
        </w:rPr>
        <w:t>”</w:t>
      </w:r>
    </w:p>
    <w:p w:rsidR="00B12B19" w:rsidRPr="00AC6AD1" w:rsidRDefault="00B12B19" w:rsidP="00C2014B">
      <w:pPr>
        <w:jc w:val="center"/>
        <w:rPr>
          <w:b/>
          <w:sz w:val="24"/>
        </w:rPr>
      </w:pPr>
      <w:r w:rsidRPr="00C2014B">
        <w:rPr>
          <w:b/>
          <w:szCs w:val="28"/>
        </w:rPr>
        <w:t>___________________________________________________</w:t>
      </w:r>
    </w:p>
    <w:p w:rsidR="00B12B19" w:rsidRDefault="00B12B19">
      <w:pPr>
        <w:pStyle w:val="BodyText2"/>
        <w:spacing w:before="0"/>
        <w:jc w:val="center"/>
        <w:rPr>
          <w:sz w:val="24"/>
        </w:rPr>
      </w:pPr>
      <w:r>
        <w:rPr>
          <w:sz w:val="24"/>
        </w:rPr>
        <w:t>(…)</w:t>
      </w:r>
    </w:p>
    <w:p w:rsidR="00B12B19" w:rsidRDefault="00B12B19">
      <w:pPr>
        <w:pStyle w:val="BodyText2"/>
        <w:spacing w:before="0"/>
        <w:rPr>
          <w:sz w:val="24"/>
        </w:rPr>
      </w:pPr>
    </w:p>
    <w:p w:rsidR="00B12B19" w:rsidRPr="00B330D9" w:rsidRDefault="00652C61" w:rsidP="00141A26">
      <w:pPr>
        <w:spacing w:after="120"/>
        <w:ind w:firstLine="720"/>
        <w:jc w:val="both"/>
        <w:rPr>
          <w:szCs w:val="28"/>
        </w:rPr>
      </w:pPr>
      <w:r w:rsidRPr="00B330D9">
        <w:rPr>
          <w:szCs w:val="28"/>
        </w:rPr>
        <w:t>1. </w:t>
      </w:r>
      <w:r w:rsidR="007B7F6C" w:rsidRPr="00B330D9">
        <w:rPr>
          <w:szCs w:val="28"/>
        </w:rPr>
        <w:t>Pieņemt</w:t>
      </w:r>
      <w:r w:rsidR="00B12B19" w:rsidRPr="00B330D9">
        <w:rPr>
          <w:szCs w:val="28"/>
        </w:rPr>
        <w:t xml:space="preserve"> </w:t>
      </w:r>
      <w:r w:rsidR="00510688" w:rsidRPr="00B330D9">
        <w:rPr>
          <w:szCs w:val="28"/>
        </w:rPr>
        <w:t>zināšanai informatīvo ziņojumu „</w:t>
      </w:r>
      <w:r w:rsidR="00436D3E">
        <w:rPr>
          <w:bCs/>
          <w:szCs w:val="28"/>
        </w:rPr>
        <w:t xml:space="preserve">Par 2011.gada pirmajā </w:t>
      </w:r>
      <w:r w:rsidR="006F4237" w:rsidRPr="006F4237">
        <w:rPr>
          <w:bCs/>
          <w:szCs w:val="28"/>
        </w:rPr>
        <w:t>pusgadā konstatētajiem neatbilstoši veiktajiem izdevumiem Eiropas Savienības politikas instrument</w:t>
      </w:r>
      <w:r w:rsidR="005E3C42">
        <w:rPr>
          <w:bCs/>
          <w:szCs w:val="28"/>
        </w:rPr>
        <w:t>u</w:t>
      </w:r>
      <w:r w:rsidR="006F4237" w:rsidRPr="006F4237">
        <w:rPr>
          <w:bCs/>
          <w:szCs w:val="28"/>
        </w:rPr>
        <w:t>, Eiropas Savienības iniciatīv</w:t>
      </w:r>
      <w:r w:rsidR="005E3C42">
        <w:rPr>
          <w:bCs/>
          <w:szCs w:val="28"/>
        </w:rPr>
        <w:t>u</w:t>
      </w:r>
      <w:r w:rsidR="006F4237" w:rsidRPr="006F4237">
        <w:rPr>
          <w:bCs/>
          <w:szCs w:val="28"/>
        </w:rPr>
        <w:t>, Pirmsiestāšanās fond</w:t>
      </w:r>
      <w:r w:rsidR="005E3C42">
        <w:rPr>
          <w:bCs/>
          <w:szCs w:val="28"/>
        </w:rPr>
        <w:t>u</w:t>
      </w:r>
      <w:r w:rsidR="006F4237" w:rsidRPr="006F4237">
        <w:rPr>
          <w:bCs/>
          <w:szCs w:val="28"/>
        </w:rPr>
        <w:t xml:space="preserve"> </w:t>
      </w:r>
      <w:r w:rsidR="003E0D8E">
        <w:rPr>
          <w:bCs/>
          <w:szCs w:val="28"/>
        </w:rPr>
        <w:t>un</w:t>
      </w:r>
      <w:r w:rsidR="003E0D8E" w:rsidRPr="006F4237">
        <w:rPr>
          <w:bCs/>
          <w:szCs w:val="28"/>
        </w:rPr>
        <w:t xml:space="preserve"> </w:t>
      </w:r>
      <w:r w:rsidR="006F4237" w:rsidRPr="006F4237">
        <w:rPr>
          <w:bCs/>
          <w:szCs w:val="28"/>
        </w:rPr>
        <w:t>Pārejas perioda palīdzības ietvaros</w:t>
      </w:r>
      <w:r w:rsidR="00436D3E">
        <w:rPr>
          <w:szCs w:val="28"/>
        </w:rPr>
        <w:t>”</w:t>
      </w:r>
      <w:r w:rsidR="00566E18" w:rsidRPr="00B330D9">
        <w:rPr>
          <w:szCs w:val="28"/>
        </w:rPr>
        <w:t>.</w:t>
      </w:r>
    </w:p>
    <w:p w:rsidR="002F5E7A" w:rsidRPr="002F5E7A" w:rsidRDefault="002F5E7A" w:rsidP="002F5E7A">
      <w:pPr>
        <w:spacing w:after="120"/>
        <w:ind w:firstLine="720"/>
        <w:jc w:val="both"/>
        <w:rPr>
          <w:szCs w:val="28"/>
          <w:lang w:eastAsia="lv-LV"/>
        </w:rPr>
      </w:pPr>
      <w:r>
        <w:rPr>
          <w:szCs w:val="28"/>
          <w:lang w:eastAsia="lv-LV"/>
        </w:rPr>
        <w:t>2. </w:t>
      </w:r>
      <w:r w:rsidRPr="002F5E7A">
        <w:rPr>
          <w:szCs w:val="28"/>
          <w:lang w:eastAsia="lv-LV"/>
        </w:rPr>
        <w:t>Tieslietu ministrijai un Iekšlietu ministrijai sadarbībā ar Korupcijas novēršanas un apkarošanas biroju un Ģenerālprokuratūru izvērtēt Latvijas tiesiskā regulējuma atbilstību Eiropas Savienības tiesiskajam regulējumam un līdz šim piemēroto praksi Latvijā ar mērķi panākt vienotu izpratni par jēdzienu „krāpšana” un līdz 2012.gada 1.jūnijam iesniegt Finanšu ministrijā informāciju par iespējamo tiesisko risinājumu un vienotas prakses piemērošanu.</w:t>
      </w:r>
    </w:p>
    <w:p w:rsidR="00C937CD" w:rsidRPr="00141A26" w:rsidRDefault="002F5E7A" w:rsidP="002F5E7A">
      <w:pPr>
        <w:spacing w:after="120"/>
        <w:ind w:firstLine="720"/>
        <w:jc w:val="both"/>
        <w:rPr>
          <w:szCs w:val="28"/>
        </w:rPr>
      </w:pPr>
      <w:r w:rsidRPr="002F5E7A">
        <w:rPr>
          <w:szCs w:val="28"/>
          <w:lang w:eastAsia="lv-LV"/>
        </w:rPr>
        <w:t>3.</w:t>
      </w:r>
      <w:r>
        <w:rPr>
          <w:szCs w:val="28"/>
          <w:lang w:eastAsia="lv-LV"/>
        </w:rPr>
        <w:t> </w:t>
      </w:r>
      <w:r w:rsidRPr="002F5E7A">
        <w:rPr>
          <w:szCs w:val="28"/>
          <w:lang w:eastAsia="lv-LV"/>
        </w:rPr>
        <w:t xml:space="preserve">Finanšu ministrijai šī </w:t>
      </w:r>
      <w:proofErr w:type="spellStart"/>
      <w:r w:rsidRPr="002F5E7A">
        <w:rPr>
          <w:szCs w:val="28"/>
          <w:lang w:eastAsia="lv-LV"/>
        </w:rPr>
        <w:t>protokollēmuma</w:t>
      </w:r>
      <w:proofErr w:type="spellEnd"/>
      <w:r w:rsidRPr="002F5E7A">
        <w:rPr>
          <w:szCs w:val="28"/>
          <w:lang w:eastAsia="lv-LV"/>
        </w:rPr>
        <w:t xml:space="preserve"> 2.punktā minēto informāciju  iesniegt noteiktā kārtībā Ministru kabinetā kopā ar kārtējo informatīvo ziņojumu par konstatētajiem neatbilstoši veiktajiem izdevumiem Eiropas Savienības politikas instrumentu, Eiropas Kopienas iniciatīvu, Pirmsiestāšanās fondu un Pārejas perioda palīdzības ietvaros.</w:t>
      </w:r>
    </w:p>
    <w:p w:rsidR="00B31911" w:rsidRPr="004D5846" w:rsidRDefault="00B31911">
      <w:pPr>
        <w:ind w:firstLine="709"/>
        <w:jc w:val="both"/>
        <w:rPr>
          <w:szCs w:val="28"/>
          <w:lang w:eastAsia="lv-LV"/>
        </w:rPr>
      </w:pPr>
    </w:p>
    <w:p w:rsidR="00B12B19" w:rsidRPr="004D5846" w:rsidRDefault="00B12B19" w:rsidP="00F541A5">
      <w:pPr>
        <w:tabs>
          <w:tab w:val="right" w:pos="9356"/>
        </w:tabs>
        <w:rPr>
          <w:szCs w:val="28"/>
        </w:rPr>
      </w:pPr>
      <w:r w:rsidRPr="004D5846">
        <w:rPr>
          <w:szCs w:val="28"/>
        </w:rPr>
        <w:t>Ministru prezidents</w:t>
      </w:r>
      <w:r w:rsidR="00F541A5">
        <w:rPr>
          <w:szCs w:val="28"/>
        </w:rPr>
        <w:tab/>
      </w:r>
      <w:proofErr w:type="spellStart"/>
      <w:r w:rsidR="00AC6AD1">
        <w:rPr>
          <w:szCs w:val="28"/>
        </w:rPr>
        <w:t>V.Dombrovskis</w:t>
      </w:r>
      <w:proofErr w:type="spellEnd"/>
    </w:p>
    <w:p w:rsidR="00C01750" w:rsidRDefault="00C01750">
      <w:pPr>
        <w:rPr>
          <w:szCs w:val="28"/>
        </w:rPr>
      </w:pPr>
    </w:p>
    <w:p w:rsidR="00B31911" w:rsidRDefault="00B31911">
      <w:pPr>
        <w:rPr>
          <w:szCs w:val="28"/>
        </w:rPr>
      </w:pPr>
    </w:p>
    <w:p w:rsidR="00B31911" w:rsidRPr="004D5846" w:rsidRDefault="00B31911">
      <w:pPr>
        <w:rPr>
          <w:szCs w:val="28"/>
        </w:rPr>
      </w:pPr>
    </w:p>
    <w:p w:rsidR="00B12B19" w:rsidRDefault="00B12B19" w:rsidP="00F541A5">
      <w:pPr>
        <w:tabs>
          <w:tab w:val="right" w:pos="9356"/>
        </w:tabs>
        <w:rPr>
          <w:szCs w:val="28"/>
        </w:rPr>
      </w:pPr>
      <w:r w:rsidRPr="004D5846">
        <w:rPr>
          <w:szCs w:val="28"/>
        </w:rPr>
        <w:t>Valsts kancelejas direktore</w:t>
      </w:r>
      <w:r w:rsidR="00F541A5">
        <w:rPr>
          <w:szCs w:val="28"/>
        </w:rPr>
        <w:tab/>
      </w:r>
      <w:proofErr w:type="spellStart"/>
      <w:r w:rsidR="00405CDF">
        <w:rPr>
          <w:szCs w:val="28"/>
        </w:rPr>
        <w:t>E.Dreimane</w:t>
      </w:r>
      <w:proofErr w:type="spellEnd"/>
    </w:p>
    <w:p w:rsidR="00EE0D94" w:rsidRPr="004D5846" w:rsidRDefault="00EE0D94" w:rsidP="00861B33">
      <w:pPr>
        <w:rPr>
          <w:szCs w:val="28"/>
        </w:rPr>
      </w:pPr>
    </w:p>
    <w:p w:rsidR="005E00E1" w:rsidRDefault="005E00E1" w:rsidP="00C82116">
      <w:pPr>
        <w:pStyle w:val="Header"/>
        <w:tabs>
          <w:tab w:val="left" w:pos="6804"/>
        </w:tabs>
        <w:jc w:val="both"/>
        <w:rPr>
          <w:szCs w:val="28"/>
        </w:rPr>
      </w:pPr>
    </w:p>
    <w:p w:rsidR="00C82116" w:rsidRDefault="005E00E1" w:rsidP="00F541A5">
      <w:pPr>
        <w:pStyle w:val="Header"/>
        <w:tabs>
          <w:tab w:val="clear" w:pos="4153"/>
          <w:tab w:val="clear" w:pos="8306"/>
          <w:tab w:val="right" w:pos="9356"/>
        </w:tabs>
        <w:jc w:val="both"/>
        <w:rPr>
          <w:szCs w:val="28"/>
        </w:rPr>
      </w:pPr>
      <w:r>
        <w:rPr>
          <w:szCs w:val="28"/>
        </w:rPr>
        <w:t>Finanšu ministrs</w:t>
      </w:r>
      <w:r w:rsidR="00F541A5">
        <w:rPr>
          <w:szCs w:val="28"/>
        </w:rPr>
        <w:tab/>
      </w:r>
      <w:r w:rsidR="00C937CD">
        <w:rPr>
          <w:szCs w:val="28"/>
        </w:rPr>
        <w:t>A.Vilks</w:t>
      </w:r>
    </w:p>
    <w:p w:rsidR="00652C61" w:rsidRDefault="00652C61" w:rsidP="00C82116">
      <w:pPr>
        <w:pStyle w:val="Header"/>
        <w:tabs>
          <w:tab w:val="left" w:pos="6804"/>
        </w:tabs>
        <w:jc w:val="both"/>
        <w:rPr>
          <w:szCs w:val="28"/>
        </w:rPr>
      </w:pPr>
    </w:p>
    <w:p w:rsidR="00BA7E76" w:rsidRDefault="00BA7E76" w:rsidP="00C82116">
      <w:pPr>
        <w:pStyle w:val="Header"/>
        <w:tabs>
          <w:tab w:val="left" w:pos="6804"/>
        </w:tabs>
        <w:jc w:val="both"/>
        <w:rPr>
          <w:szCs w:val="28"/>
        </w:rPr>
      </w:pPr>
    </w:p>
    <w:p w:rsidR="00FC5135" w:rsidRDefault="00FC5135" w:rsidP="00C82116">
      <w:pPr>
        <w:pStyle w:val="Header"/>
        <w:tabs>
          <w:tab w:val="left" w:pos="6804"/>
        </w:tabs>
        <w:jc w:val="both"/>
        <w:rPr>
          <w:szCs w:val="28"/>
        </w:rPr>
      </w:pPr>
    </w:p>
    <w:p w:rsidR="002F5E7A" w:rsidRDefault="002F5E7A" w:rsidP="00C82116">
      <w:pPr>
        <w:pStyle w:val="Header"/>
        <w:tabs>
          <w:tab w:val="left" w:pos="6804"/>
        </w:tabs>
        <w:jc w:val="both"/>
        <w:rPr>
          <w:szCs w:val="28"/>
        </w:rPr>
      </w:pPr>
    </w:p>
    <w:p w:rsidR="00C937CD" w:rsidRDefault="002D3A66" w:rsidP="00652C61">
      <w:pPr>
        <w:rPr>
          <w:sz w:val="18"/>
          <w:szCs w:val="18"/>
        </w:rPr>
      </w:pPr>
      <w:r>
        <w:rPr>
          <w:sz w:val="18"/>
          <w:szCs w:val="18"/>
        </w:rPr>
        <w:t>01</w:t>
      </w:r>
      <w:r w:rsidR="0047469B">
        <w:rPr>
          <w:sz w:val="18"/>
          <w:szCs w:val="18"/>
        </w:rPr>
        <w:t>.</w:t>
      </w:r>
      <w:r>
        <w:rPr>
          <w:sz w:val="18"/>
          <w:szCs w:val="18"/>
        </w:rPr>
        <w:t>03</w:t>
      </w:r>
      <w:r w:rsidR="00652C61" w:rsidRPr="004570B3">
        <w:rPr>
          <w:sz w:val="18"/>
          <w:szCs w:val="18"/>
        </w:rPr>
        <w:t>.201</w:t>
      </w:r>
      <w:r w:rsidR="003E0D8E">
        <w:rPr>
          <w:sz w:val="18"/>
          <w:szCs w:val="18"/>
        </w:rPr>
        <w:t>2</w:t>
      </w:r>
      <w:r w:rsidR="00652C61" w:rsidRPr="004570B3">
        <w:rPr>
          <w:sz w:val="18"/>
          <w:szCs w:val="18"/>
        </w:rPr>
        <w:t xml:space="preserve">. </w:t>
      </w:r>
      <w:r w:rsidR="00436D3E">
        <w:rPr>
          <w:sz w:val="18"/>
          <w:szCs w:val="18"/>
        </w:rPr>
        <w:t xml:space="preserve"> </w:t>
      </w:r>
      <w:r>
        <w:rPr>
          <w:sz w:val="18"/>
          <w:szCs w:val="18"/>
        </w:rPr>
        <w:t>13</w:t>
      </w:r>
      <w:r w:rsidR="00DD1DDA">
        <w:rPr>
          <w:sz w:val="18"/>
          <w:szCs w:val="18"/>
        </w:rPr>
        <w:t>:</w:t>
      </w:r>
      <w:r w:rsidR="002C5D07">
        <w:rPr>
          <w:sz w:val="18"/>
          <w:szCs w:val="18"/>
        </w:rPr>
        <w:t>33</w:t>
      </w:r>
      <w:bookmarkStart w:id="0" w:name="_GoBack"/>
      <w:bookmarkEnd w:id="0"/>
    </w:p>
    <w:p w:rsidR="00652C61" w:rsidRPr="001A6A42" w:rsidRDefault="002D3A66" w:rsidP="00652C61">
      <w:pPr>
        <w:rPr>
          <w:sz w:val="18"/>
          <w:szCs w:val="18"/>
        </w:rPr>
      </w:pPr>
      <w:fldSimple w:instr=" NUMWORDS   \* MERGEFORMAT ">
        <w:r w:rsidR="00DD1DDA" w:rsidRPr="00DD1DDA">
          <w:rPr>
            <w:noProof/>
            <w:sz w:val="18"/>
            <w:szCs w:val="18"/>
          </w:rPr>
          <w:t>171</w:t>
        </w:r>
      </w:fldSimple>
    </w:p>
    <w:p w:rsidR="00652C61" w:rsidRPr="004570B3" w:rsidRDefault="00652C61" w:rsidP="00652C61">
      <w:pPr>
        <w:rPr>
          <w:sz w:val="18"/>
          <w:szCs w:val="18"/>
        </w:rPr>
      </w:pPr>
      <w:r>
        <w:rPr>
          <w:sz w:val="18"/>
          <w:szCs w:val="18"/>
        </w:rPr>
        <w:t>Avota, 670839</w:t>
      </w:r>
      <w:r w:rsidRPr="004570B3">
        <w:rPr>
          <w:sz w:val="18"/>
          <w:szCs w:val="18"/>
        </w:rPr>
        <w:t>54</w:t>
      </w:r>
    </w:p>
    <w:p w:rsidR="00BA7E76" w:rsidRPr="004431DB" w:rsidRDefault="00BD02B7" w:rsidP="00652C61">
      <w:pPr>
        <w:rPr>
          <w:sz w:val="18"/>
          <w:szCs w:val="18"/>
        </w:rPr>
      </w:pPr>
      <w:hyperlink r:id="rId9" w:history="1">
        <w:r w:rsidR="004431DB" w:rsidRPr="00877A1A">
          <w:rPr>
            <w:rStyle w:val="Hyperlink"/>
            <w:sz w:val="18"/>
            <w:szCs w:val="18"/>
          </w:rPr>
          <w:t>Aiva.Avota@fm.gov.lv</w:t>
        </w:r>
      </w:hyperlink>
    </w:p>
    <w:sectPr w:rsidR="00BA7E76" w:rsidRPr="004431DB" w:rsidSect="008473AC">
      <w:headerReference w:type="default" r:id="rId10"/>
      <w:footerReference w:type="default" r:id="rId11"/>
      <w:headerReference w:type="first" r:id="rId12"/>
      <w:footerReference w:type="first" r:id="rId13"/>
      <w:pgSz w:w="11906" w:h="16838"/>
      <w:pgMar w:top="1138" w:right="850" w:bottom="1138" w:left="1699" w:header="706" w:footer="70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1B" w:rsidRDefault="00E8571B">
      <w:r>
        <w:separator/>
      </w:r>
    </w:p>
  </w:endnote>
  <w:endnote w:type="continuationSeparator" w:id="0">
    <w:p w:rsidR="00E8571B" w:rsidRDefault="00E8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1B" w:rsidRPr="00B330D9" w:rsidRDefault="00E8571B" w:rsidP="009F189D">
    <w:pPr>
      <w:pStyle w:val="BodyText"/>
      <w:jc w:val="both"/>
      <w:rPr>
        <w:b w:val="0"/>
        <w:sz w:val="20"/>
        <w:szCs w:val="20"/>
      </w:rPr>
    </w:pPr>
    <w:r w:rsidRPr="00CF2D14">
      <w:rPr>
        <w:b w:val="0"/>
        <w:sz w:val="20"/>
        <w:szCs w:val="20"/>
      </w:rPr>
      <w:fldChar w:fldCharType="begin"/>
    </w:r>
    <w:r w:rsidRPr="00CF2D14">
      <w:rPr>
        <w:b w:val="0"/>
        <w:sz w:val="20"/>
        <w:szCs w:val="20"/>
      </w:rPr>
      <w:instrText xml:space="preserve"> FILENAME   \* MERGEFORMAT </w:instrText>
    </w:r>
    <w:r w:rsidRPr="00CF2D14">
      <w:rPr>
        <w:b w:val="0"/>
        <w:sz w:val="20"/>
        <w:szCs w:val="20"/>
      </w:rPr>
      <w:fldChar w:fldCharType="separate"/>
    </w:r>
    <w:r w:rsidR="00BD02B7">
      <w:rPr>
        <w:b w:val="0"/>
        <w:noProof/>
        <w:sz w:val="20"/>
        <w:szCs w:val="20"/>
      </w:rPr>
      <w:t>FMprot_200212_Neatbilst_veiktie_izdev</w:t>
    </w:r>
    <w:r w:rsidRPr="00CF2D14">
      <w:rPr>
        <w:b w:val="0"/>
        <w:noProof/>
        <w:sz w:val="20"/>
        <w:szCs w:val="20"/>
      </w:rPr>
      <w:fldChar w:fldCharType="end"/>
    </w:r>
    <w:r w:rsidRPr="00CF2D14">
      <w:rPr>
        <w:b w:val="0"/>
        <w:sz w:val="20"/>
        <w:szCs w:val="20"/>
      </w:rPr>
      <w:t xml:space="preserve">; </w:t>
    </w:r>
    <w:r w:rsidRPr="003E0D8E">
      <w:rPr>
        <w:b w:val="0"/>
        <w:sz w:val="20"/>
        <w:szCs w:val="20"/>
      </w:rPr>
      <w:t xml:space="preserve">Par informatīvo ziņojumu „Par 2011.gada pirmajā pusgadā konstatētajiem neatbilstoši veiktajiem izdevumiem Eiropas Savienības politikas instrumentu, Eiropas Savienības </w:t>
    </w:r>
    <w:r>
      <w:rPr>
        <w:b w:val="0"/>
        <w:sz w:val="20"/>
        <w:szCs w:val="20"/>
      </w:rPr>
      <w:t>iniciatīvu</w:t>
    </w:r>
    <w:r w:rsidRPr="003E0D8E">
      <w:rPr>
        <w:b w:val="0"/>
        <w:sz w:val="20"/>
        <w:szCs w:val="20"/>
      </w:rPr>
      <w:t xml:space="preserve">, Pirmsiestāšanās fondu </w:t>
    </w:r>
    <w:r>
      <w:rPr>
        <w:b w:val="0"/>
        <w:sz w:val="20"/>
        <w:szCs w:val="20"/>
      </w:rPr>
      <w:t>un</w:t>
    </w:r>
    <w:r w:rsidRPr="003E0D8E">
      <w:rPr>
        <w:b w:val="0"/>
        <w:sz w:val="20"/>
        <w:szCs w:val="20"/>
      </w:rPr>
      <w:t xml:space="preserve"> Pārejas perioda palīdzības ietvaros”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1B" w:rsidRPr="00CF2D14" w:rsidRDefault="00E8571B" w:rsidP="003B37D3">
    <w:pPr>
      <w:pStyle w:val="BodyText"/>
      <w:jc w:val="both"/>
      <w:rPr>
        <w:b w:val="0"/>
        <w:sz w:val="20"/>
        <w:szCs w:val="18"/>
      </w:rPr>
    </w:pPr>
    <w:r w:rsidRPr="00CF2D14">
      <w:rPr>
        <w:b w:val="0"/>
        <w:sz w:val="20"/>
        <w:szCs w:val="18"/>
      </w:rPr>
      <w:fldChar w:fldCharType="begin"/>
    </w:r>
    <w:r w:rsidRPr="00CF2D14">
      <w:rPr>
        <w:b w:val="0"/>
        <w:sz w:val="20"/>
        <w:szCs w:val="18"/>
      </w:rPr>
      <w:instrText xml:space="preserve"> FILENAME   \* MERGEFORMAT </w:instrText>
    </w:r>
    <w:r w:rsidRPr="00CF2D14">
      <w:rPr>
        <w:b w:val="0"/>
        <w:sz w:val="20"/>
        <w:szCs w:val="18"/>
      </w:rPr>
      <w:fldChar w:fldCharType="separate"/>
    </w:r>
    <w:r w:rsidR="00BD02B7">
      <w:rPr>
        <w:b w:val="0"/>
        <w:noProof/>
        <w:sz w:val="20"/>
        <w:szCs w:val="18"/>
      </w:rPr>
      <w:t>FMprot_200212_Neatbilst_veiktie_izdev</w:t>
    </w:r>
    <w:r w:rsidRPr="00CF2D14">
      <w:rPr>
        <w:b w:val="0"/>
        <w:noProof/>
        <w:sz w:val="20"/>
        <w:szCs w:val="18"/>
      </w:rPr>
      <w:fldChar w:fldCharType="end"/>
    </w:r>
    <w:r w:rsidRPr="00CF2D14">
      <w:rPr>
        <w:b w:val="0"/>
        <w:sz w:val="20"/>
        <w:szCs w:val="18"/>
      </w:rPr>
      <w:t>; Par informatīvo ziņojumu „Par 2011.gada pirmajā pusgadā konstatētajiem neatbilstoši veiktajiem izdevumiem Eiropas Savienības politikas instrument</w:t>
    </w:r>
    <w:r>
      <w:rPr>
        <w:b w:val="0"/>
        <w:sz w:val="20"/>
        <w:szCs w:val="18"/>
      </w:rPr>
      <w:t>u</w:t>
    </w:r>
    <w:r w:rsidRPr="00CF2D14">
      <w:rPr>
        <w:b w:val="0"/>
        <w:sz w:val="20"/>
        <w:szCs w:val="18"/>
      </w:rPr>
      <w:t>, Eiropas Savienības iniciatīv</w:t>
    </w:r>
    <w:r>
      <w:rPr>
        <w:b w:val="0"/>
        <w:sz w:val="20"/>
        <w:szCs w:val="18"/>
      </w:rPr>
      <w:t>u</w:t>
    </w:r>
    <w:r w:rsidRPr="00CF2D14">
      <w:rPr>
        <w:b w:val="0"/>
        <w:sz w:val="20"/>
        <w:szCs w:val="18"/>
      </w:rPr>
      <w:t>, Pirmsiestāšanās fond</w:t>
    </w:r>
    <w:r>
      <w:rPr>
        <w:b w:val="0"/>
        <w:sz w:val="20"/>
        <w:szCs w:val="18"/>
      </w:rPr>
      <w:t>u</w:t>
    </w:r>
    <w:r w:rsidRPr="00CF2D14">
      <w:rPr>
        <w:b w:val="0"/>
        <w:sz w:val="20"/>
        <w:szCs w:val="18"/>
      </w:rPr>
      <w:t xml:space="preserve"> </w:t>
    </w:r>
    <w:r>
      <w:rPr>
        <w:b w:val="0"/>
        <w:sz w:val="20"/>
        <w:szCs w:val="18"/>
      </w:rPr>
      <w:t>un</w:t>
    </w:r>
    <w:r w:rsidRPr="00CF2D14">
      <w:rPr>
        <w:b w:val="0"/>
        <w:sz w:val="20"/>
        <w:szCs w:val="18"/>
      </w:rPr>
      <w:t xml:space="preserve"> Pārejas perioda palīdzības ietvaros”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1B" w:rsidRDefault="00E8571B">
      <w:r>
        <w:separator/>
      </w:r>
    </w:p>
  </w:footnote>
  <w:footnote w:type="continuationSeparator" w:id="0">
    <w:p w:rsidR="00E8571B" w:rsidRDefault="00E8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3376"/>
      <w:docPartObj>
        <w:docPartGallery w:val="Page Numbers (Top of Page)"/>
        <w:docPartUnique/>
      </w:docPartObj>
    </w:sdtPr>
    <w:sdtEndPr>
      <w:rPr>
        <w:sz w:val="24"/>
      </w:rPr>
    </w:sdtEndPr>
    <w:sdtContent>
      <w:p w:rsidR="00E8571B" w:rsidRPr="001430F6" w:rsidRDefault="00E8571B" w:rsidP="001430F6">
        <w:pPr>
          <w:pStyle w:val="Header"/>
          <w:jc w:val="center"/>
          <w:rPr>
            <w:i/>
            <w:sz w:val="24"/>
          </w:rPr>
        </w:pPr>
        <w:r w:rsidRPr="001430F6">
          <w:rPr>
            <w:sz w:val="24"/>
          </w:rPr>
          <w:fldChar w:fldCharType="begin"/>
        </w:r>
        <w:r w:rsidRPr="001430F6">
          <w:rPr>
            <w:sz w:val="24"/>
          </w:rPr>
          <w:instrText xml:space="preserve"> PAGE   \* MERGEFORMAT </w:instrText>
        </w:r>
        <w:r w:rsidRPr="001430F6">
          <w:rPr>
            <w:sz w:val="24"/>
          </w:rPr>
          <w:fldChar w:fldCharType="separate"/>
        </w:r>
        <w:r w:rsidR="002F5E7A">
          <w:rPr>
            <w:noProof/>
            <w:sz w:val="24"/>
          </w:rPr>
          <w:t>2</w:t>
        </w:r>
        <w:r w:rsidRPr="001430F6">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1B" w:rsidRPr="0079624C" w:rsidRDefault="00E8571B" w:rsidP="0079624C">
    <w:pPr>
      <w:pStyle w:val="Header"/>
      <w:jc w:val="right"/>
      <w:rPr>
        <w:i/>
      </w:rPr>
    </w:pPr>
    <w:r w:rsidRPr="0079624C">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A6A72"/>
    <w:multiLevelType w:val="hybridMultilevel"/>
    <w:tmpl w:val="FFE0C2BC"/>
    <w:lvl w:ilvl="0" w:tplc="41048214">
      <w:start w:val="1"/>
      <w:numFmt w:val="decimal"/>
      <w:lvlText w:val="%1."/>
      <w:lvlJc w:val="left"/>
      <w:pPr>
        <w:tabs>
          <w:tab w:val="num" w:pos="720"/>
        </w:tabs>
        <w:ind w:left="720" w:hanging="360"/>
      </w:pPr>
      <w:rPr>
        <w:rFonts w:hint="default"/>
      </w:rPr>
    </w:lvl>
    <w:lvl w:ilvl="1" w:tplc="BEC2B4F8">
      <w:numFmt w:val="none"/>
      <w:lvlText w:val=""/>
      <w:lvlJc w:val="left"/>
      <w:pPr>
        <w:tabs>
          <w:tab w:val="num" w:pos="360"/>
        </w:tabs>
      </w:pPr>
    </w:lvl>
    <w:lvl w:ilvl="2" w:tplc="36E4264A">
      <w:numFmt w:val="none"/>
      <w:lvlText w:val=""/>
      <w:lvlJc w:val="left"/>
      <w:pPr>
        <w:tabs>
          <w:tab w:val="num" w:pos="360"/>
        </w:tabs>
      </w:pPr>
    </w:lvl>
    <w:lvl w:ilvl="3" w:tplc="5F46676A">
      <w:numFmt w:val="none"/>
      <w:lvlText w:val=""/>
      <w:lvlJc w:val="left"/>
      <w:pPr>
        <w:tabs>
          <w:tab w:val="num" w:pos="360"/>
        </w:tabs>
      </w:pPr>
    </w:lvl>
    <w:lvl w:ilvl="4" w:tplc="C3E6F6DE">
      <w:numFmt w:val="none"/>
      <w:lvlText w:val=""/>
      <w:lvlJc w:val="left"/>
      <w:pPr>
        <w:tabs>
          <w:tab w:val="num" w:pos="360"/>
        </w:tabs>
      </w:pPr>
    </w:lvl>
    <w:lvl w:ilvl="5" w:tplc="64FED47A">
      <w:numFmt w:val="none"/>
      <w:lvlText w:val=""/>
      <w:lvlJc w:val="left"/>
      <w:pPr>
        <w:tabs>
          <w:tab w:val="num" w:pos="360"/>
        </w:tabs>
      </w:pPr>
    </w:lvl>
    <w:lvl w:ilvl="6" w:tplc="05EC98CE">
      <w:numFmt w:val="none"/>
      <w:lvlText w:val=""/>
      <w:lvlJc w:val="left"/>
      <w:pPr>
        <w:tabs>
          <w:tab w:val="num" w:pos="360"/>
        </w:tabs>
      </w:pPr>
    </w:lvl>
    <w:lvl w:ilvl="7" w:tplc="B5B2EB84">
      <w:numFmt w:val="none"/>
      <w:lvlText w:val=""/>
      <w:lvlJc w:val="left"/>
      <w:pPr>
        <w:tabs>
          <w:tab w:val="num" w:pos="360"/>
        </w:tabs>
      </w:pPr>
    </w:lvl>
    <w:lvl w:ilvl="8" w:tplc="EA6495A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E7"/>
    <w:rsid w:val="00000F78"/>
    <w:rsid w:val="00001D42"/>
    <w:rsid w:val="00002F0B"/>
    <w:rsid w:val="00005B71"/>
    <w:rsid w:val="00032387"/>
    <w:rsid w:val="00051704"/>
    <w:rsid w:val="00055B0E"/>
    <w:rsid w:val="00063FE6"/>
    <w:rsid w:val="00087CE2"/>
    <w:rsid w:val="000A0B2E"/>
    <w:rsid w:val="000B1880"/>
    <w:rsid w:val="000C1CC2"/>
    <w:rsid w:val="000F0F16"/>
    <w:rsid w:val="001045F2"/>
    <w:rsid w:val="00111BAA"/>
    <w:rsid w:val="00117DC7"/>
    <w:rsid w:val="00124414"/>
    <w:rsid w:val="00131445"/>
    <w:rsid w:val="00137E11"/>
    <w:rsid w:val="00141A26"/>
    <w:rsid w:val="001430F6"/>
    <w:rsid w:val="00143F59"/>
    <w:rsid w:val="00144F8A"/>
    <w:rsid w:val="0015054C"/>
    <w:rsid w:val="00153E5F"/>
    <w:rsid w:val="0015411C"/>
    <w:rsid w:val="00165E49"/>
    <w:rsid w:val="0016784B"/>
    <w:rsid w:val="001A6A42"/>
    <w:rsid w:val="001B3B70"/>
    <w:rsid w:val="001B6BF8"/>
    <w:rsid w:val="001D1814"/>
    <w:rsid w:val="001E53B6"/>
    <w:rsid w:val="001F0E72"/>
    <w:rsid w:val="001F4C68"/>
    <w:rsid w:val="001F7301"/>
    <w:rsid w:val="00206369"/>
    <w:rsid w:val="0021283B"/>
    <w:rsid w:val="00212A55"/>
    <w:rsid w:val="00220434"/>
    <w:rsid w:val="00223F0D"/>
    <w:rsid w:val="00232EB5"/>
    <w:rsid w:val="002472DC"/>
    <w:rsid w:val="002701E7"/>
    <w:rsid w:val="002B13CC"/>
    <w:rsid w:val="002B1F80"/>
    <w:rsid w:val="002B23F6"/>
    <w:rsid w:val="002B3B9B"/>
    <w:rsid w:val="002C5D07"/>
    <w:rsid w:val="002C781A"/>
    <w:rsid w:val="002D3A66"/>
    <w:rsid w:val="002D3C59"/>
    <w:rsid w:val="002D7713"/>
    <w:rsid w:val="002E66D6"/>
    <w:rsid w:val="002F383C"/>
    <w:rsid w:val="002F5E7A"/>
    <w:rsid w:val="003052E5"/>
    <w:rsid w:val="0030722E"/>
    <w:rsid w:val="00322D7A"/>
    <w:rsid w:val="00335235"/>
    <w:rsid w:val="00337B48"/>
    <w:rsid w:val="00344490"/>
    <w:rsid w:val="00346DC1"/>
    <w:rsid w:val="00352347"/>
    <w:rsid w:val="003609A0"/>
    <w:rsid w:val="0036452C"/>
    <w:rsid w:val="00367143"/>
    <w:rsid w:val="00371ECA"/>
    <w:rsid w:val="00387F79"/>
    <w:rsid w:val="003A17A8"/>
    <w:rsid w:val="003B37D3"/>
    <w:rsid w:val="003C12BF"/>
    <w:rsid w:val="003C1B02"/>
    <w:rsid w:val="003C71AB"/>
    <w:rsid w:val="003D4DBA"/>
    <w:rsid w:val="003E0D8E"/>
    <w:rsid w:val="00403EDF"/>
    <w:rsid w:val="00405CDF"/>
    <w:rsid w:val="0042020F"/>
    <w:rsid w:val="004367CC"/>
    <w:rsid w:val="00436D3E"/>
    <w:rsid w:val="004431DB"/>
    <w:rsid w:val="0045604F"/>
    <w:rsid w:val="004610F2"/>
    <w:rsid w:val="004719F2"/>
    <w:rsid w:val="0047469B"/>
    <w:rsid w:val="00485A2E"/>
    <w:rsid w:val="004920DA"/>
    <w:rsid w:val="004B6674"/>
    <w:rsid w:val="004C0EB7"/>
    <w:rsid w:val="004C76AE"/>
    <w:rsid w:val="004D5846"/>
    <w:rsid w:val="004D633E"/>
    <w:rsid w:val="004F2B62"/>
    <w:rsid w:val="00500967"/>
    <w:rsid w:val="00510688"/>
    <w:rsid w:val="00516A2F"/>
    <w:rsid w:val="005217FE"/>
    <w:rsid w:val="00523B31"/>
    <w:rsid w:val="005242C9"/>
    <w:rsid w:val="005408FB"/>
    <w:rsid w:val="005446B6"/>
    <w:rsid w:val="00562022"/>
    <w:rsid w:val="00562D0C"/>
    <w:rsid w:val="00566E18"/>
    <w:rsid w:val="0057196A"/>
    <w:rsid w:val="0057274F"/>
    <w:rsid w:val="00575E1C"/>
    <w:rsid w:val="00580B32"/>
    <w:rsid w:val="00591991"/>
    <w:rsid w:val="00592D0D"/>
    <w:rsid w:val="005931B0"/>
    <w:rsid w:val="005C1DDD"/>
    <w:rsid w:val="005C626E"/>
    <w:rsid w:val="005D2072"/>
    <w:rsid w:val="005E00E1"/>
    <w:rsid w:val="005E1D17"/>
    <w:rsid w:val="005E3C42"/>
    <w:rsid w:val="005E7883"/>
    <w:rsid w:val="00606300"/>
    <w:rsid w:val="006156E1"/>
    <w:rsid w:val="00633691"/>
    <w:rsid w:val="00644DA0"/>
    <w:rsid w:val="00650C43"/>
    <w:rsid w:val="00652C61"/>
    <w:rsid w:val="0065489E"/>
    <w:rsid w:val="00670274"/>
    <w:rsid w:val="0067437A"/>
    <w:rsid w:val="006905CB"/>
    <w:rsid w:val="00691C6B"/>
    <w:rsid w:val="006A5D52"/>
    <w:rsid w:val="006B2B17"/>
    <w:rsid w:val="006C138F"/>
    <w:rsid w:val="006C228F"/>
    <w:rsid w:val="006C28F7"/>
    <w:rsid w:val="006C4535"/>
    <w:rsid w:val="006D7314"/>
    <w:rsid w:val="006D73F3"/>
    <w:rsid w:val="006E3FE2"/>
    <w:rsid w:val="006F32E3"/>
    <w:rsid w:val="006F3A89"/>
    <w:rsid w:val="006F4237"/>
    <w:rsid w:val="00703397"/>
    <w:rsid w:val="00714F9E"/>
    <w:rsid w:val="00715E81"/>
    <w:rsid w:val="0072043D"/>
    <w:rsid w:val="0072782A"/>
    <w:rsid w:val="00737644"/>
    <w:rsid w:val="00737E96"/>
    <w:rsid w:val="00737F2C"/>
    <w:rsid w:val="00753FA3"/>
    <w:rsid w:val="0076315D"/>
    <w:rsid w:val="00784226"/>
    <w:rsid w:val="007929B8"/>
    <w:rsid w:val="007948B1"/>
    <w:rsid w:val="00795483"/>
    <w:rsid w:val="0079624C"/>
    <w:rsid w:val="007B46D9"/>
    <w:rsid w:val="007B7D40"/>
    <w:rsid w:val="007B7F6C"/>
    <w:rsid w:val="007D5615"/>
    <w:rsid w:val="007F36B1"/>
    <w:rsid w:val="008011C7"/>
    <w:rsid w:val="008013BA"/>
    <w:rsid w:val="00801913"/>
    <w:rsid w:val="00801FA6"/>
    <w:rsid w:val="008041AD"/>
    <w:rsid w:val="0081112E"/>
    <w:rsid w:val="008210CF"/>
    <w:rsid w:val="0083255D"/>
    <w:rsid w:val="008473AC"/>
    <w:rsid w:val="00861B33"/>
    <w:rsid w:val="0086521A"/>
    <w:rsid w:val="00865798"/>
    <w:rsid w:val="00870582"/>
    <w:rsid w:val="00873FCA"/>
    <w:rsid w:val="00876515"/>
    <w:rsid w:val="0088621A"/>
    <w:rsid w:val="008A42F5"/>
    <w:rsid w:val="008C2065"/>
    <w:rsid w:val="008D4111"/>
    <w:rsid w:val="008D5D0C"/>
    <w:rsid w:val="008F1111"/>
    <w:rsid w:val="009051A0"/>
    <w:rsid w:val="00905582"/>
    <w:rsid w:val="00906A71"/>
    <w:rsid w:val="00907DF7"/>
    <w:rsid w:val="00930EE9"/>
    <w:rsid w:val="00931838"/>
    <w:rsid w:val="00932BC5"/>
    <w:rsid w:val="00942D26"/>
    <w:rsid w:val="00943B1A"/>
    <w:rsid w:val="009549A8"/>
    <w:rsid w:val="00956C79"/>
    <w:rsid w:val="00957AE5"/>
    <w:rsid w:val="0096088A"/>
    <w:rsid w:val="00962A24"/>
    <w:rsid w:val="00963DEA"/>
    <w:rsid w:val="009754BE"/>
    <w:rsid w:val="0098187F"/>
    <w:rsid w:val="0099570E"/>
    <w:rsid w:val="009A3696"/>
    <w:rsid w:val="009B349D"/>
    <w:rsid w:val="009D07B9"/>
    <w:rsid w:val="009D6B45"/>
    <w:rsid w:val="009F009C"/>
    <w:rsid w:val="009F189D"/>
    <w:rsid w:val="009F2A36"/>
    <w:rsid w:val="009F62FD"/>
    <w:rsid w:val="00A009C6"/>
    <w:rsid w:val="00A25459"/>
    <w:rsid w:val="00A26BA2"/>
    <w:rsid w:val="00A27030"/>
    <w:rsid w:val="00A2770F"/>
    <w:rsid w:val="00A41B3C"/>
    <w:rsid w:val="00A53B44"/>
    <w:rsid w:val="00A62B23"/>
    <w:rsid w:val="00A64ACA"/>
    <w:rsid w:val="00A7067C"/>
    <w:rsid w:val="00A71D34"/>
    <w:rsid w:val="00A96095"/>
    <w:rsid w:val="00AB0066"/>
    <w:rsid w:val="00AB19DC"/>
    <w:rsid w:val="00AB2F07"/>
    <w:rsid w:val="00AC6AD1"/>
    <w:rsid w:val="00AD426D"/>
    <w:rsid w:val="00AD4AE9"/>
    <w:rsid w:val="00AF1DFC"/>
    <w:rsid w:val="00B113AD"/>
    <w:rsid w:val="00B11BBA"/>
    <w:rsid w:val="00B12B19"/>
    <w:rsid w:val="00B26DA3"/>
    <w:rsid w:val="00B31911"/>
    <w:rsid w:val="00B330D9"/>
    <w:rsid w:val="00B33171"/>
    <w:rsid w:val="00B515A0"/>
    <w:rsid w:val="00B53BFF"/>
    <w:rsid w:val="00B561E7"/>
    <w:rsid w:val="00B75013"/>
    <w:rsid w:val="00B81561"/>
    <w:rsid w:val="00BA16BA"/>
    <w:rsid w:val="00BA7E76"/>
    <w:rsid w:val="00BB3066"/>
    <w:rsid w:val="00BB470E"/>
    <w:rsid w:val="00BC1656"/>
    <w:rsid w:val="00BD02B7"/>
    <w:rsid w:val="00C01750"/>
    <w:rsid w:val="00C041B2"/>
    <w:rsid w:val="00C2014B"/>
    <w:rsid w:val="00C30F4F"/>
    <w:rsid w:val="00C3703B"/>
    <w:rsid w:val="00C450AD"/>
    <w:rsid w:val="00C45C2B"/>
    <w:rsid w:val="00C47363"/>
    <w:rsid w:val="00C52C20"/>
    <w:rsid w:val="00C55B6A"/>
    <w:rsid w:val="00C75F95"/>
    <w:rsid w:val="00C7662E"/>
    <w:rsid w:val="00C82116"/>
    <w:rsid w:val="00C9008D"/>
    <w:rsid w:val="00C90B9B"/>
    <w:rsid w:val="00C937CD"/>
    <w:rsid w:val="00CD243F"/>
    <w:rsid w:val="00CD415A"/>
    <w:rsid w:val="00CF2D14"/>
    <w:rsid w:val="00D32F66"/>
    <w:rsid w:val="00D40356"/>
    <w:rsid w:val="00D436FB"/>
    <w:rsid w:val="00D51FC5"/>
    <w:rsid w:val="00D529E3"/>
    <w:rsid w:val="00D61495"/>
    <w:rsid w:val="00D71EBF"/>
    <w:rsid w:val="00D73230"/>
    <w:rsid w:val="00D75B7B"/>
    <w:rsid w:val="00D807D5"/>
    <w:rsid w:val="00D816FF"/>
    <w:rsid w:val="00D85A1A"/>
    <w:rsid w:val="00D94C19"/>
    <w:rsid w:val="00DA40C8"/>
    <w:rsid w:val="00DA41A7"/>
    <w:rsid w:val="00DA5E6D"/>
    <w:rsid w:val="00DC49EC"/>
    <w:rsid w:val="00DD1DDA"/>
    <w:rsid w:val="00DD55E5"/>
    <w:rsid w:val="00DF2F3E"/>
    <w:rsid w:val="00DF7BC0"/>
    <w:rsid w:val="00E05FB3"/>
    <w:rsid w:val="00E1749E"/>
    <w:rsid w:val="00E4004C"/>
    <w:rsid w:val="00E477AF"/>
    <w:rsid w:val="00E534F4"/>
    <w:rsid w:val="00E537D3"/>
    <w:rsid w:val="00E55AD2"/>
    <w:rsid w:val="00E76A24"/>
    <w:rsid w:val="00E77915"/>
    <w:rsid w:val="00E8571B"/>
    <w:rsid w:val="00E94024"/>
    <w:rsid w:val="00EA13C1"/>
    <w:rsid w:val="00EA5423"/>
    <w:rsid w:val="00EB26F5"/>
    <w:rsid w:val="00EB46A5"/>
    <w:rsid w:val="00EC2337"/>
    <w:rsid w:val="00ED7961"/>
    <w:rsid w:val="00EE0D94"/>
    <w:rsid w:val="00EE1AC7"/>
    <w:rsid w:val="00EF0A19"/>
    <w:rsid w:val="00F254CF"/>
    <w:rsid w:val="00F26B86"/>
    <w:rsid w:val="00F36388"/>
    <w:rsid w:val="00F363B3"/>
    <w:rsid w:val="00F541A5"/>
    <w:rsid w:val="00F57242"/>
    <w:rsid w:val="00F60EA9"/>
    <w:rsid w:val="00F6532B"/>
    <w:rsid w:val="00F655BA"/>
    <w:rsid w:val="00F65D5A"/>
    <w:rsid w:val="00F838AD"/>
    <w:rsid w:val="00F853DF"/>
    <w:rsid w:val="00F872D8"/>
    <w:rsid w:val="00FA2283"/>
    <w:rsid w:val="00FA4D40"/>
    <w:rsid w:val="00FB16B1"/>
    <w:rsid w:val="00FC5135"/>
    <w:rsid w:val="00FD6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F0D"/>
    <w:rPr>
      <w:sz w:val="28"/>
      <w:szCs w:val="24"/>
      <w:lang w:val="lv-LV"/>
    </w:rPr>
  </w:style>
  <w:style w:type="paragraph" w:styleId="Heading1">
    <w:name w:val="heading 1"/>
    <w:basedOn w:val="Normal"/>
    <w:next w:val="Normal"/>
    <w:link w:val="Heading1Char"/>
    <w:uiPriority w:val="9"/>
    <w:qFormat/>
    <w:rsid w:val="00C82116"/>
    <w:pPr>
      <w:keepNext/>
      <w:keepLines/>
      <w:spacing w:before="480"/>
      <w:outlineLvl w:val="0"/>
    </w:pPr>
    <w:rPr>
      <w:rFonts w:ascii="Cambria" w:hAnsi="Cambria"/>
      <w:b/>
      <w:bCs/>
      <w:color w:val="365F91"/>
      <w:sz w:val="22"/>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3F0D"/>
    <w:pPr>
      <w:widowControl w:val="0"/>
      <w:spacing w:before="120"/>
      <w:ind w:firstLine="567"/>
      <w:jc w:val="both"/>
    </w:pPr>
  </w:style>
  <w:style w:type="paragraph" w:styleId="NormalWeb">
    <w:name w:val="Normal (Web)"/>
    <w:basedOn w:val="Normal"/>
    <w:rsid w:val="00223F0D"/>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sid w:val="00223F0D"/>
    <w:pPr>
      <w:jc w:val="center"/>
    </w:pPr>
    <w:rPr>
      <w:b/>
      <w:bCs/>
    </w:rPr>
  </w:style>
  <w:style w:type="character" w:styleId="Hyperlink">
    <w:name w:val="Hyperlink"/>
    <w:basedOn w:val="DefaultParagraphFont"/>
    <w:rsid w:val="00223F0D"/>
    <w:rPr>
      <w:color w:val="0000FF"/>
      <w:u w:val="single"/>
    </w:rPr>
  </w:style>
  <w:style w:type="paragraph" w:styleId="Header">
    <w:name w:val="header"/>
    <w:basedOn w:val="Normal"/>
    <w:link w:val="HeaderChar"/>
    <w:uiPriority w:val="99"/>
    <w:rsid w:val="00223F0D"/>
    <w:pPr>
      <w:tabs>
        <w:tab w:val="center" w:pos="4153"/>
        <w:tab w:val="right" w:pos="8306"/>
      </w:tabs>
    </w:pPr>
  </w:style>
  <w:style w:type="paragraph" w:styleId="Footer">
    <w:name w:val="footer"/>
    <w:basedOn w:val="Normal"/>
    <w:rsid w:val="00223F0D"/>
    <w:pPr>
      <w:tabs>
        <w:tab w:val="center" w:pos="4153"/>
        <w:tab w:val="right" w:pos="8306"/>
      </w:tabs>
    </w:pPr>
  </w:style>
  <w:style w:type="paragraph" w:styleId="BalloonText">
    <w:name w:val="Balloon Text"/>
    <w:basedOn w:val="Normal"/>
    <w:semiHidden/>
    <w:rsid w:val="0057196A"/>
    <w:rPr>
      <w:rFonts w:ascii="Tahoma" w:hAnsi="Tahoma" w:cs="Tahoma"/>
      <w:sz w:val="16"/>
      <w:szCs w:val="16"/>
    </w:rPr>
  </w:style>
  <w:style w:type="character" w:customStyle="1" w:styleId="HeaderChar">
    <w:name w:val="Header Char"/>
    <w:basedOn w:val="DefaultParagraphFont"/>
    <w:link w:val="Header"/>
    <w:uiPriority w:val="99"/>
    <w:rsid w:val="0042020F"/>
    <w:rPr>
      <w:sz w:val="28"/>
      <w:szCs w:val="24"/>
      <w:lang w:val="en-GB" w:eastAsia="en-US"/>
    </w:rPr>
  </w:style>
  <w:style w:type="character" w:customStyle="1" w:styleId="Heading1Char">
    <w:name w:val="Heading 1 Char"/>
    <w:basedOn w:val="DefaultParagraphFont"/>
    <w:link w:val="Heading1"/>
    <w:uiPriority w:val="9"/>
    <w:rsid w:val="00C82116"/>
    <w:rPr>
      <w:rFonts w:ascii="Cambria" w:eastAsia="Times New Roman" w:hAnsi="Cambria" w:cs="Times New Roman"/>
      <w:b/>
      <w:bCs/>
      <w:color w:val="365F91"/>
      <w:sz w:val="22"/>
      <w:szCs w:val="28"/>
      <w:lang w:val="lv-LV" w:eastAsia="lv-LV"/>
    </w:rPr>
  </w:style>
  <w:style w:type="character" w:styleId="CommentReference">
    <w:name w:val="annotation reference"/>
    <w:basedOn w:val="DefaultParagraphFont"/>
    <w:rsid w:val="003C71AB"/>
    <w:rPr>
      <w:sz w:val="16"/>
      <w:szCs w:val="16"/>
    </w:rPr>
  </w:style>
  <w:style w:type="paragraph" w:styleId="CommentText">
    <w:name w:val="annotation text"/>
    <w:basedOn w:val="Normal"/>
    <w:link w:val="CommentTextChar"/>
    <w:rsid w:val="003C71AB"/>
    <w:rPr>
      <w:sz w:val="20"/>
      <w:szCs w:val="20"/>
    </w:rPr>
  </w:style>
  <w:style w:type="character" w:customStyle="1" w:styleId="CommentTextChar">
    <w:name w:val="Comment Text Char"/>
    <w:basedOn w:val="DefaultParagraphFont"/>
    <w:link w:val="CommentText"/>
    <w:rsid w:val="003C71AB"/>
    <w:rPr>
      <w:lang w:eastAsia="en-US"/>
    </w:rPr>
  </w:style>
  <w:style w:type="paragraph" w:styleId="CommentSubject">
    <w:name w:val="annotation subject"/>
    <w:basedOn w:val="CommentText"/>
    <w:next w:val="CommentText"/>
    <w:link w:val="CommentSubjectChar"/>
    <w:rsid w:val="003C71AB"/>
    <w:rPr>
      <w:b/>
      <w:bCs/>
    </w:rPr>
  </w:style>
  <w:style w:type="character" w:customStyle="1" w:styleId="CommentSubjectChar">
    <w:name w:val="Comment Subject Char"/>
    <w:basedOn w:val="CommentTextChar"/>
    <w:link w:val="CommentSubject"/>
    <w:rsid w:val="003C71AB"/>
    <w:rPr>
      <w:b/>
      <w:bCs/>
      <w:lang w:eastAsia="en-US"/>
    </w:rPr>
  </w:style>
  <w:style w:type="character" w:customStyle="1" w:styleId="apple-style-span">
    <w:name w:val="apple-style-span"/>
    <w:basedOn w:val="DefaultParagraphFont"/>
    <w:rsid w:val="002B1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F0D"/>
    <w:rPr>
      <w:sz w:val="28"/>
      <w:szCs w:val="24"/>
      <w:lang w:val="lv-LV"/>
    </w:rPr>
  </w:style>
  <w:style w:type="paragraph" w:styleId="Heading1">
    <w:name w:val="heading 1"/>
    <w:basedOn w:val="Normal"/>
    <w:next w:val="Normal"/>
    <w:link w:val="Heading1Char"/>
    <w:uiPriority w:val="9"/>
    <w:qFormat/>
    <w:rsid w:val="00C82116"/>
    <w:pPr>
      <w:keepNext/>
      <w:keepLines/>
      <w:spacing w:before="480"/>
      <w:outlineLvl w:val="0"/>
    </w:pPr>
    <w:rPr>
      <w:rFonts w:ascii="Cambria" w:hAnsi="Cambria"/>
      <w:b/>
      <w:bCs/>
      <w:color w:val="365F91"/>
      <w:sz w:val="22"/>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3F0D"/>
    <w:pPr>
      <w:widowControl w:val="0"/>
      <w:spacing w:before="120"/>
      <w:ind w:firstLine="567"/>
      <w:jc w:val="both"/>
    </w:pPr>
  </w:style>
  <w:style w:type="paragraph" w:styleId="NormalWeb">
    <w:name w:val="Normal (Web)"/>
    <w:basedOn w:val="Normal"/>
    <w:rsid w:val="00223F0D"/>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sid w:val="00223F0D"/>
    <w:pPr>
      <w:jc w:val="center"/>
    </w:pPr>
    <w:rPr>
      <w:b/>
      <w:bCs/>
    </w:rPr>
  </w:style>
  <w:style w:type="character" w:styleId="Hyperlink">
    <w:name w:val="Hyperlink"/>
    <w:basedOn w:val="DefaultParagraphFont"/>
    <w:rsid w:val="00223F0D"/>
    <w:rPr>
      <w:color w:val="0000FF"/>
      <w:u w:val="single"/>
    </w:rPr>
  </w:style>
  <w:style w:type="paragraph" w:styleId="Header">
    <w:name w:val="header"/>
    <w:basedOn w:val="Normal"/>
    <w:link w:val="HeaderChar"/>
    <w:uiPriority w:val="99"/>
    <w:rsid w:val="00223F0D"/>
    <w:pPr>
      <w:tabs>
        <w:tab w:val="center" w:pos="4153"/>
        <w:tab w:val="right" w:pos="8306"/>
      </w:tabs>
    </w:pPr>
  </w:style>
  <w:style w:type="paragraph" w:styleId="Footer">
    <w:name w:val="footer"/>
    <w:basedOn w:val="Normal"/>
    <w:rsid w:val="00223F0D"/>
    <w:pPr>
      <w:tabs>
        <w:tab w:val="center" w:pos="4153"/>
        <w:tab w:val="right" w:pos="8306"/>
      </w:tabs>
    </w:pPr>
  </w:style>
  <w:style w:type="paragraph" w:styleId="BalloonText">
    <w:name w:val="Balloon Text"/>
    <w:basedOn w:val="Normal"/>
    <w:semiHidden/>
    <w:rsid w:val="0057196A"/>
    <w:rPr>
      <w:rFonts w:ascii="Tahoma" w:hAnsi="Tahoma" w:cs="Tahoma"/>
      <w:sz w:val="16"/>
      <w:szCs w:val="16"/>
    </w:rPr>
  </w:style>
  <w:style w:type="character" w:customStyle="1" w:styleId="HeaderChar">
    <w:name w:val="Header Char"/>
    <w:basedOn w:val="DefaultParagraphFont"/>
    <w:link w:val="Header"/>
    <w:uiPriority w:val="99"/>
    <w:rsid w:val="0042020F"/>
    <w:rPr>
      <w:sz w:val="28"/>
      <w:szCs w:val="24"/>
      <w:lang w:val="en-GB" w:eastAsia="en-US"/>
    </w:rPr>
  </w:style>
  <w:style w:type="character" w:customStyle="1" w:styleId="Heading1Char">
    <w:name w:val="Heading 1 Char"/>
    <w:basedOn w:val="DefaultParagraphFont"/>
    <w:link w:val="Heading1"/>
    <w:uiPriority w:val="9"/>
    <w:rsid w:val="00C82116"/>
    <w:rPr>
      <w:rFonts w:ascii="Cambria" w:eastAsia="Times New Roman" w:hAnsi="Cambria" w:cs="Times New Roman"/>
      <w:b/>
      <w:bCs/>
      <w:color w:val="365F91"/>
      <w:sz w:val="22"/>
      <w:szCs w:val="28"/>
      <w:lang w:val="lv-LV" w:eastAsia="lv-LV"/>
    </w:rPr>
  </w:style>
  <w:style w:type="character" w:styleId="CommentReference">
    <w:name w:val="annotation reference"/>
    <w:basedOn w:val="DefaultParagraphFont"/>
    <w:rsid w:val="003C71AB"/>
    <w:rPr>
      <w:sz w:val="16"/>
      <w:szCs w:val="16"/>
    </w:rPr>
  </w:style>
  <w:style w:type="paragraph" w:styleId="CommentText">
    <w:name w:val="annotation text"/>
    <w:basedOn w:val="Normal"/>
    <w:link w:val="CommentTextChar"/>
    <w:rsid w:val="003C71AB"/>
    <w:rPr>
      <w:sz w:val="20"/>
      <w:szCs w:val="20"/>
    </w:rPr>
  </w:style>
  <w:style w:type="character" w:customStyle="1" w:styleId="CommentTextChar">
    <w:name w:val="Comment Text Char"/>
    <w:basedOn w:val="DefaultParagraphFont"/>
    <w:link w:val="CommentText"/>
    <w:rsid w:val="003C71AB"/>
    <w:rPr>
      <w:lang w:eastAsia="en-US"/>
    </w:rPr>
  </w:style>
  <w:style w:type="paragraph" w:styleId="CommentSubject">
    <w:name w:val="annotation subject"/>
    <w:basedOn w:val="CommentText"/>
    <w:next w:val="CommentText"/>
    <w:link w:val="CommentSubjectChar"/>
    <w:rsid w:val="003C71AB"/>
    <w:rPr>
      <w:b/>
      <w:bCs/>
    </w:rPr>
  </w:style>
  <w:style w:type="character" w:customStyle="1" w:styleId="CommentSubjectChar">
    <w:name w:val="Comment Subject Char"/>
    <w:basedOn w:val="CommentTextChar"/>
    <w:link w:val="CommentSubject"/>
    <w:rsid w:val="003C71AB"/>
    <w:rPr>
      <w:b/>
      <w:bCs/>
      <w:lang w:eastAsia="en-US"/>
    </w:rPr>
  </w:style>
  <w:style w:type="character" w:customStyle="1" w:styleId="apple-style-span">
    <w:name w:val="apple-style-span"/>
    <w:basedOn w:val="DefaultParagraphFont"/>
    <w:rsid w:val="002B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va.Avot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92F66-B472-4858-BEB9-7C4967E8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171</Words>
  <Characters>1500</Characters>
  <Application>Microsoft Office Word</Application>
  <DocSecurity>0</DocSecurity>
  <Lines>51</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2011.gada pirmajā pusgadā konstatētajiem neatbilstoši veiktajiem izdevumiem Eiropas Savienības politikas instrumenta, Eiropas Savienības iniciatīvas, Pirmsiestāšanās fonda vai Pārejas perioda palīdzības ietvaros</vt:lpstr>
      <vt:lpstr>Par informatīvo ziņojumu “Par Starptautiskā Valūtas fonda un Eiropas Komisijas tehniskās palīdzības 2010.gada 6.-16.aprīļa misijas rezultātiem”</vt:lpstr>
    </vt:vector>
  </TitlesOfParts>
  <Manager>nata.lasmane@fm.gov.lv</Manager>
  <Company>Finanšu ministrija Eiropas Savienības fondu revīzijas departaments</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2011.gada pirmajā pusgadā konstatētajiem neatbilstoši veiktajiem izdevumiem Eiropas Savienības politikas instrumenta, Eiropas Savienības iniciatīvas, Pirmsiestāšanās fonda vai Pārejas perioda palīdzības ietvaros</dc:title>
  <dc:subject>MK protokollēmuma projekts</dc:subject>
  <dc:creator>A.Avota</dc:creator>
  <dc:description>67083954; Aiva.Avota@fm.gov.lv</dc:description>
  <cp:lastModifiedBy>FM</cp:lastModifiedBy>
  <cp:revision>11</cp:revision>
  <cp:lastPrinted>2012-03-01T11:33:00Z</cp:lastPrinted>
  <dcterms:created xsi:type="dcterms:W3CDTF">2012-02-14T09:12:00Z</dcterms:created>
  <dcterms:modified xsi:type="dcterms:W3CDTF">2012-03-01T11:33:00Z</dcterms:modified>
  <cp:category>MK protokollēmuma projekts</cp:category>
</cp:coreProperties>
</file>