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2" w:rsidRDefault="00285692" w:rsidP="00285692">
      <w:pPr>
        <w:framePr w:w="9083" w:h="4068" w:hRule="exact" w:hSpace="181" w:wrap="around" w:vAnchor="page" w:hAnchor="page" w:x="1701" w:y="573" w:anchorLock="1"/>
        <w:jc w:val="center"/>
      </w:pPr>
      <w:r>
        <w:rPr>
          <w:noProof/>
          <w:sz w:val="20"/>
          <w:lang w:eastAsia="lv-LV"/>
        </w:rPr>
        <w:drawing>
          <wp:inline distT="0" distB="0" distL="0" distR="0" wp14:anchorId="73D4BACF" wp14:editId="430F8C50">
            <wp:extent cx="847725" cy="666750"/>
            <wp:effectExtent l="19050" t="0" r="9525" b="0"/>
            <wp:docPr id="1" name="Attēls 1" descr="L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RGERB"/>
                    <pic:cNvPicPr>
                      <a:picLocks noChangeAspect="1" noChangeArrowheads="1"/>
                    </pic:cNvPicPr>
                  </pic:nvPicPr>
                  <pic:blipFill>
                    <a:blip r:embed="rId7" cstate="print"/>
                    <a:srcRect/>
                    <a:stretch>
                      <a:fillRect/>
                    </a:stretch>
                  </pic:blipFill>
                  <pic:spPr bwMode="auto">
                    <a:xfrm>
                      <a:off x="0" y="0"/>
                      <a:ext cx="847725" cy="666750"/>
                    </a:xfrm>
                    <a:prstGeom prst="rect">
                      <a:avLst/>
                    </a:prstGeom>
                    <a:noFill/>
                    <a:ln w="9525">
                      <a:noFill/>
                      <a:miter lim="800000"/>
                      <a:headEnd/>
                      <a:tailEnd/>
                    </a:ln>
                  </pic:spPr>
                </pic:pic>
              </a:graphicData>
            </a:graphic>
          </wp:inline>
        </w:drawing>
      </w:r>
    </w:p>
    <w:p w:rsidR="00285692" w:rsidRPr="00036DEF" w:rsidRDefault="00285692" w:rsidP="00285692">
      <w:pPr>
        <w:framePr w:w="9083" w:h="4068" w:hRule="exact" w:hSpace="181" w:wrap="around" w:vAnchor="page" w:hAnchor="page" w:x="1701" w:y="573" w:anchorLock="1"/>
        <w:pBdr>
          <w:bottom w:val="single" w:sz="6" w:space="4" w:color="auto"/>
        </w:pBdr>
        <w:spacing w:before="200"/>
        <w:jc w:val="center"/>
        <w:rPr>
          <w:spacing w:val="8"/>
          <w:kern w:val="29"/>
          <w:sz w:val="28"/>
          <w:szCs w:val="28"/>
        </w:rPr>
      </w:pPr>
      <w:r w:rsidRPr="00036DEF">
        <w:rPr>
          <w:spacing w:val="8"/>
          <w:kern w:val="29"/>
          <w:sz w:val="28"/>
          <w:szCs w:val="28"/>
        </w:rPr>
        <w:t>LATVIJAS REPUBLIKAS FINANŠU MINISTRIJA</w:t>
      </w:r>
    </w:p>
    <w:p w:rsidR="00285692" w:rsidRDefault="00285692" w:rsidP="00285692">
      <w:pPr>
        <w:framePr w:w="9083" w:h="4068" w:hRule="exact" w:hSpace="181" w:wrap="around" w:vAnchor="page" w:hAnchor="page" w:x="1701" w:y="573" w:anchorLock="1"/>
        <w:jc w:val="center"/>
        <w:rPr>
          <w:sz w:val="16"/>
        </w:rPr>
      </w:pPr>
    </w:p>
    <w:p w:rsidR="00285692" w:rsidRDefault="00285692" w:rsidP="00285692">
      <w:pPr>
        <w:framePr w:w="9083" w:h="4068" w:hRule="exact" w:hSpace="181" w:wrap="around" w:vAnchor="page" w:hAnchor="page" w:x="1701" w:y="573" w:anchorLock="1"/>
        <w:jc w:val="center"/>
        <w:rPr>
          <w:caps/>
          <w:spacing w:val="4"/>
          <w:sz w:val="17"/>
        </w:rPr>
      </w:pPr>
      <w:r>
        <w:rPr>
          <w:caps/>
          <w:spacing w:val="4"/>
          <w:sz w:val="17"/>
        </w:rPr>
        <w:t>SMILŠU IELĀ 1, RĪGĀ, LV-1919, TĀLRUNIS (371) 67095405, FAKSS (371) 67095503</w:t>
      </w:r>
    </w:p>
    <w:p w:rsidR="00285692" w:rsidRPr="00101EF2" w:rsidRDefault="00285692" w:rsidP="00285692">
      <w:pPr>
        <w:framePr w:w="9083" w:h="4068" w:hRule="exact" w:hSpace="181" w:wrap="around" w:vAnchor="page" w:hAnchor="page" w:x="1701" w:y="573" w:anchorLock="1"/>
        <w:jc w:val="center"/>
        <w:rPr>
          <w:spacing w:val="4"/>
          <w:sz w:val="20"/>
        </w:rPr>
      </w:pPr>
      <w:r>
        <w:rPr>
          <w:spacing w:val="4"/>
          <w:sz w:val="20"/>
        </w:rPr>
        <w:t xml:space="preserve">E-pasts: </w:t>
      </w:r>
      <w:proofErr w:type="spellStart"/>
      <w:r>
        <w:rPr>
          <w:spacing w:val="4"/>
          <w:sz w:val="20"/>
        </w:rPr>
        <w:t>pasts@fm.gov.lv</w:t>
      </w:r>
      <w:proofErr w:type="spellEnd"/>
      <w:r>
        <w:rPr>
          <w:spacing w:val="4"/>
          <w:sz w:val="20"/>
        </w:rPr>
        <w:t xml:space="preserve">; </w:t>
      </w:r>
      <w:proofErr w:type="spellStart"/>
      <w:r>
        <w:rPr>
          <w:spacing w:val="4"/>
          <w:sz w:val="20"/>
        </w:rPr>
        <w:t>www.fm.gov.lv</w:t>
      </w:r>
      <w:proofErr w:type="spellEnd"/>
    </w:p>
    <w:p w:rsidR="00285692" w:rsidRDefault="00285692" w:rsidP="00285692">
      <w:pPr>
        <w:framePr w:w="9083" w:h="4068" w:hRule="exact" w:hSpace="181" w:wrap="around" w:vAnchor="page" w:hAnchor="page" w:x="1701" w:y="573" w:anchorLock="1"/>
        <w:jc w:val="center"/>
      </w:pPr>
    </w:p>
    <w:p w:rsidR="00285692" w:rsidRPr="006B33CB" w:rsidRDefault="00285692" w:rsidP="00285692">
      <w:pPr>
        <w:framePr w:w="9083" w:h="4068" w:hRule="exact" w:hSpace="181" w:wrap="around" w:vAnchor="page" w:hAnchor="page" w:x="1701" w:y="573" w:anchorLock="1"/>
        <w:rPr>
          <w:sz w:val="20"/>
        </w:rPr>
      </w:pPr>
      <w:r w:rsidRPr="006B33CB">
        <w:rPr>
          <w:sz w:val="20"/>
        </w:rPr>
        <w:t>RĪGĀ</w:t>
      </w:r>
    </w:p>
    <w:p w:rsidR="00285692" w:rsidRDefault="00285692" w:rsidP="00285692">
      <w:pPr>
        <w:framePr w:w="9083" w:h="4068" w:hRule="exact" w:hSpace="181" w:wrap="around" w:vAnchor="page" w:hAnchor="page" w:x="1701" w:y="573" w:anchorLock="1"/>
        <w:tabs>
          <w:tab w:val="left" w:pos="4820"/>
        </w:tabs>
        <w:rPr>
          <w:sz w:val="20"/>
        </w:rPr>
      </w:pPr>
    </w:p>
    <w:tbl>
      <w:tblPr>
        <w:tblW w:w="0" w:type="auto"/>
        <w:tblInd w:w="57" w:type="dxa"/>
        <w:tblBorders>
          <w:bottom w:val="single" w:sz="4" w:space="0" w:color="auto"/>
          <w:insideH w:val="single" w:sz="4" w:space="0" w:color="auto"/>
        </w:tblBorders>
        <w:tblLayout w:type="fixed"/>
        <w:tblLook w:val="01E0" w:firstRow="1" w:lastRow="1" w:firstColumn="1" w:lastColumn="1" w:noHBand="0" w:noVBand="0"/>
      </w:tblPr>
      <w:tblGrid>
        <w:gridCol w:w="534"/>
        <w:gridCol w:w="1970"/>
        <w:gridCol w:w="540"/>
        <w:gridCol w:w="1978"/>
      </w:tblGrid>
      <w:tr w:rsidR="00285692" w:rsidRPr="00AF5EE8" w:rsidTr="000A726E">
        <w:trPr>
          <w:trHeight w:val="270"/>
        </w:trPr>
        <w:tc>
          <w:tcPr>
            <w:tcW w:w="2504" w:type="dxa"/>
            <w:gridSpan w:val="2"/>
            <w:tcBorders>
              <w:top w:val="nil"/>
              <w:bottom w:val="single" w:sz="4" w:space="0" w:color="auto"/>
            </w:tcBorders>
            <w:vAlign w:val="bottom"/>
          </w:tcPr>
          <w:p w:rsidR="00285692" w:rsidRPr="00D2292B" w:rsidRDefault="00E454CB" w:rsidP="00285692">
            <w:pPr>
              <w:framePr w:w="9083" w:h="4068" w:hRule="exact" w:hSpace="181" w:wrap="around" w:vAnchor="page" w:hAnchor="page" w:x="1701" w:y="573" w:anchorLock="1"/>
              <w:tabs>
                <w:tab w:val="right" w:leader="underscore" w:pos="2127"/>
                <w:tab w:val="left" w:pos="2410"/>
                <w:tab w:val="right" w:leader="underscore" w:pos="4820"/>
              </w:tabs>
              <w:rPr>
                <w:szCs w:val="24"/>
              </w:rPr>
            </w:pPr>
            <w:r>
              <w:rPr>
                <w:szCs w:val="24"/>
              </w:rPr>
              <w:t xml:space="preserve">     04</w:t>
            </w:r>
            <w:r w:rsidR="00285692">
              <w:rPr>
                <w:szCs w:val="24"/>
              </w:rPr>
              <w:t>.07.2011.</w:t>
            </w:r>
          </w:p>
        </w:tc>
        <w:tc>
          <w:tcPr>
            <w:tcW w:w="540" w:type="dxa"/>
            <w:tcBorders>
              <w:top w:val="nil"/>
              <w:bottom w:val="nil"/>
              <w:right w:val="nil"/>
            </w:tcBorders>
            <w:vAlign w:val="bottom"/>
          </w:tcPr>
          <w:p w:rsidR="00285692" w:rsidRPr="00D2292B" w:rsidRDefault="00285692" w:rsidP="000A726E">
            <w:pPr>
              <w:framePr w:w="9083" w:h="4068" w:hRule="exact" w:hSpace="181" w:wrap="around" w:vAnchor="page" w:hAnchor="page" w:x="1701" w:y="573" w:anchorLock="1"/>
              <w:ind w:left="-43"/>
              <w:jc w:val="right"/>
              <w:rPr>
                <w:szCs w:val="24"/>
              </w:rPr>
            </w:pPr>
            <w:proofErr w:type="spellStart"/>
            <w:r w:rsidRPr="00D2292B">
              <w:rPr>
                <w:szCs w:val="24"/>
              </w:rPr>
              <w:t>Nr</w:t>
            </w:r>
            <w:proofErr w:type="spellEnd"/>
            <w:r w:rsidRPr="00D2292B">
              <w:rPr>
                <w:szCs w:val="24"/>
              </w:rPr>
              <w:t>.</w:t>
            </w:r>
          </w:p>
        </w:tc>
        <w:tc>
          <w:tcPr>
            <w:tcW w:w="1978" w:type="dxa"/>
            <w:tcBorders>
              <w:top w:val="nil"/>
              <w:left w:val="nil"/>
              <w:bottom w:val="single" w:sz="4" w:space="0" w:color="auto"/>
            </w:tcBorders>
          </w:tcPr>
          <w:p w:rsidR="00285692" w:rsidRPr="00332D41" w:rsidRDefault="000456CB" w:rsidP="00A662A0">
            <w:pPr>
              <w:framePr w:w="9083" w:h="4068" w:hRule="exact" w:hSpace="181" w:wrap="around" w:vAnchor="page" w:hAnchor="page" w:x="1701" w:y="573" w:anchorLock="1"/>
              <w:tabs>
                <w:tab w:val="right" w:leader="underscore" w:pos="2127"/>
                <w:tab w:val="left" w:pos="2410"/>
                <w:tab w:val="right" w:leader="underscore" w:pos="4820"/>
              </w:tabs>
              <w:ind w:left="-43"/>
              <w:rPr>
                <w:sz w:val="22"/>
                <w:szCs w:val="22"/>
              </w:rPr>
            </w:pPr>
            <w:r>
              <w:rPr>
                <w:sz w:val="22"/>
                <w:szCs w:val="22"/>
              </w:rPr>
              <w:t>22-1-01/</w:t>
            </w:r>
            <w:r w:rsidR="00A662A0">
              <w:rPr>
                <w:sz w:val="22"/>
                <w:szCs w:val="22"/>
              </w:rPr>
              <w:t>4461</w:t>
            </w:r>
            <w:bookmarkStart w:id="0" w:name="_GoBack"/>
            <w:bookmarkEnd w:id="0"/>
          </w:p>
        </w:tc>
      </w:tr>
      <w:tr w:rsidR="00285692" w:rsidRPr="00AF5EE8" w:rsidTr="000A726E">
        <w:trPr>
          <w:trHeight w:val="270"/>
        </w:trPr>
        <w:tc>
          <w:tcPr>
            <w:tcW w:w="2504" w:type="dxa"/>
            <w:gridSpan w:val="2"/>
            <w:tcBorders>
              <w:top w:val="single" w:sz="4" w:space="0" w:color="auto"/>
              <w:bottom w:val="nil"/>
            </w:tcBorders>
          </w:tcPr>
          <w:p w:rsidR="00285692" w:rsidRPr="00D2292B" w:rsidRDefault="00285692" w:rsidP="000A726E">
            <w:pPr>
              <w:framePr w:w="9083" w:h="4068" w:hRule="exact" w:hSpace="181" w:wrap="around" w:vAnchor="page" w:hAnchor="page" w:x="1701" w:y="573" w:anchorLock="1"/>
              <w:rPr>
                <w:szCs w:val="24"/>
              </w:rPr>
            </w:pPr>
          </w:p>
        </w:tc>
        <w:tc>
          <w:tcPr>
            <w:tcW w:w="540" w:type="dxa"/>
            <w:tcBorders>
              <w:top w:val="nil"/>
              <w:bottom w:val="nil"/>
              <w:right w:val="nil"/>
            </w:tcBorders>
          </w:tcPr>
          <w:p w:rsidR="00285692" w:rsidRPr="00D2292B" w:rsidRDefault="00285692" w:rsidP="000A726E">
            <w:pPr>
              <w:framePr w:w="9083" w:h="4068" w:hRule="exact" w:hSpace="181" w:wrap="around" w:vAnchor="page" w:hAnchor="page" w:x="1701" w:y="573" w:anchorLock="1"/>
              <w:rPr>
                <w:szCs w:val="24"/>
              </w:rPr>
            </w:pPr>
          </w:p>
        </w:tc>
        <w:tc>
          <w:tcPr>
            <w:tcW w:w="1978" w:type="dxa"/>
            <w:tcBorders>
              <w:top w:val="single" w:sz="4" w:space="0" w:color="auto"/>
              <w:left w:val="nil"/>
              <w:bottom w:val="nil"/>
            </w:tcBorders>
          </w:tcPr>
          <w:p w:rsidR="00285692" w:rsidRPr="00D2292B" w:rsidRDefault="00285692" w:rsidP="000A726E">
            <w:pPr>
              <w:framePr w:w="9083" w:h="4068" w:hRule="exact" w:hSpace="181" w:wrap="around" w:vAnchor="page" w:hAnchor="page" w:x="1701" w:y="573" w:anchorLock="1"/>
              <w:rPr>
                <w:szCs w:val="24"/>
              </w:rPr>
            </w:pPr>
          </w:p>
        </w:tc>
      </w:tr>
      <w:tr w:rsidR="00285692" w:rsidRPr="00AF5EE8" w:rsidTr="000A726E">
        <w:trPr>
          <w:trHeight w:val="270"/>
        </w:trPr>
        <w:tc>
          <w:tcPr>
            <w:tcW w:w="534" w:type="dxa"/>
            <w:tcBorders>
              <w:top w:val="nil"/>
              <w:bottom w:val="nil"/>
            </w:tcBorders>
            <w:vAlign w:val="bottom"/>
          </w:tcPr>
          <w:p w:rsidR="00285692" w:rsidRPr="00D2292B" w:rsidRDefault="00285692" w:rsidP="000A726E">
            <w:pPr>
              <w:framePr w:w="9083" w:h="4068" w:hRule="exact" w:hSpace="181" w:wrap="around" w:vAnchor="page" w:hAnchor="page" w:x="1701" w:y="573" w:anchorLock="1"/>
              <w:jc w:val="left"/>
              <w:rPr>
                <w:szCs w:val="24"/>
              </w:rPr>
            </w:pPr>
            <w:r w:rsidRPr="00D2292B">
              <w:rPr>
                <w:szCs w:val="24"/>
              </w:rPr>
              <w:t>Uz</w:t>
            </w:r>
          </w:p>
        </w:tc>
        <w:tc>
          <w:tcPr>
            <w:tcW w:w="1970" w:type="dxa"/>
            <w:tcBorders>
              <w:top w:val="nil"/>
            </w:tcBorders>
          </w:tcPr>
          <w:p w:rsidR="00285692" w:rsidRPr="00D2292B" w:rsidRDefault="00285692" w:rsidP="000A726E">
            <w:pPr>
              <w:framePr w:w="9083" w:h="4068" w:hRule="exact" w:hSpace="181" w:wrap="around" w:vAnchor="page" w:hAnchor="page" w:x="1701" w:y="573" w:anchorLock="1"/>
              <w:tabs>
                <w:tab w:val="right" w:leader="underscore" w:pos="2127"/>
                <w:tab w:val="left" w:pos="2410"/>
                <w:tab w:val="right" w:leader="underscore" w:pos="4820"/>
              </w:tabs>
              <w:rPr>
                <w:szCs w:val="24"/>
              </w:rPr>
            </w:pPr>
          </w:p>
        </w:tc>
        <w:tc>
          <w:tcPr>
            <w:tcW w:w="540" w:type="dxa"/>
            <w:tcBorders>
              <w:top w:val="nil"/>
              <w:bottom w:val="nil"/>
              <w:right w:val="nil"/>
            </w:tcBorders>
            <w:vAlign w:val="bottom"/>
          </w:tcPr>
          <w:p w:rsidR="00285692" w:rsidRPr="00D2292B" w:rsidRDefault="00285692" w:rsidP="000A726E">
            <w:pPr>
              <w:framePr w:w="9083" w:h="4068" w:hRule="exact" w:hSpace="181" w:wrap="around" w:vAnchor="page" w:hAnchor="page" w:x="1701" w:y="573" w:anchorLock="1"/>
              <w:tabs>
                <w:tab w:val="right" w:leader="underscore" w:pos="2127"/>
                <w:tab w:val="left" w:pos="2410"/>
                <w:tab w:val="right" w:leader="underscore" w:pos="4820"/>
              </w:tabs>
              <w:ind w:left="-43"/>
              <w:jc w:val="right"/>
              <w:rPr>
                <w:szCs w:val="24"/>
              </w:rPr>
            </w:pPr>
            <w:proofErr w:type="spellStart"/>
            <w:r w:rsidRPr="00D2292B">
              <w:rPr>
                <w:szCs w:val="24"/>
              </w:rPr>
              <w:t>Nr</w:t>
            </w:r>
            <w:proofErr w:type="spellEnd"/>
            <w:r w:rsidRPr="00D2292B">
              <w:rPr>
                <w:szCs w:val="24"/>
              </w:rPr>
              <w:t>.</w:t>
            </w:r>
          </w:p>
        </w:tc>
        <w:tc>
          <w:tcPr>
            <w:tcW w:w="1978" w:type="dxa"/>
            <w:tcBorders>
              <w:top w:val="nil"/>
              <w:left w:val="nil"/>
            </w:tcBorders>
          </w:tcPr>
          <w:p w:rsidR="00285692" w:rsidRPr="00D2292B" w:rsidRDefault="00285692" w:rsidP="00285692">
            <w:pPr>
              <w:framePr w:w="9083" w:h="4068" w:hRule="exact" w:hSpace="181" w:wrap="around" w:vAnchor="page" w:hAnchor="page" w:x="1701" w:y="573" w:anchorLock="1"/>
              <w:tabs>
                <w:tab w:val="right" w:leader="underscore" w:pos="2127"/>
                <w:tab w:val="left" w:pos="2410"/>
                <w:tab w:val="right" w:leader="underscore" w:pos="4820"/>
              </w:tabs>
              <w:ind w:left="-43"/>
              <w:rPr>
                <w:szCs w:val="24"/>
              </w:rPr>
            </w:pPr>
            <w:r w:rsidRPr="00D2292B">
              <w:rPr>
                <w:szCs w:val="24"/>
              </w:rPr>
              <w:t xml:space="preserve"> </w:t>
            </w:r>
          </w:p>
        </w:tc>
      </w:tr>
    </w:tbl>
    <w:p w:rsidR="00285692" w:rsidRDefault="00285692" w:rsidP="00285692">
      <w:pPr>
        <w:jc w:val="right"/>
        <w:rPr>
          <w:b/>
          <w:sz w:val="28"/>
          <w:szCs w:val="28"/>
        </w:rPr>
      </w:pPr>
      <w:r w:rsidRPr="00285692">
        <w:rPr>
          <w:b/>
          <w:sz w:val="28"/>
          <w:szCs w:val="28"/>
        </w:rPr>
        <w:t xml:space="preserve">Valsts </w:t>
      </w:r>
      <w:r>
        <w:rPr>
          <w:b/>
          <w:sz w:val="28"/>
          <w:szCs w:val="28"/>
        </w:rPr>
        <w:t>kancelejas direktorei</w:t>
      </w:r>
    </w:p>
    <w:p w:rsidR="00285692" w:rsidRPr="00285692" w:rsidRDefault="006A0E22" w:rsidP="00285692">
      <w:pPr>
        <w:jc w:val="right"/>
        <w:rPr>
          <w:b/>
          <w:sz w:val="28"/>
          <w:szCs w:val="28"/>
        </w:rPr>
      </w:pPr>
      <w:proofErr w:type="spellStart"/>
      <w:r>
        <w:rPr>
          <w:b/>
          <w:sz w:val="28"/>
          <w:szCs w:val="28"/>
        </w:rPr>
        <w:t>E.Dreimanes</w:t>
      </w:r>
      <w:proofErr w:type="spellEnd"/>
      <w:r>
        <w:rPr>
          <w:b/>
          <w:sz w:val="28"/>
          <w:szCs w:val="28"/>
        </w:rPr>
        <w:t xml:space="preserve"> kundzei</w:t>
      </w:r>
    </w:p>
    <w:p w:rsidR="00285692" w:rsidRPr="00285692" w:rsidRDefault="00285692" w:rsidP="00285692">
      <w:pPr>
        <w:jc w:val="right"/>
        <w:rPr>
          <w:sz w:val="28"/>
          <w:szCs w:val="28"/>
        </w:rPr>
      </w:pPr>
    </w:p>
    <w:p w:rsidR="00285692" w:rsidRPr="00285692" w:rsidRDefault="00285692" w:rsidP="00285692">
      <w:pPr>
        <w:jc w:val="right"/>
        <w:rPr>
          <w:sz w:val="28"/>
          <w:szCs w:val="28"/>
        </w:rPr>
      </w:pPr>
    </w:p>
    <w:p w:rsidR="00285692" w:rsidRPr="00285692" w:rsidRDefault="00285692" w:rsidP="00285692">
      <w:pPr>
        <w:jc w:val="right"/>
        <w:rPr>
          <w:sz w:val="28"/>
          <w:szCs w:val="28"/>
        </w:rPr>
      </w:pPr>
    </w:p>
    <w:p w:rsidR="00285692" w:rsidRPr="00285692" w:rsidRDefault="00285692" w:rsidP="00285692">
      <w:pPr>
        <w:jc w:val="left"/>
        <w:rPr>
          <w:i/>
          <w:sz w:val="28"/>
          <w:szCs w:val="28"/>
        </w:rPr>
      </w:pPr>
      <w:r w:rsidRPr="00285692">
        <w:rPr>
          <w:i/>
          <w:sz w:val="28"/>
          <w:szCs w:val="28"/>
        </w:rPr>
        <w:t>Par    Ministru    kabineta   komitejas</w:t>
      </w:r>
    </w:p>
    <w:p w:rsidR="00285692" w:rsidRPr="00285692" w:rsidRDefault="00285692" w:rsidP="00285692">
      <w:pPr>
        <w:jc w:val="left"/>
        <w:rPr>
          <w:i/>
          <w:sz w:val="28"/>
          <w:szCs w:val="28"/>
        </w:rPr>
      </w:pPr>
      <w:r w:rsidRPr="00285692">
        <w:rPr>
          <w:i/>
          <w:sz w:val="28"/>
          <w:szCs w:val="28"/>
        </w:rPr>
        <w:t>2011.gada 27.</w:t>
      </w:r>
      <w:r w:rsidR="00994F0B">
        <w:rPr>
          <w:i/>
          <w:sz w:val="28"/>
          <w:szCs w:val="28"/>
        </w:rPr>
        <w:t>jūnija sēdes protokola</w:t>
      </w:r>
    </w:p>
    <w:p w:rsidR="00285692" w:rsidRPr="00285692" w:rsidRDefault="00285692" w:rsidP="00285692">
      <w:pPr>
        <w:jc w:val="left"/>
        <w:rPr>
          <w:i/>
          <w:sz w:val="28"/>
          <w:szCs w:val="28"/>
        </w:rPr>
      </w:pPr>
      <w:r w:rsidRPr="00285692">
        <w:rPr>
          <w:i/>
          <w:sz w:val="28"/>
          <w:szCs w:val="28"/>
        </w:rPr>
        <w:t xml:space="preserve"> Nr.25</w:t>
      </w:r>
      <w:bookmarkStart w:id="1" w:name="1"/>
      <w:r w:rsidRPr="00285692">
        <w:rPr>
          <w:i/>
          <w:sz w:val="28"/>
          <w:szCs w:val="28"/>
        </w:rPr>
        <w:t>, 1</w:t>
      </w:r>
      <w:bookmarkEnd w:id="1"/>
      <w:r w:rsidRPr="00285692">
        <w:rPr>
          <w:i/>
          <w:sz w:val="28"/>
          <w:szCs w:val="28"/>
        </w:rPr>
        <w:t>.§</w:t>
      </w:r>
      <w:r w:rsidR="00994F0B">
        <w:rPr>
          <w:i/>
          <w:sz w:val="28"/>
          <w:szCs w:val="28"/>
        </w:rPr>
        <w:t xml:space="preserve"> 1. punktā noteikto</w:t>
      </w:r>
    </w:p>
    <w:p w:rsidR="00285692" w:rsidRPr="005F061F" w:rsidRDefault="00285692" w:rsidP="00285692">
      <w:pPr>
        <w:jc w:val="left"/>
        <w:rPr>
          <w:i/>
          <w:szCs w:val="24"/>
        </w:rPr>
      </w:pPr>
    </w:p>
    <w:p w:rsidR="00285692" w:rsidRDefault="00285692" w:rsidP="00285692">
      <w:pPr>
        <w:ind w:firstLine="720"/>
        <w:rPr>
          <w:sz w:val="28"/>
          <w:szCs w:val="28"/>
        </w:rPr>
      </w:pPr>
      <w:r w:rsidRPr="00741C09">
        <w:rPr>
          <w:sz w:val="28"/>
          <w:szCs w:val="28"/>
        </w:rPr>
        <w:t>Finanšu ministrija</w:t>
      </w:r>
      <w:r>
        <w:rPr>
          <w:sz w:val="28"/>
          <w:szCs w:val="28"/>
        </w:rPr>
        <w:t xml:space="preserve"> </w:t>
      </w:r>
      <w:r w:rsidRPr="00741C09">
        <w:rPr>
          <w:sz w:val="28"/>
          <w:szCs w:val="28"/>
        </w:rPr>
        <w:t xml:space="preserve">ir izskatījusi </w:t>
      </w:r>
      <w:r>
        <w:rPr>
          <w:sz w:val="28"/>
          <w:szCs w:val="28"/>
        </w:rPr>
        <w:t xml:space="preserve">Ministru kabineta komitejas 2011.gada 27.jūnija sēdes protokolu Nr.25, </w:t>
      </w:r>
      <w:r w:rsidRPr="00285692">
        <w:rPr>
          <w:sz w:val="28"/>
          <w:szCs w:val="28"/>
        </w:rPr>
        <w:t>1.§</w:t>
      </w:r>
      <w:r w:rsidR="006A0E22">
        <w:rPr>
          <w:sz w:val="28"/>
          <w:szCs w:val="28"/>
        </w:rPr>
        <w:t xml:space="preserve">(turpmāk – </w:t>
      </w:r>
      <w:proofErr w:type="spellStart"/>
      <w:r w:rsidR="00994F0B">
        <w:rPr>
          <w:sz w:val="28"/>
          <w:szCs w:val="28"/>
        </w:rPr>
        <w:t>protokollēmums</w:t>
      </w:r>
      <w:proofErr w:type="spellEnd"/>
      <w:r w:rsidR="00994F0B">
        <w:rPr>
          <w:sz w:val="28"/>
          <w:szCs w:val="28"/>
        </w:rPr>
        <w:t>)</w:t>
      </w:r>
      <w:r w:rsidR="006A0E22">
        <w:rPr>
          <w:sz w:val="28"/>
          <w:szCs w:val="28"/>
        </w:rPr>
        <w:t xml:space="preserve"> un </w:t>
      </w:r>
      <w:r w:rsidR="00E8778A">
        <w:rPr>
          <w:sz w:val="28"/>
          <w:szCs w:val="28"/>
        </w:rPr>
        <w:t xml:space="preserve">iebilst pret </w:t>
      </w:r>
      <w:proofErr w:type="spellStart"/>
      <w:r w:rsidR="00E8778A">
        <w:rPr>
          <w:sz w:val="28"/>
          <w:szCs w:val="28"/>
        </w:rPr>
        <w:t>protokol</w:t>
      </w:r>
      <w:r w:rsidR="00994F0B">
        <w:rPr>
          <w:sz w:val="28"/>
          <w:szCs w:val="28"/>
        </w:rPr>
        <w:t>lēmum</w:t>
      </w:r>
      <w:r w:rsidR="00E8778A">
        <w:rPr>
          <w:sz w:val="28"/>
          <w:szCs w:val="28"/>
        </w:rPr>
        <w:t>ā</w:t>
      </w:r>
      <w:proofErr w:type="spellEnd"/>
      <w:r w:rsidR="00E8778A">
        <w:rPr>
          <w:sz w:val="28"/>
          <w:szCs w:val="28"/>
        </w:rPr>
        <w:t xml:space="preserve"> </w:t>
      </w:r>
      <w:r w:rsidR="008E19F6">
        <w:rPr>
          <w:sz w:val="28"/>
          <w:szCs w:val="28"/>
        </w:rPr>
        <w:t>minēto</w:t>
      </w:r>
      <w:r w:rsidR="00E8778A">
        <w:rPr>
          <w:sz w:val="28"/>
          <w:szCs w:val="28"/>
        </w:rPr>
        <w:t>.</w:t>
      </w:r>
    </w:p>
    <w:p w:rsidR="008E19F6" w:rsidRDefault="00994F0B" w:rsidP="00285692">
      <w:pPr>
        <w:ind w:firstLine="720"/>
        <w:rPr>
          <w:sz w:val="28"/>
          <w:szCs w:val="28"/>
        </w:rPr>
      </w:pPr>
      <w:proofErr w:type="spellStart"/>
      <w:r>
        <w:rPr>
          <w:sz w:val="28"/>
          <w:szCs w:val="28"/>
        </w:rPr>
        <w:t>Protokollēmuma</w:t>
      </w:r>
      <w:proofErr w:type="spellEnd"/>
      <w:r w:rsidR="006A0E22">
        <w:rPr>
          <w:sz w:val="28"/>
          <w:szCs w:val="28"/>
        </w:rPr>
        <w:t xml:space="preserve"> 1.punktā </w:t>
      </w:r>
      <w:r w:rsidR="00534D5F">
        <w:rPr>
          <w:sz w:val="28"/>
          <w:szCs w:val="28"/>
        </w:rPr>
        <w:t xml:space="preserve">ir </w:t>
      </w:r>
      <w:r w:rsidR="006A0E22">
        <w:rPr>
          <w:sz w:val="28"/>
          <w:szCs w:val="28"/>
        </w:rPr>
        <w:t>noteikts, ka Finanšu ministrija ņemot vērā lietderības un fiskālos aspektus</w:t>
      </w:r>
      <w:r w:rsidR="00534D5F">
        <w:rPr>
          <w:sz w:val="28"/>
          <w:szCs w:val="28"/>
        </w:rPr>
        <w:t>,</w:t>
      </w:r>
      <w:r w:rsidR="006A0E22">
        <w:rPr>
          <w:sz w:val="28"/>
          <w:szCs w:val="28"/>
        </w:rPr>
        <w:t xml:space="preserve"> tiek noteikta kā atbil</w:t>
      </w:r>
      <w:r w:rsidR="008E19F6">
        <w:rPr>
          <w:sz w:val="28"/>
          <w:szCs w:val="28"/>
        </w:rPr>
        <w:t xml:space="preserve">dīgā par koncepcijas īstenošanu un, ka koncepcijas projekts precizējams atbilstoši, Finanšu ministrijas piedāvājumam, paredzot, ka Vienotā </w:t>
      </w:r>
      <w:r w:rsidR="00492AB8">
        <w:rPr>
          <w:sz w:val="28"/>
          <w:szCs w:val="28"/>
        </w:rPr>
        <w:t>cilvēkresursu</w:t>
      </w:r>
      <w:r w:rsidR="008E19F6">
        <w:rPr>
          <w:sz w:val="28"/>
          <w:szCs w:val="28"/>
        </w:rPr>
        <w:t xml:space="preserve"> informācijas un vadības sistēma veidojama uz Finanšu ministrijas no valsts civildienesta pārvaldes mantotās un pilnveidojamās Personāla uzskaites datorsistēmas un tajā tiek ietverta sistēmas funkc</w:t>
      </w:r>
      <w:r w:rsidR="00492AB8">
        <w:rPr>
          <w:sz w:val="28"/>
          <w:szCs w:val="28"/>
        </w:rPr>
        <w:t>ionalitāte, kas bija paredzēta V</w:t>
      </w:r>
      <w:r w:rsidR="008E19F6">
        <w:rPr>
          <w:sz w:val="28"/>
          <w:szCs w:val="28"/>
        </w:rPr>
        <w:t>alsts kancelejas  izstrādātajā koncepcijas projektā.</w:t>
      </w:r>
      <w:r w:rsidR="001279E7">
        <w:rPr>
          <w:sz w:val="28"/>
          <w:szCs w:val="28"/>
        </w:rPr>
        <w:t xml:space="preserve"> Vēršam uzmanību, ka minētajā punktā nav skaidri atspoguļo</w:t>
      </w:r>
      <w:r w:rsidR="00492AB8">
        <w:rPr>
          <w:sz w:val="28"/>
          <w:szCs w:val="28"/>
        </w:rPr>
        <w:t>ts M</w:t>
      </w:r>
      <w:r w:rsidR="001279E7">
        <w:rPr>
          <w:sz w:val="28"/>
          <w:szCs w:val="28"/>
        </w:rPr>
        <w:t>inistru kabineta komitejas noteiktais risinājums, ka</w:t>
      </w:r>
      <w:r w:rsidR="008E19F6">
        <w:rPr>
          <w:sz w:val="28"/>
          <w:szCs w:val="28"/>
        </w:rPr>
        <w:t xml:space="preserve"> Finanšu  ministrija, iesniedzot Ministru kabinetā koncepcijas „Vienotas valsts iestāžu un vadības grāmatvedības sistēma un tās sasaiste ar vienoto valsts cilvēkresursu vadības sistēmu” projektu, iekļaus arī tehniskos risinājumus, kas nodrošina funkcionālus uzlabojumus Personāla uzskaites datorsistēmā, tai skaitā nodrošinot ies</w:t>
      </w:r>
      <w:r w:rsidR="001279E7">
        <w:rPr>
          <w:sz w:val="28"/>
          <w:szCs w:val="28"/>
        </w:rPr>
        <w:t>pēju veikt uzkrāto datu analīzi.</w:t>
      </w:r>
      <w:r w:rsidR="008E19F6">
        <w:rPr>
          <w:sz w:val="28"/>
          <w:szCs w:val="28"/>
        </w:rPr>
        <w:t xml:space="preserve"> </w:t>
      </w:r>
      <w:r w:rsidR="001279E7">
        <w:rPr>
          <w:sz w:val="28"/>
          <w:szCs w:val="28"/>
        </w:rPr>
        <w:t xml:space="preserve">Šobrīd izlasot </w:t>
      </w:r>
      <w:proofErr w:type="spellStart"/>
      <w:r w:rsidR="001279E7">
        <w:rPr>
          <w:sz w:val="28"/>
          <w:szCs w:val="28"/>
        </w:rPr>
        <w:t>protokol</w:t>
      </w:r>
      <w:r>
        <w:rPr>
          <w:sz w:val="28"/>
          <w:szCs w:val="28"/>
        </w:rPr>
        <w:t>lēmum</w:t>
      </w:r>
      <w:r w:rsidR="001279E7">
        <w:rPr>
          <w:sz w:val="28"/>
          <w:szCs w:val="28"/>
        </w:rPr>
        <w:t>a</w:t>
      </w:r>
      <w:proofErr w:type="spellEnd"/>
      <w:r w:rsidR="001279E7">
        <w:rPr>
          <w:sz w:val="28"/>
          <w:szCs w:val="28"/>
        </w:rPr>
        <w:t xml:space="preserve"> 1.</w:t>
      </w:r>
      <w:r w:rsidR="00122EC9">
        <w:rPr>
          <w:sz w:val="28"/>
          <w:szCs w:val="28"/>
        </w:rPr>
        <w:t> </w:t>
      </w:r>
      <w:r w:rsidR="001279E7">
        <w:rPr>
          <w:sz w:val="28"/>
          <w:szCs w:val="28"/>
        </w:rPr>
        <w:t xml:space="preserve">punktu, var secināt, ka Finanšu ministrija ir noteikta kā atbildīgā par </w:t>
      </w:r>
      <w:r w:rsidR="001279E7" w:rsidRPr="001279E7">
        <w:rPr>
          <w:b/>
          <w:sz w:val="28"/>
          <w:szCs w:val="28"/>
        </w:rPr>
        <w:t>„Vienotās cilvēkresursu informācijas un vadības sistēmas k</w:t>
      </w:r>
      <w:r w:rsidR="001279E7">
        <w:rPr>
          <w:b/>
          <w:sz w:val="28"/>
          <w:szCs w:val="28"/>
        </w:rPr>
        <w:t xml:space="preserve">oncepcijas” projekta īstenošanu, </w:t>
      </w:r>
      <w:r w:rsidR="001279E7">
        <w:rPr>
          <w:sz w:val="28"/>
          <w:szCs w:val="28"/>
        </w:rPr>
        <w:t>kam Finanšu ministrija nepiekrīt, kā arī šāds uzdevums Finanšu ministrijai netika dots.</w:t>
      </w:r>
    </w:p>
    <w:p w:rsidR="001279E7" w:rsidRDefault="001279E7" w:rsidP="001279E7">
      <w:pPr>
        <w:ind w:firstLine="720"/>
        <w:rPr>
          <w:sz w:val="28"/>
          <w:szCs w:val="28"/>
        </w:rPr>
      </w:pPr>
      <w:r>
        <w:rPr>
          <w:sz w:val="28"/>
          <w:szCs w:val="28"/>
        </w:rPr>
        <w:t xml:space="preserve">Ņemot vērā minēto, un, lai novērstu Ministru kabineta komitejas </w:t>
      </w:r>
      <w:proofErr w:type="spellStart"/>
      <w:r>
        <w:rPr>
          <w:sz w:val="28"/>
          <w:szCs w:val="28"/>
        </w:rPr>
        <w:t>protokol</w:t>
      </w:r>
      <w:r w:rsidR="00994F0B">
        <w:rPr>
          <w:sz w:val="28"/>
          <w:szCs w:val="28"/>
        </w:rPr>
        <w:t>lēmum</w:t>
      </w:r>
      <w:r>
        <w:rPr>
          <w:sz w:val="28"/>
          <w:szCs w:val="28"/>
        </w:rPr>
        <w:t>a</w:t>
      </w:r>
      <w:proofErr w:type="spellEnd"/>
      <w:r>
        <w:rPr>
          <w:sz w:val="28"/>
          <w:szCs w:val="28"/>
        </w:rPr>
        <w:t xml:space="preserve"> dažādas interpretācijas iespējas</w:t>
      </w:r>
      <w:r w:rsidR="00492AB8">
        <w:rPr>
          <w:sz w:val="28"/>
          <w:szCs w:val="28"/>
        </w:rPr>
        <w:t>,</w:t>
      </w:r>
      <w:r>
        <w:rPr>
          <w:sz w:val="28"/>
          <w:szCs w:val="28"/>
        </w:rPr>
        <w:t xml:space="preserve"> piedāvāj</w:t>
      </w:r>
      <w:r w:rsidR="00994F0B">
        <w:rPr>
          <w:sz w:val="28"/>
          <w:szCs w:val="28"/>
        </w:rPr>
        <w:t xml:space="preserve">am </w:t>
      </w:r>
      <w:proofErr w:type="spellStart"/>
      <w:r w:rsidR="00994F0B">
        <w:rPr>
          <w:sz w:val="28"/>
          <w:szCs w:val="28"/>
        </w:rPr>
        <w:t>protokollēmuma</w:t>
      </w:r>
      <w:proofErr w:type="spellEnd"/>
      <w:r>
        <w:rPr>
          <w:sz w:val="28"/>
          <w:szCs w:val="28"/>
        </w:rPr>
        <w:t xml:space="preserve"> 1.punktu izteikt šādā redakcijā: „</w:t>
      </w:r>
      <w:r w:rsidRPr="00DD71E1">
        <w:rPr>
          <w:sz w:val="28"/>
          <w:szCs w:val="28"/>
        </w:rPr>
        <w:t xml:space="preserve">Ņemot vērā lietderības un fiskālos aspektus </w:t>
      </w:r>
      <w:r w:rsidRPr="00DD71E1">
        <w:rPr>
          <w:sz w:val="28"/>
          <w:szCs w:val="28"/>
        </w:rPr>
        <w:lastRenderedPageBreak/>
        <w:t xml:space="preserve">noteikt, ka Finanšu ministrija, iesniedzot Ministru kabinetā koncepcijas ”Vienotas valsts iestāžu finanšu un vadības grāmatvedības sistēma un tās sasaiste ar vienoto valsts </w:t>
      </w:r>
      <w:r w:rsidR="00492AB8">
        <w:rPr>
          <w:sz w:val="28"/>
          <w:szCs w:val="28"/>
        </w:rPr>
        <w:t>cilvēkresursu vadības sistēmu” </w:t>
      </w:r>
      <w:r w:rsidRPr="00DD71E1">
        <w:rPr>
          <w:sz w:val="28"/>
          <w:szCs w:val="28"/>
        </w:rPr>
        <w:t>projektu,</w:t>
      </w:r>
      <w:r>
        <w:rPr>
          <w:sz w:val="28"/>
          <w:szCs w:val="28"/>
        </w:rPr>
        <w:t xml:space="preserve"> tas tiek papildināts,</w:t>
      </w:r>
      <w:r w:rsidRPr="00DD71E1">
        <w:rPr>
          <w:sz w:val="28"/>
          <w:szCs w:val="28"/>
        </w:rPr>
        <w:t xml:space="preserve"> </w:t>
      </w:r>
      <w:r w:rsidR="0060278D">
        <w:rPr>
          <w:sz w:val="28"/>
          <w:szCs w:val="28"/>
        </w:rPr>
        <w:t>paredzot, ka Vienotā cilvēkresursu informācijas un vadības sistēmas veidojuma uz Finanšu ministrijas no valsts civildienesta pārvaldes mantotās un pilnveidojamās Personāla uzskaites datorsistēmas un tajā tiek ietverta sistēmas funkcionalitāte, kas bija paredzēta Valsts kancelejas izstrādātajā projektā.”.</w:t>
      </w:r>
    </w:p>
    <w:p w:rsidR="00492AB8" w:rsidRDefault="00492AB8" w:rsidP="001279E7">
      <w:pPr>
        <w:ind w:firstLine="720"/>
        <w:rPr>
          <w:sz w:val="28"/>
          <w:szCs w:val="28"/>
        </w:rPr>
      </w:pPr>
    </w:p>
    <w:p w:rsidR="001279E7" w:rsidRPr="001279E7" w:rsidRDefault="001279E7" w:rsidP="00285692">
      <w:pPr>
        <w:ind w:firstLine="720"/>
        <w:rPr>
          <w:sz w:val="28"/>
          <w:szCs w:val="28"/>
        </w:rPr>
      </w:pPr>
    </w:p>
    <w:p w:rsidR="00285692" w:rsidRDefault="00285692" w:rsidP="00285692">
      <w:pPr>
        <w:pStyle w:val="ListParagraph"/>
        <w:tabs>
          <w:tab w:val="left" w:pos="709"/>
        </w:tabs>
        <w:ind w:left="709"/>
        <w:rPr>
          <w:szCs w:val="24"/>
          <w:highlight w:val="yellow"/>
        </w:rPr>
      </w:pPr>
    </w:p>
    <w:p w:rsidR="00285692" w:rsidRPr="005A0BDE" w:rsidRDefault="00285692" w:rsidP="00285692">
      <w:pPr>
        <w:pStyle w:val="ListParagraph"/>
        <w:tabs>
          <w:tab w:val="left" w:pos="709"/>
        </w:tabs>
        <w:ind w:left="709"/>
        <w:rPr>
          <w:szCs w:val="24"/>
          <w:highlight w:val="yellow"/>
        </w:rPr>
      </w:pPr>
    </w:p>
    <w:p w:rsidR="00285692" w:rsidRPr="008971DC" w:rsidRDefault="00285692" w:rsidP="00285692">
      <w:pPr>
        <w:pStyle w:val="ListParagraph"/>
        <w:tabs>
          <w:tab w:val="left" w:pos="709"/>
        </w:tabs>
        <w:ind w:left="709"/>
        <w:rPr>
          <w:sz w:val="28"/>
          <w:szCs w:val="28"/>
        </w:rPr>
      </w:pPr>
      <w:r w:rsidRPr="008971DC">
        <w:rPr>
          <w:sz w:val="28"/>
          <w:szCs w:val="28"/>
        </w:rPr>
        <w:t>Ar cieņu</w:t>
      </w:r>
    </w:p>
    <w:p w:rsidR="00285692" w:rsidRPr="001C51A7" w:rsidRDefault="00285692" w:rsidP="00285692">
      <w:pPr>
        <w:rPr>
          <w:sz w:val="16"/>
          <w:szCs w:val="16"/>
        </w:rPr>
      </w:pPr>
    </w:p>
    <w:p w:rsidR="00285692" w:rsidRDefault="00FE7B91" w:rsidP="00285692">
      <w:pPr>
        <w:tabs>
          <w:tab w:val="left" w:pos="7088"/>
        </w:tabs>
        <w:rPr>
          <w:sz w:val="28"/>
          <w:szCs w:val="28"/>
        </w:rPr>
      </w:pPr>
      <w:r>
        <w:rPr>
          <w:sz w:val="28"/>
          <w:szCs w:val="28"/>
        </w:rPr>
        <w:t>finanšu ministrs</w:t>
      </w:r>
      <w:r w:rsidR="00285692" w:rsidRPr="008971DC">
        <w:rPr>
          <w:sz w:val="28"/>
          <w:szCs w:val="28"/>
        </w:rPr>
        <w:tab/>
      </w:r>
      <w:r>
        <w:rPr>
          <w:sz w:val="28"/>
          <w:szCs w:val="28"/>
        </w:rPr>
        <w:t xml:space="preserve">     A.Vilks</w:t>
      </w:r>
    </w:p>
    <w:p w:rsidR="00285692" w:rsidRDefault="00285692" w:rsidP="00285692">
      <w:pPr>
        <w:tabs>
          <w:tab w:val="left" w:pos="7088"/>
        </w:tabs>
        <w:rPr>
          <w:sz w:val="28"/>
          <w:szCs w:val="28"/>
        </w:rPr>
      </w:pPr>
    </w:p>
    <w:p w:rsidR="00285692" w:rsidRDefault="00285692"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5719F3" w:rsidRDefault="005719F3" w:rsidP="00285692">
      <w:pPr>
        <w:tabs>
          <w:tab w:val="left" w:pos="7088"/>
        </w:tabs>
        <w:rPr>
          <w:sz w:val="28"/>
          <w:szCs w:val="28"/>
        </w:rPr>
      </w:pPr>
    </w:p>
    <w:p w:rsidR="00492AB8" w:rsidRPr="00C17896" w:rsidRDefault="00492AB8" w:rsidP="00492AB8">
      <w:pPr>
        <w:rPr>
          <w:sz w:val="20"/>
        </w:rPr>
      </w:pPr>
      <w:r w:rsidRPr="00C17896">
        <w:rPr>
          <w:sz w:val="20"/>
        </w:rPr>
        <w:t xml:space="preserve">02.07.2010. </w:t>
      </w:r>
      <w:r w:rsidR="000456CB">
        <w:rPr>
          <w:sz w:val="20"/>
        </w:rPr>
        <w:t xml:space="preserve"> </w:t>
      </w:r>
      <w:r w:rsidRPr="00C17896">
        <w:rPr>
          <w:sz w:val="20"/>
        </w:rPr>
        <w:t>11:23</w:t>
      </w:r>
    </w:p>
    <w:p w:rsidR="00492AB8" w:rsidRPr="00C17896" w:rsidRDefault="00C17896" w:rsidP="00492AB8">
      <w:pPr>
        <w:rPr>
          <w:sz w:val="20"/>
        </w:rPr>
      </w:pPr>
      <w:r w:rsidRPr="00C17896">
        <w:rPr>
          <w:sz w:val="20"/>
        </w:rPr>
        <w:t>3</w:t>
      </w:r>
      <w:r w:rsidR="000456CB">
        <w:rPr>
          <w:sz w:val="20"/>
        </w:rPr>
        <w:t>29</w:t>
      </w:r>
    </w:p>
    <w:p w:rsidR="00492AB8" w:rsidRPr="00C17896" w:rsidRDefault="00492AB8" w:rsidP="00492AB8">
      <w:pPr>
        <w:rPr>
          <w:sz w:val="20"/>
        </w:rPr>
      </w:pPr>
      <w:r w:rsidRPr="00C17896">
        <w:rPr>
          <w:sz w:val="20"/>
        </w:rPr>
        <w:t>Liene Kristapsone</w:t>
      </w:r>
    </w:p>
    <w:p w:rsidR="00492AB8" w:rsidRPr="00C17896" w:rsidRDefault="00C17896" w:rsidP="00492AB8">
      <w:pPr>
        <w:rPr>
          <w:sz w:val="20"/>
        </w:rPr>
      </w:pPr>
      <w:r w:rsidRPr="00C17896">
        <w:rPr>
          <w:sz w:val="20"/>
        </w:rPr>
        <w:t>Finanšu vadības un metodoloģijas departamenta</w:t>
      </w:r>
    </w:p>
    <w:p w:rsidR="00C17896" w:rsidRPr="00C17896" w:rsidRDefault="00C17896" w:rsidP="00492AB8">
      <w:pPr>
        <w:rPr>
          <w:sz w:val="20"/>
        </w:rPr>
      </w:pPr>
      <w:r w:rsidRPr="00C17896">
        <w:rPr>
          <w:sz w:val="20"/>
        </w:rPr>
        <w:t>Budžeta metodoloģijas nodaļas</w:t>
      </w:r>
    </w:p>
    <w:p w:rsidR="00C17896" w:rsidRPr="00C17896" w:rsidRDefault="00C17896" w:rsidP="00492AB8">
      <w:pPr>
        <w:rPr>
          <w:sz w:val="20"/>
        </w:rPr>
      </w:pPr>
      <w:r w:rsidRPr="00C17896">
        <w:rPr>
          <w:sz w:val="20"/>
        </w:rPr>
        <w:t>vadītājas vietniece</w:t>
      </w:r>
    </w:p>
    <w:p w:rsidR="00492AB8" w:rsidRPr="00C17896" w:rsidRDefault="00492AB8" w:rsidP="00492AB8">
      <w:pPr>
        <w:rPr>
          <w:sz w:val="20"/>
        </w:rPr>
      </w:pPr>
      <w:bookmarkStart w:id="2" w:name="OLE_LINK1"/>
      <w:bookmarkStart w:id="3" w:name="OLE_LINK2"/>
      <w:r w:rsidRPr="00C17896">
        <w:rPr>
          <w:sz w:val="20"/>
        </w:rPr>
        <w:t xml:space="preserve">67083976 </w:t>
      </w:r>
      <w:hyperlink r:id="rId8" w:history="1">
        <w:r w:rsidRPr="00C17896">
          <w:rPr>
            <w:rStyle w:val="Hyperlink"/>
            <w:sz w:val="20"/>
          </w:rPr>
          <w:t>Liene.Kristapsone@fm.gov.lv</w:t>
        </w:r>
      </w:hyperlink>
      <w:bookmarkEnd w:id="2"/>
      <w:bookmarkEnd w:id="3"/>
    </w:p>
    <w:p w:rsidR="00285692" w:rsidRDefault="00285692" w:rsidP="00285692">
      <w:pPr>
        <w:ind w:left="709" w:hanging="709"/>
        <w:rPr>
          <w:rStyle w:val="Hyperlink"/>
          <w:sz w:val="18"/>
          <w:szCs w:val="18"/>
        </w:rPr>
      </w:pPr>
    </w:p>
    <w:sectPr w:rsidR="00285692" w:rsidSect="00741C09">
      <w:headerReference w:type="even" r:id="rId9"/>
      <w:headerReference w:type="default" r:id="rId10"/>
      <w:footerReference w:type="default" r:id="rId11"/>
      <w:footerReference w:type="first" r:id="rId12"/>
      <w:pgSz w:w="11906" w:h="16838" w:code="9"/>
      <w:pgMar w:top="1134"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6E" w:rsidRDefault="00A4126E" w:rsidP="005719F3">
      <w:r>
        <w:separator/>
      </w:r>
    </w:p>
  </w:endnote>
  <w:endnote w:type="continuationSeparator" w:id="0">
    <w:p w:rsidR="00A4126E" w:rsidRDefault="00A4126E" w:rsidP="005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F9" w:rsidRPr="005609F9" w:rsidRDefault="005609F9" w:rsidP="005609F9">
    <w:pPr>
      <w:jc w:val="left"/>
      <w:rPr>
        <w:sz w:val="20"/>
      </w:rPr>
    </w:pPr>
    <w:r w:rsidRPr="005609F9">
      <w:rPr>
        <w:sz w:val="20"/>
      </w:rPr>
      <w:t>FMatzin_02072011; „ Par    Ministru    kabineta   komitejas 2011. gada 27. jūnija sēdes protokolu  Nr.25, 1.§”</w:t>
    </w:r>
  </w:p>
  <w:p w:rsidR="005609F9" w:rsidRDefault="00560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F9" w:rsidRPr="005609F9" w:rsidRDefault="005609F9" w:rsidP="005609F9">
    <w:pPr>
      <w:jc w:val="left"/>
      <w:rPr>
        <w:sz w:val="20"/>
      </w:rPr>
    </w:pPr>
    <w:r w:rsidRPr="005609F9">
      <w:rPr>
        <w:sz w:val="20"/>
      </w:rPr>
      <w:t>FMatzin_02072011; „ Par    Ministru    kabineta   komitejas 2011. gada 27. jūnija sēdes protokolu  Nr.25, 1.§”</w:t>
    </w:r>
  </w:p>
  <w:p w:rsidR="005609F9" w:rsidRDefault="00560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6E" w:rsidRDefault="00A4126E" w:rsidP="005719F3">
      <w:r>
        <w:separator/>
      </w:r>
    </w:p>
  </w:footnote>
  <w:footnote w:type="continuationSeparator" w:id="0">
    <w:p w:rsidR="00A4126E" w:rsidRDefault="00A4126E" w:rsidP="0057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7" w:rsidRDefault="00411B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847" w:rsidRDefault="00A4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47" w:rsidRDefault="00411B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2A0">
      <w:rPr>
        <w:rStyle w:val="PageNumber"/>
        <w:noProof/>
      </w:rPr>
      <w:t>2</w:t>
    </w:r>
    <w:r>
      <w:rPr>
        <w:rStyle w:val="PageNumber"/>
      </w:rPr>
      <w:fldChar w:fldCharType="end"/>
    </w:r>
  </w:p>
  <w:p w:rsidR="00810847" w:rsidRDefault="00A41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92"/>
    <w:rsid w:val="000456CB"/>
    <w:rsid w:val="00122EC9"/>
    <w:rsid w:val="001279E7"/>
    <w:rsid w:val="00285692"/>
    <w:rsid w:val="00411B3E"/>
    <w:rsid w:val="00464484"/>
    <w:rsid w:val="00492AB8"/>
    <w:rsid w:val="00534D5F"/>
    <w:rsid w:val="00547B82"/>
    <w:rsid w:val="005609F9"/>
    <w:rsid w:val="005719F3"/>
    <w:rsid w:val="0060278D"/>
    <w:rsid w:val="00606BB9"/>
    <w:rsid w:val="006A0E22"/>
    <w:rsid w:val="008761A6"/>
    <w:rsid w:val="008E19F6"/>
    <w:rsid w:val="00994F0B"/>
    <w:rsid w:val="00A02D71"/>
    <w:rsid w:val="00A4126E"/>
    <w:rsid w:val="00A662A0"/>
    <w:rsid w:val="00B46E2B"/>
    <w:rsid w:val="00B61AC7"/>
    <w:rsid w:val="00C17896"/>
    <w:rsid w:val="00DD71E1"/>
    <w:rsid w:val="00E454CB"/>
    <w:rsid w:val="00E8778A"/>
    <w:rsid w:val="00E91575"/>
    <w:rsid w:val="00F97B51"/>
    <w:rsid w:val="00FE7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9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692"/>
    <w:pPr>
      <w:tabs>
        <w:tab w:val="center" w:pos="4153"/>
        <w:tab w:val="right" w:pos="8306"/>
      </w:tabs>
    </w:pPr>
    <w:rPr>
      <w:sz w:val="20"/>
    </w:rPr>
  </w:style>
  <w:style w:type="character" w:customStyle="1" w:styleId="FooterChar">
    <w:name w:val="Footer Char"/>
    <w:basedOn w:val="DefaultParagraphFont"/>
    <w:link w:val="Footer"/>
    <w:uiPriority w:val="99"/>
    <w:rsid w:val="00285692"/>
    <w:rPr>
      <w:rFonts w:ascii="Times New Roman" w:eastAsia="Times New Roman" w:hAnsi="Times New Roman" w:cs="Times New Roman"/>
      <w:sz w:val="20"/>
      <w:szCs w:val="20"/>
    </w:rPr>
  </w:style>
  <w:style w:type="character" w:styleId="PageNumber">
    <w:name w:val="page number"/>
    <w:basedOn w:val="DefaultParagraphFont"/>
    <w:rsid w:val="00285692"/>
  </w:style>
  <w:style w:type="paragraph" w:styleId="Header">
    <w:name w:val="header"/>
    <w:basedOn w:val="Normal"/>
    <w:link w:val="HeaderChar"/>
    <w:rsid w:val="00285692"/>
    <w:pPr>
      <w:tabs>
        <w:tab w:val="center" w:pos="4153"/>
        <w:tab w:val="right" w:pos="8306"/>
      </w:tabs>
    </w:pPr>
  </w:style>
  <w:style w:type="character" w:customStyle="1" w:styleId="HeaderChar">
    <w:name w:val="Header Char"/>
    <w:basedOn w:val="DefaultParagraphFont"/>
    <w:link w:val="Header"/>
    <w:rsid w:val="00285692"/>
    <w:rPr>
      <w:rFonts w:ascii="Times New Roman" w:eastAsia="Times New Roman" w:hAnsi="Times New Roman" w:cs="Times New Roman"/>
      <w:sz w:val="24"/>
      <w:szCs w:val="20"/>
    </w:rPr>
  </w:style>
  <w:style w:type="paragraph" w:styleId="ListParagraph">
    <w:name w:val="List Paragraph"/>
    <w:basedOn w:val="Normal"/>
    <w:uiPriority w:val="34"/>
    <w:qFormat/>
    <w:rsid w:val="00285692"/>
    <w:pPr>
      <w:ind w:left="720"/>
      <w:contextualSpacing/>
    </w:pPr>
  </w:style>
  <w:style w:type="character" w:styleId="Hyperlink">
    <w:name w:val="Hyperlink"/>
    <w:basedOn w:val="DefaultParagraphFont"/>
    <w:rsid w:val="00285692"/>
    <w:rPr>
      <w:color w:val="0000FF" w:themeColor="hyperlink"/>
      <w:u w:val="single"/>
    </w:rPr>
  </w:style>
  <w:style w:type="paragraph" w:styleId="BalloonText">
    <w:name w:val="Balloon Text"/>
    <w:basedOn w:val="Normal"/>
    <w:link w:val="BalloonTextChar"/>
    <w:uiPriority w:val="99"/>
    <w:semiHidden/>
    <w:unhideWhenUsed/>
    <w:rsid w:val="00285692"/>
    <w:rPr>
      <w:rFonts w:ascii="Tahoma" w:hAnsi="Tahoma" w:cs="Tahoma"/>
      <w:sz w:val="16"/>
      <w:szCs w:val="16"/>
    </w:rPr>
  </w:style>
  <w:style w:type="character" w:customStyle="1" w:styleId="BalloonTextChar">
    <w:name w:val="Balloon Text Char"/>
    <w:basedOn w:val="DefaultParagraphFont"/>
    <w:link w:val="BalloonText"/>
    <w:uiPriority w:val="99"/>
    <w:semiHidden/>
    <w:rsid w:val="00285692"/>
    <w:rPr>
      <w:rFonts w:ascii="Tahoma" w:eastAsia="Times New Roman" w:hAnsi="Tahoma" w:cs="Tahoma"/>
      <w:sz w:val="16"/>
      <w:szCs w:val="16"/>
    </w:rPr>
  </w:style>
  <w:style w:type="character" w:styleId="CommentReference">
    <w:name w:val="annotation reference"/>
    <w:basedOn w:val="DefaultParagraphFont"/>
    <w:semiHidden/>
    <w:rsid w:val="0028569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9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692"/>
    <w:pPr>
      <w:tabs>
        <w:tab w:val="center" w:pos="4153"/>
        <w:tab w:val="right" w:pos="8306"/>
      </w:tabs>
    </w:pPr>
    <w:rPr>
      <w:sz w:val="20"/>
    </w:rPr>
  </w:style>
  <w:style w:type="character" w:customStyle="1" w:styleId="FooterChar">
    <w:name w:val="Footer Char"/>
    <w:basedOn w:val="DefaultParagraphFont"/>
    <w:link w:val="Footer"/>
    <w:uiPriority w:val="99"/>
    <w:rsid w:val="00285692"/>
    <w:rPr>
      <w:rFonts w:ascii="Times New Roman" w:eastAsia="Times New Roman" w:hAnsi="Times New Roman" w:cs="Times New Roman"/>
      <w:sz w:val="20"/>
      <w:szCs w:val="20"/>
    </w:rPr>
  </w:style>
  <w:style w:type="character" w:styleId="PageNumber">
    <w:name w:val="page number"/>
    <w:basedOn w:val="DefaultParagraphFont"/>
    <w:rsid w:val="00285692"/>
  </w:style>
  <w:style w:type="paragraph" w:styleId="Header">
    <w:name w:val="header"/>
    <w:basedOn w:val="Normal"/>
    <w:link w:val="HeaderChar"/>
    <w:rsid w:val="00285692"/>
    <w:pPr>
      <w:tabs>
        <w:tab w:val="center" w:pos="4153"/>
        <w:tab w:val="right" w:pos="8306"/>
      </w:tabs>
    </w:pPr>
  </w:style>
  <w:style w:type="character" w:customStyle="1" w:styleId="HeaderChar">
    <w:name w:val="Header Char"/>
    <w:basedOn w:val="DefaultParagraphFont"/>
    <w:link w:val="Header"/>
    <w:rsid w:val="00285692"/>
    <w:rPr>
      <w:rFonts w:ascii="Times New Roman" w:eastAsia="Times New Roman" w:hAnsi="Times New Roman" w:cs="Times New Roman"/>
      <w:sz w:val="24"/>
      <w:szCs w:val="20"/>
    </w:rPr>
  </w:style>
  <w:style w:type="paragraph" w:styleId="ListParagraph">
    <w:name w:val="List Paragraph"/>
    <w:basedOn w:val="Normal"/>
    <w:uiPriority w:val="34"/>
    <w:qFormat/>
    <w:rsid w:val="00285692"/>
    <w:pPr>
      <w:ind w:left="720"/>
      <w:contextualSpacing/>
    </w:pPr>
  </w:style>
  <w:style w:type="character" w:styleId="Hyperlink">
    <w:name w:val="Hyperlink"/>
    <w:basedOn w:val="DefaultParagraphFont"/>
    <w:rsid w:val="00285692"/>
    <w:rPr>
      <w:color w:val="0000FF" w:themeColor="hyperlink"/>
      <w:u w:val="single"/>
    </w:rPr>
  </w:style>
  <w:style w:type="paragraph" w:styleId="BalloonText">
    <w:name w:val="Balloon Text"/>
    <w:basedOn w:val="Normal"/>
    <w:link w:val="BalloonTextChar"/>
    <w:uiPriority w:val="99"/>
    <w:semiHidden/>
    <w:unhideWhenUsed/>
    <w:rsid w:val="00285692"/>
    <w:rPr>
      <w:rFonts w:ascii="Tahoma" w:hAnsi="Tahoma" w:cs="Tahoma"/>
      <w:sz w:val="16"/>
      <w:szCs w:val="16"/>
    </w:rPr>
  </w:style>
  <w:style w:type="character" w:customStyle="1" w:styleId="BalloonTextChar">
    <w:name w:val="Balloon Text Char"/>
    <w:basedOn w:val="DefaultParagraphFont"/>
    <w:link w:val="BalloonText"/>
    <w:uiPriority w:val="99"/>
    <w:semiHidden/>
    <w:rsid w:val="00285692"/>
    <w:rPr>
      <w:rFonts w:ascii="Tahoma" w:eastAsia="Times New Roman" w:hAnsi="Tahoma" w:cs="Tahoma"/>
      <w:sz w:val="16"/>
      <w:szCs w:val="16"/>
    </w:rPr>
  </w:style>
  <w:style w:type="character" w:styleId="CommentReference">
    <w:name w:val="annotation reference"/>
    <w:basedOn w:val="DefaultParagraphFont"/>
    <w:semiHidden/>
    <w:rsid w:val="002856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Kristapsone@f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1861</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komitejas2011.gada 27.jūnija sēdes protokola Nr.25, 1.§ 1. punktā noteikto </dc:title>
  <dc:subject>vēstule</dc:subject>
  <dc:creator>Liene Kristapsone</dc:creator>
  <cp:keywords/>
  <dc:description>Liene.kristapsone@fm.gov.lv
tālrn.67083976</dc:description>
  <cp:lastModifiedBy>kc-sprug</cp:lastModifiedBy>
  <cp:revision>10</cp:revision>
  <cp:lastPrinted>2011-07-04T05:24:00Z</cp:lastPrinted>
  <dcterms:created xsi:type="dcterms:W3CDTF">2011-07-01T06:02:00Z</dcterms:created>
  <dcterms:modified xsi:type="dcterms:W3CDTF">2011-07-04T06:53:00Z</dcterms:modified>
</cp:coreProperties>
</file>